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1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March 31, 2026</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26670</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325 Corporate Drive, Portsmouth,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34925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80"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ind w:right="40"/>
        <w:spacing w:after="0" w:line="23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 w:lineRule="exact"/>
        <w:rPr>
          <w:sz w:val="24"/>
          <w:szCs w:val="24"/>
          <w:color w:val="auto"/>
        </w:rPr>
      </w:pPr>
    </w:p>
    <w:p>
      <w:pPr>
        <w:ind w:right="2220"/>
        <w:spacing w:after="0" w:line="23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28.4 million shares of Class A Common Stock outstanding as of 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Page</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No.</w:t>
            </w:r>
          </w:p>
        </w:tc>
      </w:tr>
      <w:tr>
        <w:trPr>
          <w:trHeight w:val="21"/>
        </w:trPr>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gridSpan w:val="2"/>
          </w:tcPr>
          <w:p>
            <w:pPr>
              <w:spacing w:after="0" w:line="20" w:lineRule="exact"/>
              <w:rPr>
                <w:sz w:val="1"/>
                <w:szCs w:val="1"/>
                <w:color w:val="auto"/>
              </w:rPr>
            </w:pPr>
          </w:p>
        </w:tc>
        <w:tc>
          <w:tcPr>
            <w:tcW w:w="56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6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284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shd w:val="clear" w:color="auto" w:fill="B2B2B2"/>
          </w:tcPr>
          <w:p>
            <w:pPr>
              <w:spacing w:after="0"/>
              <w:rPr>
                <w:sz w:val="19"/>
                <w:szCs w:val="19"/>
                <w:color w:val="auto"/>
              </w:rPr>
            </w:pPr>
          </w:p>
        </w:tc>
        <w:tc>
          <w:tcPr>
            <w:tcW w:w="10520" w:type="dxa"/>
            <w:vAlign w:val="bottom"/>
            <w:gridSpan w:val="36"/>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100" w:type="dxa"/>
            <w:vAlign w:val="bottom"/>
            <w:tcBorders>
              <w:right w:val="single" w:sz="8" w:color="B2B2B2"/>
            </w:tcBorders>
            <w:shd w:val="clear" w:color="auto" w:fill="B2B2B2"/>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780" w:type="dxa"/>
            <w:vAlign w:val="bottom"/>
            <w:gridSpan w:val="33"/>
          </w:tcPr>
          <w:p>
            <w:pPr>
              <w:ind w:left="120"/>
              <w:spacing w:after="0"/>
              <w:rPr>
                <w:sz w:val="20"/>
                <w:szCs w:val="20"/>
                <w:color w:val="auto"/>
              </w:rPr>
            </w:pPr>
            <w:r>
              <w:rPr>
                <w:rFonts w:ascii="Arial" w:cs="Arial" w:eastAsia="Arial" w:hAnsi="Arial"/>
                <w:sz w:val="16"/>
                <w:szCs w:val="16"/>
                <w:color w:val="0000FF"/>
              </w:rPr>
              <w:t>Financial Statements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statements of income – </w:t>
            </w:r>
            <w:r>
              <w:rPr>
                <w:rFonts w:ascii="Arial" w:cs="Arial" w:eastAsia="Arial" w:hAnsi="Arial"/>
                <w:sz w:val="16"/>
                <w:szCs w:val="16"/>
                <w:color w:val="000000"/>
              </w:rPr>
              <w:t>three</w:t>
            </w:r>
            <w:r>
              <w:rPr>
                <w:rFonts w:ascii="Arial" w:cs="Arial" w:eastAsia="Arial" w:hAnsi="Arial"/>
                <w:sz w:val="16"/>
                <w:szCs w:val="16"/>
                <w:color w:val="0000FF"/>
              </w:rPr>
              <w:t xml:space="preserve"> months ended </w:t>
            </w:r>
            <w:r>
              <w:rPr>
                <w:rFonts w:ascii="Arial" w:cs="Arial" w:eastAsia="Arial" w:hAnsi="Arial"/>
                <w:sz w:val="16"/>
                <w:szCs w:val="16"/>
                <w:color w:val="000000"/>
              </w:rPr>
              <w:t>March 31, 2026</w:t>
            </w:r>
            <w:r>
              <w:rPr>
                <w:rFonts w:ascii="Arial" w:cs="Arial" w:eastAsia="Arial" w:hAnsi="Arial"/>
                <w:sz w:val="16"/>
                <w:szCs w:val="16"/>
                <w:color w:val="0000FF"/>
              </w:rPr>
              <w:t xml:space="preserve"> and </w:t>
            </w:r>
            <w:r>
              <w:rPr>
                <w:rFonts w:ascii="Arial" w:cs="Arial" w:eastAsia="Arial" w:hAnsi="Arial"/>
                <w:sz w:val="16"/>
                <w:szCs w:val="16"/>
                <w:color w:val="000000"/>
              </w:rPr>
              <w:t>2025</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1</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8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33"/>
          </w:tcPr>
          <w:p>
            <w:pPr>
              <w:ind w:left="120"/>
              <w:spacing w:after="0"/>
              <w:rPr>
                <w:sz w:val="20"/>
                <w:szCs w:val="20"/>
                <w:color w:val="auto"/>
              </w:rPr>
            </w:pPr>
            <w:r>
              <w:rPr>
                <w:rFonts w:ascii="Arial" w:cs="Arial" w:eastAsia="Arial" w:hAnsi="Arial"/>
                <w:sz w:val="16"/>
                <w:szCs w:val="16"/>
                <w:color w:val="0000FF"/>
              </w:rPr>
              <w:t xml:space="preserve">Consolidated statements of comprehensive income – </w:t>
            </w:r>
            <w:r>
              <w:rPr>
                <w:rFonts w:ascii="Arial" w:cs="Arial" w:eastAsia="Arial" w:hAnsi="Arial"/>
                <w:sz w:val="16"/>
                <w:szCs w:val="16"/>
                <w:color w:val="000000"/>
              </w:rPr>
              <w:t>three</w:t>
            </w:r>
            <w:r>
              <w:rPr>
                <w:rFonts w:ascii="Arial" w:cs="Arial" w:eastAsia="Arial" w:hAnsi="Arial"/>
                <w:sz w:val="16"/>
                <w:szCs w:val="16"/>
                <w:color w:val="0000FF"/>
              </w:rPr>
              <w:t xml:space="preserve"> months ended </w:t>
            </w:r>
            <w:r>
              <w:rPr>
                <w:rFonts w:ascii="Arial" w:cs="Arial" w:eastAsia="Arial" w:hAnsi="Arial"/>
                <w:sz w:val="16"/>
                <w:szCs w:val="16"/>
                <w:color w:val="000000"/>
              </w:rPr>
              <w:t>March 31, 2026</w:t>
            </w:r>
            <w:r>
              <w:rPr>
                <w:rFonts w:ascii="Arial" w:cs="Arial" w:eastAsia="Arial" w:hAnsi="Arial"/>
                <w:sz w:val="16"/>
                <w:szCs w:val="16"/>
                <w:color w:val="0000FF"/>
              </w:rPr>
              <w:t xml:space="preserve"> and </w:t>
            </w:r>
            <w:r>
              <w:rPr>
                <w:rFonts w:ascii="Arial" w:cs="Arial" w:eastAsia="Arial" w:hAnsi="Arial"/>
                <w:sz w:val="16"/>
                <w:szCs w:val="16"/>
                <w:color w:val="000000"/>
              </w:rPr>
              <w:t>2025</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2</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March 31, 2026</w:t>
            </w:r>
            <w:r>
              <w:rPr>
                <w:rFonts w:ascii="Arial" w:cs="Arial" w:eastAsia="Arial" w:hAnsi="Arial"/>
                <w:sz w:val="16"/>
                <w:szCs w:val="16"/>
                <w:color w:val="0000FF"/>
              </w:rPr>
              <w:t xml:space="preserve"> and </w:t>
            </w:r>
            <w:r>
              <w:rPr>
                <w:rFonts w:ascii="Arial" w:cs="Arial" w:eastAsia="Arial" w:hAnsi="Arial"/>
                <w:sz w:val="16"/>
                <w:szCs w:val="16"/>
                <w:color w:val="000000"/>
              </w:rPr>
              <w:t>December 31, 2025</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8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33"/>
          </w:tcPr>
          <w:p>
            <w:pPr>
              <w:ind w:left="120"/>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three</w:t>
            </w:r>
            <w:r>
              <w:rPr>
                <w:rFonts w:ascii="Arial" w:cs="Arial" w:eastAsia="Arial" w:hAnsi="Arial"/>
                <w:sz w:val="16"/>
                <w:szCs w:val="16"/>
                <w:color w:val="0000FF"/>
              </w:rPr>
              <w:t xml:space="preserve"> months ended </w:t>
            </w:r>
            <w:r>
              <w:rPr>
                <w:rFonts w:ascii="Arial" w:cs="Arial" w:eastAsia="Arial" w:hAnsi="Arial"/>
                <w:sz w:val="16"/>
                <w:szCs w:val="16"/>
                <w:color w:val="000000"/>
              </w:rPr>
              <w:t>March 31, 2026</w:t>
            </w:r>
            <w:r>
              <w:rPr>
                <w:rFonts w:ascii="Arial" w:cs="Arial" w:eastAsia="Arial" w:hAnsi="Arial"/>
                <w:sz w:val="16"/>
                <w:szCs w:val="16"/>
                <w:color w:val="0000FF"/>
              </w:rPr>
              <w:t xml:space="preserve"> and </w:t>
            </w:r>
            <w:r>
              <w:rPr>
                <w:rFonts w:ascii="Arial" w:cs="Arial" w:eastAsia="Arial" w:hAnsi="Arial"/>
                <w:sz w:val="16"/>
                <w:szCs w:val="16"/>
                <w:color w:val="000000"/>
              </w:rPr>
              <w:t>2025</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4</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Notes to consolidated financial statements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5</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8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33"/>
          </w:tcPr>
          <w:p>
            <w:pPr>
              <w:ind w:left="1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23</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Forward-looking statements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23</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8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33"/>
          </w:tcPr>
          <w:p>
            <w:pPr>
              <w:ind w:left="120"/>
              <w:spacing w:after="0"/>
              <w:rPr>
                <w:sz w:val="20"/>
                <w:szCs w:val="20"/>
                <w:color w:val="auto"/>
              </w:rPr>
            </w:pPr>
            <w:r>
              <w:rPr>
                <w:rFonts w:ascii="Arial" w:cs="Arial" w:eastAsia="Arial" w:hAnsi="Arial"/>
                <w:sz w:val="16"/>
                <w:szCs w:val="16"/>
                <w:color w:val="0000FF"/>
              </w:rPr>
              <w:t>Quantitative and Qualitative Disclosures about Market Risk</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31</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Controls and Procedures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31</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8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6"/>
                <w:szCs w:val="16"/>
                <w:b w:val="1"/>
                <w:bCs w:val="1"/>
                <w:color w:val="0000FF"/>
              </w:rPr>
              <w:t>Part II Other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3"/>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1.</w:t>
            </w: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Legal Proceedings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32</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8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780" w:type="dxa"/>
            <w:vAlign w:val="bottom"/>
            <w:gridSpan w:val="33"/>
          </w:tcPr>
          <w:p>
            <w:pPr>
              <w:ind w:left="120"/>
              <w:spacing w:after="0"/>
              <w:rPr>
                <w:sz w:val="20"/>
                <w:szCs w:val="20"/>
                <w:color w:val="auto"/>
              </w:rPr>
            </w:pPr>
            <w:r>
              <w:rPr>
                <w:rFonts w:ascii="Arial" w:cs="Arial" w:eastAsia="Arial" w:hAnsi="Arial"/>
                <w:sz w:val="16"/>
                <w:szCs w:val="16"/>
                <w:color w:val="0000FF"/>
              </w:rPr>
              <w:t>Risk Factors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32</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32</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8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33"/>
          </w:tcPr>
          <w:p>
            <w:pPr>
              <w:ind w:left="120"/>
              <w:spacing w:after="0"/>
              <w:rPr>
                <w:sz w:val="20"/>
                <w:szCs w:val="20"/>
                <w:color w:val="auto"/>
              </w:rPr>
            </w:pPr>
            <w:r>
              <w:rPr>
                <w:rFonts w:ascii="Arial" w:cs="Arial" w:eastAsia="Arial" w:hAnsi="Arial"/>
                <w:sz w:val="16"/>
                <w:szCs w:val="16"/>
                <w:color w:val="0000FF"/>
              </w:rPr>
              <w:t>Defaults upon Senior Securities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32</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Mine Safety Disclosures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32</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8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780" w:type="dxa"/>
            <w:vAlign w:val="bottom"/>
            <w:gridSpan w:val="33"/>
          </w:tcPr>
          <w:p>
            <w:pPr>
              <w:ind w:left="120"/>
              <w:spacing w:after="0"/>
              <w:rPr>
                <w:sz w:val="20"/>
                <w:szCs w:val="20"/>
                <w:color w:val="auto"/>
              </w:rPr>
            </w:pPr>
            <w:r>
              <w:rPr>
                <w:rFonts w:ascii="Arial" w:cs="Arial" w:eastAsia="Arial" w:hAnsi="Arial"/>
                <w:sz w:val="16"/>
                <w:szCs w:val="16"/>
                <w:color w:val="0000FF"/>
              </w:rPr>
              <w:t>Other Information</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33</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6.</w:t>
            </w:r>
          </w:p>
        </w:tc>
        <w:tc>
          <w:tcPr>
            <w:tcW w:w="978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Exhibits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34</w:t>
            </w:r>
          </w:p>
        </w:tc>
        <w:tc>
          <w:tcPr>
            <w:tcW w:w="60" w:type="dxa"/>
            <w:vAlign w:val="bottom"/>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32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90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284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2025</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288,774</w:t>
            </w:r>
          </w:p>
        </w:tc>
      </w:tr>
      <w:tr>
        <w:trPr>
          <w:trHeight w:val="21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192,288</w:t>
            </w:r>
          </w:p>
        </w:tc>
      </w:tr>
      <w:tr>
        <w:trPr>
          <w:trHeight w:val="237"/>
        </w:trPr>
        <w:tc>
          <w:tcPr>
            <w:tcW w:w="7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99,794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96,486</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53,812</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11,896</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2,515</w:t>
            </w:r>
          </w:p>
        </w:tc>
      </w:tr>
      <w:tr>
        <w:trPr>
          <w:trHeight w:val="237"/>
        </w:trPr>
        <w:tc>
          <w:tcPr>
            <w:tcW w:w="7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28,263</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3,655</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expense/(income), net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r>
      <w:tr>
        <w:trPr>
          <w:trHeight w:val="237"/>
        </w:trPr>
        <w:tc>
          <w:tcPr>
            <w:tcW w:w="7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23,625</w:t>
            </w:r>
          </w:p>
        </w:tc>
      </w:tr>
      <w:tr>
        <w:trPr>
          <w:trHeight w:val="21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6,276</w:t>
            </w:r>
          </w:p>
        </w:tc>
      </w:tr>
      <w:tr>
        <w:trPr>
          <w:trHeight w:val="237"/>
        </w:trPr>
        <w:tc>
          <w:tcPr>
            <w:tcW w:w="7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17,349</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257"/>
        </w:trPr>
        <w:tc>
          <w:tcPr>
            <w:tcW w:w="7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257"/>
        </w:trPr>
        <w:tc>
          <w:tcPr>
            <w:tcW w:w="7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30,823</w:t>
            </w:r>
          </w:p>
        </w:tc>
      </w:tr>
      <w:tr>
        <w:trPr>
          <w:trHeight w:val="257"/>
        </w:trPr>
        <w:tc>
          <w:tcPr>
            <w:tcW w:w="7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30,984</w:t>
            </w:r>
          </w:p>
        </w:tc>
      </w:tr>
      <w:tr>
        <w:trPr>
          <w:trHeight w:val="257"/>
        </w:trPr>
        <w:tc>
          <w:tcPr>
            <w:tcW w:w="7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Class A share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Three Months Ended</w:t>
      </w:r>
    </w:p>
    <w:p>
      <w:pPr>
        <w:jc w:val="center"/>
        <w:ind w:left="790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2025</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17,349</w:t>
            </w:r>
          </w:p>
        </w:tc>
      </w:tr>
      <w:tr>
        <w:trPr>
          <w:trHeight w:val="256"/>
        </w:trPr>
        <w:tc>
          <w:tcPr>
            <w:tcW w:w="7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before tax:</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13,123</w:t>
            </w:r>
          </w:p>
        </w:tc>
      </w:tr>
      <w:tr>
        <w:trPr>
          <w:trHeight w:val="217"/>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7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credit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7920" w:type="dxa"/>
            <w:vAlign w:val="bottom"/>
          </w:tcPr>
          <w:p>
            <w:pPr>
              <w:ind w:left="220"/>
              <w:spacing w:after="0"/>
              <w:rPr>
                <w:sz w:val="20"/>
                <w:szCs w:val="20"/>
                <w:color w:val="auto"/>
              </w:rPr>
            </w:pPr>
            <w:r>
              <w:rPr>
                <w:rFonts w:ascii="Arial" w:cs="Arial" w:eastAsia="Arial" w:hAnsi="Arial"/>
                <w:sz w:val="16"/>
                <w:szCs w:val="16"/>
                <w:color w:val="auto"/>
              </w:rPr>
              <w:t>Net actuarial loss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Derivative valuation adjustment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57"/>
        </w:trPr>
        <w:tc>
          <w:tcPr>
            <w:tcW w:w="79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792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792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31,188</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Comprehensive income attributable to the Company</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31,404</w:t>
            </w:r>
          </w:p>
        </w:tc>
      </w:tr>
      <w:tr>
        <w:trPr>
          <w:trHeight w:val="20"/>
        </w:trPr>
        <w:tc>
          <w:tcPr>
            <w:tcW w:w="7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 2026</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4"/>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122,557</w:t>
            </w:r>
          </w:p>
        </w:tc>
        <w:tc>
          <w:tcPr>
            <w:tcW w:w="1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112,350</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241,639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235,084</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80,847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87,102</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139,833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121,589</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43,877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43,937</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34,990</w:t>
            </w:r>
          </w:p>
        </w:tc>
        <w:tc>
          <w:tcPr>
            <w:tcW w:w="0" w:type="dxa"/>
            <w:vAlign w:val="bottom"/>
          </w:tcPr>
          <w:p>
            <w:pPr>
              <w:spacing w:after="0"/>
              <w:rPr>
                <w:sz w:val="1"/>
                <w:szCs w:val="1"/>
                <w:color w:val="auto"/>
              </w:rPr>
            </w:pPr>
          </w:p>
        </w:tc>
      </w:tr>
      <w:tr>
        <w:trPr>
          <w:trHeight w:val="198"/>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Assets held for sale</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294,020</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293,783</w:t>
            </w: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963,253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928,835</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471,966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482,568</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Intangibles,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20,443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21,428</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161,119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162,507</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64,473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68,499</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55,533</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54,872</w:t>
            </w:r>
          </w:p>
        </w:tc>
        <w:tc>
          <w:tcPr>
            <w:tcW w:w="0" w:type="dxa"/>
            <w:vAlign w:val="bottom"/>
          </w:tcPr>
          <w:p>
            <w:pPr>
              <w:spacing w:after="0"/>
              <w:rPr>
                <w:sz w:val="1"/>
                <w:szCs w:val="1"/>
                <w:color w:val="auto"/>
              </w:rPr>
            </w:pPr>
          </w:p>
        </w:tc>
      </w:tr>
      <w:tr>
        <w:trPr>
          <w:trHeight w:val="192"/>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1,736,787</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1,718,709</w:t>
            </w: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75,170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64,499</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143,557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139,385</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35,090</w:t>
            </w:r>
          </w:p>
        </w:tc>
        <w:tc>
          <w:tcPr>
            <w:tcW w:w="0" w:type="dxa"/>
            <w:vAlign w:val="bottom"/>
          </w:tcPr>
          <w:p>
            <w:pPr>
              <w:spacing w:after="0"/>
              <w:rPr>
                <w:sz w:val="1"/>
                <w:szCs w:val="1"/>
                <w:color w:val="auto"/>
              </w:rPr>
            </w:pPr>
          </w:p>
        </w:tc>
      </w:tr>
      <w:tr>
        <w:trPr>
          <w:trHeight w:val="198"/>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Liabilities held for sale</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197,068</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203,323</w:t>
            </w: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438,614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442,297</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476,541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455,663</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83,871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86,850</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192"/>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1,001,372</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986,607</w:t>
            </w:r>
          </w:p>
        </w:tc>
        <w:tc>
          <w:tcPr>
            <w:tcW w:w="0" w:type="dxa"/>
            <w:vAlign w:val="bottom"/>
          </w:tcPr>
          <w:p>
            <w:pPr>
              <w:spacing w:after="0"/>
              <w:rPr>
                <w:sz w:val="1"/>
                <w:szCs w:val="1"/>
                <w:color w:val="auto"/>
              </w:rPr>
            </w:pPr>
          </w:p>
        </w:tc>
      </w:tr>
      <w:tr>
        <w:trPr>
          <w:trHeight w:val="92"/>
        </w:trPr>
        <w:tc>
          <w:tcPr>
            <w:tcW w:w="8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20"/>
              <w:spacing w:after="0"/>
              <w:rPr>
                <w:sz w:val="20"/>
                <w:szCs w:val="20"/>
                <w:color w:val="auto"/>
              </w:rPr>
            </w:pPr>
            <w:r>
              <w:rPr>
                <w:rFonts w:ascii="Arial" w:cs="Arial" w:eastAsia="Arial" w:hAnsi="Arial"/>
                <w:sz w:val="14"/>
                <w:szCs w:val="14"/>
                <w:color w:val="auto"/>
              </w:rPr>
              <w:t>Commitments and Contingencies (Note 17)</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8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380" w:type="dxa"/>
            <w:vAlign w:val="bottom"/>
          </w:tcPr>
          <w:p>
            <w:pPr>
              <w:ind w:left="140"/>
              <w:spacing w:after="0" w:line="149" w:lineRule="exact"/>
              <w:rPr>
                <w:sz w:val="20"/>
                <w:szCs w:val="20"/>
                <w:color w:val="auto"/>
              </w:rPr>
            </w:pPr>
            <w:r>
              <w:rPr>
                <w:rFonts w:ascii="Arial" w:cs="Arial" w:eastAsia="Arial" w:hAnsi="Arial"/>
                <w:sz w:val="14"/>
                <w:szCs w:val="14"/>
                <w:color w:val="auto"/>
              </w:rPr>
              <w:t>Class A Common Stock, par value $0.001 per share; authorized 100,000,000 shares; 41,040,745 issued in 2026</w:t>
            </w:r>
          </w:p>
        </w:tc>
        <w:tc>
          <w:tcPr>
            <w:tcW w:w="1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8380" w:type="dxa"/>
            <w:vAlign w:val="bottom"/>
          </w:tcPr>
          <w:p>
            <w:pPr>
              <w:ind w:left="140"/>
              <w:spacing w:after="0"/>
              <w:rPr>
                <w:sz w:val="20"/>
                <w:szCs w:val="20"/>
                <w:color w:val="auto"/>
              </w:rPr>
            </w:pPr>
            <w:r>
              <w:rPr>
                <w:rFonts w:ascii="Arial" w:cs="Arial" w:eastAsia="Arial" w:hAnsi="Arial"/>
                <w:sz w:val="14"/>
                <w:szCs w:val="14"/>
                <w:color w:val="auto"/>
              </w:rPr>
              <w:t>and 40,989,106 in 2025</w:t>
            </w: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 in capital</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460,629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460,472</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983,704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976,373</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80" w:type="dxa"/>
            <w:vAlign w:val="bottom"/>
          </w:tcPr>
          <w:p>
            <w:pPr>
              <w:ind w:left="220"/>
              <w:spacing w:after="0"/>
              <w:rPr>
                <w:sz w:val="20"/>
                <w:szCs w:val="20"/>
                <w:color w:val="auto"/>
              </w:rPr>
            </w:pPr>
            <w:r>
              <w:rPr>
                <w:rFonts w:ascii="Arial" w:cs="Arial" w:eastAsia="Arial" w:hAnsi="Arial"/>
                <w:sz w:val="14"/>
                <w:szCs w:val="14"/>
                <w:color w:val="auto"/>
              </w:rPr>
              <w:t>Translation adjustments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(124,214)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(119,008)</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(23,911)</w:t>
            </w:r>
          </w:p>
        </w:tc>
        <w:tc>
          <w:tcPr>
            <w:tcW w:w="0" w:type="dxa"/>
            <w:vAlign w:val="bottom"/>
          </w:tcPr>
          <w:p>
            <w:pPr>
              <w:spacing w:after="0"/>
              <w:rPr>
                <w:sz w:val="1"/>
                <w:szCs w:val="1"/>
                <w:color w:val="auto"/>
              </w:rPr>
            </w:pPr>
          </w:p>
        </w:tc>
      </w:tr>
      <w:tr>
        <w:trPr>
          <w:trHeight w:val="199"/>
        </w:trPr>
        <w:tc>
          <w:tcPr>
            <w:tcW w:w="8380" w:type="dxa"/>
            <w:vAlign w:val="bottom"/>
          </w:tcPr>
          <w:p>
            <w:pPr>
              <w:ind w:left="220"/>
              <w:spacing w:after="0"/>
              <w:rPr>
                <w:sz w:val="20"/>
                <w:szCs w:val="20"/>
                <w:color w:val="auto"/>
              </w:rPr>
            </w:pPr>
            <w:r>
              <w:rPr>
                <w:rFonts w:ascii="Arial" w:cs="Arial" w:eastAsia="Arial" w:hAnsi="Arial"/>
                <w:sz w:val="14"/>
                <w:szCs w:val="14"/>
                <w:color w:val="auto"/>
              </w:rPr>
              <w:t>Derivative valuation adjustment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(Class A), at cost; 12,685,782 shares in 2026 and 12,685,782 in 2025</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(567,139)</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(567,139)</w:t>
            </w:r>
          </w:p>
        </w:tc>
        <w:tc>
          <w:tcPr>
            <w:tcW w:w="0" w:type="dxa"/>
            <w:vAlign w:val="bottom"/>
          </w:tcPr>
          <w:p>
            <w:pPr>
              <w:spacing w:after="0"/>
              <w:rPr>
                <w:sz w:val="1"/>
                <w:szCs w:val="1"/>
                <w:color w:val="auto"/>
              </w:rPr>
            </w:pPr>
          </w:p>
        </w:tc>
      </w:tr>
      <w:tr>
        <w:trPr>
          <w:trHeight w:val="192"/>
        </w:trPr>
        <w:tc>
          <w:tcPr>
            <w:tcW w:w="8380" w:type="dxa"/>
            <w:vAlign w:val="bottom"/>
          </w:tcPr>
          <w:p>
            <w:pPr>
              <w:ind w:left="140"/>
              <w:spacing w:after="0"/>
              <w:rPr>
                <w:sz w:val="20"/>
                <w:szCs w:val="20"/>
                <w:color w:val="auto"/>
              </w:rPr>
            </w:pPr>
            <w:r>
              <w:rPr>
                <w:rFonts w:ascii="Arial" w:cs="Arial" w:eastAsia="Arial" w:hAnsi="Arial"/>
                <w:sz w:val="14"/>
                <w:szCs w:val="14"/>
                <w:color w:val="auto"/>
              </w:rPr>
              <w:t>Total shareholders' equity</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729,401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726,209</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6,014</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r>
        <w:trPr>
          <w:trHeight w:val="192"/>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735,415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732,102</w:t>
            </w:r>
          </w:p>
        </w:tc>
        <w:tc>
          <w:tcPr>
            <w:tcW w:w="0" w:type="dxa"/>
            <w:vAlign w:val="bottom"/>
          </w:tcPr>
          <w:p>
            <w:pPr>
              <w:spacing w:after="0"/>
              <w:rPr>
                <w:sz w:val="1"/>
                <w:szCs w:val="1"/>
                <w:color w:val="auto"/>
              </w:rPr>
            </w:pPr>
          </w:p>
        </w:tc>
      </w:tr>
      <w:tr>
        <w:trPr>
          <w:trHeight w:val="225"/>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1,736,787</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1,718,709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8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15,449</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17,349</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9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16,478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19,585</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Change in deferred taxes</w:t>
            </w:r>
          </w:p>
        </w:tc>
        <w:tc>
          <w:tcPr>
            <w:tcW w:w="9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3,578</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 of property, plant and equipment</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9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Provision/(recovery) for credit losses from uncollected receivables and contract assets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remeasurement loss/(gain) on intercompany loans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2,886</w:t>
            </w:r>
          </w:p>
        </w:tc>
      </w:tr>
      <w:tr>
        <w:trPr>
          <w:trHeight w:val="108"/>
        </w:trPr>
        <w:tc>
          <w:tcPr>
            <w:tcW w:w="8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(6,831)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(20,713)</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Contract assets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11,421</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(18,466)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(12,873)</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Income taxes prepaid and receivable</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10,893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17,482</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Accrued liabilities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(2,103)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(21,164)</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payable</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(17,080)</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Noncurrent receivables</w:t>
            </w:r>
          </w:p>
        </w:tc>
        <w:tc>
          <w:tcPr>
            <w:tcW w:w="9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noncurrent liabilities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r>
      <w:tr>
        <w:trPr>
          <w:trHeight w:val="198"/>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Other, net</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5,643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2,119</w:t>
            </w:r>
          </w:p>
        </w:tc>
      </w:tr>
      <w:tr>
        <w:trPr>
          <w:trHeight w:val="92"/>
        </w:trPr>
        <w:tc>
          <w:tcPr>
            <w:tcW w:w="8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2"/>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9"/>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(15,597)</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(15,597)</w:t>
            </w:r>
          </w:p>
        </w:tc>
      </w:tr>
      <w:tr>
        <w:trPr>
          <w:trHeight w:val="92"/>
        </w:trPr>
        <w:tc>
          <w:tcPr>
            <w:tcW w:w="8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Proceeds from borrowings</w:t>
            </w:r>
          </w:p>
        </w:tc>
        <w:tc>
          <w:tcPr>
            <w:tcW w:w="9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65,000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96,998</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Repayment of borrowings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(3,007)</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Purchase of Treasury shares</w:t>
            </w:r>
          </w:p>
        </w:tc>
        <w:tc>
          <w:tcPr>
            <w:tcW w:w="9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(69,153)</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Taxes paid in lieu of share issuance</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w:t>
            </w:r>
          </w:p>
        </w:tc>
      </w:tr>
      <w:tr>
        <w:trPr>
          <w:trHeight w:val="198"/>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Dividends paid</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(8,431)</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13,769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15,091</w:t>
            </w:r>
          </w:p>
        </w:tc>
      </w:tr>
      <w:tr>
        <w:trPr>
          <w:trHeight w:val="92"/>
        </w:trPr>
        <w:tc>
          <w:tcPr>
            <w:tcW w:w="812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192"/>
        </w:trPr>
        <w:tc>
          <w:tcPr>
            <w:tcW w:w="8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r>
      <w:tr>
        <w:trPr>
          <w:trHeight w:val="92"/>
        </w:trPr>
        <w:tc>
          <w:tcPr>
            <w:tcW w:w="8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cash and cash equivalents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10,207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w:t>
            </w:r>
          </w:p>
        </w:tc>
      </w:tr>
      <w:tr>
        <w:trPr>
          <w:trHeight w:val="19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112,350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115,283</w:t>
            </w:r>
          </w:p>
        </w:tc>
      </w:tr>
      <w:tr>
        <w:trPr>
          <w:trHeight w:val="225"/>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8"/>
              </w:rPr>
              <w:t>122,557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119,354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Cash paid for interest, net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5,779</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3,857</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Cash paid for income taxes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16,609</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2" w:lineRule="exact"/>
        <w:rPr>
          <w:sz w:val="20"/>
          <w:szCs w:val="20"/>
          <w:color w:val="auto"/>
        </w:rPr>
      </w:pPr>
    </w:p>
    <w:p>
      <w:pPr>
        <w:ind w:right="8340" w:firstLine="8"/>
        <w:spacing w:after="0" w:line="374"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does not include all disclosures normally required for the annual financial statements prepared in accordance with accounting principles generally accepted in the United States ("GAAP"). All such adjustments are of a normal recurring nature, unless otherwise disclosed in this report. Certain amounts in prior year financial statements and notes thereto have been reclassified to conform to current year presentation. The information included in this Quarterly Report on Form 10-Q should be read in conjunction with the Company’s Annual Report on Form 10-K for the year ended December 31, 2025.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credit losses, rebates and sales allowances, inventory allowances, financial instruments, including derivatives, pension and other postretirement benefits, stock-based compensation, assets and liabilities held-for-sale,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2025, the FASB issued ASU No. 2025-11, Interim Reporting (Topic 270): Narrow Scope Improvements. The ASU clarifies the applicability of Topic 270 and the form and content of interim financial statements. In addition, it requires entities to disclose material events occurring since the last annual reporting period. The guidance will be effective for interim periods beginning January 1, 2028 and can be applied on a prospective or retrospective basis. We are evaluating the disclosure impact of this guidance; however, the standard will not have an impact on the company’s consolidated financial position, results of operations or cash flows.</w:t>
      </w:r>
    </w:p>
    <w:p>
      <w:pPr>
        <w:spacing w:after="0" w:line="31" w:lineRule="exact"/>
        <w:rPr>
          <w:sz w:val="20"/>
          <w:szCs w:val="20"/>
          <w:color w:val="auto"/>
        </w:rPr>
      </w:pPr>
    </w:p>
    <w:p>
      <w:pPr>
        <w:ind w:right="120"/>
        <w:spacing w:after="0" w:line="226" w:lineRule="exact"/>
        <w:rPr>
          <w:sz w:val="20"/>
          <w:szCs w:val="20"/>
          <w:color w:val="auto"/>
        </w:rPr>
      </w:pPr>
      <w:r>
        <w:rPr>
          <w:rFonts w:ascii="Arial" w:cs="Arial" w:eastAsia="Arial" w:hAnsi="Arial"/>
          <w:sz w:val="18"/>
          <w:szCs w:val="18"/>
          <w:color w:val="auto"/>
        </w:rPr>
        <w:t>In November 2025, the FASB issued ASU No. 2025</w:t>
      </w:r>
      <w:r>
        <w:rPr>
          <w:rFonts w:ascii="MS PGothic" w:cs="MS PGothic" w:eastAsia="MS PGothic" w:hAnsi="MS PGothic"/>
          <w:sz w:val="18"/>
          <w:szCs w:val="18"/>
          <w:color w:val="auto"/>
        </w:rPr>
        <w:t>‑</w:t>
      </w:r>
      <w:r>
        <w:rPr>
          <w:rFonts w:ascii="Arial" w:cs="Arial" w:eastAsia="Arial" w:hAnsi="Arial"/>
          <w:sz w:val="18"/>
          <w:szCs w:val="18"/>
          <w:color w:val="auto"/>
        </w:rPr>
        <w:t>09, Derivatives and Hedging (Topic 815): Hedge Accounting Improvements. The ASU makes targeted amendments to hedge accounting guidance intended to better align hedge accounting results with an entity’s risk management activities, including changes related to cash flow hedges, forecasted transactions, and certain debt</w:t>
      </w:r>
      <w:r>
        <w:rPr>
          <w:rFonts w:ascii="MS PGothic" w:cs="MS PGothic" w:eastAsia="MS PGothic" w:hAnsi="MS PGothic"/>
          <w:sz w:val="18"/>
          <w:szCs w:val="18"/>
          <w:color w:val="auto"/>
        </w:rPr>
        <w:t>‑</w:t>
      </w:r>
      <w:r>
        <w:rPr>
          <w:rFonts w:ascii="Arial" w:cs="Arial" w:eastAsia="Arial" w:hAnsi="Arial"/>
          <w:sz w:val="18"/>
          <w:szCs w:val="18"/>
          <w:color w:val="auto"/>
        </w:rPr>
        <w:t>related hedging strategies. The guidance is effective for the Company for fiscal years beginning after December 15, 2026, and interim periods within those fiscal years. Early adoption is permitted. The Company is currently evaluating the impact of this guidance on its consolidated financial statements and related disclosures.</w:t>
      </w:r>
    </w:p>
    <w:p>
      <w:pPr>
        <w:spacing w:after="0" w:line="8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September 2025, the FASB issued ASU No. 2025-06 to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retrospectively or using a modified transition approach. We are evaluating the impact of this guidance on our consolidated financial statements.</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November 2024, the FASB issued ASU No. 2024-03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Additionally, on an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annual and interim basis, a qualitative description is required for amounts remaining in relevant expense captions that are not separately disaggregated quantitatively. A relevant expense caption is an expense caption presented on the face of the income statement that contains any of the expense categories noted. The guidance also requires certain amounts that are currently required to be disclosed to be included in the same tabular disclosure as these disaggregation requirements. Furthermore, on an annual and interim basis, a public entity is required to separately disclose selling expenses and annually, disclose a description of the selling expenses. The guidance is effective for 2027 annual reporting, and in the first quarter of 2028 for interim reporting, with early adoption permitted, to be applied on a prospective basis, with retrospective application permitted. We are evaluating the impact of this guidance on our consolidated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 ("CODM"), reviews operating results for the purpose of allocating resources and assessing performance. Our CODM evaluates each segment's performance based on metrics such as net revenues, gross profit, and other key financial data, to assess performance and allocate resources that align with company-wide goals. The Company has not aggregated operating segments for purposes of identifying reportable segments.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Clothing:</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Machine Clothing segment supplies permeable and impermeable belts used in the manufacture of paper, paperboard, tissue and towel products, nonwovens, fiber cement and for several other industrial applications. We sell our MC products directly to customer end-users in countries across the globe. Our products, manufacturing processes, and distribution channels are substantially the same in each region of the world in which we operate.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design, manufacture, and market paper machine clothing (used in the manufacture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Albany Engineered Composites: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Albany Engineered Composites segment provides highly engineered, advanced composite solutions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where revenue is determined by a cost-plus-fee agreement.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2025, approximately 35% of AEC's revenues were related to U.S. government contracts or programs.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show data by reportable segment that is regularly provided to the CODM, reconciled to consolidated totals included in the financial statements along with other segment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Revenues to Operating Income(loss):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2026</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w:t>
            </w:r>
          </w:p>
        </w:tc>
        <w:tc>
          <w:tcPr>
            <w:tcW w:w="22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AEC</w:t>
            </w: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11"/>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165,952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145,381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311,333</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90,890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b w:val="1"/>
                <w:bCs w:val="1"/>
                <w:color w:val="auto"/>
              </w:rPr>
              <w:t>120,649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211,539</w:t>
            </w:r>
          </w:p>
        </w:tc>
      </w:tr>
      <w:tr>
        <w:trPr>
          <w:trHeight w:val="209"/>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75,062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24,732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99,794</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33,249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b w:val="1"/>
                <w:bCs w:val="1"/>
                <w:color w:val="auto"/>
              </w:rPr>
              <w:t>11,586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13,464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58,299</w:t>
            </w: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4,548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12,957</w:t>
            </w:r>
          </w:p>
        </w:tc>
      </w:tr>
      <w:tr>
        <w:trPr>
          <w:trHeight w:val="216"/>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Restructuring expenses, net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3,165</w:t>
            </w:r>
          </w:p>
        </w:tc>
      </w:tr>
      <w:tr>
        <w:trPr>
          <w:trHeight w:val="23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31,952</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8,598</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(15,177)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25,373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04"/>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2025</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w:t>
            </w:r>
          </w:p>
        </w:tc>
        <w:tc>
          <w:tcPr>
            <w:tcW w:w="22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AEC</w:t>
            </w: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114,077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288,774</w:t>
            </w: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94,795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97,493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192,288</w:t>
            </w: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16,584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96,486</w:t>
            </w: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53,812</w:t>
            </w:r>
          </w:p>
        </w:tc>
      </w:tr>
      <w:tr>
        <w:trPr>
          <w:trHeight w:val="217"/>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11,896</w:t>
            </w:r>
          </w:p>
        </w:tc>
      </w:tr>
      <w:tr>
        <w:trPr>
          <w:trHeight w:val="215"/>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Restructuring expenses, net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1,168</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w:t>
            </w:r>
          </w:p>
        </w:tc>
      </w:tr>
      <w:tr>
        <w:trPr>
          <w:trHeight w:val="23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38,431</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1,616</w:t>
            </w:r>
          </w:p>
        </w:tc>
        <w:tc>
          <w:tcPr>
            <w:tcW w:w="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(11,784)</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Depreciation and Amortization Expenses: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Three months ended March 31,</w:t>
            </w:r>
          </w:p>
        </w:tc>
      </w:tr>
      <w:tr>
        <w:trPr>
          <w:trHeight w:val="211"/>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2025</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8,302</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b w:val="1"/>
                <w:bCs w:val="1"/>
                <w:color w:val="auto"/>
              </w:rPr>
              <w:t>7,706</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8,787</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13,295</w:t>
            </w:r>
          </w:p>
        </w:tc>
      </w:tr>
      <w:tr>
        <w:trPr>
          <w:trHeight w:val="21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290</w:t>
            </w:r>
          </w:p>
        </w:tc>
      </w:tr>
      <w:tr>
        <w:trPr>
          <w:trHeight w:val="209"/>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depreciation and amortization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17,129</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21,291</w:t>
            </w:r>
          </w:p>
        </w:tc>
      </w:tr>
    </w:tbl>
    <w:p>
      <w:pPr>
        <w:spacing w:after="0" w:line="170"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As a result of the Amelia Earhart Drive facility meeting the held-for-sale accounting criteria, the facility's assets and liabilities were classified as held-for-sale in the consolidated balance sheets as of December 31, 2025 and March 31, 2026. Upon classification as held for sale, the Company ceased depreciation and amortization of the related long-lived assets in accordance with applicable accounting guidance.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Income/(loss) to Income before income taxes: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2025</w:t>
            </w:r>
          </w:p>
        </w:tc>
      </w:tr>
      <w:tr>
        <w:trPr>
          <w:trHeight w:val="21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Operating income/(loss)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25,373</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28,263</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243"/>
        </w:trPr>
        <w:tc>
          <w:tcPr>
            <w:tcW w:w="79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6,349</w:t>
            </w:r>
          </w:p>
        </w:tc>
        <w:tc>
          <w:tcPr>
            <w:tcW w:w="38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5,293</w:t>
            </w:r>
          </w:p>
        </w:tc>
      </w:tr>
      <w:tr>
        <w:trPr>
          <w:trHeight w:val="216"/>
        </w:trPr>
        <w:tc>
          <w:tcPr>
            <w:tcW w:w="7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(income)/expense, net</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(3,193)</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983</w:t>
            </w:r>
          </w:p>
        </w:tc>
      </w:tr>
      <w:tr>
        <w:trPr>
          <w:trHeight w:val="21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23,099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23,625</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assets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assets</w:t>
            </w:r>
          </w:p>
        </w:tc>
        <w:tc>
          <w:tcPr>
            <w:tcW w:w="1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7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674,978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618,476</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440,869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491,802</w:t>
            </w:r>
          </w:p>
        </w:tc>
      </w:tr>
      <w:tr>
        <w:trPr>
          <w:trHeight w:val="215"/>
        </w:trPr>
        <w:tc>
          <w:tcPr>
            <w:tcW w:w="63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1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1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122,557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112,350</w:t>
            </w:r>
          </w:p>
        </w:tc>
      </w:tr>
      <w:tr>
        <w:trPr>
          <w:trHeight w:val="216"/>
        </w:trPr>
        <w:tc>
          <w:tcPr>
            <w:tcW w:w="6300" w:type="dxa"/>
            <w:vAlign w:val="bottom"/>
          </w:tcPr>
          <w:p>
            <w:pPr>
              <w:ind w:left="140"/>
              <w:spacing w:after="0"/>
              <w:rPr>
                <w:sz w:val="20"/>
                <w:szCs w:val="20"/>
                <w:color w:val="auto"/>
              </w:rPr>
            </w:pPr>
            <w:r>
              <w:rPr>
                <w:rFonts w:ascii="Arial" w:cs="Arial" w:eastAsia="Arial" w:hAnsi="Arial"/>
                <w:sz w:val="16"/>
                <w:szCs w:val="16"/>
                <w:color w:val="auto"/>
              </w:rPr>
              <w:t>Income taxes prepaid and receivable, and Deferred income taxes</w:t>
            </w:r>
          </w:p>
        </w:tc>
        <w:tc>
          <w:tcPr>
            <w:tcW w:w="17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108,350</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112,436</w:t>
            </w:r>
          </w:p>
        </w:tc>
      </w:tr>
      <w:tr>
        <w:trPr>
          <w:trHeight w:val="216"/>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 and Other assets</w:t>
            </w:r>
          </w:p>
        </w:tc>
        <w:tc>
          <w:tcPr>
            <w:tcW w:w="1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96,013</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89,862</w:t>
            </w:r>
          </w:p>
        </w:tc>
      </w:tr>
      <w:tr>
        <w:trPr>
          <w:trHeight w:val="216"/>
        </w:trPr>
        <w:tc>
          <w:tcPr>
            <w:tcW w:w="6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Assets held for sale</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293,783</w:t>
            </w:r>
          </w:p>
        </w:tc>
      </w:tr>
      <w:tr>
        <w:trPr>
          <w:trHeight w:val="210"/>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total assets</w:t>
            </w:r>
          </w:p>
        </w:tc>
        <w:tc>
          <w:tcPr>
            <w:tcW w:w="1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1,736,787</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1,718,709</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Three months ended March 31,</w:t>
            </w:r>
          </w:p>
        </w:tc>
      </w:tr>
      <w:tr>
        <w:trPr>
          <w:trHeight w:val="211"/>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2025</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and purchased software</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5,606</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6,232</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2,851</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9,365</w:t>
            </w:r>
          </w:p>
        </w:tc>
      </w:tr>
      <w:tr>
        <w:trPr>
          <w:trHeight w:val="216"/>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capital expenditures and purchased software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9,290</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15,597</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 Recognition: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materially different if the underlying circumstances were to change. When adjustments in estimated contract revenues or costs are required, any changes from prior estimates are included in earnings in the period the change occurs.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LEAP engine is used on the Airbus A320neo, A321neo, Boeing 737 MAX, and COMAC C919 aircraft. AEC's largest aerospace customer is the SAFRAN Group and sales to SAFRAN (consisting primarily of fan blades and cases for CFM International's LEAP engine) were $48.3 million and $39.4 million for the three months ended March 31, 2026 and 2025, respectively. The total of Accounts receivable and Contract assets due from SAFRAN amounted to $57.1 million and $60.8 million as of March 31, 2026 and December 31, 2025, respectively.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in the estimated profitability of long-term contracts could be caused by increases or decreases in the contract value, revisions to customer delivery requirements, updated labor or overhead projections, material costs, factors affecting the supply chain, changes in the evaluation of contract risks and opportunities, or other factors. The cumulative changes in the estimated profitability of long-term contracts increased revenue by $1.2 million and decreased operating income by $1.8 million during the first quarter of 2026. The decrease in profitability during the first quarter of 2026 was primarily driven by a few large complex programs, including adjustments of $3.1 million for various CH-53K programs, primarily based on changes to future overhead rates over the remainder of the contract. These negative impacts to profitability were offset by positive cumulative adjustments of $1.6 million on our F-35 program.</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 March 31, 2026:</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460" w:type="dxa"/>
            <w:vAlign w:val="bottom"/>
            <w:tcBorders>
              <w:top w:val="single" w:sz="8" w:color="auto"/>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March 31, 2026</w:t>
            </w:r>
          </w:p>
        </w:tc>
        <w:tc>
          <w:tcPr>
            <w:tcW w:w="1000" w:type="dxa"/>
            <w:vAlign w:val="bottom"/>
            <w:tcBorders>
              <w:top w:val="single" w:sz="8" w:color="auto"/>
              <w:bottom w:val="single" w:sz="8" w:color="auto"/>
            </w:tcBorders>
          </w:tcPr>
          <w:p>
            <w:pPr>
              <w:spacing w:after="0"/>
              <w:rPr>
                <w:sz w:val="18"/>
                <w:szCs w:val="18"/>
                <w:color w:val="auto"/>
              </w:rPr>
            </w:pPr>
          </w:p>
        </w:tc>
      </w:tr>
      <w:tr>
        <w:trPr>
          <w:trHeight w:val="188"/>
        </w:trPr>
        <w:tc>
          <w:tcPr>
            <w:tcW w:w="648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164,900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1,052</w:t>
            </w:r>
          </w:p>
        </w:tc>
        <w:tc>
          <w:tcPr>
            <w:tcW w:w="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165,952</w:t>
            </w:r>
          </w:p>
        </w:tc>
      </w:tr>
      <w:tr>
        <w:trPr>
          <w:trHeight w:val="128"/>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47,109</w:t>
            </w:r>
          </w:p>
        </w:tc>
        <w:tc>
          <w:tcPr>
            <w:tcW w:w="44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47,109</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3,009</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95,263</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98,272</w:t>
            </w: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142,372</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145,381</w:t>
            </w:r>
          </w:p>
        </w:tc>
      </w:tr>
      <w:tr>
        <w:trPr>
          <w:trHeight w:val="236"/>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167,909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143,424</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311,333</w:t>
            </w: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 March 31,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March 31, 2025</w:t>
            </w:r>
          </w:p>
        </w:tc>
        <w:tc>
          <w:tcPr>
            <w:tcW w:w="1000" w:type="dxa"/>
            <w:vAlign w:val="bottom"/>
            <w:tcBorders>
              <w:top w:val="single" w:sz="8" w:color="auto"/>
              <w:bottom w:val="single" w:sz="8" w:color="auto"/>
            </w:tcBorders>
          </w:tcPr>
          <w:p>
            <w:pPr>
              <w:spacing w:after="0"/>
              <w:rPr>
                <w:sz w:val="18"/>
                <w:szCs w:val="18"/>
                <w:color w:val="auto"/>
              </w:rPr>
            </w:pPr>
          </w:p>
        </w:tc>
      </w:tr>
      <w:tr>
        <w:trPr>
          <w:trHeight w:val="174"/>
        </w:trPr>
        <w:tc>
          <w:tcPr>
            <w:tcW w:w="65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50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173,676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174,697</w:t>
            </w:r>
          </w:p>
        </w:tc>
      </w:tr>
      <w:tr>
        <w:trPr>
          <w:trHeight w:val="129"/>
        </w:trPr>
        <w:tc>
          <w:tcPr>
            <w:tcW w:w="6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2"/>
        </w:trPr>
        <w:tc>
          <w:tcPr>
            <w:tcW w:w="6500" w:type="dxa"/>
            <w:vAlign w:val="bottom"/>
          </w:tcPr>
          <w:p>
            <w:pPr>
              <w:ind w:left="20"/>
              <w:spacing w:after="0"/>
              <w:rPr>
                <w:sz w:val="20"/>
                <w:szCs w:val="20"/>
                <w:color w:val="auto"/>
              </w:rPr>
            </w:pPr>
            <w:r>
              <w:rPr>
                <w:rFonts w:ascii="Arial" w:cs="Arial" w:eastAsia="Arial" w:hAnsi="Arial"/>
                <w:sz w:val="16"/>
                <w:szCs w:val="16"/>
                <w:color w:val="auto"/>
              </w:rPr>
              <w:t>ASC</w:t>
            </w:r>
          </w:p>
        </w:tc>
        <w:tc>
          <w:tcPr>
            <w:tcW w:w="240" w:type="dxa"/>
            <w:vAlign w:val="bottom"/>
          </w:tcPr>
          <w:p>
            <w:pPr>
              <w:spacing w:after="0"/>
              <w:rPr>
                <w:sz w:val="21"/>
                <w:szCs w:val="21"/>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38,920</w:t>
            </w:r>
          </w:p>
        </w:tc>
        <w:tc>
          <w:tcPr>
            <w:tcW w:w="46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38,920</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4,077</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71,080</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75,157</w:t>
            </w:r>
          </w:p>
        </w:tc>
      </w:tr>
      <w:tr>
        <w:trPr>
          <w:trHeight w:val="22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110,000</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114,077</w:t>
            </w:r>
          </w:p>
        </w:tc>
      </w:tr>
      <w:tr>
        <w:trPr>
          <w:trHeight w:val="238"/>
        </w:trPr>
        <w:tc>
          <w:tcPr>
            <w:tcW w:w="65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r>
      <w:tr>
        <w:trPr>
          <w:trHeight w:val="23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177,753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111,021</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288,774</w:t>
            </w:r>
          </w:p>
        </w:tc>
      </w:tr>
    </w:tbl>
    <w:p>
      <w:pPr>
        <w:spacing w:after="0" w:line="26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76,109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82,846</w:t>
            </w:r>
          </w:p>
        </w:tc>
      </w:tr>
      <w:tr>
        <w:trPr>
          <w:trHeight w:val="243"/>
        </w:trPr>
        <w:tc>
          <w:tcPr>
            <w:tcW w:w="800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69,756</w:t>
            </w:r>
          </w:p>
        </w:tc>
        <w:tc>
          <w:tcPr>
            <w:tcW w:w="40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68,197</w:t>
            </w:r>
          </w:p>
        </w:tc>
      </w:tr>
      <w:tr>
        <w:trPr>
          <w:trHeight w:val="216"/>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20,087</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23,654</w:t>
            </w:r>
          </w:p>
        </w:tc>
      </w:tr>
      <w:tr>
        <w:trPr>
          <w:trHeight w:val="237"/>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revenues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165,952</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174,697</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$1.0 billion and $1.1 billion as of March 31, 2026 and 2025, respectively, and related primarily to firm fixed price contracts in the AEC segment. Of the remaining performance obligations as of March 31, 2026, we expect to recognize as revenue approximately $120.9 million during 2026, $182.6 million during 2027, $153.4 million during 2028,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net periodic benefit cost/(income) for the three months ended March 31, 2026 and 2025,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r>
      <w:tr>
        <w:trPr>
          <w:trHeight w:val="211"/>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238</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(705)</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(1,232)</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Settlement cost/(income)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4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benefit cost/(credit)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1,416</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of net periodic benefit cost/(credit) is determined at the beginning of each year and generally only varies from quarter to quarter when a significant event occurs, such as a curtailment or a settlement. There were no material curtailments or settlements during the three months ended March 31, 2026. In the first three months of 2025, we took action to settle certain pension plan liabilities related to an MC pension plan in Switzerland, resulting in a net gain totaling $1.6 million.</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MC, restructuring actions were taken in 2026 and 2025 to consolidate production activities across multiple facilities. For the three months ended March 31, 2026, these actions related to workforce reductions, manufacturing expenses related to ceased production and transfers of fixed assets to other locations. For the three months ended March 31, 2025, restructuring charges incurred included $3.1 million related to workforce reductions, fixed asset impairments and related costs, as well as charges of $0.2 million in cost of goods sold for the write-off of inventory, offset by a $1.8 million pension curtailment gain.</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AEC, restructuring activities for the three months ended March 31, 2025 were related to reorganizational and workforce reduction costs, which resulted in restructuring expenses of $1.2 million. AEC did not incur any restructuring costs for the three months ended March 31, 2026.</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r>
      <w:tr>
        <w:trPr>
          <w:trHeight w:val="211"/>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2,676</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1,347</w:t>
            </w: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1,168</w:t>
            </w:r>
          </w:p>
        </w:tc>
      </w:tr>
      <w:tr>
        <w:trPr>
          <w:trHeight w:val="216"/>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489</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3,165</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following tables summarize charges by type of expense reported in the Consolidated Statements of Income under "Restructuring expenses, net" and "Cost of goods sold":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8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tcPr>
          <w:p>
            <w:pPr>
              <w:jc w:val="center"/>
              <w:ind w:left="588"/>
              <w:spacing w:after="0"/>
              <w:rPr>
                <w:sz w:val="20"/>
                <w:szCs w:val="20"/>
                <w:color w:val="auto"/>
              </w:rPr>
            </w:pPr>
            <w:r>
              <w:rPr>
                <w:rFonts w:ascii="Arial" w:cs="Arial" w:eastAsia="Arial" w:hAnsi="Arial"/>
                <w:sz w:val="14"/>
                <w:szCs w:val="14"/>
                <w:b w:val="1"/>
                <w:bCs w:val="1"/>
                <w:color w:val="auto"/>
              </w:rPr>
              <w:t>Total</w:t>
            </w:r>
          </w:p>
        </w:tc>
        <w:tc>
          <w:tcPr>
            <w:tcW w:w="1540" w:type="dxa"/>
            <w:vAlign w:val="bottom"/>
            <w:tcBorders>
              <w:top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9"/>
              </w:rPr>
              <w:t>Termination</w:t>
            </w:r>
          </w:p>
        </w:tc>
        <w:tc>
          <w:tcPr>
            <w:tcW w:w="1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2026</w:t>
            </w:r>
          </w:p>
        </w:tc>
        <w:tc>
          <w:tcPr>
            <w:tcW w:w="2480" w:type="dxa"/>
            <w:vAlign w:val="bottom"/>
          </w:tcPr>
          <w:p>
            <w:pPr>
              <w:jc w:val="center"/>
              <w:ind w:left="588"/>
              <w:spacing w:after="0" w:line="145" w:lineRule="exact"/>
              <w:rPr>
                <w:sz w:val="20"/>
                <w:szCs w:val="20"/>
                <w:color w:val="auto"/>
              </w:rPr>
            </w:pPr>
            <w:r>
              <w:rPr>
                <w:rFonts w:ascii="Arial" w:cs="Arial" w:eastAsia="Arial" w:hAnsi="Arial"/>
                <w:sz w:val="14"/>
                <w:szCs w:val="14"/>
                <w:b w:val="1"/>
                <w:bCs w:val="1"/>
                <w:color w:val="auto"/>
              </w:rPr>
              <w:t>restructuring</w:t>
            </w:r>
          </w:p>
        </w:tc>
        <w:tc>
          <w:tcPr>
            <w:tcW w:w="154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rPr>
              <w:t>and other</w:t>
            </w:r>
          </w:p>
        </w:tc>
        <w:tc>
          <w:tcPr>
            <w:tcW w:w="1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Asset Transfer Costs</w:t>
            </w:r>
          </w:p>
        </w:tc>
        <w:tc>
          <w:tcPr>
            <w:tcW w:w="0" w:type="dxa"/>
            <w:vAlign w:val="bottom"/>
          </w:tcPr>
          <w:p>
            <w:pPr>
              <w:spacing w:after="0"/>
              <w:rPr>
                <w:sz w:val="1"/>
                <w:szCs w:val="1"/>
                <w:color w:val="auto"/>
              </w:rPr>
            </w:pPr>
          </w:p>
        </w:tc>
      </w:tr>
      <w:tr>
        <w:trPr>
          <w:trHeight w:val="193"/>
        </w:trPr>
        <w:tc>
          <w:tcPr>
            <w:tcW w:w="3580" w:type="dxa"/>
            <w:vAlign w:val="bottom"/>
            <w:vMerge w:val="continue"/>
          </w:tcPr>
          <w:p>
            <w:pPr>
              <w:spacing w:after="0"/>
              <w:rPr>
                <w:sz w:val="16"/>
                <w:szCs w:val="16"/>
                <w:color w:val="auto"/>
              </w:rPr>
            </w:pPr>
          </w:p>
        </w:tc>
        <w:tc>
          <w:tcPr>
            <w:tcW w:w="2480" w:type="dxa"/>
            <w:vAlign w:val="bottom"/>
          </w:tcPr>
          <w:p>
            <w:pPr>
              <w:jc w:val="center"/>
              <w:ind w:left="568"/>
              <w:spacing w:after="0"/>
              <w:rPr>
                <w:sz w:val="20"/>
                <w:szCs w:val="20"/>
                <w:color w:val="auto"/>
              </w:rPr>
            </w:pPr>
            <w:r>
              <w:rPr>
                <w:rFonts w:ascii="Arial" w:cs="Arial" w:eastAsia="Arial" w:hAnsi="Arial"/>
                <w:sz w:val="14"/>
                <w:szCs w:val="14"/>
                <w:b w:val="1"/>
                <w:bCs w:val="1"/>
                <w:color w:val="auto"/>
              </w:rPr>
              <w:t>costs incurred</w:t>
            </w:r>
          </w:p>
        </w:tc>
        <w:tc>
          <w:tcPr>
            <w:tcW w:w="154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costs</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1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2,676</w:t>
            </w:r>
          </w:p>
        </w:tc>
        <w:tc>
          <w:tcPr>
            <w:tcW w:w="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678</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489</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489</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3,165</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jc w:val="center"/>
              <w:ind w:right="101"/>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440" w:type="dxa"/>
            <w:vAlign w:val="bottom"/>
          </w:tcPr>
          <w:p>
            <w:pPr>
              <w:jc w:val="center"/>
              <w:ind w:right="181"/>
              <w:spacing w:after="0" w:line="142" w:lineRule="exact"/>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rPr>
              <w:t>Pension Curtailment</w:t>
            </w:r>
          </w:p>
        </w:tc>
        <w:tc>
          <w:tcPr>
            <w:tcW w:w="0" w:type="dxa"/>
            <w:vAlign w:val="bottom"/>
          </w:tcPr>
          <w:p>
            <w:pPr>
              <w:spacing w:after="0"/>
              <w:rPr>
                <w:sz w:val="1"/>
                <w:szCs w:val="1"/>
                <w:color w:val="auto"/>
              </w:rPr>
            </w:pPr>
          </w:p>
        </w:tc>
      </w:tr>
      <w:tr>
        <w:trPr>
          <w:trHeight w:val="148"/>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2025</w:t>
            </w:r>
          </w:p>
        </w:tc>
        <w:tc>
          <w:tcPr>
            <w:tcW w:w="1140" w:type="dxa"/>
            <w:vAlign w:val="bottom"/>
          </w:tcPr>
          <w:p>
            <w:pPr>
              <w:spacing w:after="0"/>
              <w:rPr>
                <w:sz w:val="12"/>
                <w:szCs w:val="12"/>
                <w:color w:val="auto"/>
              </w:rPr>
            </w:pPr>
          </w:p>
        </w:tc>
        <w:tc>
          <w:tcPr>
            <w:tcW w:w="14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restructuring</w:t>
            </w:r>
          </w:p>
        </w:tc>
        <w:tc>
          <w:tcPr>
            <w:tcW w:w="320" w:type="dxa"/>
            <w:vAlign w:val="bottom"/>
          </w:tcPr>
          <w:p>
            <w:pPr>
              <w:spacing w:after="0"/>
              <w:rPr>
                <w:sz w:val="12"/>
                <w:szCs w:val="12"/>
                <w:color w:val="auto"/>
              </w:rPr>
            </w:pPr>
          </w:p>
        </w:tc>
        <w:tc>
          <w:tcPr>
            <w:tcW w:w="14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16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Impairment of assets</w:t>
            </w: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4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jc w:val="center"/>
              <w:ind w:right="121"/>
              <w:spacing w:after="0"/>
              <w:rPr>
                <w:sz w:val="20"/>
                <w:szCs w:val="20"/>
                <w:color w:val="auto"/>
              </w:rPr>
            </w:pPr>
            <w:r>
              <w:rPr>
                <w:rFonts w:ascii="Arial" w:cs="Arial" w:eastAsia="Arial" w:hAnsi="Arial"/>
                <w:sz w:val="14"/>
                <w:szCs w:val="14"/>
                <w:b w:val="1"/>
                <w:bCs w:val="1"/>
                <w:color w:val="auto"/>
              </w:rPr>
              <w:t>costs incurred</w:t>
            </w:r>
          </w:p>
        </w:tc>
        <w:tc>
          <w:tcPr>
            <w:tcW w:w="320" w:type="dxa"/>
            <w:vAlign w:val="bottom"/>
          </w:tcPr>
          <w:p>
            <w:pPr>
              <w:spacing w:after="0"/>
              <w:rPr>
                <w:sz w:val="16"/>
                <w:szCs w:val="16"/>
                <w:color w:val="auto"/>
              </w:rPr>
            </w:pPr>
          </w:p>
        </w:tc>
        <w:tc>
          <w:tcPr>
            <w:tcW w:w="1440" w:type="dxa"/>
            <w:vAlign w:val="bottom"/>
          </w:tcPr>
          <w:p>
            <w:pPr>
              <w:jc w:val="center"/>
              <w:ind w:right="181"/>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62"/>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97"/>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1,168</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1,168</w:t>
            </w:r>
          </w:p>
        </w:tc>
        <w:tc>
          <w:tcPr>
            <w:tcW w:w="140" w:type="dxa"/>
            <w:vAlign w:val="bottom"/>
          </w:tcPr>
          <w:p>
            <w:pPr>
              <w:spacing w:after="0"/>
              <w:rPr>
                <w:sz w:val="18"/>
                <w:szCs w:val="18"/>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year-to-date changes in restructuring liabilities for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Restructuring</w:t>
            </w: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Payments and</w:t>
            </w: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right"/>
              <w:ind w:right="344"/>
              <w:spacing w:after="0"/>
              <w:rPr>
                <w:sz w:val="20"/>
                <w:szCs w:val="20"/>
                <w:color w:val="auto"/>
              </w:rPr>
            </w:pPr>
            <w:r>
              <w:rPr>
                <w:rFonts w:ascii="Arial" w:cs="Arial" w:eastAsia="Arial" w:hAnsi="Arial"/>
                <w:sz w:val="14"/>
                <w:szCs w:val="14"/>
                <w:b w:val="1"/>
                <w:bCs w:val="1"/>
                <w:color w:val="auto"/>
              </w:rPr>
              <w:t>March 31, 2026</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charges accrued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restructuring and other liabilities</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1,060</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2"/>
                <w:szCs w:val="12"/>
                <w:color w:val="auto"/>
              </w:rPr>
            </w:pPr>
          </w:p>
        </w:tc>
        <w:tc>
          <w:tcPr>
            <w:tcW w:w="1620" w:type="dxa"/>
            <w:vAlign w:val="bottom"/>
          </w:tcPr>
          <w:p>
            <w:pPr>
              <w:jc w:val="center"/>
              <w:ind w:right="145"/>
              <w:spacing w:after="0" w:line="147" w:lineRule="exact"/>
              <w:rPr>
                <w:sz w:val="20"/>
                <w:szCs w:val="20"/>
                <w:color w:val="auto"/>
              </w:rPr>
            </w:pPr>
            <w:r>
              <w:rPr>
                <w:rFonts w:ascii="Arial" w:cs="Arial" w:eastAsia="Arial" w:hAnsi="Arial"/>
                <w:sz w:val="14"/>
                <w:szCs w:val="14"/>
                <w:b w:val="1"/>
                <w:bCs w:val="1"/>
                <w:color w:val="auto"/>
              </w:rPr>
              <w:t>Restructuring</w:t>
            </w:r>
          </w:p>
        </w:tc>
        <w:tc>
          <w:tcPr>
            <w:tcW w:w="180" w:type="dxa"/>
            <w:vAlign w:val="bottom"/>
          </w:tcPr>
          <w:p>
            <w:pPr>
              <w:spacing w:after="0"/>
              <w:rPr>
                <w:sz w:val="12"/>
                <w:szCs w:val="12"/>
                <w:color w:val="auto"/>
              </w:rPr>
            </w:pPr>
          </w:p>
        </w:tc>
        <w:tc>
          <w:tcPr>
            <w:tcW w:w="1220" w:type="dxa"/>
            <w:vAlign w:val="bottom"/>
          </w:tcPr>
          <w:p>
            <w:pPr>
              <w:jc w:val="center"/>
              <w:ind w:right="85"/>
              <w:spacing w:after="0" w:line="147" w:lineRule="exact"/>
              <w:rPr>
                <w:sz w:val="20"/>
                <w:szCs w:val="20"/>
                <w:color w:val="auto"/>
              </w:rPr>
            </w:pPr>
            <w:r>
              <w:rPr>
                <w:rFonts w:ascii="Arial" w:cs="Arial" w:eastAsia="Arial" w:hAnsi="Arial"/>
                <w:sz w:val="14"/>
                <w:szCs w:val="14"/>
                <w:b w:val="1"/>
                <w:bCs w:val="1"/>
                <w:color w:val="auto"/>
              </w:rPr>
              <w:t>Payments and</w:t>
            </w:r>
          </w:p>
        </w:tc>
        <w:tc>
          <w:tcPr>
            <w:tcW w:w="280" w:type="dxa"/>
            <w:vAlign w:val="bottom"/>
          </w:tcPr>
          <w:p>
            <w:pPr>
              <w:spacing w:after="0"/>
              <w:rPr>
                <w:sz w:val="12"/>
                <w:szCs w:val="12"/>
                <w:color w:val="auto"/>
              </w:rPr>
            </w:pPr>
          </w:p>
        </w:tc>
        <w:tc>
          <w:tcPr>
            <w:tcW w:w="160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charges accrued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restructuring and other liabilities</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(income)/expense, net 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color w:val="auto"/>
              </w:rPr>
              <w:t>Currency transaction losses/(gains)</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center"/>
              <w:ind w:left="642"/>
              <w:spacing w:after="0"/>
              <w:rPr>
                <w:sz w:val="20"/>
                <w:szCs w:val="20"/>
                <w:color w:val="auto"/>
              </w:rPr>
            </w:pPr>
            <w:r>
              <w:rPr>
                <w:rFonts w:ascii="Arial" w:cs="Arial" w:eastAsia="Arial" w:hAnsi="Arial"/>
                <w:sz w:val="16"/>
                <w:szCs w:val="16"/>
                <w:b w:val="1"/>
                <w:bCs w:val="1"/>
                <w:color w:val="auto"/>
              </w:rPr>
              <w:t>(2,152)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3,152</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 losses/(gains)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642"/>
              <w:spacing w:after="0"/>
              <w:rPr>
                <w:sz w:val="20"/>
                <w:szCs w:val="20"/>
                <w:color w:val="auto"/>
              </w:rPr>
            </w:pPr>
            <w:r>
              <w:rPr>
                <w:rFonts w:ascii="Arial" w:cs="Arial" w:eastAsia="Arial" w:hAnsi="Arial"/>
                <w:sz w:val="16"/>
                <w:szCs w:val="16"/>
                <w:b w:val="1"/>
                <w:bCs w:val="1"/>
                <w:color w:val="auto"/>
                <w:w w:val="99"/>
              </w:rPr>
              <w:t>1,216</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 cost</w:t>
            </w:r>
          </w:p>
        </w:tc>
        <w:tc>
          <w:tcPr>
            <w:tcW w:w="340" w:type="dxa"/>
            <w:vAlign w:val="bottom"/>
          </w:tcPr>
          <w:p>
            <w:pPr>
              <w:spacing w:after="0"/>
              <w:rPr>
                <w:sz w:val="18"/>
                <w:szCs w:val="18"/>
                <w:color w:val="auto"/>
              </w:rPr>
            </w:pPr>
          </w:p>
        </w:tc>
        <w:tc>
          <w:tcPr>
            <w:tcW w:w="1280" w:type="dxa"/>
            <w:vAlign w:val="bottom"/>
          </w:tcPr>
          <w:p>
            <w:pPr>
              <w:jc w:val="center"/>
              <w:ind w:left="642"/>
              <w:spacing w:after="0"/>
              <w:rPr>
                <w:sz w:val="20"/>
                <w:szCs w:val="20"/>
                <w:color w:val="auto"/>
              </w:rPr>
            </w:pPr>
            <w:r>
              <w:rPr>
                <w:rFonts w:ascii="Arial" w:cs="Arial" w:eastAsia="Arial" w:hAnsi="Arial"/>
                <w:sz w:val="16"/>
                <w:szCs w:val="16"/>
                <w:b w:val="1"/>
                <w:bCs w:val="1"/>
                <w:color w:val="auto"/>
                <w:w w:val="99"/>
              </w:rPr>
              <w:t>1,483</w:t>
            </w:r>
          </w:p>
        </w:tc>
        <w:tc>
          <w:tcPr>
            <w:tcW w:w="3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821</w:t>
            </w:r>
          </w:p>
        </w:tc>
      </w:tr>
      <w:tr>
        <w:trPr>
          <w:trHeight w:val="216"/>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losses/(gains)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left="642"/>
              <w:spacing w:after="0"/>
              <w:rPr>
                <w:sz w:val="20"/>
                <w:szCs w:val="20"/>
                <w:color w:val="auto"/>
              </w:rPr>
            </w:pPr>
            <w:r>
              <w:rPr>
                <w:rFonts w:ascii="Arial" w:cs="Arial" w:eastAsia="Arial" w:hAnsi="Arial"/>
                <w:sz w:val="16"/>
                <w:szCs w:val="16"/>
                <w:b w:val="1"/>
                <w:bCs w:val="1"/>
                <w:color w:val="auto"/>
              </w:rPr>
              <w:t>(3,740)</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10"/>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(income)/expense, net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b w:val="1"/>
                <w:bCs w:val="1"/>
                <w:color w:val="auto"/>
              </w:rPr>
              <w:t>(3,193)</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983</w:t>
            </w: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Currency transaction losses/(gains), included within other (income)/expense, net were primarily the result of both realized and unrealized losses/(gains) on intercompany loans. In addition, changes in the fair value of derivative instruments included gains driven by currency rate movements, most notably the Brazilian Real and Mexican Peso.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for the three months ended March 31, 2026 and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Borders>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9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2025</w:t>
            </w:r>
          </w:p>
        </w:tc>
      </w:tr>
      <w:tr>
        <w:trPr>
          <w:trHeight w:val="210"/>
        </w:trPr>
        <w:tc>
          <w:tcPr>
            <w:tcW w:w="8920" w:type="dxa"/>
            <w:vAlign w:val="bottom"/>
            <w:tcBorders>
              <w:bottom w:val="single" w:sz="8" w:color="auto"/>
            </w:tcBorders>
            <w:gridSpan w:val="2"/>
            <w:shd w:val="clear" w:color="auto" w:fill="CCEEFF"/>
          </w:tcPr>
          <w:p>
            <w:pPr>
              <w:jc w:val="right"/>
              <w:ind w:right="7048"/>
              <w:spacing w:after="0"/>
              <w:rPr>
                <w:sz w:val="20"/>
                <w:szCs w:val="20"/>
                <w:color w:val="auto"/>
              </w:rPr>
            </w:pPr>
            <w:r>
              <w:rPr>
                <w:rFonts w:ascii="Arial" w:cs="Arial" w:eastAsia="Arial" w:hAnsi="Arial"/>
                <w:sz w:val="16"/>
                <w:szCs w:val="16"/>
                <w:color w:val="auto"/>
              </w:rPr>
              <w:t>Effective income tax rate</w:t>
            </w:r>
          </w:p>
        </w:tc>
        <w:tc>
          <w:tcPr>
            <w:tcW w:w="9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33.1 %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26.6 %</w:t>
            </w:r>
          </w:p>
        </w:tc>
      </w:tr>
    </w:tbl>
    <w:p>
      <w:pPr>
        <w:spacing w:after="0" w:line="3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subject to valuation allowances cannot recognize a tax benefit with regard to their generated losses and are excluded from the annual effective tax rate calculation as their taxes will be recorded discretely in each quarter.</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2026 estimated annual effective tax rate primarily reflects the 21% federal tax rate, the impact of state and local taxation, the impact of taxation upon foreign operations, and forecasted permanent differences. Our actual effective tax rates were 33.1% and 26.6% for the three months ended March 31, 2026 and 2025, respectively.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 rate for the three months ended March 31, 2026 was higher than the effective tax rate for the three months ended March 31, 2025, largely due to the absence of favorable discrete tax items in the current year.</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subject to audit in the U.S. and various foreign jurisdictions. Our open tax years for major jurisdictions generally range from 2013-2025. We believe appropriate provisions for all outstanding tax issues have been made for all jurisdictions and all open years. Audit outcomes and the timing of audit settlements are subject to significant uncertainty.</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earnings per share)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r>
      <w:tr>
        <w:trPr>
          <w:trHeight w:val="21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15,281</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17,355</w:t>
            </w:r>
          </w:p>
        </w:tc>
      </w:tr>
      <w:tr>
        <w:trPr>
          <w:trHeight w:val="236"/>
        </w:trPr>
        <w:tc>
          <w:tcPr>
            <w:tcW w:w="7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798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 income per share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28,321</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30,823</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79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stock units and multi-year awards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09"/>
        </w:trPr>
        <w:tc>
          <w:tcPr>
            <w:tcW w:w="7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Weighted average number of shares used in calculating diluted net income per share</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28,550</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30,984</w:t>
            </w:r>
          </w:p>
        </w:tc>
      </w:tr>
      <w:tr>
        <w:trPr>
          <w:trHeight w:val="237"/>
        </w:trPr>
        <w:tc>
          <w:tcPr>
            <w:tcW w:w="7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980" w:type="dxa"/>
            <w:vAlign w:val="bottom"/>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0.54</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216"/>
        </w:trPr>
        <w:tc>
          <w:tcPr>
            <w:tcW w:w="7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0.54</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changes in the components of AOCI for the period from December 31, 2025 to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Income/(Loss)</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(23,911)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(143,538)</w:t>
            </w:r>
          </w:p>
        </w:tc>
        <w:tc>
          <w:tcPr>
            <w:tcW w:w="0" w:type="dxa"/>
            <w:vAlign w:val="bottom"/>
          </w:tcPr>
          <w:p>
            <w:pPr>
              <w:spacing w:after="0"/>
              <w:rPr>
                <w:sz w:val="1"/>
                <w:szCs w:val="1"/>
                <w:color w:val="auto"/>
              </w:rPr>
            </w:pPr>
          </w:p>
        </w:tc>
      </w:tr>
      <w:tr>
        <w:trPr>
          <w:trHeight w:val="236"/>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translation and other adjustments</w:t>
            </w:r>
          </w:p>
        </w:tc>
        <w:tc>
          <w:tcPr>
            <w:tcW w:w="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(5,206)</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359</w:t>
            </w:r>
          </w:p>
        </w:tc>
        <w:tc>
          <w:tcPr>
            <w:tcW w:w="24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409</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(4,438)</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settlement/curtailment, net of tax</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6"/>
                <w:szCs w:val="16"/>
                <w:color w:val="auto"/>
              </w:rPr>
              <w:t>Interest (expense)/income related to swaps reclassified to the</w:t>
            </w:r>
          </w:p>
        </w:tc>
        <w:tc>
          <w:tcPr>
            <w:tcW w:w="6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income/(loss)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326</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(4,296)</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2026</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(124,214)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(23,327)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(147,834)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changes in the components of AOCI for the period from December 31, 2024 to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Income/(Loss)</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(181,555)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(14,328)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(195,989)</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translation and other adjustments</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17,136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(4,013)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(457)</w:t>
            </w:r>
          </w:p>
        </w:tc>
        <w:tc>
          <w:tcPr>
            <w:tcW w:w="16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12,666</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 net of tax</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6"/>
                <w:szCs w:val="16"/>
                <w:color w:val="auto"/>
              </w:rPr>
              <w:t>Interest (expense)/income related to swaps reclassified to the</w:t>
            </w:r>
          </w:p>
        </w:tc>
        <w:tc>
          <w:tcPr>
            <w:tcW w:w="6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Pension and postretirement liability adjustments reclassified to</w:t>
            </w:r>
          </w:p>
        </w:tc>
        <w:tc>
          <w:tcPr>
            <w:tcW w:w="6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income/(loss)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17,136</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13,839</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2025</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(164,419)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(16,990)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(182,150)</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components of AOCI that are reclassified to the Consolidated Statements of Income/(Loss) relate to our pension and postretirement plans and interest rate swaps.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Consolidated Statements of Income/(Loss) that were affected for the three months ended March 31, 2026, and the Consolidated Statements of Income/(Loss) for the three months ended March 31,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Pre-tax Derivative valuation reclassified from Accumulated Other Comprehensive Income/(Loss):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7980" w:type="dxa"/>
            <w:vAlign w:val="bottom"/>
          </w:tcPr>
          <w:p>
            <w:pPr>
              <w:ind w:left="140"/>
              <w:spacing w:after="0"/>
              <w:rPr>
                <w:sz w:val="20"/>
                <w:szCs w:val="20"/>
                <w:color w:val="auto"/>
              </w:rPr>
            </w:pPr>
            <w:r>
              <w:rPr>
                <w:rFonts w:ascii="Arial" w:cs="Arial" w:eastAsia="Arial" w:hAnsi="Arial"/>
                <w:sz w:val="16"/>
                <w:szCs w:val="16"/>
                <w:color w:val="auto"/>
              </w:rPr>
              <w:t>Interest (income)/expense, net related to interest rate swaps included in Income/(loss) before taxes</w:t>
            </w:r>
            <w:r>
              <w:rPr>
                <w:rFonts w:ascii="Arial" w:cs="Arial" w:eastAsia="Arial" w:hAnsi="Arial"/>
                <w:sz w:val="21"/>
                <w:szCs w:val="21"/>
                <w:color w:val="auto"/>
                <w:vertAlign w:val="superscript"/>
              </w:rPr>
              <w:t>(a)</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6"/>
        </w:trPr>
        <w:tc>
          <w:tcPr>
            <w:tcW w:w="7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 Comprehensive Income/(Loss)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183"/>
        </w:trPr>
        <w:tc>
          <w:tcPr>
            <w:tcW w:w="7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 Accumulated Other Comprehensive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Income: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
        </w:trPr>
        <w:tc>
          <w:tcPr>
            <w:tcW w:w="7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16"/>
        </w:trPr>
        <w:tc>
          <w:tcPr>
            <w:tcW w:w="798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7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0"/>
        </w:trPr>
        <w:tc>
          <w:tcPr>
            <w:tcW w:w="7980" w:type="dxa"/>
            <w:vAlign w:val="bottom"/>
          </w:tcPr>
          <w:p>
            <w:pPr>
              <w:ind w:left="20"/>
              <w:spacing w:after="0" w:line="210" w:lineRule="exact"/>
              <w:rPr>
                <w:sz w:val="20"/>
                <w:szCs w:val="20"/>
                <w:color w:val="auto"/>
              </w:rPr>
            </w:pPr>
            <w:r>
              <w:rPr>
                <w:rFonts w:ascii="Arial" w:cs="Arial" w:eastAsia="Arial" w:hAnsi="Arial"/>
                <w:sz w:val="16"/>
                <w:szCs w:val="16"/>
                <w:color w:val="auto"/>
              </w:rPr>
              <w:t>Total pre-tax amount reclassified</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329</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1,850</w:t>
            </w:r>
          </w:p>
        </w:tc>
      </w:tr>
      <w:tr>
        <w:trPr>
          <w:trHeight w:val="216"/>
        </w:trPr>
        <w:tc>
          <w:tcPr>
            <w:tcW w:w="7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0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 Comprehensive Income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r>
    </w:tbl>
    <w:p>
      <w:pPr>
        <w:spacing w:after="0" w:line="251" w:lineRule="exact"/>
        <w:rPr>
          <w:sz w:val="20"/>
          <w:szCs w:val="20"/>
          <w:color w:val="auto"/>
        </w:rPr>
      </w:pPr>
    </w:p>
    <w:p>
      <w:pPr>
        <w:jc w:val="both"/>
        <w:ind w:left="660" w:hanging="247"/>
        <w:spacing w:after="0" w:line="268"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8"/>
          <w:szCs w:val="18"/>
          <w:color w:val="auto"/>
        </w:rPr>
        <w:t xml:space="preserve">Reported as Interest expense, net in our Consolidated Statements of Income, are payments related to the interest rate swap agreements and amortization of swap buyouts (see Note 15,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Fair-Value Measurements</w:t>
      </w:r>
      <w:r>
        <w:rPr>
          <w:rFonts w:ascii="Arial" w:cs="Arial" w:eastAsia="Arial" w:hAnsi="Arial"/>
          <w:sz w:val="18"/>
          <w:szCs w:val="18"/>
          <w:color w:val="auto"/>
        </w:rPr>
        <w:t>, of the Notes to the Consolidated Financial Statements).</w:t>
      </w:r>
    </w:p>
    <w:p>
      <w:pPr>
        <w:spacing w:after="0" w:line="130" w:lineRule="exact"/>
        <w:rPr>
          <w:sz w:val="20"/>
          <w:szCs w:val="20"/>
          <w:color w:val="auto"/>
        </w:rPr>
      </w:pPr>
    </w:p>
    <w:p>
      <w:pPr>
        <w:jc w:val="both"/>
        <w:ind w:left="660" w:hanging="242"/>
        <w:spacing w:after="0" w:line="268" w:lineRule="auto"/>
        <w:rPr>
          <w:sz w:val="20"/>
          <w:szCs w:val="20"/>
          <w:color w:val="auto"/>
        </w:rPr>
      </w:pPr>
      <w:r>
        <w:rPr>
          <w:rFonts w:ascii="Arial" w:cs="Arial" w:eastAsia="Arial" w:hAnsi="Arial"/>
          <w:sz w:val="18"/>
          <w:szCs w:val="18"/>
          <w:color w:val="auto"/>
        </w:rPr>
        <w:t xml:space="preserve">(b)Reported as Other (income)/expense, net in our Consolidated Statements of Income, the accumulated other comprehensive income components are included in the computation of net periodic pension cost (see Note 4, </w:t>
      </w:r>
      <w:r>
        <w:rPr>
          <w:rFonts w:ascii="Arial" w:cs="Arial" w:eastAsia="Arial" w:hAnsi="Arial"/>
          <w:sz w:val="18"/>
          <w:szCs w:val="18"/>
          <w:i w:val="1"/>
          <w:iCs w:val="1"/>
          <w:color w:val="auto"/>
        </w:rPr>
        <w:t>Pension, Postretirement, and Other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 of the Notes to the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31, 2013, Safran S.A. (Safran) acquired a 10 percent equity interest in Albany Safran Composites, LLC ("ASC").</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April 1, 2025, Heimbach sold its 85% controlling interest in Arcari to the minority shareholder and recorded a gain of $1.6 million included in Other (Income) expense on the sale. In connection with the sale, the corresponding value of the noncontrolling interest was reduced to zero. The Company did not retain any ownership in Arcari as a result of the sale and accordingly there was no impact on operating results during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ASC Noncontrolling Interest</w:t>
            </w:r>
          </w:p>
        </w:tc>
        <w:tc>
          <w:tcPr>
            <w:tcW w:w="136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2,110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940</w:t>
            </w:r>
          </w:p>
        </w:tc>
      </w:tr>
      <w:tr>
        <w:trPr>
          <w:trHeight w:val="216"/>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427</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441</w:t>
            </w: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1,683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499</w:t>
            </w:r>
          </w:p>
        </w:tc>
      </w:tr>
      <w:tr>
        <w:trPr>
          <w:trHeight w:val="216"/>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09"/>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168</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r>
      <w:tr>
        <w:trPr>
          <w:trHeight w:val="237"/>
        </w:trPr>
        <w:tc>
          <w:tcPr>
            <w:tcW w:w="6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5,893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4,983</w:t>
            </w:r>
          </w:p>
        </w:tc>
      </w:tr>
      <w:tr>
        <w:trPr>
          <w:trHeight w:val="216"/>
        </w:trPr>
        <w:tc>
          <w:tcPr>
            <w:tcW w:w="69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b w:val="1"/>
                <w:bCs w:val="1"/>
                <w:color w:val="auto"/>
              </w:rPr>
              <w:t>168</w:t>
            </w: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50</w:t>
            </w:r>
          </w:p>
        </w:tc>
      </w:tr>
      <w:tr>
        <w:trPr>
          <w:trHeight w:val="216"/>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(47)</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(136)</w:t>
            </w:r>
          </w:p>
        </w:tc>
      </w:tr>
      <w:tr>
        <w:trPr>
          <w:trHeight w:val="20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ASC Noncontrolling interest, end of interim period</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6,014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4,897</w:t>
            </w:r>
          </w:p>
        </w:tc>
      </w:tr>
      <w:tr>
        <w:trPr>
          <w:trHeight w:val="237"/>
        </w:trPr>
        <w:tc>
          <w:tcPr>
            <w:tcW w:w="69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0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Arcari Noncontrolling interest, end of interim period</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296</w:t>
            </w:r>
          </w:p>
        </w:tc>
      </w:tr>
      <w:tr>
        <w:trPr>
          <w:trHeight w:val="237"/>
        </w:trPr>
        <w:tc>
          <w:tcPr>
            <w:tcW w:w="69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0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Noncontrolling interest, end of interim period</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6,014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5,193</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March 31, 2026 and December 31, 2025, Accounts receivable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27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230,447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221,592</w:t>
            </w: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27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b w:val="1"/>
                <w:bCs w:val="1"/>
                <w:color w:val="auto"/>
              </w:rPr>
              <w:t>15,052</w:t>
            </w:r>
          </w:p>
        </w:tc>
        <w:tc>
          <w:tcPr>
            <w:tcW w:w="18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17,844</w:t>
            </w:r>
          </w:p>
        </w:tc>
      </w:tr>
      <w:tr>
        <w:trPr>
          <w:trHeight w:val="21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27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(3,860)</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w:t>
            </w: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2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241,639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235,084</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and December 31, 2025, Contract assets and Contract liabilities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2025</w:t>
            </w: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81,528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87,573</w:t>
            </w:r>
          </w:p>
        </w:tc>
      </w:tr>
      <w:tr>
        <w:trPr>
          <w:trHeight w:val="24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27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w:t>
            </w: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r>
      <w:tr>
        <w:trPr>
          <w:trHeight w:val="209"/>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2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80,847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87,102</w:t>
            </w:r>
          </w:p>
        </w:tc>
      </w:tr>
      <w:tr>
        <w:trPr>
          <w:trHeight w:val="129"/>
        </w:trPr>
        <w:tc>
          <w:tcPr>
            <w:tcW w:w="522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09"/>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38,800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33,397</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Contract assets, net decreased $6.3 million during the three months ended March 31, 2026, primarily due to a decrease in unbilled revenue related to commercial and defense programs. There were no impairment losses related to our Contract assets during the three months ended March 31, 2026 and March 31, 2025.</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Contract liabilities increased $5.4 million for the period ended March 31, 2026 compared to December 31, 2025, primarily due to amounts invoiced to customers for contracts that were in a contract liability position exceeding the revenue recognition from satisfied performance obligations. Revenue recognized for the three months ended March 31, 2026 and 2025 that was included in the Contract liability balance at the beginning of the year was $16.1 million and $4.2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and December 31, 2025, Inventories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5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67,769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60,311</w:t>
            </w:r>
          </w:p>
        </w:tc>
      </w:tr>
      <w:tr>
        <w:trPr>
          <w:trHeight w:val="243"/>
        </w:trPr>
        <w:tc>
          <w:tcPr>
            <w:tcW w:w="44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5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54,423</w:t>
            </w:r>
          </w:p>
        </w:tc>
        <w:tc>
          <w:tcPr>
            <w:tcW w:w="180" w:type="dxa"/>
            <w:vAlign w:val="bottom"/>
          </w:tcPr>
          <w:p>
            <w:pPr>
              <w:spacing w:after="0"/>
              <w:rPr>
                <w:sz w:val="21"/>
                <w:szCs w:val="21"/>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46,952</w:t>
            </w:r>
          </w:p>
        </w:tc>
      </w:tr>
      <w:tr>
        <w:trPr>
          <w:trHeight w:val="216"/>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5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17,641</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14,326</w:t>
            </w:r>
          </w:p>
        </w:tc>
      </w:tr>
      <w:tr>
        <w:trPr>
          <w:trHeight w:val="23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139,833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121,589</w:t>
            </w: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gross carrying value, accumulated amortization and net values of intangible assets and goodwill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 and December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March 31, 2026</w:t>
            </w:r>
          </w:p>
        </w:tc>
        <w:tc>
          <w:tcPr>
            <w:tcW w:w="1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18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Gross carrying amount</w:t>
            </w:r>
          </w:p>
        </w:tc>
        <w:tc>
          <w:tcPr>
            <w:tcW w:w="2320" w:type="dxa"/>
            <w:vAlign w:val="bottom"/>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rPr>
              <w:t>Accumulated amortization and</w:t>
            </w:r>
          </w:p>
        </w:tc>
        <w:tc>
          <w:tcPr>
            <w:tcW w:w="160" w:type="dxa"/>
            <w:vAlign w:val="bottom"/>
          </w:tcPr>
          <w:p>
            <w:pPr>
              <w:spacing w:after="0"/>
              <w:rPr>
                <w:sz w:val="12"/>
                <w:szCs w:val="12"/>
                <w:color w:val="auto"/>
              </w:rPr>
            </w:pPr>
          </w:p>
        </w:tc>
        <w:tc>
          <w:tcPr>
            <w:tcW w:w="16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life in years</w:t>
            </w: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900"/>
              <w:spacing w:after="0"/>
              <w:rPr>
                <w:sz w:val="20"/>
                <w:szCs w:val="20"/>
                <w:color w:val="auto"/>
              </w:rPr>
            </w:pPr>
            <w:r>
              <w:rPr>
                <w:rFonts w:ascii="Arial" w:cs="Arial" w:eastAsia="Arial" w:hAnsi="Arial"/>
                <w:sz w:val="14"/>
                <w:szCs w:val="14"/>
                <w:b w:val="1"/>
                <w:bCs w:val="1"/>
                <w:color w:val="auto"/>
              </w:rPr>
              <w:t>other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assets: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820" w:type="dxa"/>
            <w:vAlign w:val="bottom"/>
          </w:tcPr>
          <w:p>
            <w:pPr>
              <w:jc w:val="center"/>
              <w:ind w:left="22"/>
              <w:spacing w:after="0"/>
              <w:rPr>
                <w:sz w:val="20"/>
                <w:szCs w:val="20"/>
                <w:color w:val="auto"/>
              </w:rPr>
            </w:pPr>
            <w:r>
              <w:rPr>
                <w:rFonts w:ascii="Arial" w:cs="Arial" w:eastAsia="Arial" w:hAnsi="Arial"/>
                <w:sz w:val="16"/>
                <w:szCs w:val="16"/>
                <w:color w:val="auto"/>
                <w:w w:val="99"/>
              </w:rPr>
              <w:t>6-15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840" w:type="dxa"/>
            <w:vAlign w:val="bottom"/>
          </w:tcPr>
          <w:p>
            <w:pPr>
              <w:jc w:val="right"/>
              <w:ind w:right="621"/>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82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rPr>
              <w:t>10-15</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6,406</w:t>
            </w: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(4,193)</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2,213</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820" w:type="dxa"/>
            <w:vAlign w:val="bottom"/>
          </w:tcPr>
          <w:p>
            <w:pPr>
              <w:jc w:val="center"/>
              <w:ind w:left="2"/>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(527)</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723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82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w w:val="99"/>
              </w:rPr>
              <w:t>8-15</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69,492</w:t>
            </w: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(64,532)</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4,960</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820" w:type="dxa"/>
            <w:vAlign w:val="bottom"/>
            <w:tcBorders>
              <w:bottom w:val="single" w:sz="8" w:color="CCEEFF"/>
            </w:tcBorders>
          </w:tcPr>
          <w:p>
            <w:pPr>
              <w:jc w:val="center"/>
              <w:ind w:left="2"/>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8,813</w:t>
            </w:r>
          </w:p>
        </w:tc>
        <w:tc>
          <w:tcPr>
            <w:tcW w:w="8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(2,592)</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6,221</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 intangible assets</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86,169</w:t>
            </w:r>
          </w:p>
        </w:tc>
        <w:tc>
          <w:tcPr>
            <w:tcW w:w="84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(72,052)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14,117</w:t>
            </w: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6,326</w:t>
            </w:r>
          </w:p>
        </w:tc>
        <w:tc>
          <w:tcPr>
            <w:tcW w:w="840" w:type="dxa"/>
            <w:vAlign w:val="bottom"/>
          </w:tcPr>
          <w:p>
            <w:pPr>
              <w:jc w:val="right"/>
              <w:ind w:right="621"/>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6,326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68,895</w:t>
            </w: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68,895</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AEC Goodwill</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114,053</w:t>
            </w:r>
          </w:p>
        </w:tc>
        <w:tc>
          <w:tcPr>
            <w:tcW w:w="8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(21,829)</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92,224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Indefinite-lived intangible assets:</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189,274</w:t>
            </w:r>
          </w:p>
        </w:tc>
        <w:tc>
          <w:tcPr>
            <w:tcW w:w="84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167,445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December 31, 2025</w:t>
            </w:r>
          </w:p>
        </w:tc>
        <w:tc>
          <w:tcPr>
            <w:tcW w:w="1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18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Gross carrying amount</w:t>
            </w:r>
          </w:p>
        </w:tc>
        <w:tc>
          <w:tcPr>
            <w:tcW w:w="2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Accumulated amortization and</w:t>
            </w:r>
          </w:p>
        </w:tc>
        <w:tc>
          <w:tcPr>
            <w:tcW w:w="160" w:type="dxa"/>
            <w:vAlign w:val="bottom"/>
          </w:tcPr>
          <w:p>
            <w:pPr>
              <w:spacing w:after="0"/>
              <w:rPr>
                <w:sz w:val="12"/>
                <w:szCs w:val="12"/>
                <w:color w:val="auto"/>
              </w:rPr>
            </w:pPr>
          </w:p>
        </w:tc>
        <w:tc>
          <w:tcPr>
            <w:tcW w:w="16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324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life in years</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other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800" w:type="dxa"/>
            <w:vAlign w:val="bottom"/>
          </w:tcPr>
          <w:p>
            <w:pPr>
              <w:jc w:val="center"/>
              <w:ind w:left="2"/>
              <w:spacing w:after="0"/>
              <w:rPr>
                <w:sz w:val="20"/>
                <w:szCs w:val="20"/>
                <w:color w:val="auto"/>
              </w:rPr>
            </w:pPr>
            <w:r>
              <w:rPr>
                <w:rFonts w:ascii="Arial" w:cs="Arial" w:eastAsia="Arial" w:hAnsi="Arial"/>
                <w:sz w:val="16"/>
                <w:szCs w:val="16"/>
                <w:color w:val="auto"/>
                <w:w w:val="99"/>
              </w:rPr>
              <w:t>6-15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208</w:t>
            </w:r>
          </w:p>
        </w:tc>
        <w:tc>
          <w:tcPr>
            <w:tcW w:w="92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80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rPr>
              <w:t>10-15</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1,250</w:t>
            </w: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(505)</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80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99"/>
              </w:rPr>
              <w:t>8-15</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69,560</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(64,331)</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800" w:type="dxa"/>
            <w:vAlign w:val="bottom"/>
            <w:tcBorders>
              <w:bottom w:val="single" w:sz="8" w:color="CCEEFF"/>
            </w:tcBorders>
          </w:tcPr>
          <w:p>
            <w:pPr>
              <w:jc w:val="center"/>
              <w:ind w:left="22"/>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9,291</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 assets</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86,839</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14,972</w:t>
            </w: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6,456</w:t>
            </w:r>
          </w:p>
        </w:tc>
        <w:tc>
          <w:tcPr>
            <w:tcW w:w="92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6,456</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69,911</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69,911</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AEC Goodwill</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114,428</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(21,832)</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92,596</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Indefinite-lived intangible assets:</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190,795</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intangible assets, net and goodwill from December 31, 2025 to March 31, 2026,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4"/>
                <w:szCs w:val="14"/>
                <w:b w:val="1"/>
                <w:bCs w:val="1"/>
                <w:color w:val="auto"/>
              </w:rPr>
              <w:t>December 31, 2025</w:t>
            </w:r>
          </w:p>
        </w:tc>
        <w:tc>
          <w:tcPr>
            <w:tcW w:w="1280" w:type="dxa"/>
            <w:vAlign w:val="bottom"/>
            <w:tcBorders>
              <w:top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Other</w:t>
            </w:r>
          </w:p>
        </w:tc>
        <w:tc>
          <w:tcPr>
            <w:tcW w:w="5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Currency</w:t>
            </w:r>
          </w:p>
        </w:tc>
        <w:tc>
          <w:tcPr>
            <w:tcW w:w="2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vMerge w:val="restart"/>
          </w:tcPr>
          <w:p>
            <w:pPr>
              <w:jc w:val="right"/>
              <w:ind w:right="300"/>
              <w:spacing w:after="0"/>
              <w:rPr>
                <w:sz w:val="20"/>
                <w:szCs w:val="20"/>
                <w:color w:val="auto"/>
              </w:rPr>
            </w:pPr>
            <w:r>
              <w:rPr>
                <w:rFonts w:ascii="Arial" w:cs="Arial" w:eastAsia="Arial" w:hAnsi="Arial"/>
                <w:sz w:val="14"/>
                <w:szCs w:val="14"/>
                <w:b w:val="1"/>
                <w:bCs w:val="1"/>
                <w:color w:val="auto"/>
              </w:rPr>
              <w:t>March 31, 2026</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Changes</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780" w:type="dxa"/>
            <w:vAlign w:val="bottom"/>
            <w:gridSpan w:val="2"/>
          </w:tcPr>
          <w:p>
            <w:pPr>
              <w:jc w:val="right"/>
              <w:ind w:right="1063"/>
              <w:spacing w:after="0"/>
              <w:rPr>
                <w:sz w:val="20"/>
                <w:szCs w:val="20"/>
                <w:color w:val="auto"/>
              </w:rPr>
            </w:pPr>
            <w:r>
              <w:rPr>
                <w:rFonts w:ascii="Arial" w:cs="Arial" w:eastAsia="Arial" w:hAnsi="Arial"/>
                <w:sz w:val="16"/>
                <w:szCs w:val="16"/>
                <w:b w:val="1"/>
                <w:bCs w:val="1"/>
                <w:color w:val="auto"/>
              </w:rPr>
              <w:t>— $</w:t>
            </w:r>
          </w:p>
        </w:tc>
        <w:tc>
          <w:tcPr>
            <w:tcW w:w="540" w:type="dxa"/>
            <w:vAlign w:val="bottom"/>
          </w:tcPr>
          <w:p>
            <w:pPr>
              <w:ind w:left="120"/>
              <w:spacing w:after="0"/>
              <w:rPr>
                <w:sz w:val="20"/>
                <w:szCs w:val="20"/>
                <w:color w:val="auto"/>
              </w:rPr>
            </w:pPr>
            <w:r>
              <w:rPr>
                <w:rFonts w:ascii="Arial" w:cs="Arial" w:eastAsia="Arial" w:hAnsi="Arial"/>
                <w:sz w:val="16"/>
                <w:szCs w:val="16"/>
                <w:b w:val="1"/>
                <w:bCs w:val="1"/>
                <w:color w:val="auto"/>
              </w:rPr>
              <w:t>— $</w:t>
            </w:r>
          </w:p>
        </w:tc>
        <w:tc>
          <w:tcPr>
            <w:tcW w:w="1420" w:type="dxa"/>
            <w:vAlign w:val="bottom"/>
            <w:gridSpan w:val="2"/>
          </w:tcPr>
          <w:p>
            <w:pPr>
              <w:ind w:left="960"/>
              <w:spacing w:after="0"/>
              <w:rPr>
                <w:sz w:val="20"/>
                <w:szCs w:val="20"/>
                <w:color w:val="auto"/>
              </w:rPr>
            </w:pPr>
            <w:r>
              <w:rPr>
                <w:rFonts w:ascii="Arial" w:cs="Arial" w:eastAsia="Arial" w:hAnsi="Arial"/>
                <w:sz w:val="16"/>
                <w:szCs w:val="16"/>
                <w:b w:val="1"/>
                <w:bCs w:val="1"/>
                <w:color w:val="auto"/>
              </w:rPr>
              <w:t>— $</w:t>
            </w:r>
          </w:p>
        </w:tc>
        <w:tc>
          <w:tcPr>
            <w:tcW w:w="15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 $</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2,416</w:t>
            </w: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2,213</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5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745</w:t>
            </w:r>
          </w:p>
        </w:tc>
        <w:tc>
          <w:tcPr>
            <w:tcW w:w="1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723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5,229</w:t>
            </w: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4,960</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6,582</w:t>
            </w:r>
          </w:p>
        </w:tc>
        <w:tc>
          <w:tcPr>
            <w:tcW w:w="1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6,221</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Finite-lived intangible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14,972</w:t>
            </w:r>
          </w:p>
        </w:tc>
        <w:tc>
          <w:tcPr>
            <w:tcW w:w="1280" w:type="dxa"/>
            <w:vAlign w:val="bottom"/>
            <w:tcBorders>
              <w:bottom w:val="single" w:sz="8" w:color="auto"/>
            </w:tcBorders>
            <w:shd w:val="clear" w:color="auto" w:fill="CCEEFF"/>
          </w:tcPr>
          <w:p>
            <w:pPr>
              <w:jc w:val="right"/>
              <w:ind w:right="1063"/>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14,117</w:t>
            </w: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6,456</w:t>
            </w:r>
          </w:p>
        </w:tc>
        <w:tc>
          <w:tcPr>
            <w:tcW w:w="1280" w:type="dxa"/>
            <w:vAlign w:val="bottom"/>
          </w:tcPr>
          <w:p>
            <w:pPr>
              <w:jc w:val="right"/>
              <w:ind w:right="1063"/>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ind w:left="120"/>
              <w:spacing w:after="0"/>
              <w:rPr>
                <w:sz w:val="20"/>
                <w:szCs w:val="20"/>
                <w:color w:val="auto"/>
              </w:rPr>
            </w:pPr>
            <w:r>
              <w:rPr>
                <w:rFonts w:ascii="Arial" w:cs="Arial" w:eastAsia="Arial" w:hAnsi="Arial"/>
                <w:sz w:val="16"/>
                <w:szCs w:val="16"/>
                <w:b w:val="1"/>
                <w:bCs w:val="1"/>
                <w:color w:val="auto"/>
              </w:rPr>
              <w:t>— $</w:t>
            </w:r>
          </w:p>
        </w:tc>
        <w:tc>
          <w:tcPr>
            <w:tcW w:w="1420" w:type="dxa"/>
            <w:vAlign w:val="bottom"/>
            <w:gridSpan w:val="2"/>
          </w:tcPr>
          <w:p>
            <w:pPr>
              <w:ind w:left="960"/>
              <w:spacing w:after="0"/>
              <w:rPr>
                <w:sz w:val="20"/>
                <w:szCs w:val="20"/>
                <w:color w:val="auto"/>
              </w:rPr>
            </w:pPr>
            <w:r>
              <w:rPr>
                <w:rFonts w:ascii="Arial" w:cs="Arial" w:eastAsia="Arial" w:hAnsi="Arial"/>
                <w:sz w:val="16"/>
                <w:szCs w:val="16"/>
                <w:b w:val="1"/>
                <w:bCs w:val="1"/>
                <w:color w:val="auto"/>
              </w:rPr>
              <w:t>— $</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6,326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69,911</w:t>
            </w: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(1,016)</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68,895</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AEC Goodwill</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92,596</w:t>
            </w:r>
          </w:p>
        </w:tc>
        <w:tc>
          <w:tcPr>
            <w:tcW w:w="1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92,224</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Indefinite-lived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168,963</w:t>
            </w:r>
          </w:p>
        </w:tc>
        <w:tc>
          <w:tcPr>
            <w:tcW w:w="1280" w:type="dxa"/>
            <w:vAlign w:val="bottom"/>
            <w:tcBorders>
              <w:bottom w:val="single" w:sz="8" w:color="auto"/>
            </w:tcBorders>
            <w:shd w:val="clear" w:color="auto" w:fill="CCEEFF"/>
          </w:tcPr>
          <w:p>
            <w:pPr>
              <w:jc w:val="right"/>
              <w:ind w:right="1063"/>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 $</w:t>
            </w:r>
          </w:p>
        </w:tc>
        <w:tc>
          <w:tcPr>
            <w:tcW w:w="142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b w:val="1"/>
                <w:bCs w:val="1"/>
                <w:color w:val="auto"/>
              </w:rPr>
              <w:t>— $</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(1,518)</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167,445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Company's outstanding debt: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2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December 31, 2025</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the Amended Credit Agreement</w:t>
            </w:r>
          </w:p>
        </w:tc>
        <w:tc>
          <w:tcPr>
            <w:tcW w:w="2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color w:val="auto"/>
              </w:rPr>
              <w:t>USD borrowings</w:t>
            </w:r>
          </w:p>
        </w:tc>
        <w:tc>
          <w:tcPr>
            <w:tcW w:w="22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373,000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350,000</w:t>
            </w:r>
          </w:p>
        </w:tc>
      </w:tr>
      <w:tr>
        <w:trPr>
          <w:trHeight w:val="21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EUR borrowings</w:t>
            </w:r>
          </w:p>
        </w:tc>
        <w:tc>
          <w:tcPr>
            <w:tcW w:w="2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103,541</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105,663</w:t>
            </w: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color w:val="auto"/>
              </w:rPr>
              <w:t>Total bank debt</w:t>
            </w:r>
          </w:p>
        </w:tc>
        <w:tc>
          <w:tcPr>
            <w:tcW w:w="2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476,541</w:t>
            </w:r>
          </w:p>
        </w:tc>
        <w:tc>
          <w:tcPr>
            <w:tcW w:w="2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455,663</w:t>
            </w:r>
          </w:p>
        </w:tc>
      </w:tr>
      <w:tr>
        <w:trPr>
          <w:trHeight w:val="21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maturities of long-term debt</w:t>
            </w:r>
          </w:p>
        </w:tc>
        <w:tc>
          <w:tcPr>
            <w:tcW w:w="2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476,541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455,663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August 16, 2023, we entered into a $800 million unsecured committed Five-Year Revolving Credit Facility Agreement, amended on June 28, 2024 (collectively, the “Amended Credit Agreement”), which matures in August of 2028.</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applicable interest rate for borrowings under the Amended Credit Agreement is based on both Term SOFR and EURIBOR plus a spread, which is based on our leverage ratio (as defined in the Amended Credit Agreement) at the time of a borrowing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2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rPr>
              <w:t>Leverage Ratio</w:t>
            </w:r>
          </w:p>
        </w:tc>
        <w:tc>
          <w:tcPr>
            <w:tcW w:w="2680" w:type="dxa"/>
            <w:vAlign w:val="bottom"/>
            <w:tcBorders>
              <w:top w:val="single" w:sz="8" w:color="auto"/>
            </w:tcBorders>
            <w:vMerge w:val="restart"/>
          </w:tcPr>
          <w:p>
            <w:pPr>
              <w:jc w:val="center"/>
              <w:ind w:right="201"/>
              <w:spacing w:after="0"/>
              <w:rPr>
                <w:sz w:val="20"/>
                <w:szCs w:val="20"/>
                <w:color w:val="auto"/>
              </w:rPr>
            </w:pPr>
            <w:r>
              <w:rPr>
                <w:rFonts w:ascii="Arial" w:cs="Arial" w:eastAsia="Arial" w:hAnsi="Arial"/>
                <w:sz w:val="14"/>
                <w:szCs w:val="14"/>
                <w:b w:val="1"/>
                <w:bCs w:val="1"/>
                <w:color w:val="auto"/>
              </w:rPr>
              <w:t>Commitment Fee</w:t>
            </w:r>
          </w:p>
        </w:tc>
        <w:tc>
          <w:tcPr>
            <w:tcW w:w="2540" w:type="dxa"/>
            <w:vAlign w:val="bottom"/>
            <w:tcBorders>
              <w:top w:val="single" w:sz="8" w:color="auto"/>
            </w:tcBorders>
            <w:vMerge w:val="restart"/>
          </w:tcPr>
          <w:p>
            <w:pPr>
              <w:jc w:val="center"/>
              <w:ind w:left="21"/>
              <w:spacing w:after="0"/>
              <w:rPr>
                <w:sz w:val="20"/>
                <w:szCs w:val="20"/>
                <w:color w:val="auto"/>
              </w:rPr>
            </w:pPr>
            <w:r>
              <w:rPr>
                <w:rFonts w:ascii="Arial" w:cs="Arial" w:eastAsia="Arial" w:hAnsi="Arial"/>
                <w:sz w:val="14"/>
                <w:szCs w:val="14"/>
                <w:b w:val="1"/>
                <w:bCs w:val="1"/>
                <w:color w:val="auto"/>
              </w:rPr>
              <w:t>ABR Spread</w:t>
            </w:r>
          </w:p>
        </w:tc>
        <w:tc>
          <w:tcPr>
            <w:tcW w:w="3000" w:type="dxa"/>
            <w:vAlign w:val="bottom"/>
            <w:tcBorders>
              <w:top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Term Benchmark/ Daily</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Simple SOFR Spread</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rPr>
              <w:t>&lt;1.00:1.00</w:t>
            </w:r>
          </w:p>
        </w:tc>
        <w:tc>
          <w:tcPr>
            <w:tcW w:w="26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rPr>
              <w:t>0.275%</w:t>
            </w:r>
          </w:p>
        </w:tc>
        <w:tc>
          <w:tcPr>
            <w:tcW w:w="254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99"/>
              </w:rPr>
              <w:t>0.500%</w:t>
            </w:r>
          </w:p>
        </w:tc>
        <w:tc>
          <w:tcPr>
            <w:tcW w:w="300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5"/>
        </w:trPr>
        <w:tc>
          <w:tcPr>
            <w:tcW w:w="3020" w:type="dxa"/>
            <w:vAlign w:val="bottom"/>
          </w:tcPr>
          <w:p>
            <w:pPr>
              <w:jc w:val="center"/>
              <w:ind w:right="121"/>
              <w:spacing w:after="0"/>
              <w:rPr>
                <w:sz w:val="20"/>
                <w:szCs w:val="20"/>
                <w:color w:val="auto"/>
              </w:rPr>
            </w:pPr>
            <w:r>
              <w:rPr>
                <w:rFonts w:ascii="Arial" w:cs="Arial" w:eastAsia="Arial" w:hAnsi="Arial"/>
                <w:sz w:val="16"/>
                <w:szCs w:val="16"/>
                <w:color w:val="auto"/>
              </w:rPr>
              <w:t>≥ 1.00:1.00 and &lt; 2.00:1.00</w:t>
            </w:r>
          </w:p>
        </w:tc>
        <w:tc>
          <w:tcPr>
            <w:tcW w:w="2680" w:type="dxa"/>
            <w:vAlign w:val="bottom"/>
          </w:tcPr>
          <w:p>
            <w:pPr>
              <w:jc w:val="center"/>
              <w:ind w:right="201"/>
              <w:spacing w:after="0"/>
              <w:rPr>
                <w:sz w:val="20"/>
                <w:szCs w:val="20"/>
                <w:color w:val="auto"/>
              </w:rPr>
            </w:pPr>
            <w:r>
              <w:rPr>
                <w:rFonts w:ascii="Arial" w:cs="Arial" w:eastAsia="Arial" w:hAnsi="Arial"/>
                <w:sz w:val="16"/>
                <w:szCs w:val="16"/>
                <w:color w:val="auto"/>
              </w:rPr>
              <w:t>0.300%</w:t>
            </w:r>
          </w:p>
        </w:tc>
        <w:tc>
          <w:tcPr>
            <w:tcW w:w="2540" w:type="dxa"/>
            <w:vAlign w:val="bottom"/>
          </w:tcPr>
          <w:p>
            <w:pPr>
              <w:jc w:val="center"/>
              <w:ind w:left="41"/>
              <w:spacing w:after="0"/>
              <w:rPr>
                <w:sz w:val="20"/>
                <w:szCs w:val="20"/>
                <w:color w:val="auto"/>
              </w:rPr>
            </w:pPr>
            <w:r>
              <w:rPr>
                <w:rFonts w:ascii="Arial" w:cs="Arial" w:eastAsia="Arial" w:hAnsi="Arial"/>
                <w:sz w:val="16"/>
                <w:szCs w:val="16"/>
                <w:color w:val="auto"/>
                <w:w w:val="99"/>
              </w:rPr>
              <w:t>0.625%</w:t>
            </w:r>
          </w:p>
        </w:tc>
        <w:tc>
          <w:tcPr>
            <w:tcW w:w="3000" w:type="dxa"/>
            <w:vAlign w:val="bottom"/>
          </w:tcPr>
          <w:p>
            <w:pPr>
              <w:jc w:val="center"/>
              <w:ind w:left="122"/>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rPr>
              <w:t>≥ 2.00:1.00 and &lt; 3.00:1.00</w:t>
            </w:r>
          </w:p>
        </w:tc>
        <w:tc>
          <w:tcPr>
            <w:tcW w:w="26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rPr>
              <w:t>0.325%</w:t>
            </w:r>
          </w:p>
        </w:tc>
        <w:tc>
          <w:tcPr>
            <w:tcW w:w="254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99"/>
              </w:rPr>
              <w:t>0.750%</w:t>
            </w:r>
          </w:p>
        </w:tc>
        <w:tc>
          <w:tcPr>
            <w:tcW w:w="300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5"/>
        </w:trPr>
        <w:tc>
          <w:tcPr>
            <w:tcW w:w="302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color w:val="auto"/>
              </w:rPr>
              <w:t>≥ 3.00:1.00</w:t>
            </w:r>
          </w:p>
        </w:tc>
        <w:tc>
          <w:tcPr>
            <w:tcW w:w="268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color w:val="auto"/>
              </w:rPr>
              <w:t>0.350%</w:t>
            </w:r>
          </w:p>
        </w:tc>
        <w:tc>
          <w:tcPr>
            <w:tcW w:w="254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w w:val="99"/>
              </w:rPr>
              <w:t>1.000%</w:t>
            </w:r>
          </w:p>
        </w:tc>
        <w:tc>
          <w:tcPr>
            <w:tcW w:w="3000" w:type="dxa"/>
            <w:vAlign w:val="bottom"/>
            <w:tcBorders>
              <w:bottom w:val="single" w:sz="8" w:color="auto"/>
            </w:tcBorders>
          </w:tcPr>
          <w:p>
            <w:pPr>
              <w:jc w:val="center"/>
              <w:ind w:left="122"/>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the applicable interest rate for borrowings under the Amended Credit Agreement was based on one-month term SOFR and one-month EURIBOR plus the spread, which was 1.625%.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2026, there was $ 476.5 million of borrowings outstanding under the Amended Credit Agreement and we had borrowings available of $323.5 million, based on our maximum leverage ratio and our Consolidated EBITDA (as defined in the Amended Credit Agreement).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2026 and December 31, 2025, the USD interest rate in effect was 5.50% and 5.56%, respectively, including the effect of interest rate swaps; at the end of March 31, 2026 and December 31, 2025, the EUR interest rate in effect was 3.73% and 3.73%, respectively, including the effect of interest rate swaps.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 If our leverage ratio exceeds 3.50 to 1.00, we will be restricted in paying dividends to a maximum amount of $40 million in a calendar year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2026, our leverage ratio was 1.83 to 1.00 and our interest coverage ratio was 7.66 to 1.00. As of March 31, 2026, we were in compliance with all applicable covenants. We anticipate continued compliance in each of the next four quarters while continuing to monitor future compliance based on current and future economic conditions.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the Company enters into interest rate swap contracts to manage the interest rate risk associated with its outstanding variable-interest rate borrowings. Such contracts are intended to economically hedge the reference rate component of future interest payments associated with outstanding borrowings under the Company’s Amended Credit Agreement.</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November, 2024, we entered into two interest rate swap agreements: A USD interest rate swap agreement and a EUR interest rate swap agreement. The USD interest rate swap agreement covers the period November 15, 2024 through November 15, 2026. This transaction has the effect of fixing the SOFR portion of the interest rate (before the credit spread) on $125 million of the US indebtedness drawn under the Amended Credit Facility. Under the terms of this transaction, the Company pays a fixed rate of 3.987% and our counterparty pays a floating rate based on the one-month SOFR rate at each monthly calculation date. The EUR interest rate swap agreement covers the period November 14, 2024 through November 15, 2026. This transaction has the effect of fixing the EURIBOR portion of the interest rate (before the credit spread) on EUR 45 million of the EUR indebtedness drawn under the Amended Credit Facility. Under the terms of this transaction, the Company pays a fixed rate of 2.277% and our counterparty pays a floating rate based on the one-month EURIBOR rate at each monthly calculation date.</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These interest rate swaps are accounted for as a hedge of future cash flows, as further described in </w:t>
      </w:r>
      <w:r>
        <w:rPr>
          <w:rFonts w:ascii="Arial" w:cs="Arial" w:eastAsia="Arial" w:hAnsi="Arial"/>
          <w:sz w:val="18"/>
          <w:szCs w:val="18"/>
          <w:i w:val="1"/>
          <w:iCs w:val="1"/>
          <w:color w:val="auto"/>
        </w:rPr>
        <w:t>Note 16, Fair-Value Measurements</w:t>
      </w:r>
      <w:r>
        <w:rPr>
          <w:rFonts w:ascii="Arial" w:cs="Arial" w:eastAsia="Arial" w:hAnsi="Arial"/>
          <w:sz w:val="18"/>
          <w:szCs w:val="18"/>
          <w:color w:val="auto"/>
        </w:rPr>
        <w:t>. No cash collateral was received or pledged in relation to the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in markets that are not active or other inputs that are observable or can be corroborated by observable market data.</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had no Level 3 financial assets or liabilities at March 31, 2026 or at December 31, 2025, other than certain pension assets as indicated in our December 31, 2025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Debt is carried at cost, which approximates fair value.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top w:val="single" w:sz="8" w:color="auto"/>
            </w:tcBorders>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1101"/>
              <w:spacing w:after="0"/>
              <w:rPr>
                <w:sz w:val="20"/>
                <w:szCs w:val="20"/>
                <w:color w:val="auto"/>
              </w:rPr>
            </w:pPr>
            <w:r>
              <w:rPr>
                <w:rFonts w:ascii="Arial" w:cs="Arial" w:eastAsia="Arial" w:hAnsi="Arial"/>
                <w:sz w:val="14"/>
                <w:szCs w:val="14"/>
                <w:b w:val="1"/>
                <w:bCs w:val="1"/>
                <w:color w:val="auto"/>
              </w:rPr>
              <w:t>March 31, 2026</w:t>
            </w:r>
          </w:p>
        </w:tc>
        <w:tc>
          <w:tcPr>
            <w:tcW w:w="2500" w:type="dxa"/>
            <w:vAlign w:val="bottom"/>
            <w:tcBorders>
              <w:top w:val="single" w:sz="8" w:color="auto"/>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December 31, 2025</w:t>
            </w:r>
          </w:p>
        </w:tc>
      </w:tr>
      <w:tr>
        <w:trPr>
          <w:trHeight w:val="188"/>
        </w:trPr>
        <w:tc>
          <w:tcPr>
            <w:tcW w:w="6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6"/>
                <w:szCs w:val="16"/>
                <w:color w:val="auto"/>
              </w:rPr>
            </w:pPr>
          </w:p>
        </w:tc>
        <w:tc>
          <w:tcPr>
            <w:tcW w:w="1440" w:type="dxa"/>
            <w:vAlign w:val="bottom"/>
          </w:tcPr>
          <w:p>
            <w:pPr>
              <w:jc w:val="center"/>
              <w:ind w:right="461"/>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6"/>
                <w:szCs w:val="16"/>
                <w:color w:val="auto"/>
              </w:rPr>
            </w:pPr>
          </w:p>
        </w:tc>
        <w:tc>
          <w:tcPr>
            <w:tcW w:w="1120" w:type="dxa"/>
            <w:vAlign w:val="bottom"/>
          </w:tcPr>
          <w:p>
            <w:pPr>
              <w:jc w:val="center"/>
              <w:ind w:right="122"/>
              <w:spacing w:after="0"/>
              <w:rPr>
                <w:sz w:val="20"/>
                <w:szCs w:val="20"/>
                <w:color w:val="auto"/>
              </w:rPr>
            </w:pPr>
            <w:r>
              <w:rPr>
                <w:rFonts w:ascii="Arial" w:cs="Arial" w:eastAsia="Arial" w:hAnsi="Arial"/>
                <w:sz w:val="14"/>
                <w:szCs w:val="14"/>
                <w:b w:val="1"/>
                <w:bCs w:val="1"/>
                <w:color w:val="auto"/>
              </w:rPr>
              <w:t>Significant</w:t>
            </w:r>
          </w:p>
        </w:tc>
      </w:tr>
      <w:tr>
        <w:trPr>
          <w:trHeight w:val="175"/>
        </w:trPr>
        <w:tc>
          <w:tcPr>
            <w:tcW w:w="6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120" w:type="dxa"/>
            <w:vAlign w:val="bottom"/>
          </w:tcPr>
          <w:p>
            <w:pPr>
              <w:jc w:val="center"/>
              <w:ind w:right="122"/>
              <w:spacing w:after="0"/>
              <w:rPr>
                <w:sz w:val="20"/>
                <w:szCs w:val="20"/>
                <w:color w:val="auto"/>
              </w:rPr>
            </w:pPr>
            <w:r>
              <w:rPr>
                <w:rFonts w:ascii="Arial" w:cs="Arial" w:eastAsia="Arial" w:hAnsi="Arial"/>
                <w:sz w:val="14"/>
                <w:szCs w:val="14"/>
                <w:b w:val="1"/>
                <w:bCs w:val="1"/>
                <w:color w:val="auto"/>
              </w:rPr>
              <w:t>other</w:t>
            </w:r>
          </w:p>
        </w:tc>
      </w:tr>
      <w:tr>
        <w:trPr>
          <w:trHeight w:val="162"/>
        </w:trPr>
        <w:tc>
          <w:tcPr>
            <w:tcW w:w="6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20" w:type="dxa"/>
            <w:vAlign w:val="bottom"/>
          </w:tcPr>
          <w:p>
            <w:pPr>
              <w:jc w:val="center"/>
              <w:ind w:right="122"/>
              <w:spacing w:after="0"/>
              <w:rPr>
                <w:sz w:val="20"/>
                <w:szCs w:val="20"/>
                <w:color w:val="auto"/>
              </w:rPr>
            </w:pPr>
            <w:r>
              <w:rPr>
                <w:rFonts w:ascii="Arial" w:cs="Arial" w:eastAsia="Arial" w:hAnsi="Arial"/>
                <w:sz w:val="14"/>
                <w:szCs w:val="14"/>
                <w:b w:val="1"/>
                <w:bCs w:val="1"/>
                <w:color w:val="auto"/>
              </w:rPr>
              <w:t>observable</w:t>
            </w:r>
          </w:p>
        </w:tc>
      </w:tr>
      <w:tr>
        <w:trPr>
          <w:trHeight w:val="196"/>
        </w:trPr>
        <w:tc>
          <w:tcPr>
            <w:tcW w:w="6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20" w:type="dxa"/>
            <w:vAlign w:val="bottom"/>
          </w:tcPr>
          <w:p>
            <w:pPr>
              <w:jc w:val="center"/>
              <w:ind w:right="122"/>
              <w:spacing w:after="0"/>
              <w:rPr>
                <w:sz w:val="20"/>
                <w:szCs w:val="20"/>
                <w:color w:val="auto"/>
              </w:rPr>
            </w:pPr>
            <w:r>
              <w:rPr>
                <w:rFonts w:ascii="Arial" w:cs="Arial" w:eastAsia="Arial" w:hAnsi="Arial"/>
                <w:sz w:val="14"/>
                <w:szCs w:val="14"/>
                <w:b w:val="1"/>
                <w:bCs w:val="1"/>
                <w:color w:val="auto"/>
              </w:rPr>
              <w:t>inputs</w:t>
            </w:r>
          </w:p>
        </w:tc>
      </w:tr>
      <w:tr>
        <w:trPr>
          <w:trHeight w:val="239"/>
        </w:trPr>
        <w:tc>
          <w:tcPr>
            <w:tcW w:w="5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(Level 2)</w:t>
            </w: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0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10,233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10,584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22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44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3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5680" w:type="dxa"/>
            <w:vAlign w:val="bottom"/>
            <w:gridSpan w:val="2"/>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1,355</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1,098</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768</w:t>
            </w:r>
          </w:p>
        </w:tc>
      </w:tr>
      <w:tr>
        <w:trPr>
          <w:trHeight w:val="217"/>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22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40" w:type="dxa"/>
            <w:vAlign w:val="bottom"/>
          </w:tcPr>
          <w:p>
            <w:pPr>
              <w:jc w:val="right"/>
              <w:ind w:right="321"/>
              <w:spacing w:after="0"/>
              <w:rPr>
                <w:sz w:val="20"/>
                <w:szCs w:val="20"/>
                <w:color w:val="auto"/>
              </w:rPr>
            </w:pPr>
            <w:r>
              <w:rPr>
                <w:rFonts w:ascii="Arial" w:cs="Arial" w:eastAsia="Arial" w:hAnsi="Arial"/>
                <w:sz w:val="16"/>
                <w:szCs w:val="16"/>
                <w:b w:val="1"/>
                <w:bCs w:val="1"/>
                <w:color w:val="auto"/>
              </w:rPr>
              <w:t>249</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Other noncurrent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Foreign currency forward contracts</w:t>
            </w:r>
          </w:p>
        </w:tc>
        <w:tc>
          <w:tcPr>
            <w:tcW w:w="22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rPr>
              <w:t>(241)</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95"/>
        </w:trPr>
        <w:tc>
          <w:tcPr>
            <w:tcW w:w="600" w:type="dxa"/>
            <w:vAlign w:val="bottom"/>
          </w:tcPr>
          <w:p>
            <w:pPr>
              <w:spacing w:after="0"/>
              <w:rPr>
                <w:sz w:val="20"/>
                <w:szCs w:val="20"/>
                <w:color w:val="auto"/>
              </w:rPr>
            </w:pPr>
            <w:r>
              <w:rPr>
                <w:rFonts w:ascii="Arial" w:cs="Arial" w:eastAsia="Arial" w:hAnsi="Arial"/>
                <w:sz w:val="16"/>
                <w:szCs w:val="16"/>
                <w:color w:val="auto"/>
              </w:rPr>
              <w:t>(a)</w:t>
            </w:r>
          </w:p>
        </w:tc>
        <w:tc>
          <w:tcPr>
            <w:tcW w:w="5080" w:type="dxa"/>
            <w:vAlign w:val="bottom"/>
          </w:tcPr>
          <w:p>
            <w:pPr>
              <w:ind w:left="60"/>
              <w:spacing w:after="0"/>
              <w:rPr>
                <w:sz w:val="20"/>
                <w:szCs w:val="20"/>
                <w:color w:val="auto"/>
              </w:rPr>
            </w:pPr>
            <w:r>
              <w:rPr>
                <w:rFonts w:ascii="Arial" w:cs="Arial" w:eastAsia="Arial" w:hAnsi="Arial"/>
                <w:sz w:val="16"/>
                <w:szCs w:val="16"/>
                <w:color w:val="auto"/>
              </w:rPr>
              <w:t>Original cost basis $0.5 million.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Unrealized gains and losses on the interest rate swaps are recorded as a component of Derivative valuation adjustment in the Shareholders’ equity section of the Consolidated Balance Sheets. As of March 31, 2026, these interest rate swaps were determined to be highly effective hedges of interest rate cashflow risk. Amounts accumulated in Other comprehensive income are reclassified as interest expense/(income), net when the related interest payments (that is, the hedged forecasted transactions), affect earnings. Interest expense/(income) related to payments under the active swap agreements totaled $(0.1) million for the three months ended March 31, 2026 and $(0.2) million for the three months ended March 31,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From time to time, we enter into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Accrued liabilities, as applicable. Changes in fair value of these instruments are recorded as gains or losses within Other (income)/expense, net.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4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7"/>
                <w:szCs w:val="17"/>
                <w:color w:val="auto"/>
              </w:rPr>
            </w:pPr>
          </w:p>
        </w:tc>
      </w:tr>
      <w:tr>
        <w:trPr>
          <w:trHeight w:val="204"/>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3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3160" w:type="dxa"/>
            <w:vAlign w:val="bottom"/>
            <w:tcBorders>
              <w:bottom w:val="single" w:sz="8" w:color="auto"/>
            </w:tcBorders>
          </w:tcPr>
          <w:p>
            <w:pPr>
              <w:jc w:val="right"/>
              <w:ind w:right="865"/>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w:t>
            </w:r>
          </w:p>
        </w:tc>
        <w:tc>
          <w:tcPr>
            <w:tcW w:w="110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w:t>
            </w:r>
          </w:p>
        </w:tc>
      </w:tr>
    </w:tbl>
    <w:p>
      <w:pPr>
        <w:spacing w:after="0" w:line="375" w:lineRule="exact"/>
        <w:rPr>
          <w:sz w:val="20"/>
          <w:szCs w:val="20"/>
          <w:color w:val="auto"/>
        </w:rPr>
      </w:pPr>
    </w:p>
    <w:p>
      <w:pPr>
        <w:ind w:right="8080" w:firstLine="8"/>
        <w:spacing w:after="0" w:line="374" w:lineRule="auto"/>
        <w:tabs>
          <w:tab w:leader="none" w:pos="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3,682 claims as of March 31, 2026.</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Pr>
          <w:p>
            <w:pPr>
              <w:jc w:val="center"/>
              <w:ind w:right="185"/>
              <w:spacing w:after="0"/>
              <w:rPr>
                <w:sz w:val="20"/>
                <w:szCs w:val="20"/>
                <w:color w:val="auto"/>
              </w:rPr>
            </w:pPr>
            <w:r>
              <w:rPr>
                <w:rFonts w:ascii="Arial" w:cs="Arial" w:eastAsia="Arial" w:hAnsi="Arial"/>
                <w:sz w:val="14"/>
                <w:szCs w:val="14"/>
                <w:b w:val="1"/>
                <w:bCs w:val="1"/>
                <w:color w:val="auto"/>
              </w:rPr>
              <w:t>Claims</w:t>
            </w: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3620" w:type="dxa"/>
            <w:vAlign w:val="bottom"/>
          </w:tcPr>
          <w:p>
            <w:pPr>
              <w:spacing w:after="0"/>
              <w:rPr>
                <w:sz w:val="15"/>
                <w:szCs w:val="15"/>
                <w:color w:val="auto"/>
              </w:rPr>
            </w:pPr>
          </w:p>
        </w:tc>
        <w:tc>
          <w:tcPr>
            <w:tcW w:w="1840" w:type="dxa"/>
            <w:vAlign w:val="bottom"/>
          </w:tcPr>
          <w:p>
            <w:pPr>
              <w:jc w:val="center"/>
              <w:ind w:left="64"/>
              <w:spacing w:after="0"/>
              <w:rPr>
                <w:sz w:val="20"/>
                <w:szCs w:val="20"/>
                <w:color w:val="auto"/>
              </w:rPr>
            </w:pPr>
            <w:r>
              <w:rPr>
                <w:rFonts w:ascii="Arial" w:cs="Arial" w:eastAsia="Arial" w:hAnsi="Arial"/>
                <w:sz w:val="14"/>
                <w:szCs w:val="14"/>
                <w:b w:val="1"/>
                <w:bCs w:val="1"/>
                <w:color w:val="auto"/>
              </w:rPr>
              <w:t>Opening</w:t>
            </w:r>
          </w:p>
        </w:tc>
        <w:tc>
          <w:tcPr>
            <w:tcW w:w="1440" w:type="dxa"/>
            <w:vAlign w:val="bottom"/>
          </w:tcPr>
          <w:p>
            <w:pPr>
              <w:jc w:val="center"/>
              <w:ind w:right="205"/>
              <w:spacing w:after="0"/>
              <w:rPr>
                <w:sz w:val="20"/>
                <w:szCs w:val="20"/>
                <w:color w:val="auto"/>
              </w:rPr>
            </w:pPr>
            <w:r>
              <w:rPr>
                <w:rFonts w:ascii="Arial" w:cs="Arial" w:eastAsia="Arial" w:hAnsi="Arial"/>
                <w:sz w:val="14"/>
                <w:szCs w:val="14"/>
                <w:b w:val="1"/>
                <w:bCs w:val="1"/>
                <w:color w:val="auto"/>
              </w:rPr>
              <w:t>Dismissed,</w:t>
            </w:r>
          </w:p>
        </w:tc>
        <w:tc>
          <w:tcPr>
            <w:tcW w:w="1500" w:type="dxa"/>
            <w:vAlign w:val="bottom"/>
          </w:tcPr>
          <w:p>
            <w:pPr>
              <w:spacing w:after="0"/>
              <w:rPr>
                <w:sz w:val="15"/>
                <w:szCs w:val="15"/>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rPr>
              <w:t>Closing</w:t>
            </w:r>
          </w:p>
        </w:tc>
        <w:tc>
          <w:tcPr>
            <w:tcW w:w="180" w:type="dxa"/>
            <w:vAlign w:val="bottom"/>
          </w:tcPr>
          <w:p>
            <w:pPr>
              <w:spacing w:after="0"/>
              <w:rPr>
                <w:sz w:val="15"/>
                <w:szCs w:val="15"/>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Amounts Paid to</w:t>
            </w:r>
          </w:p>
        </w:tc>
      </w:tr>
      <w:tr>
        <w:trPr>
          <w:trHeight w:val="176"/>
        </w:trPr>
        <w:tc>
          <w:tcPr>
            <w:tcW w:w="3620" w:type="dxa"/>
            <w:vAlign w:val="bottom"/>
          </w:tcPr>
          <w:p>
            <w:pPr>
              <w:spacing w:after="0"/>
              <w:rPr>
                <w:sz w:val="15"/>
                <w:szCs w:val="15"/>
                <w:color w:val="auto"/>
              </w:rPr>
            </w:pPr>
          </w:p>
        </w:tc>
        <w:tc>
          <w:tcPr>
            <w:tcW w:w="1840" w:type="dxa"/>
            <w:vAlign w:val="bottom"/>
          </w:tcPr>
          <w:p>
            <w:pPr>
              <w:jc w:val="center"/>
              <w:ind w:left="44"/>
              <w:spacing w:after="0"/>
              <w:rPr>
                <w:sz w:val="20"/>
                <w:szCs w:val="20"/>
                <w:color w:val="auto"/>
              </w:rPr>
            </w:pPr>
            <w:r>
              <w:rPr>
                <w:rFonts w:ascii="Arial" w:cs="Arial" w:eastAsia="Arial" w:hAnsi="Arial"/>
                <w:sz w:val="14"/>
                <w:szCs w:val="14"/>
                <w:b w:val="1"/>
                <w:bCs w:val="1"/>
                <w:color w:val="auto"/>
              </w:rPr>
              <w:t>Number of</w:t>
            </w:r>
          </w:p>
        </w:tc>
        <w:tc>
          <w:tcPr>
            <w:tcW w:w="1440" w:type="dxa"/>
            <w:vAlign w:val="bottom"/>
          </w:tcPr>
          <w:p>
            <w:pPr>
              <w:jc w:val="center"/>
              <w:ind w:right="185"/>
              <w:spacing w:after="0"/>
              <w:rPr>
                <w:sz w:val="20"/>
                <w:szCs w:val="20"/>
                <w:color w:val="auto"/>
              </w:rPr>
            </w:pPr>
            <w:r>
              <w:rPr>
                <w:rFonts w:ascii="Arial" w:cs="Arial" w:eastAsia="Arial" w:hAnsi="Arial"/>
                <w:sz w:val="14"/>
                <w:szCs w:val="14"/>
                <w:b w:val="1"/>
                <w:bCs w:val="1"/>
                <w:color w:val="auto"/>
              </w:rPr>
              <w:t>Settled, or</w:t>
            </w:r>
          </w:p>
        </w:tc>
        <w:tc>
          <w:tcPr>
            <w:tcW w:w="1500" w:type="dxa"/>
            <w:vAlign w:val="bottom"/>
          </w:tcPr>
          <w:p>
            <w:pPr>
              <w:spacing w:after="0"/>
              <w:rPr>
                <w:sz w:val="15"/>
                <w:szCs w:val="15"/>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Settle or</w:t>
            </w:r>
          </w:p>
        </w:tc>
      </w:tr>
      <w:tr>
        <w:trPr>
          <w:trHeight w:val="21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number of claims)</w:t>
            </w:r>
          </w:p>
        </w:tc>
        <w:tc>
          <w:tcPr>
            <w:tcW w:w="184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Claims</w:t>
            </w:r>
          </w:p>
        </w:tc>
        <w:tc>
          <w:tcPr>
            <w:tcW w:w="14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Resolved</w:t>
            </w: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New Claims</w:t>
            </w: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Resolve</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the period ended December 31, 2025</w:t>
            </w:r>
          </w:p>
        </w:tc>
        <w:tc>
          <w:tcPr>
            <w:tcW w:w="18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3,646</w:t>
            </w:r>
          </w:p>
        </w:tc>
        <w:tc>
          <w:tcPr>
            <w:tcW w:w="14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28</w:t>
            </w:r>
          </w:p>
        </w:tc>
        <w:tc>
          <w:tcPr>
            <w:tcW w:w="15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173</w:t>
            </w:r>
          </w:p>
        </w:tc>
      </w:tr>
      <w:tr>
        <w:trPr>
          <w:trHeight w:val="21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period ended March 31, 2026</w:t>
            </w:r>
          </w:p>
        </w:tc>
        <w:tc>
          <w:tcPr>
            <w:tcW w:w="18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3,677</w:t>
            </w: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8</w:t>
            </w:r>
          </w:p>
        </w:tc>
        <w:tc>
          <w:tcPr>
            <w:tcW w:w="15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10</w:t>
            </w: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2026, we had resolved, by means of settlement or dismissal, 38,087 claims at a total cost of $10.9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7,675 claims as of March 31, 2026, only twelve claims have been filed against Brandon since January 1, 2012, and only $15,000 in settlement costs have been incurred since 2001. Brandon was acquired by the Company in 1999 and has its own insurance policies covering periods prior to 1999.</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jc w:val="both"/>
        <w:ind w:right="20"/>
        <w:spacing w:after="0" w:line="287" w:lineRule="auto"/>
        <w:rPr>
          <w:sz w:val="20"/>
          <w:szCs w:val="20"/>
          <w:color w:val="auto"/>
        </w:rPr>
      </w:pPr>
      <w:r>
        <w:rPr>
          <w:rFonts w:ascii="Arial" w:cs="Arial" w:eastAsia="Arial" w:hAnsi="Arial"/>
          <w:sz w:val="18"/>
          <w:szCs w:val="18"/>
          <w:color w:val="auto"/>
        </w:rPr>
        <w:t>Since 2004, Brandon’s insurance carriers have covered 100% of indemnification and defense costs, subject to policy limits and a standard reservation of rights.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Shareholders’ Equity for the three month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098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7"/>
              </w:rPr>
              <w:t>Accumulated items of</w:t>
            </w: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900" w:type="dxa"/>
            <w:vAlign w:val="bottom"/>
            <w:gridSpan w:val="3"/>
          </w:tcPr>
          <w:p>
            <w:pPr>
              <w:jc w:val="right"/>
              <w:ind w:right="486"/>
              <w:spacing w:after="0" w:line="108"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900" w:type="dxa"/>
            <w:vAlign w:val="bottom"/>
            <w:gridSpan w:val="3"/>
          </w:tcPr>
          <w:p>
            <w:pPr>
              <w:jc w:val="right"/>
              <w:ind w:right="506"/>
              <w:spacing w:after="0" w:line="108" w:lineRule="exact"/>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jc w:val="right"/>
              <w:ind w:right="66"/>
              <w:spacing w:after="0" w:line="95" w:lineRule="exact"/>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other comprehensive</w:t>
            </w: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line="20" w:lineRule="exact"/>
              <w:rPr>
                <w:sz w:val="1"/>
                <w:szCs w:val="1"/>
                <w:color w:val="auto"/>
              </w:rPr>
            </w:pPr>
          </w:p>
        </w:tc>
        <w:tc>
          <w:tcPr>
            <w:tcW w:w="72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line="20" w:lineRule="exact"/>
              <w:rPr>
                <w:sz w:val="1"/>
                <w:szCs w:val="1"/>
                <w:color w:val="auto"/>
              </w:rPr>
            </w:pPr>
          </w:p>
        </w:tc>
        <w:tc>
          <w:tcPr>
            <w:tcW w:w="7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in capital</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income</w:t>
            </w: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3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8"/>
              </w:rPr>
              <w:t>Noncontrolling Interest Shareholders' Equity</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40,989</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460,472</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976,373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(143,538)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12,686</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(567,139)</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5,893</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732,102</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Net income/(loss)</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15,281</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168</w:t>
            </w:r>
          </w:p>
        </w:tc>
        <w:tc>
          <w:tcPr>
            <w:tcW w:w="2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15,449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issued under incentive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compensation plans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Taxes paid in lieu of share</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(1,303)</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(1,303)</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issuance</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1,460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1,460</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(7,939)</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(7,939)</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Common Stock, $0.28 per share</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(5,206)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(5,253)</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584</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584</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Derivative valuation adjustment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326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and other</w:t>
            </w: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41,041</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460,629</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983,704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(147,834)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12,686</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(567,139)</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6,014</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735,415</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Shareholders’ Equity for the three month period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2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1900" w:type="dxa"/>
            <w:vAlign w:val="bottom"/>
            <w:gridSpan w:val="3"/>
            <w:vMerge w:val="restart"/>
          </w:tcPr>
          <w:p>
            <w:pPr>
              <w:jc w:val="right"/>
              <w:ind w:right="5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900" w:type="dxa"/>
            <w:vAlign w:val="bottom"/>
            <w:gridSpan w:val="3"/>
            <w:vMerge w:val="restart"/>
          </w:tcPr>
          <w:p>
            <w:pPr>
              <w:jc w:val="right"/>
              <w:ind w:right="50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720" w:type="dxa"/>
            <w:vAlign w:val="bottom"/>
          </w:tcPr>
          <w:p>
            <w:pPr>
              <w:spacing w:after="0"/>
              <w:rPr>
                <w:sz w:val="7"/>
                <w:szCs w:val="7"/>
                <w:color w:val="auto"/>
              </w:rPr>
            </w:pPr>
          </w:p>
        </w:tc>
        <w:tc>
          <w:tcPr>
            <w:tcW w:w="1900" w:type="dxa"/>
            <w:vAlign w:val="bottom"/>
            <w:tcBorders>
              <w:bottom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jc w:val="right"/>
              <w:ind w:right="46"/>
              <w:spacing w:after="0" w:line="88" w:lineRule="exact"/>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7"/>
                <w:szCs w:val="7"/>
                <w:color w:val="auto"/>
              </w:rPr>
            </w:pPr>
          </w:p>
        </w:tc>
        <w:tc>
          <w:tcPr>
            <w:tcW w:w="720" w:type="dxa"/>
            <w:vAlign w:val="bottom"/>
          </w:tcPr>
          <w:p>
            <w:pPr>
              <w:jc w:val="right"/>
              <w:ind w:right="146"/>
              <w:spacing w:after="0" w:line="88" w:lineRule="exact"/>
              <w:rPr>
                <w:sz w:val="20"/>
                <w:szCs w:val="20"/>
                <w:color w:val="auto"/>
              </w:rPr>
            </w:pPr>
            <w:r>
              <w:rPr>
                <w:rFonts w:ascii="Arial" w:cs="Arial" w:eastAsia="Arial" w:hAnsi="Arial"/>
                <w:sz w:val="10"/>
                <w:szCs w:val="10"/>
                <w:b w:val="1"/>
                <w:bCs w:val="1"/>
                <w:color w:val="auto"/>
              </w:rPr>
              <w:t>Retained</w:t>
            </w:r>
          </w:p>
        </w:tc>
        <w:tc>
          <w:tcPr>
            <w:tcW w:w="160" w:type="dxa"/>
            <w:vAlign w:val="bottom"/>
          </w:tcPr>
          <w:p>
            <w:pPr>
              <w:spacing w:after="0"/>
              <w:rPr>
                <w:sz w:val="7"/>
                <w:szCs w:val="7"/>
                <w:color w:val="auto"/>
              </w:rPr>
            </w:pPr>
          </w:p>
        </w:tc>
        <w:tc>
          <w:tcPr>
            <w:tcW w:w="1400" w:type="dxa"/>
            <w:vAlign w:val="bottom"/>
          </w:tcPr>
          <w:p>
            <w:pPr>
              <w:jc w:val="right"/>
              <w:ind w:right="166"/>
              <w:spacing w:after="0" w:line="88" w:lineRule="exact"/>
              <w:rPr>
                <w:sz w:val="20"/>
                <w:szCs w:val="20"/>
                <w:color w:val="auto"/>
              </w:rPr>
            </w:pPr>
            <w:r>
              <w:rPr>
                <w:rFonts w:ascii="Arial" w:cs="Arial" w:eastAsia="Arial" w:hAnsi="Arial"/>
                <w:sz w:val="10"/>
                <w:szCs w:val="10"/>
                <w:b w:val="1"/>
                <w:bCs w:val="1"/>
                <w:color w:val="auto"/>
              </w:rPr>
              <w:t>Accumulated items of</w:t>
            </w:r>
          </w:p>
        </w:tc>
        <w:tc>
          <w:tcPr>
            <w:tcW w:w="1900" w:type="dxa"/>
            <w:vAlign w:val="bottom"/>
            <w:tcBorders>
              <w:bottom w:val="single" w:sz="8" w:color="auto"/>
            </w:tcBorders>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86"/>
              <w:spacing w:after="0" w:line="88"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8"/>
              </w:rPr>
              <w:t>other comprehensive income</w:t>
            </w:r>
          </w:p>
        </w:tc>
        <w:tc>
          <w:tcPr>
            <w:tcW w:w="9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1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40,917</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452,933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1,065,763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(195,989)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9,845</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(379,210)</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5,409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948,947</w:t>
            </w:r>
          </w:p>
        </w:tc>
        <w:tc>
          <w:tcPr>
            <w:tcW w:w="0" w:type="dxa"/>
            <w:vAlign w:val="bottom"/>
          </w:tcPr>
          <w:p>
            <w:pPr>
              <w:spacing w:after="0"/>
              <w:rPr>
                <w:sz w:val="1"/>
                <w:szCs w:val="1"/>
                <w:color w:val="auto"/>
              </w:rPr>
            </w:pPr>
          </w:p>
        </w:tc>
      </w:tr>
      <w:tr>
        <w:trPr>
          <w:trHeight w:val="152"/>
        </w:trPr>
        <w:tc>
          <w:tcPr>
            <w:tcW w:w="1720" w:type="dxa"/>
            <w:vAlign w:val="bottom"/>
          </w:tcPr>
          <w:p>
            <w:pPr>
              <w:ind w:left="20"/>
              <w:spacing w:after="0"/>
              <w:rPr>
                <w:sz w:val="20"/>
                <w:szCs w:val="20"/>
                <w:color w:val="auto"/>
              </w:rPr>
            </w:pPr>
            <w:r>
              <w:rPr>
                <w:rFonts w:ascii="Arial" w:cs="Arial" w:eastAsia="Arial" w:hAnsi="Arial"/>
                <w:sz w:val="11"/>
                <w:szCs w:val="11"/>
                <w:color w:val="auto"/>
              </w:rPr>
              <w:t>Net income/(loss)</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17,355</w:t>
            </w:r>
          </w:p>
        </w:tc>
        <w:tc>
          <w:tcPr>
            <w:tcW w:w="16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17,349</w:t>
            </w:r>
          </w:p>
        </w:tc>
        <w:tc>
          <w:tcPr>
            <w:tcW w:w="0" w:type="dxa"/>
            <w:vAlign w:val="bottom"/>
          </w:tcPr>
          <w:p>
            <w:pPr>
              <w:spacing w:after="0"/>
              <w:rPr>
                <w:sz w:val="1"/>
                <w:szCs w:val="1"/>
                <w:color w:val="auto"/>
              </w:rPr>
            </w:pPr>
          </w:p>
        </w:tc>
      </w:tr>
      <w:tr>
        <w:trPr>
          <w:trHeight w:val="118"/>
        </w:trPr>
        <w:tc>
          <w:tcPr>
            <w:tcW w:w="17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8"/>
              </w:rPr>
              <w:t>Compensation and benefits paid or</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2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2,651</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4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2,651</w:t>
            </w: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payable in shares</w:t>
            </w: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rPr>
                <w:sz w:val="20"/>
                <w:szCs w:val="20"/>
                <w:color w:val="auto"/>
              </w:rPr>
            </w:pPr>
            <w:r>
              <w:rPr>
                <w:rFonts w:ascii="Arial" w:cs="Arial" w:eastAsia="Arial" w:hAnsi="Arial"/>
                <w:sz w:val="11"/>
                <w:szCs w:val="11"/>
                <w:color w:val="auto"/>
              </w:rPr>
              <w:t>Purchase of Treasury shares (a)</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925</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(69,153)</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(69,153)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(8,262)</w:t>
            </w:r>
          </w:p>
        </w:tc>
        <w:tc>
          <w:tcPr>
            <w:tcW w:w="16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(8,262)</w:t>
            </w:r>
          </w:p>
        </w:tc>
        <w:tc>
          <w:tcPr>
            <w:tcW w:w="0" w:type="dxa"/>
            <w:vAlign w:val="bottom"/>
          </w:tcPr>
          <w:p>
            <w:pPr>
              <w:spacing w:after="0"/>
              <w:rPr>
                <w:sz w:val="1"/>
                <w:szCs w:val="1"/>
                <w:color w:val="auto"/>
              </w:rPr>
            </w:pPr>
          </w:p>
        </w:tc>
      </w:tr>
      <w:tr>
        <w:trPr>
          <w:trHeight w:val="142"/>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$0.27 per share</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20" w:type="dxa"/>
            <w:vAlign w:val="bottom"/>
          </w:tcPr>
          <w:p>
            <w:pPr>
              <w:ind w:left="20"/>
              <w:spacing w:after="0" w:line="109" w:lineRule="exact"/>
              <w:rPr>
                <w:sz w:val="20"/>
                <w:szCs w:val="20"/>
                <w:color w:val="auto"/>
              </w:rPr>
            </w:pPr>
            <w:r>
              <w:rPr>
                <w:rFonts w:ascii="Arial" w:cs="Arial" w:eastAsia="Arial" w:hAnsi="Arial"/>
                <w:sz w:val="11"/>
                <w:szCs w:val="11"/>
                <w:color w:val="auto"/>
              </w:rPr>
              <w:t>Dividends paid to noncontrolling</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rPr>
                <w:sz w:val="20"/>
                <w:szCs w:val="20"/>
                <w:color w:val="auto"/>
              </w:rPr>
            </w:pPr>
            <w:r>
              <w:rPr>
                <w:rFonts w:ascii="Arial" w:cs="Arial" w:eastAsia="Arial" w:hAnsi="Arial"/>
                <w:sz w:val="11"/>
                <w:szCs w:val="11"/>
                <w:color w:val="auto"/>
              </w:rPr>
              <w:t>interests</w:t>
            </w: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17,136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17,014</w:t>
            </w:r>
          </w:p>
        </w:tc>
        <w:tc>
          <w:tcPr>
            <w:tcW w:w="0" w:type="dxa"/>
            <w:vAlign w:val="bottom"/>
          </w:tcPr>
          <w:p>
            <w:pPr>
              <w:spacing w:after="0"/>
              <w:rPr>
                <w:sz w:val="1"/>
                <w:szCs w:val="1"/>
                <w:color w:val="auto"/>
              </w:rPr>
            </w:pPr>
          </w:p>
        </w:tc>
      </w:tr>
      <w:tr>
        <w:trPr>
          <w:trHeight w:val="142"/>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20" w:type="dxa"/>
            <w:vAlign w:val="bottom"/>
          </w:tcPr>
          <w:p>
            <w:pPr>
              <w:ind w:left="20"/>
              <w:spacing w:after="0" w:line="109" w:lineRule="exact"/>
              <w:rPr>
                <w:sz w:val="20"/>
                <w:szCs w:val="20"/>
                <w:color w:val="auto"/>
              </w:rPr>
            </w:pPr>
            <w:r>
              <w:rPr>
                <w:rFonts w:ascii="Arial" w:cs="Arial" w:eastAsia="Arial" w:hAnsi="Arial"/>
                <w:sz w:val="11"/>
                <w:szCs w:val="11"/>
                <w:color w:val="auto"/>
                <w:w w:val="98"/>
              </w:rPr>
              <w:t>Pension and postretirement liability</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(2,662)</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(2,662)</w:t>
            </w: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(628)</w:t>
            </w:r>
          </w:p>
        </w:tc>
        <w:tc>
          <w:tcPr>
            <w:tcW w:w="0" w:type="dxa"/>
            <w:vAlign w:val="bottom"/>
          </w:tcPr>
          <w:p>
            <w:pPr>
              <w:spacing w:after="0"/>
              <w:rPr>
                <w:sz w:val="1"/>
                <w:szCs w:val="1"/>
                <w:color w:val="auto"/>
              </w:rPr>
            </w:pPr>
          </w:p>
        </w:tc>
      </w:tr>
      <w:tr>
        <w:trPr>
          <w:trHeight w:val="155"/>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40,973</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455,584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1,074,863</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(182,150)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10,770</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(448,363)</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5,193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905,168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652"/>
        <w:spacing w:after="0" w:line="28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February 21, 2025, the Company's Board of Directors authorized the Company to repurchase shares up to $250 million (excluding any fees, commissions, taxes or other expenses related to such purchases), which replaces the 2021 authorization.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19. Held for Sale</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fourth quarter of 2025, we announced that we will commence a strategic review of the Amelia Earhart Drive facility in Salt Lake City. This review is expected to be completed by the end of 2026, and management expects the review to result in a sale of the facility, including the CH-53K contract work.</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the Company determined that the Amelia Earhart Drive facility met held-for-sale accounting criteria. Accordingly, the facility's assets and liabilities were classified as held-for-sale in the consolidated balance sheets for all periods presented. Upon classification as held for sale, the Company ceased depreciation and amortization of the related long-lived assets in accordance with applicable accounting guidance.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assets and liabilities classified as held-for-sale at March 31, 2026 and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2025</w:t>
            </w: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5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22,311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27,159</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Contract assets, net</w:t>
            </w:r>
          </w:p>
        </w:tc>
        <w:tc>
          <w:tcPr>
            <w:tcW w:w="25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76,930</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68,550</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13,190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16,422</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5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647</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94,147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93,525</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Intangibles, net</w:t>
            </w:r>
          </w:p>
        </w:tc>
        <w:tc>
          <w:tcPr>
            <w:tcW w:w="25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13,384</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13,384</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21,829</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21,829</w:t>
            </w:r>
          </w:p>
        </w:tc>
      </w:tr>
      <w:tr>
        <w:trPr>
          <w:trHeight w:val="21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2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51,582</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52,217</w:t>
            </w:r>
          </w:p>
        </w:tc>
      </w:tr>
      <w:tr>
        <w:trPr>
          <w:trHeight w:val="21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 held for sale</w:t>
            </w:r>
          </w:p>
        </w:tc>
        <w:tc>
          <w:tcPr>
            <w:tcW w:w="2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293,783</w:t>
            </w:r>
          </w:p>
        </w:tc>
      </w:tr>
      <w:tr>
        <w:trPr>
          <w:trHeight w:val="236"/>
        </w:trPr>
        <w:tc>
          <w:tcPr>
            <w:tcW w:w="5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5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17,991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16,408</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5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108,398</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115,448</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58,936</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59,724</w:t>
            </w:r>
          </w:p>
        </w:tc>
      </w:tr>
      <w:tr>
        <w:trPr>
          <w:trHeight w:val="21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Deferred income taxes</w:t>
            </w:r>
          </w:p>
        </w:tc>
        <w:tc>
          <w:tcPr>
            <w:tcW w:w="2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11,743</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11,743</w:t>
            </w:r>
          </w:p>
        </w:tc>
      </w:tr>
      <w:tr>
        <w:trPr>
          <w:trHeight w:val="21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held for sale</w:t>
            </w:r>
          </w:p>
        </w:tc>
        <w:tc>
          <w:tcPr>
            <w:tcW w:w="2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197,068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203,323</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 Subsequent Events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evaluated subsequent events through the issuance date of these financial statements in Form 10-Q. No material subsequent events were identified that require disclosure.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45" w:lineRule="exact"/>
        <w:rPr>
          <w:sz w:val="20"/>
          <w:szCs w:val="20"/>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or logistics and costs due to supply chain constraints and inflationary pressures. These challenges have only increased as a result of the ongoing Russia-Ukraine war and the conflict in the Middle East;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Across both segments, potential port strikes could cause additional disruptions to our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Harm caused by changes in our relationships or contracts with suppliers and customers;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of our Machine Clothing or Albany Engineered Composites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geopolitical conditions impacting countries where the Company does or intends to do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our strategic initiatives and other goals, including, but not limited to, our sustainability goals;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the estimates and expectations based on aircraft production rates provided by Airbus, Boeing and others;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risks associated with changes in estimates and assumptions that could result in a decline in program gross margins or turn a profitable program into a loss program;</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Assets classified as held for sale may be sold for proceeds lower than currently estimated, or not sold within expected terms or timing;</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impacts from inflation, an economic slowdown or recession and by disruption in capital and credit markets that might impede our access to credit, increase our borrowing costs and impair the financial soundness of our customers and suppliers;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Proposed tariffs that may significantly and adversely impact our results of operations;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our ability to attract, motivate, and retain the workforce necessary to execute our business strategy and other goals;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impacts from fluctuations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Harm caused by customer purchase reductions, payment defaults or contract non-renewal;</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Albany Engineered Composites segment, future funding and compliance risks associated with our contracts with government entities, OEM customers or prime contractors on contracts with governmental agencies;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Costly and disruptive legal disputes and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impacts from changes in tax legislation or challenges to our tax positions;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incidents or significant computer system compromises or data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problems with information systems or networks;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successfully integrate the Heimbach Group companies into our business systems and processes within the expected timeframe or, failure to or delayed realization of anticipated benefits of the acquisition could adversely impact the Company’s business, financial condition and results of operations;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 and other periodic reports.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the “Business Environment Overview and Trends” sections of this quarterly report, as well as in the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 our business under two reportable segments: Machine Clothing (“MC”) and Albany Engineered Composites (“AEC”) each rooted in similar materials sciences know-how that forms a common approach to customer value proposition in design and manufacturability. MC competes on the basis of its deep industry knowledge, customer reputation and customer service and global advanced textile manufacturing capabilities, which has enabled it to develop a robust and market leading product offering that can be tailored to customer-specific requirements. AEC competes on the basis of its innovative technology solutions, extensive composite manufacturing capabilities and capacity that enable it to offer high quality specific part and assembly solutions that achieve its customers’ application performance requirements.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Also, please refer to the Business Environment Overview and Trends in the Management's Discussion and Analysis of Financial Condition and Results of Operations in our Annual Report on Form 10-K for the year ended December 31, 2025. The Annual Report on Form 10-K, along with the Company's other filings, can be found on the Securities and Exchange Commission's website, www.sec.gov, as well as on the Company's website: www.albint.com.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Global, economic, and political conditions, changes in raw material and commodity prices and supply, labor availability and costs, inflation, interest rates, potential changes in U.S. government policy positions, including changes in Department of Defense policies or priorities, geopolitical conflicts and strained international relations, U.S. and non-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ind w:right="20"/>
        <w:spacing w:after="0" w:line="287" w:lineRule="auto"/>
        <w:rPr>
          <w:sz w:val="20"/>
          <w:szCs w:val="20"/>
          <w:color w:val="auto"/>
        </w:rPr>
      </w:pPr>
      <w:r>
        <w:rPr>
          <w:rFonts w:ascii="Arial" w:cs="Arial" w:eastAsia="Arial" w:hAnsi="Arial"/>
          <w:sz w:val="18"/>
          <w:szCs w:val="18"/>
          <w:color w:val="auto"/>
        </w:rPr>
        <w:t>U.S. tax law changes, foreign currency exchange rates, sanctions, tariffs, energy costs and supply, and the impact from natural disasters and weather conditions create uncertainties that could impact our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Machine Clothing Segment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MC segment continues to deliver resilient performance, with several areas performing well despite uneven market dynamics. In Asia, softer demand—across Paper Machine Clothing &amp; Engineered Fabrics—continues to contribute to regional pressure. Packaging and Tissue continue to perform well, supported by growth across most regions. Looking ahead to the remainder of 2026, we expect Packaging and Tissue to remain positive contributors, with sales in Europe and the Americas holding broadly stable, while Asia’s trajectory remains uncertain. Publication grades remained under structural pressure, and the MC segment expects publication grade paper demand to continue declining through 2026 and beyond, offset by growing demand for tissue grade products.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MC segment is well-positioned in key markets, with high-quality, low-cost production in growth markets, substantially lower fixed costs in mature markets, and continued strength in new product development, technical product support, and manufacturing technology. Some of the markets in which MC's products are sold are expected to have volume trends that are in line with global GDP. Despite pricing and demand pressures on revenue growth, the MC segment is expected to improve earnings in the future through technological innovations, manufacturing productivity efficiencies and cost controls.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MC segment has been a significant generator of operating cash inflows for the Company. The Company seeks to maintain the cash-</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generating potential of this business by vigorously using our differentiated and technically superior products to reduce our customers’ total cost of operation while improving their paper quality, and by maintaining lower costs through a continued focus on cost-reduction initiatives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strategic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Albany Engineered Composites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AEC segment's strategy is to continue to build on its global brand by leveraging its industry leading performance to drive future growth</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through technology differentiation. This includes continued investment in AEC's proprietary 3D-woven technology to accelerate solutions that can be offered across a set of broader applications; and by leveraging the AEC's non-3D technology capabilities and capacity, on high-value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aerospace (both commercial and defense) applications, and other emerging markets such as space and advanced air mobility ("AAM"). The AEC segment provides longer-term growth potential for the Company as it ramps current production programs and captures new commercial and defense opportunities.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AEC segment (including Albany Safran Composites, LLC (“ASC”), in which our customer SAFRAN Group owns a 10% noncontrolling interest) supplies a number of customers in the aerospace industry. AEC’s largest aerospace customer is the SAFRAN Group ("SAFRAN") and sales to SAFRAN, through ASC, (consisting primarily of fan blades and cases for CFM International’s LEAP engine) accounted for approximately 15% of the Company’s consolidated Net revenues in 2025. The AEC segment, through ASC, also supplies 3D-woven composite fan cases for the GE9X engine. Outside of ASC, the AEC segment also supplies 3D-woven composite vanes for the F-35 Liftfan.</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AEC segment's current portfolio of non-3D programs includes components for the CH-53K helicopter, components for the F-35, missile bodies for Lockheed Martin’s JASSM air-to-surface missiles, fuselage components for the Boeing 787 aircraft, vacuum waste tanks for Boeing commercial aircraft and components and structures for other commercial, defense, and space and AAM programs. In 2025, approximately 35% of AEC net revenues were related to U.S. government contracts or programs.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AEC segment is dependent on global supply chains and has experienced disruptions in recent years. In addition, higher inflation levels increased material costs, higher labor rates and other supplier costs that have impacted the AEC segment’s results of operations. The AEC segment attempts to mitigate raw material and supplier costs by entering into long-term supply agreements. However, in some cases, higher raw material and supplier costs adversely impacted certain firm-fixed price programs resulting in lower program gross margins. In addition, as the AEC segment ramps-up larger complex programs, such as those associated with the CH-53 program, it continues to face challenges in staffing and training its workforce to support production rates, which has impacted operational productivity, particularly at its Salt Lake City facility, and contributed to increased labor and scrap costs.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quarter of 2025, we announced that we will commence a strategic review of the Amelia Earhart Drive facility in Salt Lake City. This review is expected to be completed by the end of 2026, and management expects the review to result in a sale of the facility, including the CH-53K contract work. As of December 31, 2025, we determined that the assets and liabilities of this group meet the held-for-sale criteria, and they have been classified as such within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jc w:val="both"/>
        <w:ind w:right="20"/>
        <w:spacing w:after="0" w:line="287" w:lineRule="auto"/>
        <w:rPr>
          <w:sz w:val="20"/>
          <w:szCs w:val="20"/>
          <w:color w:val="auto"/>
        </w:rPr>
      </w:pPr>
      <w:r>
        <w:rPr>
          <w:rFonts w:ascii="Arial" w:cs="Arial" w:eastAsia="Arial" w:hAnsi="Arial"/>
          <w:sz w:val="18"/>
          <w:szCs w:val="18"/>
          <w:color w:val="auto"/>
        </w:rPr>
        <w:t>our consolidated balance sheets for all periods presented. Upon classification as held for sale, the Company ceased depreciation and amortization of the related long-lived assets in accordance with applicable accounting guidance.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and 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Net revenues and Gross profit: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240" w:type="dxa"/>
            <w:vAlign w:val="bottom"/>
            <w:tcBorders>
              <w:top w:val="single" w:sz="8" w:color="auto"/>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2025</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ind w:right="123"/>
              <w:spacing w:after="0"/>
              <w:rPr>
                <w:sz w:val="20"/>
                <w:szCs w:val="20"/>
                <w:color w:val="auto"/>
              </w:rPr>
            </w:pPr>
            <w:r>
              <w:rPr>
                <w:rFonts w:ascii="Arial" w:cs="Arial" w:eastAsia="Arial" w:hAnsi="Arial"/>
                <w:sz w:val="16"/>
                <w:szCs w:val="16"/>
                <w:b w:val="1"/>
                <w:bCs w:val="1"/>
                <w:color w:val="auto"/>
              </w:rPr>
              <w:t>311,333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1"/>
              <w:spacing w:after="0"/>
              <w:rPr>
                <w:sz w:val="20"/>
                <w:szCs w:val="20"/>
                <w:color w:val="auto"/>
              </w:rPr>
            </w:pPr>
            <w:r>
              <w:rPr>
                <w:rFonts w:ascii="Arial" w:cs="Arial" w:eastAsia="Arial" w:hAnsi="Arial"/>
                <w:sz w:val="16"/>
                <w:szCs w:val="16"/>
                <w:color w:val="auto"/>
              </w:rPr>
              <w:t>288,774</w:t>
            </w:r>
          </w:p>
        </w:tc>
      </w:tr>
      <w:tr>
        <w:trPr>
          <w:trHeight w:val="217"/>
        </w:trPr>
        <w:tc>
          <w:tcPr>
            <w:tcW w:w="75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99,794</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96,486</w:t>
            </w: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Gross profit margin</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32.1 %</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33.4 %</w:t>
            </w: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revenues for the three months ended March 31, 2026 increased 7.8% as compared to the three months ended March 31, 2025 primarily due to higher volume in the AEC segment partially offset by softness in the US region and temporary production interruptions in the MC business. Additionally, changes in currency translation rates increased comparative segment net revenues by $9.3 million as compared to the prior year.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gross profit for the three months ended March 31, 2026, as compared to the three months ended March 31, 2025, was driven by the increased sales volume in AEC. Despite the favorable change to gross profit, increased production costs resulting from changes in the product mix within the MC business are the primary driver for the slight gross profit margin decrease to 32.1% from 33.4% for the three months ended March 31, 2026 and March 31, 2025,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Consolidated Operating expenses by classification: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2025</w:t>
            </w: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142"/>
              <w:spacing w:after="0"/>
              <w:rPr>
                <w:sz w:val="20"/>
                <w:szCs w:val="20"/>
                <w:color w:val="auto"/>
              </w:rPr>
            </w:pPr>
            <w:r>
              <w:rPr>
                <w:rFonts w:ascii="Arial" w:cs="Arial" w:eastAsia="Arial" w:hAnsi="Arial"/>
                <w:sz w:val="16"/>
                <w:szCs w:val="16"/>
                <w:b w:val="1"/>
                <w:bCs w:val="1"/>
                <w:color w:val="auto"/>
              </w:rPr>
              <w:t>58,299</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53,812</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440" w:type="dxa"/>
            <w:vAlign w:val="bottom"/>
          </w:tcPr>
          <w:p>
            <w:pPr>
              <w:spacing w:after="0"/>
              <w:rPr>
                <w:sz w:val="18"/>
                <w:szCs w:val="18"/>
                <w:color w:val="auto"/>
              </w:rPr>
            </w:pPr>
          </w:p>
        </w:tc>
        <w:tc>
          <w:tcPr>
            <w:tcW w:w="1420" w:type="dxa"/>
            <w:vAlign w:val="bottom"/>
          </w:tcPr>
          <w:p>
            <w:pPr>
              <w:jc w:val="right"/>
              <w:ind w:right="142"/>
              <w:spacing w:after="0"/>
              <w:rPr>
                <w:sz w:val="20"/>
                <w:szCs w:val="20"/>
                <w:color w:val="auto"/>
              </w:rPr>
            </w:pPr>
            <w:r>
              <w:rPr>
                <w:rFonts w:ascii="Arial" w:cs="Arial" w:eastAsia="Arial" w:hAnsi="Arial"/>
                <w:sz w:val="16"/>
                <w:szCs w:val="16"/>
                <w:b w:val="1"/>
                <w:bCs w:val="1"/>
                <w:color w:val="auto"/>
              </w:rPr>
              <w:t>12,957</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11,896</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3,165</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2,515</w:t>
            </w:r>
          </w:p>
        </w:tc>
      </w:tr>
      <w:tr>
        <w:trPr>
          <w:trHeight w:val="209"/>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expenses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74,421</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68,223</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expenses as a % of net revenues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23.9 %</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23.6 %</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Selling, general and administrative ("SG&amp;A") expenses increased $4.5 million or 8.3% as compared to the three months ended March 31, 2025. The overall changes are primarily the result of higher personnel costs as well as costs incurred related to the strategic review of the Amelia Earhart Drive facility.</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Consolidated Technical and research expenses increased by $1.1 million as compared to the three months ended March 31, 2025, primarily due to new business ventures initiatives in 2026.</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expenses, net, of $3.2 million in the three months ended March 31, 2026, increased by $0.7 million compared to $2.5 million in the three months ended March 31, 2025. The change in restructuring actions for the three month period are a result of workforce reductions and global production consolidation activities.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the Segment Results of Operations section of this Management Discussion and Analysis of Financial Condition and Results of Operations for significant drivers of Operating income/(loss) for each business segment.</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8" w:name="page29"/>
    <w:bookmarkEnd w:id="28"/>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2025</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5,467</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3,655</w:t>
            </w: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Other (income)/expense,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(3,193)</w:t>
            </w:r>
          </w:p>
        </w:tc>
        <w:tc>
          <w:tcPr>
            <w:tcW w:w="4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983</w:t>
            </w: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7,650</w:t>
            </w:r>
          </w:p>
        </w:tc>
        <w:tc>
          <w:tcPr>
            <w:tcW w:w="4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6,276</w:t>
            </w: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168</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net, increased over the prior year primarily due to higher average debt balances as well as a lower amount of interest income earned on cash equivalents during the current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Other (income)/expense, net, included foreign currency related transactions which resulted in gains of $(2.2) million in the three months ended March 31, 2026, as compared to losses of $3.2 million in the same period last year. These changes were primarily the result of unrealized gains and losses on intercompany loans. In addition, changes in the fair value of derivative instruments included gains of $1.2 million in the three months ended March 31, 2026, as compared to gains of $2.5 million for the three months ended March 31, 2025. Unrealized gains and losses on both derivative instruments and intercompany loans were driven by currency rate movements, most notably the Brazilian Real and Mexican Peso. See </w:t>
      </w:r>
      <w:r>
        <w:rPr>
          <w:rFonts w:ascii="Arial" w:cs="Arial" w:eastAsia="Arial" w:hAnsi="Arial"/>
          <w:sz w:val="18"/>
          <w:szCs w:val="18"/>
          <w:i w:val="1"/>
          <w:iCs w:val="1"/>
          <w:color w:val="auto"/>
        </w:rPr>
        <w:t>Note 6, Other (Income)/Expense, net,</w:t>
      </w:r>
      <w:r>
        <w:rPr>
          <w:rFonts w:ascii="Arial" w:cs="Arial" w:eastAsia="Arial" w:hAnsi="Arial"/>
          <w:sz w:val="18"/>
          <w:szCs w:val="18"/>
          <w:color w:val="auto"/>
        </w:rPr>
        <w:t xml:space="preserve"> in the Notes to the Consolidated Financial Statements in Item 1, which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Borders>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2025</w:t>
            </w:r>
          </w:p>
        </w:tc>
      </w:tr>
      <w:tr>
        <w:trPr>
          <w:trHeight w:val="233"/>
        </w:trPr>
        <w:tc>
          <w:tcPr>
            <w:tcW w:w="8760" w:type="dxa"/>
            <w:vAlign w:val="bottom"/>
            <w:gridSpan w:val="2"/>
          </w:tcPr>
          <w:p>
            <w:pPr>
              <w:jc w:val="right"/>
              <w:ind w:right="6688"/>
              <w:spacing w:after="0"/>
              <w:rPr>
                <w:sz w:val="20"/>
                <w:szCs w:val="20"/>
                <w:color w:val="auto"/>
              </w:rPr>
            </w:pPr>
            <w:r>
              <w:rPr>
                <w:rFonts w:ascii="Arial" w:cs="Arial" w:eastAsia="Arial" w:hAnsi="Arial"/>
                <w:sz w:val="18"/>
                <w:szCs w:val="18"/>
                <w:color w:val="auto"/>
              </w:rPr>
              <w:t>Effective income tax rate</w:t>
            </w: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33.1 %</w:t>
            </w:r>
          </w:p>
        </w:tc>
        <w:tc>
          <w:tcPr>
            <w:tcW w:w="1460" w:type="dxa"/>
            <w:vAlign w:val="bottom"/>
          </w:tcPr>
          <w:p>
            <w:pPr>
              <w:jc w:val="right"/>
              <w:spacing w:after="0"/>
              <w:rPr>
                <w:sz w:val="20"/>
                <w:szCs w:val="20"/>
                <w:color w:val="auto"/>
              </w:rPr>
            </w:pPr>
            <w:r>
              <w:rPr>
                <w:rFonts w:ascii="Arial" w:cs="Arial" w:eastAsia="Arial" w:hAnsi="Arial"/>
                <w:sz w:val="16"/>
                <w:szCs w:val="16"/>
                <w:color w:val="auto"/>
              </w:rPr>
              <w:t>26.6 %</w:t>
            </w:r>
          </w:p>
        </w:tc>
      </w:tr>
    </w:tbl>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first quarter of 2026 was 33.1%, compared to 26.6% for the same period in 2025, mainly due to favorable discrete tax adjustments in the prior period. For more information, see </w:t>
      </w:r>
      <w:r>
        <w:rPr>
          <w:rFonts w:ascii="Arial" w:cs="Arial" w:eastAsia="Arial" w:hAnsi="Arial"/>
          <w:sz w:val="18"/>
          <w:szCs w:val="18"/>
          <w:i w:val="1"/>
          <w:iCs w:val="1"/>
          <w:color w:val="auto"/>
        </w:rPr>
        <w:t>Note 7, Income Taxes,</w:t>
      </w:r>
      <w:r>
        <w:rPr>
          <w:rFonts w:ascii="Arial" w:cs="Arial" w:eastAsia="Arial" w:hAnsi="Arial"/>
          <w:sz w:val="18"/>
          <w:szCs w:val="18"/>
          <w:color w:val="auto"/>
        </w:rPr>
        <w:t xml:space="preserve"> in the Notes to the Consolidated Financial Statements in Item 1, which is incorporated herein by reference.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Organization for Economic Co-operation and Development has issued Pillar Two model rules introducing a new global minimum tax of 15 percent intended to be effective on January 1, 2024. While the U.S. has not yet adopted the Pillar Two rules, various other governments around the world are enacting legislation. As currently designed, Pillar Two will ultimately apply to our worldwide operations. Although we do not expect these rules to materially increase our global tax costs in 2026, there remains uncertainty as to the final Pillar Two model rules. We will continue to monitor U.S. and global legislative action related to Pillar Two for potential impacts.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Clothing Segment</w:t>
      </w:r>
    </w:p>
    <w:p>
      <w:pPr>
        <w:spacing w:after="0" w:line="19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MC segment accounted for 53.3% of our consolidated revenues for the three months ended March 31, 2026. A summary of MC's selected financial results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2025</w:t>
            </w: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165,952</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174,697</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75,062</w:t>
            </w:r>
          </w:p>
        </w:tc>
        <w:tc>
          <w:tcPr>
            <w:tcW w:w="4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79,902</w:t>
            </w:r>
          </w:p>
        </w:tc>
      </w:tr>
      <w:tr>
        <w:trPr>
          <w:trHeight w:val="216"/>
        </w:trPr>
        <w:tc>
          <w:tcPr>
            <w:tcW w:w="7540" w:type="dxa"/>
            <w:vAlign w:val="bottom"/>
          </w:tcPr>
          <w:p>
            <w:pPr>
              <w:ind w:left="140"/>
              <w:spacing w:after="0"/>
              <w:rPr>
                <w:sz w:val="20"/>
                <w:szCs w:val="20"/>
                <w:color w:val="auto"/>
              </w:rPr>
            </w:pPr>
            <w:r>
              <w:rPr>
                <w:rFonts w:ascii="Arial" w:cs="Arial" w:eastAsia="Arial" w:hAnsi="Arial"/>
                <w:sz w:val="16"/>
                <w:szCs w:val="16"/>
                <w:color w:val="auto"/>
              </w:rPr>
              <w:t>% of net revenues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45.2 %</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45.7 %</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color w:val="auto"/>
              </w:rPr>
              <w:t>SG&amp;A expenses</w:t>
            </w:r>
          </w:p>
        </w:tc>
        <w:tc>
          <w:tcPr>
            <w:tcW w:w="4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33,249</w:t>
            </w:r>
          </w:p>
        </w:tc>
        <w:tc>
          <w:tcPr>
            <w:tcW w:w="4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32,881</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4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7,185</w:t>
            </w:r>
          </w:p>
        </w:tc>
        <w:tc>
          <w:tcPr>
            <w:tcW w:w="4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7,243</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2,676</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1,347</w:t>
            </w:r>
          </w:p>
        </w:tc>
      </w:tr>
      <w:tr>
        <w:trPr>
          <w:trHeight w:val="209"/>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31,952</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38,431</w:t>
            </w:r>
          </w:p>
        </w:tc>
      </w:tr>
      <w:tr>
        <w:trPr>
          <w:trHeight w:val="209"/>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revenues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19.3 %</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for the three months ended March 31, 2026 decreased 5.0% as compared to the three months ended March 31, 2025, driven by reduced sales volume in the US region, primarily due to temporary production interruptions, including scheduled maintenance at certain plants. This decline is slightly offset by a strong performance within the European market, particularly related to the Engineered Fabrics program. Further, changes in currency translation rates had the effect of increasing Net revenues by $6.1 million for the three months ended March 31, 2026, as compared to this period in 2025.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three months ended March 31, 2026 decreased by $ 4.8 million as compared to the three months ended March 31, 2025, primarily driven by the volume declines noted above; with gross profit margin also decreasing slightly from 45.7% to 45.2% in the three months ended March 31, 2025 and 2026,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income for the three months ended March 31, 2026 decreased $6.5 million or 16.9% as compared to the three months ended March 31, 2025, primarily as a result of gross profit declines and restructuring costs. Incremental restructuring expenses were primarily a result of manufacturing footprint optimization in connection with the Heimbach acquisition.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Albany Engineered Composites Segment</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AEC segment accounted for 46.7% of our consolidated net revenues for the three months ended March 31, 2026. AEC has contracts with certain customers, including its contract for the LEAP program, where revenue is determined by a cost-plus-fee agreement. Revenue earned under these arrangements accounted for approximately 33% and 35% of segment revenue for the three months ended March 31, 2026 and 2025, respectively.</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 summary of AEC's selected financial results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2025</w:t>
            </w: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145,381</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114,077</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24,732</w:t>
            </w:r>
          </w:p>
        </w:tc>
        <w:tc>
          <w:tcPr>
            <w:tcW w:w="4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16,584</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color w:val="auto"/>
              </w:rPr>
              <w:t>% of net revenues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17.0 %</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color w:val="auto"/>
              </w:rPr>
              <w:t>SG&amp;A expenses</w:t>
            </w:r>
          </w:p>
        </w:tc>
        <w:tc>
          <w:tcPr>
            <w:tcW w:w="4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11,586</w:t>
            </w:r>
          </w:p>
        </w:tc>
        <w:tc>
          <w:tcPr>
            <w:tcW w:w="4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10,126</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4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4,548</w:t>
            </w:r>
          </w:p>
        </w:tc>
        <w:tc>
          <w:tcPr>
            <w:tcW w:w="4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3,674</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1,168</w:t>
            </w:r>
          </w:p>
        </w:tc>
      </w:tr>
      <w:tr>
        <w:trPr>
          <w:trHeight w:val="209"/>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8,598</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1,616</w:t>
            </w:r>
          </w:p>
        </w:tc>
      </w:tr>
      <w:tr>
        <w:trPr>
          <w:trHeight w:val="209"/>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revenues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5.9 %</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revenues for the three months ended March 31, 2026 increased 27.4%, primarily driven by higher activity levels on various programs including ASC, GE LEAP Platforms, and B787 Frames, as well as lower unfavorable long-term contract adjustments. Further, changes in currency translation rates had the effect of increasing Net revenues by $3.1 million for the three months ended March 31, 2026, as compared to this period in 2025.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three months ended March 31, 2026 increased $8.1 million as compared to the three months ended March 31, 2025, and Gross profit margin increased from 14.5% to 17.0% in the three months ended March 31, 2025 and 2026, respectively. The change was driven primarily by increases in revenue, as well as performance improvements on various programs, resulting in lower unfavorable EAC adjustments.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the three months ended March 31, 2026 increased $7.0 million as compared to the three months ended March 31, 2025, principally due to favorable changes to Gross profit as noted above and the conclusion of restructuring activities from 2025. This was slightly offset by an increase in SG&amp;A expenses of $1.5 million from the prior period, driven by personnel-related costs. Additionally, Technical and research expenses increased $0.9 million for the three months ended March 31, 2026 as compared to the three months ended March 31, 2025, driven by increased consulting costs to assist with continued innovation within the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15,449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17,349</w:t>
            </w:r>
          </w:p>
        </w:tc>
      </w:tr>
      <w:tr>
        <w:trPr>
          <w:trHeight w:val="216"/>
        </w:trPr>
        <w:tc>
          <w:tcPr>
            <w:tcW w:w="8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17,129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21,291</w:t>
            </w: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(10,785)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(25,847)</w:t>
            </w:r>
          </w:p>
        </w:tc>
      </w:tr>
      <w:tr>
        <w:trPr>
          <w:trHeight w:val="216"/>
        </w:trPr>
        <w:tc>
          <w:tcPr>
            <w:tcW w:w="814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2,431</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2,532</w:t>
            </w:r>
          </w:p>
        </w:tc>
      </w:tr>
      <w:tr>
        <w:trPr>
          <w:trHeight w:val="216"/>
        </w:trPr>
        <w:tc>
          <w:tcPr>
            <w:tcW w:w="8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(18,581)</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(13,206)</w:t>
            </w:r>
          </w:p>
        </w:tc>
      </w:tr>
      <w:tr>
        <w:trPr>
          <w:trHeight w:val="237"/>
        </w:trPr>
        <w:tc>
          <w:tcPr>
            <w:tcW w:w="81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5,643</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2,119</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(9,290)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(15,597)</w:t>
            </w:r>
          </w:p>
        </w:tc>
      </w:tr>
      <w:tr>
        <w:trPr>
          <w:trHeight w:val="243"/>
        </w:trPr>
        <w:tc>
          <w:tcPr>
            <w:tcW w:w="814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13,769</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15,091</w:t>
            </w:r>
          </w:p>
        </w:tc>
      </w:tr>
      <w:tr>
        <w:trPr>
          <w:trHeight w:val="216"/>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36"/>
        </w:trPr>
        <w:tc>
          <w:tcPr>
            <w:tcW w:w="8140" w:type="dxa"/>
            <w:vAlign w:val="bottom"/>
          </w:tcPr>
          <w:p>
            <w:pPr>
              <w:ind w:left="20"/>
              <w:spacing w:after="0"/>
              <w:rPr>
                <w:sz w:val="20"/>
                <w:szCs w:val="20"/>
                <w:color w:val="auto"/>
              </w:rPr>
            </w:pPr>
            <w:r>
              <w:rPr>
                <w:rFonts w:ascii="Arial" w:cs="Arial" w:eastAsia="Arial" w:hAnsi="Arial"/>
                <w:sz w:val="16"/>
                <w:szCs w:val="16"/>
                <w:color w:val="auto"/>
              </w:rPr>
              <w:t>Increase in cash and cash equivalents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10,207</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4,071</w:t>
            </w:r>
          </w:p>
        </w:tc>
      </w:tr>
      <w:tr>
        <w:trPr>
          <w:trHeight w:val="216"/>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112,350</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115,283</w:t>
            </w:r>
          </w:p>
        </w:tc>
      </w:tr>
      <w:tr>
        <w:trPr>
          <w:trHeight w:val="236"/>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122,557</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119,354</w:t>
            </w:r>
          </w:p>
        </w:tc>
      </w:tr>
    </w:tbl>
    <w:p>
      <w:pPr>
        <w:spacing w:after="0" w:line="6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31" w:name="page32"/>
    <w:bookmarkEnd w:id="31"/>
    <w:p>
      <w:pPr>
        <w:ind w:right="320"/>
        <w:spacing w:after="0" w:line="253" w:lineRule="auto"/>
        <w:rPr>
          <w:sz w:val="20"/>
          <w:szCs w:val="20"/>
          <w:color w:val="auto"/>
        </w:rPr>
      </w:pPr>
      <w:r>
        <w:rPr>
          <w:rFonts w:ascii="Arial" w:cs="Arial" w:eastAsia="Arial" w:hAnsi="Arial"/>
          <w:sz w:val="18"/>
          <w:szCs w:val="18"/>
          <w:color w:val="auto"/>
        </w:rPr>
        <w:t>Net cash provided by operating activities during the three months ended March 31, 2026 was $5.6 million, compared to $2.1 million in the three months ended March 31, 2025. The increase was primarily driven by improved working capital management primarily driven by favorable cash collection activities at AEC.</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included capital expenditures totaling $9.3 million and $15.6 million for the three months ended March 31, 2026 and March 31, 2025, respectively, with continued maintenance capital and capital designed to improve operating efficiencies across the Company.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financing activities was $13.8 million for the three months ended March 31, 2026 as compared to net cash used of $15.1 million for the three months ended March 31, 2025. During 2026, we had net borrowings of $23.0 million as compared to $94.0 million of borrowings in the prior year, which were offset by share repurchases of $69.2 million. Additionally, the Company has returned cash to shareholders through dividends of $7.9 million in the first three months of 2026.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Structure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finance our business activities principally with cash generated from operations and borrowings, largely through our revolving credit agreement as discussed below. As of March 31, 2026, $476.5 million of borrowings were outstanding under our $800 million unsecured committed Amended Credit Agreement.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2026, we had cash and cash equivalents of $122.6 million and borrowing capacity under our Amended Credit Agreement of $323.5 million, for a total liquidity of approximately $446.0 million. We believe cash flows from operations and the availability of funds under our Amended Credit Agreement will be adequate to fund our operations and business needs over the next twelve months.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2026, $101.2 million of our total cash and cash equivalents were held by non-U.S. subsidiaries. The accumulated undistributed earnings of the Company’s foreign operations not targeted for repatriation to the U.S. were in excess of $158.9 million, as of March 31, 2026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$11 million. There were no material changes in the Company’s off-balance sheet arrangements during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changes in both foreign currency exchange rates and interest rates. From time to time, the Company enters into derivative agreements to manage these risks. The market risk is the potential loss arising from adverse changes in these rates as discussed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Our operational results can be materially impacted depending on the volatility and magnitude of foreign rate changes.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$629.5 million. The potential loss in fair value resulting from a hypothetical 10% adverse change in quoted foreign currency exchange rates amounts to $63.0 million. Furthermore, related to foreign currency transactions, we have exposure to various nonfunctional currency balances totaling $236.1 million. This amount includes, on an absolute basis, exposures to assets and liabilities held in currencies other than our local entities’ functional currencies. On a net basis, we had $146.5 million of foreign currency assets as of March 31, 2026. As currency rates change, these nonfunctional currency balances are revalued, and the corresponding adjustment is recorded in the income statement. A hypothetical change of 10% in currency rates could result in an adjustment to the income statement of approximately $14.7 million. Actual results may differ from these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March 31, 2026, we had the following unhedged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029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interest rates)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5"/>
        </w:trPr>
        <w:tc>
          <w:tcPr>
            <w:tcW w:w="7020" w:type="dxa"/>
            <w:vAlign w:val="bottom"/>
          </w:tcPr>
          <w:p>
            <w:pPr>
              <w:ind w:left="200"/>
              <w:spacing w:after="0"/>
              <w:rPr>
                <w:sz w:val="20"/>
                <w:szCs w:val="20"/>
                <w:color w:val="auto"/>
              </w:rPr>
            </w:pPr>
            <w:r>
              <w:rPr>
                <w:rFonts w:ascii="Arial" w:cs="Arial" w:eastAsia="Arial" w:hAnsi="Arial"/>
                <w:sz w:val="16"/>
                <w:szCs w:val="16"/>
                <w:color w:val="auto"/>
              </w:rPr>
              <w:t>Credit agreement borrowings outstanding (due in 2028):</w:t>
            </w: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USD borrowings (end of period all-in interest rate of 5.4%)</w:t>
            </w: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248,000</w:t>
            </w:r>
          </w:p>
        </w:tc>
      </w:tr>
      <w:tr>
        <w:trPr>
          <w:trHeight w:val="215"/>
        </w:trPr>
        <w:tc>
          <w:tcPr>
            <w:tcW w:w="7020" w:type="dxa"/>
            <w:vAlign w:val="bottom"/>
          </w:tcPr>
          <w:p>
            <w:pPr>
              <w:ind w:left="680"/>
              <w:spacing w:after="0"/>
              <w:rPr>
                <w:sz w:val="20"/>
                <w:szCs w:val="20"/>
                <w:color w:val="auto"/>
              </w:rPr>
            </w:pPr>
            <w:r>
              <w:rPr>
                <w:rFonts w:ascii="Arial" w:cs="Arial" w:eastAsia="Arial" w:hAnsi="Arial"/>
                <w:sz w:val="16"/>
                <w:szCs w:val="16"/>
                <w:color w:val="auto"/>
              </w:rPr>
              <w:t>EUR borrowings (end of period all-in interest rate of 3.6%)</w:t>
            </w:r>
          </w:p>
        </w:tc>
        <w:tc>
          <w:tcPr>
            <w:tcW w:w="28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51,771</w:t>
            </w:r>
          </w:p>
        </w:tc>
      </w:tr>
      <w:tr>
        <w:trPr>
          <w:trHeight w:val="216"/>
        </w:trPr>
        <w:tc>
          <w:tcPr>
            <w:tcW w:w="7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Foreign bank debt</w:t>
            </w:r>
          </w:p>
        </w:tc>
        <w:tc>
          <w:tcPr>
            <w:tcW w:w="28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299,771</w:t>
            </w: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$3.0 million. To manage interest rate risk, we may periodically enter into interest rate swap agreements to effectively fix the interest rates on variable debt to a specific rate for a period of time.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15, 2026, the Company entered into USD and EUR forward starting interest rate swap agreements with starting dates of November 15, 2026 and November 14, 2026, respectively, and both with three-year terms. These instruments are intended to replace the Company's existing interest rate swap agreements upon their maturity on those same dates and are entered into for the purpose of managing the Company's exposure to variability in cash flows attributable to changes in benchmark interest rates. Changes in fair value during the forward period, from the trade date through the respective starting dates, will be recorded in other comprehensive income (loss).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15. Financial Instruments</w:t>
      </w:r>
      <w:r>
        <w:rPr>
          <w:rFonts w:ascii="Arial" w:cs="Arial" w:eastAsia="Arial" w:hAnsi="Arial"/>
          <w:sz w:val="18"/>
          <w:szCs w:val="18"/>
          <w:color w:val="auto"/>
        </w:rPr>
        <w:t xml:space="preserve"> in the Notes to the Consolidated Financial Statements in Item 1, which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information set forth above under </w:t>
      </w:r>
      <w:r>
        <w:rPr>
          <w:rFonts w:ascii="Arial" w:cs="Arial" w:eastAsia="Arial" w:hAnsi="Arial"/>
          <w:sz w:val="18"/>
          <w:szCs w:val="18"/>
          <w:i w:val="1"/>
          <w:iCs w:val="1"/>
          <w:color w:val="auto"/>
        </w:rPr>
        <w:t>Note 17. Commitments and Contingencies</w:t>
      </w:r>
      <w:r>
        <w:rPr>
          <w:rFonts w:ascii="Arial" w:cs="Arial" w:eastAsia="Arial" w:hAnsi="Arial"/>
          <w:sz w:val="18"/>
          <w:szCs w:val="18"/>
          <w:color w:val="auto"/>
        </w:rPr>
        <w:t xml:space="preserve"> in Item 1, Notes to Consolidated Financial Statements is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2025.</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during the three months ended March 31, 2026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760" w:type="dxa"/>
            <w:vAlign w:val="bottom"/>
            <w:gridSpan w:val="2"/>
          </w:tcPr>
          <w:p>
            <w:pPr>
              <w:jc w:val="center"/>
              <w:ind w:left="2479"/>
              <w:spacing w:after="0"/>
              <w:rPr>
                <w:sz w:val="20"/>
                <w:szCs w:val="20"/>
                <w:color w:val="auto"/>
              </w:rPr>
            </w:pPr>
            <w:r>
              <w:rPr>
                <w:rFonts w:ascii="Arial" w:cs="Arial" w:eastAsia="Arial" w:hAnsi="Arial"/>
                <w:sz w:val="16"/>
                <w:szCs w:val="16"/>
                <w:color w:val="auto"/>
              </w:rPr>
              <w:t>Approx. dollar value of shares</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Total number of shares Average price paid</w:t>
            </w:r>
          </w:p>
        </w:tc>
        <w:tc>
          <w:tcPr>
            <w:tcW w:w="26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Total number of shares purchased</w:t>
            </w:r>
          </w:p>
        </w:tc>
        <w:tc>
          <w:tcPr>
            <w:tcW w:w="20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that may yet be purchased</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900" w:type="dxa"/>
            <w:vAlign w:val="bottom"/>
            <w:gridSpan w:val="2"/>
            <w:vMerge w:val="restart"/>
          </w:tcPr>
          <w:p>
            <w:pPr>
              <w:spacing w:after="0"/>
              <w:rPr>
                <w:sz w:val="20"/>
                <w:szCs w:val="20"/>
                <w:color w:val="auto"/>
              </w:rPr>
            </w:pPr>
            <w:r>
              <w:rPr>
                <w:rFonts w:ascii="Arial" w:cs="Arial" w:eastAsia="Arial" w:hAnsi="Arial"/>
                <w:sz w:val="16"/>
                <w:szCs w:val="16"/>
                <w:color w:val="auto"/>
              </w:rPr>
              <w:t>Period</w:t>
            </w:r>
          </w:p>
        </w:tc>
        <w:tc>
          <w:tcPr>
            <w:tcW w:w="3140" w:type="dxa"/>
            <w:vAlign w:val="bottom"/>
            <w:gridSpan w:val="2"/>
            <w:vMerge w:val="continue"/>
          </w:tcPr>
          <w:p>
            <w:pPr>
              <w:spacing w:after="0"/>
              <w:rPr>
                <w:sz w:val="14"/>
                <w:szCs w:val="14"/>
                <w:color w:val="auto"/>
              </w:rPr>
            </w:pPr>
          </w:p>
        </w:tc>
        <w:tc>
          <w:tcPr>
            <w:tcW w:w="26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as part of publicly announced</w:t>
            </w:r>
          </w:p>
        </w:tc>
        <w:tc>
          <w:tcPr>
            <w:tcW w:w="20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under the program (in</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880" w:type="dxa"/>
            <w:vAlign w:val="bottom"/>
          </w:tcPr>
          <w:p>
            <w:pPr>
              <w:ind w:left="480"/>
              <w:spacing w:after="0" w:line="175" w:lineRule="exact"/>
              <w:rPr>
                <w:sz w:val="20"/>
                <w:szCs w:val="20"/>
                <w:color w:val="auto"/>
              </w:rPr>
            </w:pPr>
            <w:r>
              <w:rPr>
                <w:rFonts w:ascii="Arial" w:cs="Arial" w:eastAsia="Arial" w:hAnsi="Arial"/>
                <w:sz w:val="16"/>
                <w:szCs w:val="16"/>
                <w:color w:val="auto"/>
              </w:rPr>
              <w:t>purchased</w:t>
            </w:r>
          </w:p>
        </w:tc>
        <w:tc>
          <w:tcPr>
            <w:tcW w:w="1260" w:type="dxa"/>
            <w:vAlign w:val="bottom"/>
          </w:tcPr>
          <w:p>
            <w:pPr>
              <w:ind w:left="220"/>
              <w:spacing w:after="0" w:line="175" w:lineRule="exact"/>
              <w:rPr>
                <w:sz w:val="20"/>
                <w:szCs w:val="20"/>
                <w:color w:val="auto"/>
              </w:rPr>
            </w:pPr>
            <w:r>
              <w:rPr>
                <w:rFonts w:ascii="Arial" w:cs="Arial" w:eastAsia="Arial" w:hAnsi="Arial"/>
                <w:sz w:val="16"/>
                <w:szCs w:val="16"/>
                <w:color w:val="auto"/>
              </w:rPr>
              <w:t>per share</w:t>
            </w:r>
          </w:p>
        </w:tc>
        <w:tc>
          <w:tcPr>
            <w:tcW w:w="2680" w:type="dxa"/>
            <w:vAlign w:val="bottom"/>
          </w:tcPr>
          <w:p>
            <w:pPr>
              <w:jc w:val="center"/>
              <w:ind w:right="39"/>
              <w:spacing w:after="0" w:line="175" w:lineRule="exact"/>
              <w:rPr>
                <w:sz w:val="20"/>
                <w:szCs w:val="20"/>
                <w:color w:val="auto"/>
              </w:rPr>
            </w:pPr>
            <w:r>
              <w:rPr>
                <w:rFonts w:ascii="Arial" w:cs="Arial" w:eastAsia="Arial" w:hAnsi="Arial"/>
                <w:sz w:val="16"/>
                <w:szCs w:val="16"/>
                <w:color w:val="auto"/>
              </w:rPr>
              <w:t>program</w:t>
            </w:r>
          </w:p>
        </w:tc>
        <w:tc>
          <w:tcPr>
            <w:tcW w:w="2080" w:type="dxa"/>
            <w:vAlign w:val="bottom"/>
          </w:tcPr>
          <w:p>
            <w:pPr>
              <w:jc w:val="center"/>
              <w:ind w:right="39"/>
              <w:spacing w:after="0" w:line="175" w:lineRule="exact"/>
              <w:rPr>
                <w:sz w:val="20"/>
                <w:szCs w:val="20"/>
                <w:color w:val="auto"/>
              </w:rPr>
            </w:pPr>
            <w:r>
              <w:rPr>
                <w:rFonts w:ascii="Arial" w:cs="Arial" w:eastAsia="Arial" w:hAnsi="Arial"/>
                <w:sz w:val="16"/>
                <w:szCs w:val="16"/>
                <w:color w:val="auto"/>
              </w:rPr>
              <w:t>thousands)</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40" w:type="dxa"/>
            <w:vAlign w:val="bottom"/>
            <w:gridSpan w:val="3"/>
            <w:vMerge w:val="restart"/>
          </w:tcPr>
          <w:p>
            <w:pPr>
              <w:ind w:left="20"/>
              <w:spacing w:after="0"/>
              <w:rPr>
                <w:sz w:val="20"/>
                <w:szCs w:val="20"/>
                <w:color w:val="auto"/>
              </w:rPr>
            </w:pPr>
            <w:r>
              <w:rPr>
                <w:rFonts w:ascii="Arial" w:cs="Arial" w:eastAsia="Arial" w:hAnsi="Arial"/>
                <w:sz w:val="16"/>
                <w:szCs w:val="16"/>
                <w:color w:val="auto"/>
              </w:rPr>
              <w:t>January 1 to January 31, 2026</w:t>
            </w:r>
          </w:p>
        </w:tc>
        <w:tc>
          <w:tcPr>
            <w:tcW w:w="1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340" w:type="dxa"/>
            <w:vAlign w:val="bottom"/>
            <w:gridSpan w:val="3"/>
            <w:vMerge w:val="continue"/>
          </w:tcPr>
          <w:p>
            <w:pPr>
              <w:spacing w:after="0"/>
              <w:rPr>
                <w:sz w:val="18"/>
                <w:szCs w:val="18"/>
                <w:color w:val="auto"/>
              </w:rPr>
            </w:pPr>
          </w:p>
        </w:tc>
        <w:tc>
          <w:tcPr>
            <w:tcW w:w="1880" w:type="dxa"/>
            <w:vAlign w:val="bottom"/>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2680" w:type="dxa"/>
            <w:vAlign w:val="bottom"/>
          </w:tcPr>
          <w:p>
            <w:pPr>
              <w:ind w:left="23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76,655</w:t>
            </w:r>
          </w:p>
        </w:tc>
        <w:tc>
          <w:tcPr>
            <w:tcW w:w="0" w:type="dxa"/>
            <w:vAlign w:val="bottom"/>
          </w:tcPr>
          <w:p>
            <w:pPr>
              <w:spacing w:after="0"/>
              <w:rPr>
                <w:sz w:val="1"/>
                <w:szCs w:val="1"/>
                <w:color w:val="auto"/>
              </w:rPr>
            </w:pPr>
          </w:p>
        </w:tc>
      </w:tr>
      <w:tr>
        <w:trPr>
          <w:trHeight w:val="215"/>
        </w:trPr>
        <w:tc>
          <w:tcPr>
            <w:tcW w:w="3340" w:type="dxa"/>
            <w:vAlign w:val="bottom"/>
            <w:gridSpan w:val="3"/>
          </w:tcPr>
          <w:p>
            <w:pPr>
              <w:ind w:left="20"/>
              <w:spacing w:after="0"/>
              <w:rPr>
                <w:sz w:val="20"/>
                <w:szCs w:val="20"/>
                <w:color w:val="auto"/>
              </w:rPr>
            </w:pPr>
            <w:r>
              <w:rPr>
                <w:rFonts w:ascii="Arial" w:cs="Arial" w:eastAsia="Arial" w:hAnsi="Arial"/>
                <w:sz w:val="16"/>
                <w:szCs w:val="16"/>
                <w:color w:val="auto"/>
              </w:rPr>
              <w:t>February 1 to February 17, 2026</w:t>
            </w:r>
          </w:p>
        </w:tc>
        <w:tc>
          <w:tcPr>
            <w:tcW w:w="1880" w:type="dxa"/>
            <w:vAlign w:val="bottom"/>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2680" w:type="dxa"/>
            <w:vAlign w:val="bottom"/>
          </w:tcPr>
          <w:p>
            <w:pPr>
              <w:ind w:left="23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76,655</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6"/>
                <w:szCs w:val="16"/>
                <w:color w:val="auto"/>
              </w:rPr>
              <w:t>February 18 to February 28, 2025</w:t>
            </w:r>
          </w:p>
        </w:tc>
        <w:tc>
          <w:tcPr>
            <w:tcW w:w="1880" w:type="dxa"/>
            <w:vAlign w:val="bottom"/>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2680" w:type="dxa"/>
            <w:vAlign w:val="bottom"/>
          </w:tcPr>
          <w:p>
            <w:pPr>
              <w:ind w:left="23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76,655</w:t>
            </w: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March 1 to March 31, 2026</w:t>
            </w:r>
          </w:p>
        </w:tc>
        <w:tc>
          <w:tcPr>
            <w:tcW w:w="188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ind w:left="2320"/>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76,655</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ind w:left="2320"/>
              <w:spacing w:after="0"/>
              <w:rPr>
                <w:sz w:val="20"/>
                <w:szCs w:val="20"/>
                <w:color w:val="auto"/>
              </w:rPr>
            </w:pPr>
            <w:r>
              <w:rPr>
                <w:rFonts w:ascii="Arial" w:cs="Arial" w:eastAsia="Arial" w:hAnsi="Arial"/>
                <w:sz w:val="16"/>
                <w:szCs w:val="16"/>
                <w:color w:val="auto"/>
              </w:rPr>
              <w:t>— $</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76,655</w:t>
            </w: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21, 2025, the Company's Board of Directors authorized the Company to repurchase shares up to $ 250 million (excluding any fees, commissions, taxes or other expenses related to such purchases), which replaces the 2021 authorization. Share purchases may be made through open market purchases, privately negotiated transactions or otherwise. The program does not obligate the Company to acquire any particular amount of common stock, and it may be suspended or terminated at any time at the Company's discretion. The timing and amount of any share repurchases will be based on the Company’s liquidity, general business and market conditions, debt covenant restrictions and other factors, including alternative investment opportunities and capital structure. The Company has not repurchased shares in 2026. As of March 31, 2026, we were authorized to repurchase shares up to $76.7 million.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2026,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98"/>
        </w:trPr>
        <w:tc>
          <w:tcPr>
            <w:tcW w:w="1240" w:type="dxa"/>
            <w:vAlign w:val="bottom"/>
          </w:tcPr>
          <w:p>
            <w:pPr>
              <w:ind w:left="20"/>
              <w:spacing w:after="0" w:line="178" w:lineRule="exact"/>
              <w:rPr>
                <w:sz w:val="20"/>
                <w:szCs w:val="20"/>
                <w:color w:val="auto"/>
              </w:rPr>
            </w:pPr>
            <w:r>
              <w:rPr>
                <w:rFonts w:ascii="Arial" w:cs="Arial" w:eastAsia="Arial" w:hAnsi="Arial"/>
                <w:sz w:val="16"/>
                <w:szCs w:val="16"/>
                <w:color w:val="auto"/>
              </w:rPr>
              <w:t>31.1</w:t>
            </w:r>
          </w:p>
        </w:tc>
        <w:tc>
          <w:tcPr>
            <w:tcW w:w="7300" w:type="dxa"/>
            <w:vAlign w:val="bottom"/>
            <w:tcBorders>
              <w:left w:val="single" w:sz="8" w:color="CCEEFF"/>
              <w:bottom w:val="single" w:sz="8" w:color="0000FF"/>
            </w:tcBorders>
            <w:gridSpan w:val="3"/>
            <w:shd w:val="clear" w:color="auto" w:fill="CCEEFF"/>
          </w:tcPr>
          <w:p>
            <w:pPr>
              <w:ind w:left="20"/>
              <w:spacing w:after="0" w:line="178" w:lineRule="exact"/>
              <w:rPr>
                <w:sz w:val="20"/>
                <w:szCs w:val="20"/>
                <w:color w:val="auto"/>
              </w:rPr>
            </w:pPr>
            <w:r>
              <w:rPr>
                <w:rFonts w:ascii="Arial" w:cs="Arial" w:eastAsia="Arial" w:hAnsi="Arial"/>
                <w:sz w:val="16"/>
                <w:szCs w:val="16"/>
                <w:color w:val="0000FF"/>
              </w:rPr>
              <w:t>Certification of the Chief Executive Officer pursuant to Rule 13a-14(a)/15d-14(a) of the Exchange Act.</w:t>
            </w:r>
          </w:p>
        </w:tc>
        <w:tc>
          <w:tcPr>
            <w:tcW w:w="27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10000" w:type="dxa"/>
            <w:vAlign w:val="bottom"/>
            <w:gridSpan w:val="5"/>
          </w:tcPr>
          <w:p>
            <w:pPr>
              <w:ind w:left="20"/>
              <w:spacing w:after="0" w:line="175"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c>
          <w:tcPr>
            <w:tcW w:w="0" w:type="dxa"/>
            <w:vAlign w:val="bottom"/>
          </w:tcPr>
          <w:p>
            <w:pPr>
              <w:spacing w:after="0"/>
              <w:rPr>
                <w:sz w:val="1"/>
                <w:szCs w:val="1"/>
                <w:color w:val="auto"/>
              </w:rPr>
            </w:pPr>
          </w:p>
        </w:tc>
      </w:tr>
      <w:tr>
        <w:trPr>
          <w:trHeight w:val="21"/>
        </w:trPr>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540" w:type="dxa"/>
            <w:vAlign w:val="bottom"/>
            <w:tcBorders>
              <w:top w:val="single" w:sz="8" w:color="0000FF"/>
            </w:tcBorders>
          </w:tcPr>
          <w:p>
            <w:pPr>
              <w:spacing w:after="0" w:line="20" w:lineRule="exact"/>
              <w:rPr>
                <w:sz w:val="1"/>
                <w:szCs w:val="1"/>
                <w:color w:val="auto"/>
              </w:rPr>
            </w:pPr>
          </w:p>
        </w:tc>
        <w:tc>
          <w:tcPr>
            <w:tcW w:w="5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vMerge w:val="continue"/>
          </w:tcPr>
          <w:p>
            <w:pPr>
              <w:spacing w:after="0"/>
              <w:rPr>
                <w:sz w:val="15"/>
                <w:szCs w:val="15"/>
                <w:color w:val="auto"/>
              </w:rPr>
            </w:pPr>
          </w:p>
        </w:tc>
        <w:tc>
          <w:tcPr>
            <w:tcW w:w="10000" w:type="dxa"/>
            <w:vAlign w:val="bottom"/>
            <w:tcBorders>
              <w:left w:val="single" w:sz="8" w:color="CCEEFF"/>
            </w:tcBorders>
            <w:gridSpan w:val="5"/>
            <w:shd w:val="clear" w:color="auto" w:fill="CCEEFF"/>
          </w:tcPr>
          <w:p>
            <w:pPr>
              <w:ind w:left="20"/>
              <w:spacing w:after="0" w:line="175"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540" w:type="dxa"/>
            <w:vAlign w:val="bottom"/>
            <w:tcBorders>
              <w:top w:val="single" w:sz="8" w:color="0000FF"/>
              <w:left w:val="single" w:sz="8" w:color="CCEEFF"/>
              <w:bottom w:val="single" w:sz="8" w:color="0000FF"/>
            </w:tcBorders>
            <w:shd w:val="clear" w:color="auto" w:fill="CCEEFF"/>
          </w:tcPr>
          <w:p>
            <w:pPr>
              <w:ind w:left="20"/>
              <w:spacing w:after="0" w:line="142" w:lineRule="exact"/>
              <w:rPr>
                <w:sz w:val="20"/>
                <w:szCs w:val="20"/>
                <w:color w:val="auto"/>
              </w:rPr>
            </w:pPr>
            <w:r>
              <w:rPr>
                <w:rFonts w:ascii="Arial" w:cs="Arial" w:eastAsia="Arial" w:hAnsi="Arial"/>
                <w:sz w:val="16"/>
                <w:szCs w:val="16"/>
                <w:color w:val="0000FF"/>
              </w:rPr>
              <w:t>United States Code).</w:t>
            </w:r>
          </w:p>
        </w:tc>
        <w:tc>
          <w:tcPr>
            <w:tcW w:w="826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Arial" w:cs="Arial" w:eastAsia="Arial" w:hAnsi="Arial"/>
                <w:sz w:val="16"/>
                <w:szCs w:val="16"/>
                <w:color w:val="auto"/>
              </w:rPr>
              <w:t>101.INS</w:t>
            </w:r>
          </w:p>
        </w:tc>
        <w:tc>
          <w:tcPr>
            <w:tcW w:w="1000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within the Inline XBRL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101.CAL</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101.LAB</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104</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r>
        <w:trPr>
          <w:trHeight w:val="1007"/>
        </w:trPr>
        <w:tc>
          <w:tcPr>
            <w:tcW w:w="1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82"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April 30, 2026</w:t>
      </w:r>
      <w:r>
        <w:rPr>
          <w:sz w:val="20"/>
          <w:szCs w:val="20"/>
          <w:color w:val="auto"/>
        </w:rPr>
        <w:tab/>
      </w:r>
      <w:r>
        <w:rPr>
          <w:rFonts w:ascii="Arial" w:cs="Arial" w:eastAsia="Arial" w:hAnsi="Arial"/>
          <w:sz w:val="16"/>
          <w:szCs w:val="16"/>
          <w:color w:val="auto"/>
        </w:rPr>
        <w:t>By</w:t>
        <w:tab/>
        <w:t>/s/ Willard C.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20955</wp:posOffset>
            </wp:positionV>
            <wp:extent cx="4106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Willard C. Station</w:t>
      </w:r>
    </w:p>
    <w:p>
      <w:pPr>
        <w:ind w:left="4560"/>
        <w:spacing w:after="0" w:line="211" w:lineRule="auto"/>
        <w:rPr>
          <w:sz w:val="20"/>
          <w:szCs w:val="20"/>
          <w:color w:val="auto"/>
        </w:rPr>
      </w:pPr>
      <w:r>
        <w:rPr>
          <w:rFonts w:ascii="Arial" w:cs="Arial" w:eastAsia="Arial" w:hAnsi="Arial"/>
          <w:sz w:val="16"/>
          <w:szCs w:val="16"/>
          <w:color w:val="auto"/>
        </w:rPr>
        <w:t>Executive Vice President, Chief Financial Officer</w:t>
      </w:r>
    </w:p>
    <w:p>
      <w:pPr>
        <w:ind w:left="45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20"/>
          </w:cols>
          <w:pgMar w:left="320" w:top="1039"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Gunnar Kleveland, certify that:</w:t>
      </w:r>
    </w:p>
    <w:p>
      <w:pPr>
        <w:spacing w:after="0" w:line="11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April 30,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Gunnar Kleveland</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Willard Station, certify that:</w:t>
      </w:r>
    </w:p>
    <w:p>
      <w:pPr>
        <w:spacing w:after="0" w:line="11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April 30,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Willard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Willard Station</w:t>
      </w:r>
    </w:p>
    <w:p>
      <w:pPr>
        <w:ind w:left="4620"/>
        <w:spacing w:after="0" w:line="203" w:lineRule="auto"/>
        <w:rPr>
          <w:sz w:val="20"/>
          <w:szCs w:val="20"/>
          <w:color w:val="auto"/>
        </w:rPr>
      </w:pPr>
      <w:r>
        <w:rPr>
          <w:rFonts w:ascii="Arial" w:cs="Arial" w:eastAsia="Arial" w:hAnsi="Arial"/>
          <w:sz w:val="18"/>
          <w:szCs w:val="18"/>
          <w:color w:val="auto"/>
        </w:rPr>
        <w:t>Executive Vice President, Chief Financial Officer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2026, as filed with the Securities and Exchange Commission on the date hereof (the Report), Gunnar Kleveland, President and Chief Executive Officer, and Willard Station, Chief Financial Officer, Executive Vice President, certify, pursuant to 18 U.S.C. § 1350, as adopted pursuant to §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2"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April 30, 2026</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Gunnar Kleveland</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Willard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Willard Station</w:t>
      </w:r>
    </w:p>
    <w:p>
      <w:pPr>
        <w:ind w:left="4880"/>
        <w:spacing w:after="0" w:line="203" w:lineRule="auto"/>
        <w:rPr>
          <w:sz w:val="20"/>
          <w:szCs w:val="20"/>
          <w:color w:val="auto"/>
        </w:rPr>
      </w:pPr>
      <w:r>
        <w:rPr>
          <w:rFonts w:ascii="Arial" w:cs="Arial" w:eastAsia="Arial" w:hAnsi="Arial"/>
          <w:sz w:val="18"/>
          <w:szCs w:val="18"/>
          <w:color w:val="auto"/>
        </w:rPr>
        <w:t>Executive Vice President, Chief Financial Officer</w:t>
      </w:r>
    </w:p>
    <w:p>
      <w:pPr>
        <w:ind w:left="48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7"/>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2026-04-30T12:40:37Z</dcterms:created>
  <dcterms:modified xsi:type="dcterms:W3CDTF">2026-04-30T12:40:37Z</dcterms:modified>
</cp:coreProperties>
</file>