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4060" w:right="2000" w:hanging="4052"/>
        <w:spacing w:after="0" w:line="503" w:lineRule="auto"/>
        <w:tabs>
          <w:tab w:leader="none" w:pos="2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2013</w:t>
      </w:r>
    </w:p>
    <w:p>
      <w:pPr>
        <w:ind w:left="5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600" w:right="2000" w:hanging="3592"/>
        <w:spacing w:after="0" w:line="503" w:lineRule="auto"/>
        <w:tabs>
          <w:tab w:leader="none" w:pos="15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 to 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1-10026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ALBANY INTERNATIONAL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Delaware</w:t>
            </w:r>
          </w:p>
        </w:tc>
        <w:tc>
          <w:tcPr>
            <w:tcW w:w="53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14-0462060</w:t>
            </w:r>
          </w:p>
        </w:tc>
      </w:tr>
      <w:tr>
        <w:trPr>
          <w:trHeight w:val="191"/>
        </w:trPr>
        <w:tc>
          <w:tcPr>
            <w:tcW w:w="5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 w:type="dxa"/>
            <w:vAlign w:val="bottom"/>
          </w:tcPr>
          <w:p>
            <w:pPr>
              <w:spacing w:after="0"/>
              <w:rPr>
                <w:sz w:val="16"/>
                <w:szCs w:val="16"/>
                <w:color w:val="auto"/>
              </w:rPr>
            </w:pPr>
          </w:p>
        </w:tc>
        <w:tc>
          <w:tcPr>
            <w:tcW w:w="5360" w:type="dxa"/>
            <w:vAlign w:val="bottom"/>
            <w:tcBorders>
              <w:top w:val="single" w:sz="8" w:color="auto"/>
            </w:tcBorders>
          </w:tcPr>
          <w:p>
            <w:pPr>
              <w:ind w:left="146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60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360" w:type="dxa"/>
            <w:vAlign w:val="bottom"/>
          </w:tcPr>
          <w:p>
            <w:pPr>
              <w:spacing w:after="0"/>
              <w:rPr>
                <w:sz w:val="20"/>
                <w:szCs w:val="20"/>
                <w:color w:val="auto"/>
              </w:rPr>
            </w:pPr>
          </w:p>
        </w:tc>
      </w:tr>
      <w:tr>
        <w:trPr>
          <w:trHeight w:val="432"/>
        </w:trPr>
        <w:tc>
          <w:tcPr>
            <w:tcW w:w="6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216 Airport Drive, Rochester, New Hampshire</w:t>
            </w:r>
          </w:p>
        </w:tc>
        <w:tc>
          <w:tcPr>
            <w:tcW w:w="536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03867</w:t>
            </w:r>
          </w:p>
        </w:tc>
      </w:tr>
      <w:tr>
        <w:trPr>
          <w:trHeight w:val="228"/>
        </w:trPr>
        <w:tc>
          <w:tcPr>
            <w:tcW w:w="5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536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518-445-2200</w:t>
      </w:r>
    </w:p>
    <w:p>
      <w:pPr>
        <w:spacing w:after="0" w:line="117"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25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 ]</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8" w:lineRule="exact"/>
        <w:rPr>
          <w:sz w:val="24"/>
          <w:szCs w:val="24"/>
          <w:color w:val="auto"/>
        </w:rPr>
      </w:pPr>
    </w:p>
    <w:p>
      <w:pPr>
        <w:sectPr>
          <w:pgSz w:w="11900" w:h="16838" w:orient="portrait"/>
          <w:cols w:equalWidth="0" w:num="4">
            <w:col w:w="2160" w:space="720"/>
            <w:col w:w="2120" w:space="720"/>
            <w:col w:w="2700" w:space="720"/>
            <w:col w:w="228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28.4 million shares of Class A Common Stock and 3.2 million shares of Class B Common Stock outstanding as of July 15, 2013.</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Borders>
              <w:bottom w:val="single" w:sz="8" w:color="auto"/>
            </w:tcBorders>
          </w:tcPr>
          <w:p>
            <w:pPr>
              <w:jc w:val="right"/>
              <w:ind w:right="154"/>
              <w:spacing w:after="0" w:line="203" w:lineRule="exact"/>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424"/>
        </w:trPr>
        <w:tc>
          <w:tcPr>
            <w:tcW w:w="1006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6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gridSpan w:val="16"/>
          </w:tcPr>
          <w:p>
            <w:pPr>
              <w:spacing w:after="0" w:line="199"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three and six months ended June 30, 2013 and 2012</w:t>
              </w:r>
            </w:hyperlink>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 three and six months ended June 30, 2013 and 2012</w:t>
              </w:r>
            </w:hyperlink>
          </w:p>
        </w:tc>
        <w:tc>
          <w:tcPr>
            <w:tcW w:w="10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June 30, 2013 and December 31, 2012</w:t>
              </w:r>
            </w:hyperlink>
          </w:p>
        </w:tc>
        <w:tc>
          <w:tcPr>
            <w:tcW w:w="3820" w:type="dxa"/>
            <w:vAlign w:val="bottom"/>
            <w:gridSpan w:val="5"/>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 – three and six months ended June 30, 2013 and 2012</w:t>
              </w:r>
            </w:hyperlink>
          </w:p>
        </w:tc>
        <w:tc>
          <w:tcPr>
            <w:tcW w:w="1960" w:type="dxa"/>
            <w:vAlign w:val="bottom"/>
            <w:gridSpan w:val="3"/>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6080" w:type="dxa"/>
            <w:vAlign w:val="bottom"/>
            <w:gridSpan w:val="8"/>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2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Forward-looking statements</w:t>
              </w:r>
            </w:hyperlink>
          </w:p>
        </w:tc>
        <w:tc>
          <w:tcPr>
            <w:tcW w:w="7380" w:type="dxa"/>
            <w:vAlign w:val="bottom"/>
            <w:gridSpan w:val="11"/>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6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Item 2. Management’s Discussion and Analysis of Financial Condition and Results of Operations</w:t>
              </w:r>
            </w:hyperlink>
          </w:p>
        </w:tc>
        <w:tc>
          <w:tcPr>
            <w:tcW w:w="1920" w:type="dxa"/>
            <w:vAlign w:val="bottom"/>
            <w:gridSpan w:val="2"/>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60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 Quantitative and Qualitative Disclosures about Market Risk</w:t>
              </w:r>
            </w:hyperlink>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80" w:type="dxa"/>
            <w:vAlign w:val="bottom"/>
            <w:tcBorders>
              <w:top w:val="single" w:sz="8" w:color="0000EE"/>
            </w:tcBorders>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Controls and Procedures</w:t>
              </w:r>
            </w:hyperlink>
          </w:p>
        </w:tc>
        <w:tc>
          <w:tcPr>
            <w:tcW w:w="4320" w:type="dxa"/>
            <w:vAlign w:val="bottom"/>
            <w:gridSpan w:val="7"/>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06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6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 Legal Proceedings</w:t>
              </w:r>
            </w:hyperlink>
          </w:p>
        </w:tc>
        <w:tc>
          <w:tcPr>
            <w:tcW w:w="136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7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9"/>
                <w:szCs w:val="19"/>
                <w:color w:val="auto"/>
              </w:rPr>
            </w:pPr>
          </w:p>
        </w:tc>
        <w:tc>
          <w:tcPr>
            <w:tcW w:w="7520" w:type="dxa"/>
            <w:vAlign w:val="bottom"/>
            <w:gridSpan w:val="12"/>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60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Unregistered Sales of Equity Securities and Use of Proceeds</w:t>
              </w:r>
            </w:hyperlink>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1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9"/>
                <w:szCs w:val="19"/>
                <w:color w:val="auto"/>
              </w:rPr>
            </w:pPr>
          </w:p>
        </w:tc>
        <w:tc>
          <w:tcPr>
            <w:tcW w:w="4160" w:type="dxa"/>
            <w:vAlign w:val="bottom"/>
            <w:gridSpan w:val="6"/>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60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 Mine Safety Disclosures</w:t>
              </w:r>
            </w:hyperlink>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3"/>
          </w:tcPr>
          <w:p>
            <w:pPr>
              <w:spacing w:after="0"/>
              <w:rPr>
                <w:sz w:val="19"/>
                <w:szCs w:val="19"/>
                <w:color w:val="auto"/>
              </w:rPr>
            </w:pPr>
          </w:p>
        </w:tc>
        <w:tc>
          <w:tcPr>
            <w:tcW w:w="7020" w:type="dxa"/>
            <w:vAlign w:val="bottom"/>
            <w:gridSpan w:val="10"/>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60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547"/>
        </w:trPr>
        <w:tc>
          <w:tcPr>
            <w:tcW w:w="480" w:type="dxa"/>
            <w:vAlign w:val="bottom"/>
            <w:gridSpan w:val="2"/>
          </w:tcPr>
          <w:p>
            <w:pPr>
              <w:spacing w:after="0"/>
              <w:rPr>
                <w:sz w:val="24"/>
                <w:szCs w:val="24"/>
                <w:color w:val="auto"/>
              </w:rPr>
            </w:pPr>
          </w:p>
        </w:tc>
        <w:tc>
          <w:tcPr>
            <w:tcW w:w="1200" w:type="dxa"/>
            <w:vAlign w:val="bottom"/>
            <w:tcBorders>
              <w:top w:val="single" w:sz="8" w:color="0000EE"/>
            </w:tcBorders>
            <w:gridSpan w:val="2"/>
          </w:tcPr>
          <w:p>
            <w:pPr>
              <w:spacing w:after="0"/>
              <w:rPr>
                <w:sz w:val="24"/>
                <w:szCs w:val="24"/>
                <w:color w:val="auto"/>
              </w:rPr>
            </w:pPr>
          </w:p>
        </w:tc>
        <w:tc>
          <w:tcPr>
            <w:tcW w:w="422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60" w:type="dxa"/>
            <w:vAlign w:val="bottom"/>
            <w:tcBorders>
              <w:right w:val="single" w:sz="8" w:color="auto"/>
            </w:tcBorders>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Pr>
          <w:p>
            <w:pPr>
              <w:jc w:val="center"/>
              <w:ind w:right="110"/>
              <w:spacing w:after="0"/>
              <w:rPr>
                <w:sz w:val="20"/>
                <w:szCs w:val="20"/>
                <w:color w:val="auto"/>
              </w:rPr>
            </w:pPr>
            <w:r>
              <w:rPr>
                <w:rFonts w:ascii="Arial" w:cs="Arial" w:eastAsia="Arial" w:hAnsi="Arial"/>
                <w:sz w:val="18"/>
                <w:szCs w:val="18"/>
                <w:color w:val="auto"/>
                <w:w w:val="98"/>
              </w:rPr>
              <w:t>ALBANY INTERNATIONAL CORP.</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8"/>
              </w:rPr>
              <w:t>CONSOLIDATED STATEMENTS OF OPERATIONS</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(in thousands, except per share data)</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00" w:type="dxa"/>
            <w:vAlign w:val="bottom"/>
            <w:gridSpan w:val="5"/>
            <w:vMerge w:val="restart"/>
          </w:tcPr>
          <w:p>
            <w:pPr>
              <w:jc w:val="center"/>
              <w:ind w:right="200"/>
              <w:spacing w:after="0"/>
              <w:rPr>
                <w:sz w:val="20"/>
                <w:szCs w:val="20"/>
                <w:color w:val="auto"/>
              </w:rPr>
            </w:pPr>
            <w:r>
              <w:rPr>
                <w:rFonts w:ascii="Arial" w:cs="Arial" w:eastAsia="Arial" w:hAnsi="Arial"/>
                <w:sz w:val="18"/>
                <w:szCs w:val="18"/>
                <w:color w:val="auto"/>
                <w:w w:val="99"/>
              </w:rPr>
              <w:t>Three Months Ended</w:t>
            </w:r>
          </w:p>
        </w:tc>
        <w:tc>
          <w:tcPr>
            <w:tcW w:w="5220" w:type="dxa"/>
            <w:vAlign w:val="bottom"/>
          </w:tcPr>
          <w:p>
            <w:pPr>
              <w:jc w:val="center"/>
              <w:ind w:right="110"/>
              <w:spacing w:after="0"/>
              <w:rPr>
                <w:sz w:val="20"/>
                <w:szCs w:val="20"/>
                <w:color w:val="auto"/>
              </w:rPr>
            </w:pPr>
            <w:r>
              <w:rPr>
                <w:rFonts w:ascii="Arial" w:cs="Arial" w:eastAsia="Arial" w:hAnsi="Arial"/>
                <w:sz w:val="18"/>
                <w:szCs w:val="18"/>
                <w:color w:val="auto"/>
                <w:w w:val="98"/>
              </w:rPr>
              <w:t>(unaudited)</w:t>
            </w:r>
          </w:p>
        </w:tc>
        <w:tc>
          <w:tcPr>
            <w:tcW w:w="3020" w:type="dxa"/>
            <w:vAlign w:val="bottom"/>
            <w:gridSpan w:val="5"/>
            <w:vMerge w:val="restart"/>
          </w:tcPr>
          <w:p>
            <w:pPr>
              <w:jc w:val="center"/>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6"/>
        </w:trPr>
        <w:tc>
          <w:tcPr>
            <w:tcW w:w="3200" w:type="dxa"/>
            <w:vAlign w:val="bottom"/>
            <w:gridSpan w:val="5"/>
            <w:vMerge w:val="continue"/>
          </w:tcPr>
          <w:p>
            <w:pPr>
              <w:spacing w:after="0"/>
              <w:rPr>
                <w:sz w:val="18"/>
                <w:szCs w:val="18"/>
                <w:color w:val="auto"/>
              </w:rPr>
            </w:pPr>
          </w:p>
        </w:tc>
        <w:tc>
          <w:tcPr>
            <w:tcW w:w="5220" w:type="dxa"/>
            <w:vAlign w:val="bottom"/>
          </w:tcPr>
          <w:p>
            <w:pPr>
              <w:spacing w:after="0"/>
              <w:rPr>
                <w:sz w:val="18"/>
                <w:szCs w:val="18"/>
                <w:color w:val="auto"/>
              </w:rPr>
            </w:pPr>
          </w:p>
        </w:tc>
        <w:tc>
          <w:tcPr>
            <w:tcW w:w="30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jc w:val="center"/>
              <w:ind w:left="930"/>
              <w:spacing w:after="0"/>
              <w:rPr>
                <w:sz w:val="20"/>
                <w:szCs w:val="20"/>
                <w:color w:val="auto"/>
              </w:rPr>
            </w:pPr>
            <w:r>
              <w:rPr>
                <w:rFonts w:ascii="Arial" w:cs="Arial" w:eastAsia="Arial" w:hAnsi="Arial"/>
                <w:sz w:val="18"/>
                <w:szCs w:val="18"/>
                <w:color w:val="auto"/>
                <w:w w:val="98"/>
              </w:rPr>
              <w:t>June 30,</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980" w:type="dxa"/>
            <w:vAlign w:val="bottom"/>
            <w:gridSpan w:val="3"/>
          </w:tcPr>
          <w:p>
            <w:pPr>
              <w:jc w:val="center"/>
              <w:ind w:left="930"/>
              <w:spacing w:after="0"/>
              <w:rPr>
                <w:sz w:val="20"/>
                <w:szCs w:val="20"/>
                <w:color w:val="auto"/>
              </w:rPr>
            </w:pPr>
            <w:r>
              <w:rPr>
                <w:rFonts w:ascii="Arial" w:cs="Arial" w:eastAsia="Arial" w:hAnsi="Arial"/>
                <w:sz w:val="18"/>
                <w:szCs w:val="18"/>
                <w:color w:val="auto"/>
                <w:w w:val="98"/>
              </w:rPr>
              <w:t>June 30,</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$197,974</w:t>
            </w:r>
          </w:p>
        </w:tc>
        <w:tc>
          <w:tcPr>
            <w:tcW w:w="320" w:type="dxa"/>
            <w:vAlign w:val="bottom"/>
            <w:shd w:val="clear" w:color="auto" w:fill="C0C0C0"/>
          </w:tcPr>
          <w:p>
            <w:pPr>
              <w:spacing w:after="0"/>
              <w:rPr>
                <w:sz w:val="17"/>
                <w:szCs w:val="17"/>
                <w:color w:val="auto"/>
              </w:rPr>
            </w:pPr>
          </w:p>
        </w:tc>
        <w:tc>
          <w:tcPr>
            <w:tcW w:w="122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$191,940</w:t>
            </w:r>
          </w:p>
        </w:tc>
        <w:tc>
          <w:tcPr>
            <w:tcW w:w="5220" w:type="dxa"/>
            <w:vAlign w:val="bottom"/>
            <w:shd w:val="clear" w:color="auto" w:fill="C0C0C0"/>
          </w:tcPr>
          <w:p>
            <w:pPr>
              <w:ind w:left="220"/>
              <w:spacing w:after="0" w:line="202" w:lineRule="exact"/>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$384,628</w:t>
            </w:r>
          </w:p>
        </w:tc>
        <w:tc>
          <w:tcPr>
            <w:tcW w:w="320" w:type="dxa"/>
            <w:vAlign w:val="bottom"/>
            <w:shd w:val="clear" w:color="auto" w:fill="C0C0C0"/>
          </w:tcPr>
          <w:p>
            <w:pPr>
              <w:spacing w:after="0"/>
              <w:rPr>
                <w:sz w:val="17"/>
                <w:szCs w:val="17"/>
                <w:color w:val="auto"/>
              </w:rPr>
            </w:pPr>
          </w:p>
        </w:tc>
        <w:tc>
          <w:tcPr>
            <w:tcW w:w="10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$372,017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120,541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113,440</w:t>
            </w:r>
          </w:p>
        </w:tc>
        <w:tc>
          <w:tcPr>
            <w:tcW w:w="20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340" w:type="dxa"/>
            <w:vAlign w:val="bottom"/>
          </w:tcPr>
          <w:p>
            <w:pPr>
              <w:jc w:val="right"/>
              <w:spacing w:after="0"/>
              <w:rPr>
                <w:sz w:val="20"/>
                <w:szCs w:val="20"/>
                <w:color w:val="auto"/>
              </w:rPr>
            </w:pPr>
            <w:r>
              <w:rPr>
                <w:rFonts w:ascii="Arial" w:cs="Arial" w:eastAsia="Arial" w:hAnsi="Arial"/>
                <w:sz w:val="18"/>
                <w:szCs w:val="18"/>
                <w:color w:val="auto"/>
              </w:rPr>
              <w:t>234,426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0C0C0"/>
          </w:tcPr>
          <w:p>
            <w:pPr>
              <w:jc w:val="right"/>
              <w:ind w:right="320"/>
              <w:spacing w:after="0" w:line="202" w:lineRule="exact"/>
              <w:rPr>
                <w:sz w:val="20"/>
                <w:szCs w:val="20"/>
                <w:color w:val="auto"/>
              </w:rPr>
            </w:pPr>
            <w:r>
              <w:rPr>
                <w:rFonts w:ascii="Arial" w:cs="Arial" w:eastAsia="Arial" w:hAnsi="Arial"/>
                <w:sz w:val="18"/>
                <w:szCs w:val="18"/>
                <w:color w:val="auto"/>
              </w:rPr>
              <w:t>77,433</w:t>
            </w:r>
          </w:p>
        </w:tc>
        <w:tc>
          <w:tcPr>
            <w:tcW w:w="320" w:type="dxa"/>
            <w:vAlign w:val="bottom"/>
            <w:shd w:val="clear" w:color="auto" w:fill="C0C0C0"/>
          </w:tcPr>
          <w:p>
            <w:pPr>
              <w:spacing w:after="0"/>
              <w:rPr>
                <w:sz w:val="17"/>
                <w:szCs w:val="17"/>
                <w:color w:val="auto"/>
              </w:rPr>
            </w:pPr>
          </w:p>
        </w:tc>
        <w:tc>
          <w:tcPr>
            <w:tcW w:w="1220" w:type="dxa"/>
            <w:vAlign w:val="bottom"/>
            <w:gridSpan w:val="2"/>
            <w:shd w:val="clear" w:color="auto" w:fill="C0C0C0"/>
          </w:tcPr>
          <w:p>
            <w:pPr>
              <w:jc w:val="right"/>
              <w:ind w:right="200"/>
              <w:spacing w:after="0" w:line="202" w:lineRule="exact"/>
              <w:rPr>
                <w:sz w:val="20"/>
                <w:szCs w:val="20"/>
                <w:color w:val="auto"/>
              </w:rPr>
            </w:pPr>
            <w:r>
              <w:rPr>
                <w:rFonts w:ascii="Arial" w:cs="Arial" w:eastAsia="Arial" w:hAnsi="Arial"/>
                <w:sz w:val="18"/>
                <w:szCs w:val="18"/>
                <w:color w:val="auto"/>
              </w:rPr>
              <w:t>78,500</w:t>
            </w:r>
          </w:p>
        </w:tc>
        <w:tc>
          <w:tcPr>
            <w:tcW w:w="5220" w:type="dxa"/>
            <w:vAlign w:val="bottom"/>
            <w:shd w:val="clear" w:color="auto" w:fill="C0C0C0"/>
          </w:tcPr>
          <w:p>
            <w:pPr>
              <w:ind w:left="220"/>
              <w:spacing w:after="0" w:line="202" w:lineRule="exact"/>
              <w:rPr>
                <w:sz w:val="20"/>
                <w:szCs w:val="20"/>
                <w:color w:val="auto"/>
              </w:rPr>
            </w:pPr>
            <w:r>
              <w:rPr>
                <w:rFonts w:ascii="Arial" w:cs="Arial" w:eastAsia="Arial" w:hAnsi="Arial"/>
                <w:sz w:val="18"/>
                <w:szCs w:val="18"/>
                <w:color w:val="auto"/>
              </w:rPr>
              <w:t>Gross profit</w:t>
            </w:r>
          </w:p>
        </w:tc>
        <w:tc>
          <w:tcPr>
            <w:tcW w:w="134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150,202</w:t>
            </w:r>
          </w:p>
        </w:tc>
        <w:tc>
          <w:tcPr>
            <w:tcW w:w="32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146,786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41,994</w:t>
            </w:r>
          </w:p>
        </w:tc>
        <w:tc>
          <w:tcPr>
            <w:tcW w:w="3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37,146</w:t>
            </w: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78,547</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14,631</w:t>
            </w:r>
          </w:p>
        </w:tc>
        <w:tc>
          <w:tcPr>
            <w:tcW w:w="320" w:type="dxa"/>
            <w:vAlign w:val="bottom"/>
            <w:shd w:val="clear" w:color="auto" w:fill="BFBFBF"/>
          </w:tcPr>
          <w:p>
            <w:pPr>
              <w:spacing w:after="0"/>
              <w:rPr>
                <w:sz w:val="17"/>
                <w:szCs w:val="17"/>
                <w:color w:val="auto"/>
              </w:rPr>
            </w:pPr>
          </w:p>
        </w:tc>
        <w:tc>
          <w:tcPr>
            <w:tcW w:w="122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13,646</w:t>
            </w:r>
          </w:p>
        </w:tc>
        <w:tc>
          <w:tcPr>
            <w:tcW w:w="5220" w:type="dxa"/>
            <w:vAlign w:val="bottom"/>
            <w:shd w:val="clear" w:color="auto" w:fill="BFBFBF"/>
          </w:tcPr>
          <w:p>
            <w:pPr>
              <w:ind w:left="36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27,693</w:t>
            </w:r>
          </w:p>
        </w:tc>
        <w:tc>
          <w:tcPr>
            <w:tcW w:w="32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26,385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24,321</w:t>
            </w:r>
          </w:p>
        </w:tc>
        <w:tc>
          <w:tcPr>
            <w:tcW w:w="3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3,152</w:t>
            </w: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Restructuring and other, net</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24,957</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8"/>
                <w:szCs w:val="18"/>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110,560</w:t>
            </w:r>
          </w:p>
        </w:tc>
        <w:tc>
          <w:tcPr>
            <w:tcW w:w="200" w:type="dxa"/>
            <w:vAlign w:val="bottom"/>
            <w:shd w:val="clear" w:color="auto" w:fill="BFBFBF"/>
          </w:tcPr>
          <w:p>
            <w:pPr>
              <w:spacing w:after="0"/>
              <w:rPr>
                <w:sz w:val="18"/>
                <w:szCs w:val="18"/>
                <w:color w:val="auto"/>
              </w:rPr>
            </w:pPr>
          </w:p>
        </w:tc>
        <w:tc>
          <w:tcPr>
            <w:tcW w:w="5220" w:type="dxa"/>
            <w:vAlign w:val="bottom"/>
            <w:shd w:val="clear" w:color="auto" w:fill="BFBFBF"/>
          </w:tcPr>
          <w:p>
            <w:pPr>
              <w:ind w:left="360"/>
              <w:spacing w:after="0"/>
              <w:rPr>
                <w:sz w:val="20"/>
                <w:szCs w:val="20"/>
                <w:color w:val="auto"/>
              </w:rPr>
            </w:pPr>
            <w:r>
              <w:rPr>
                <w:rFonts w:ascii="Arial" w:cs="Arial" w:eastAsia="Arial" w:hAnsi="Arial"/>
                <w:sz w:val="18"/>
                <w:szCs w:val="18"/>
                <w:color w:val="auto"/>
              </w:rPr>
              <w:t>Pension settlement expense</w:t>
            </w:r>
          </w:p>
        </w:tc>
        <w:tc>
          <w:tcPr>
            <w:tcW w:w="13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8"/>
                <w:szCs w:val="18"/>
                <w:color w:val="auto"/>
              </w:rPr>
            </w:pPr>
          </w:p>
        </w:tc>
        <w:tc>
          <w:tcPr>
            <w:tcW w:w="320" w:type="dxa"/>
            <w:vAlign w:val="bottom"/>
            <w:shd w:val="clear" w:color="auto" w:fill="BFBFBF"/>
          </w:tcPr>
          <w:p>
            <w:pPr>
              <w:spacing w:after="0"/>
              <w:rPr>
                <w:sz w:val="18"/>
                <w:szCs w:val="18"/>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119,735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(3,513)</w:t>
            </w:r>
          </w:p>
        </w:tc>
        <w:tc>
          <w:tcPr>
            <w:tcW w:w="320" w:type="dxa"/>
            <w:vAlign w:val="bottom"/>
            <w:shd w:val="clear" w:color="auto" w:fill="BFBFBF"/>
          </w:tcPr>
          <w:p>
            <w:pPr>
              <w:spacing w:after="0"/>
              <w:rPr>
                <w:sz w:val="17"/>
                <w:szCs w:val="17"/>
                <w:color w:val="auto"/>
              </w:rPr>
            </w:pPr>
          </w:p>
        </w:tc>
        <w:tc>
          <w:tcPr>
            <w:tcW w:w="122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(86,004)</w:t>
            </w:r>
          </w:p>
        </w:tc>
        <w:tc>
          <w:tcPr>
            <w:tcW w:w="5220" w:type="dxa"/>
            <w:vAlign w:val="bottom"/>
            <w:shd w:val="clear" w:color="auto" w:fill="BFBFBF"/>
          </w:tcPr>
          <w:p>
            <w:pPr>
              <w:ind w:left="220"/>
              <w:spacing w:after="0" w:line="202" w:lineRule="exact"/>
              <w:rPr>
                <w:sz w:val="20"/>
                <w:szCs w:val="20"/>
                <w:color w:val="auto"/>
              </w:rPr>
            </w:pPr>
            <w:r>
              <w:rPr>
                <w:rFonts w:ascii="Arial" w:cs="Arial" w:eastAsia="Arial" w:hAnsi="Arial"/>
                <w:sz w:val="18"/>
                <w:szCs w:val="18"/>
                <w:color w:val="auto"/>
              </w:rPr>
              <w:t>Operating income/(loss)</w:t>
            </w:r>
          </w:p>
        </w:tc>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19,005</w:t>
            </w:r>
          </w:p>
        </w:tc>
        <w:tc>
          <w:tcPr>
            <w:tcW w:w="32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(86,913)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3,547</w:t>
            </w:r>
          </w:p>
        </w:tc>
        <w:tc>
          <w:tcPr>
            <w:tcW w:w="3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3,969</w:t>
            </w: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 net</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7,572</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2,211</w:t>
            </w:r>
          </w:p>
        </w:tc>
        <w:tc>
          <w:tcPr>
            <w:tcW w:w="32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(2,555)</w:t>
            </w:r>
          </w:p>
        </w:tc>
        <w:tc>
          <w:tcPr>
            <w:tcW w:w="200" w:type="dxa"/>
            <w:vAlign w:val="bottom"/>
            <w:shd w:val="clear" w:color="auto" w:fill="BFBFBF"/>
          </w:tcPr>
          <w:p>
            <w:pPr>
              <w:spacing w:after="0"/>
              <w:rPr>
                <w:sz w:val="18"/>
                <w:szCs w:val="18"/>
                <w:color w:val="auto"/>
              </w:rPr>
            </w:pPr>
          </w:p>
        </w:tc>
        <w:tc>
          <w:tcPr>
            <w:tcW w:w="5220" w:type="dxa"/>
            <w:vAlign w:val="bottom"/>
            <w:shd w:val="clear" w:color="auto" w:fill="BFBFBF"/>
          </w:tcPr>
          <w:p>
            <w:pPr>
              <w:ind w:left="360"/>
              <w:spacing w:after="0"/>
              <w:rPr>
                <w:sz w:val="20"/>
                <w:szCs w:val="20"/>
                <w:color w:val="auto"/>
              </w:rPr>
            </w:pPr>
            <w:r>
              <w:rPr>
                <w:rFonts w:ascii="Arial" w:cs="Arial" w:eastAsia="Arial" w:hAnsi="Arial"/>
                <w:sz w:val="18"/>
                <w:szCs w:val="18"/>
                <w:color w:val="auto"/>
              </w:rPr>
              <w:t>Other expense/(income), net</w:t>
            </w:r>
          </w:p>
        </w:tc>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2,945</w:t>
            </w:r>
          </w:p>
        </w:tc>
        <w:tc>
          <w:tcPr>
            <w:tcW w:w="32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(9,271)</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(87,418)</w:t>
            </w:r>
          </w:p>
        </w:tc>
        <w:tc>
          <w:tcPr>
            <w:tcW w:w="5220" w:type="dxa"/>
            <w:vAlign w:val="bottom"/>
          </w:tcPr>
          <w:p>
            <w:pPr>
              <w:ind w:left="220"/>
              <w:spacing w:after="0"/>
              <w:rPr>
                <w:sz w:val="20"/>
                <w:szCs w:val="20"/>
                <w:color w:val="auto"/>
              </w:rPr>
            </w:pPr>
            <w:r>
              <w:rPr>
                <w:rFonts w:ascii="Arial" w:cs="Arial" w:eastAsia="Arial" w:hAnsi="Arial"/>
                <w:sz w:val="18"/>
                <w:szCs w:val="18"/>
                <w:color w:val="auto"/>
              </w:rPr>
              <w:t>Income/(loss) before income taxes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8,488</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(97,519)</w:t>
            </w: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(2,243)</w:t>
            </w:r>
          </w:p>
        </w:tc>
        <w:tc>
          <w:tcPr>
            <w:tcW w:w="32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(29,643)</w:t>
            </w:r>
          </w:p>
        </w:tc>
        <w:tc>
          <w:tcPr>
            <w:tcW w:w="200" w:type="dxa"/>
            <w:vAlign w:val="bottom"/>
            <w:shd w:val="clear" w:color="auto" w:fill="BFBFBF"/>
          </w:tcPr>
          <w:p>
            <w:pPr>
              <w:spacing w:after="0"/>
              <w:rPr>
                <w:sz w:val="18"/>
                <w:szCs w:val="18"/>
                <w:color w:val="auto"/>
              </w:rPr>
            </w:pPr>
          </w:p>
        </w:tc>
        <w:tc>
          <w:tcPr>
            <w:tcW w:w="5220" w:type="dxa"/>
            <w:vAlign w:val="bottom"/>
            <w:shd w:val="clear" w:color="auto" w:fill="BFBFBF"/>
          </w:tcPr>
          <w:p>
            <w:pPr>
              <w:ind w:left="360"/>
              <w:spacing w:after="0"/>
              <w:rPr>
                <w:sz w:val="20"/>
                <w:szCs w:val="20"/>
                <w:color w:val="auto"/>
              </w:rPr>
            </w:pPr>
            <w:r>
              <w:rPr>
                <w:rFonts w:ascii="Arial" w:cs="Arial" w:eastAsia="Arial" w:hAnsi="Arial"/>
                <w:sz w:val="18"/>
                <w:szCs w:val="18"/>
                <w:color w:val="auto"/>
              </w:rPr>
              <w:t>Income tax expense/(benefit)</w:t>
            </w:r>
          </w:p>
        </w:tc>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4,005</w:t>
            </w:r>
          </w:p>
        </w:tc>
        <w:tc>
          <w:tcPr>
            <w:tcW w:w="32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(39,615)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(7,028)</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(57,775)</w:t>
            </w:r>
          </w:p>
        </w:tc>
        <w:tc>
          <w:tcPr>
            <w:tcW w:w="5220" w:type="dxa"/>
            <w:vAlign w:val="bottom"/>
          </w:tcPr>
          <w:p>
            <w:pPr>
              <w:ind w:left="220"/>
              <w:spacing w:after="0"/>
              <w:rPr>
                <w:sz w:val="20"/>
                <w:szCs w:val="20"/>
                <w:color w:val="auto"/>
              </w:rPr>
            </w:pPr>
            <w:r>
              <w:rPr>
                <w:rFonts w:ascii="Arial" w:cs="Arial" w:eastAsia="Arial" w:hAnsi="Arial"/>
                <w:sz w:val="18"/>
                <w:szCs w:val="18"/>
                <w:color w:val="auto"/>
              </w:rPr>
              <w:t>Income/(loss) from continuing operations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4,483</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(57,904)</w:t>
            </w:r>
          </w:p>
        </w:tc>
        <w:tc>
          <w:tcPr>
            <w:tcW w:w="0" w:type="dxa"/>
            <w:vAlign w:val="bottom"/>
          </w:tcPr>
          <w:p>
            <w:pPr>
              <w:spacing w:after="0"/>
              <w:rPr>
                <w:sz w:val="1"/>
                <w:szCs w:val="1"/>
                <w:color w:val="auto"/>
              </w:rPr>
            </w:pPr>
          </w:p>
        </w:tc>
      </w:tr>
      <w:tr>
        <w:trPr>
          <w:trHeight w:val="237"/>
        </w:trPr>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(575)</w:t>
            </w:r>
          </w:p>
        </w:tc>
        <w:tc>
          <w:tcPr>
            <w:tcW w:w="320" w:type="dxa"/>
            <w:vAlign w:val="bottom"/>
            <w:shd w:val="clear" w:color="auto" w:fill="BFBFBF"/>
          </w:tcPr>
          <w:p>
            <w:pPr>
              <w:spacing w:after="0"/>
              <w:rPr>
                <w:sz w:val="17"/>
                <w:szCs w:val="17"/>
                <w:color w:val="auto"/>
              </w:rPr>
            </w:pPr>
          </w:p>
        </w:tc>
        <w:tc>
          <w:tcPr>
            <w:tcW w:w="122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2,760</w:t>
            </w:r>
          </w:p>
        </w:tc>
        <w:tc>
          <w:tcPr>
            <w:tcW w:w="5220" w:type="dxa"/>
            <w:vAlign w:val="bottom"/>
            <w:shd w:val="clear" w:color="auto" w:fill="BFBFBF"/>
          </w:tcPr>
          <w:p>
            <w:pPr>
              <w:ind w:left="360"/>
              <w:spacing w:after="0" w:line="202" w:lineRule="exact"/>
              <w:rPr>
                <w:sz w:val="20"/>
                <w:szCs w:val="20"/>
                <w:color w:val="auto"/>
              </w:rPr>
            </w:pPr>
            <w:r>
              <w:rPr>
                <w:rFonts w:ascii="Arial" w:cs="Arial" w:eastAsia="Arial" w:hAnsi="Arial"/>
                <w:sz w:val="18"/>
                <w:szCs w:val="18"/>
                <w:color w:val="auto"/>
              </w:rPr>
              <w:t>(Loss)/income from operations of discontinued business</w:t>
            </w:r>
          </w:p>
        </w:tc>
        <w:tc>
          <w:tcPr>
            <w:tcW w:w="13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c>
          <w:tcPr>
            <w:tcW w:w="32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34,709</w:t>
            </w: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Gain on sale of discontinued business</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BFBFBF"/>
          </w:tcPr>
          <w:p>
            <w:pPr>
              <w:spacing w:after="0"/>
              <w:rPr>
                <w:sz w:val="18"/>
                <w:szCs w:val="18"/>
                <w:color w:val="auto"/>
              </w:rPr>
            </w:pPr>
          </w:p>
        </w:tc>
        <w:tc>
          <w:tcPr>
            <w:tcW w:w="1220" w:type="dxa"/>
            <w:vAlign w:val="bottom"/>
            <w:gridSpan w:val="2"/>
            <w:shd w:val="clear" w:color="auto" w:fill="BFBFBF"/>
          </w:tcPr>
          <w:p>
            <w:pPr>
              <w:jc w:val="right"/>
              <w:ind w:right="200"/>
              <w:spacing w:after="0"/>
              <w:rPr>
                <w:sz w:val="20"/>
                <w:szCs w:val="20"/>
                <w:color w:val="auto"/>
              </w:rPr>
            </w:pPr>
            <w:r>
              <w:rPr>
                <w:rFonts w:ascii="Arial" w:cs="Arial" w:eastAsia="Arial" w:hAnsi="Arial"/>
                <w:sz w:val="18"/>
                <w:szCs w:val="18"/>
                <w:color w:val="auto"/>
              </w:rPr>
              <w:t>13,439</w:t>
            </w:r>
          </w:p>
        </w:tc>
        <w:tc>
          <w:tcPr>
            <w:tcW w:w="5220" w:type="dxa"/>
            <w:vAlign w:val="bottom"/>
            <w:shd w:val="clear" w:color="auto" w:fill="BFBFBF"/>
          </w:tcPr>
          <w:p>
            <w:pPr>
              <w:ind w:left="360"/>
              <w:spacing w:after="0"/>
              <w:rPr>
                <w:sz w:val="20"/>
                <w:szCs w:val="20"/>
                <w:color w:val="auto"/>
              </w:rPr>
            </w:pPr>
            <w:r>
              <w:rPr>
                <w:rFonts w:ascii="Arial" w:cs="Arial" w:eastAsia="Arial" w:hAnsi="Arial"/>
                <w:sz w:val="18"/>
                <w:szCs w:val="18"/>
                <w:color w:val="auto"/>
              </w:rPr>
              <w:t>Income tax (benefit)/expense on discontinued operations</w:t>
            </w:r>
          </w:p>
        </w:tc>
        <w:tc>
          <w:tcPr>
            <w:tcW w:w="13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BFBFBF"/>
          </w:tcPr>
          <w:p>
            <w:pPr>
              <w:spacing w:after="0"/>
              <w:rPr>
                <w:sz w:val="18"/>
                <w:szCs w:val="18"/>
                <w:color w:val="auto"/>
              </w:rPr>
            </w:pPr>
          </w:p>
        </w:tc>
        <w:tc>
          <w:tcPr>
            <w:tcW w:w="320" w:type="dxa"/>
            <w:vAlign w:val="bottom"/>
            <w:shd w:val="clear" w:color="auto" w:fill="BFBFBF"/>
          </w:tcPr>
          <w:p>
            <w:pPr>
              <w:spacing w:after="0"/>
              <w:rPr>
                <w:sz w:val="18"/>
                <w:szCs w:val="18"/>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26,253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w:t>
            </w:r>
          </w:p>
        </w:tc>
        <w:tc>
          <w:tcPr>
            <w:tcW w:w="320" w:type="dxa"/>
            <w:vAlign w:val="bottom"/>
            <w:tcBorders>
              <w:bottom w:val="single" w:sz="8" w:color="BFBFB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24,030</w:t>
            </w:r>
          </w:p>
        </w:tc>
        <w:tc>
          <w:tcPr>
            <w:tcW w:w="200" w:type="dxa"/>
            <w:vAlign w:val="bottom"/>
            <w:tcBorders>
              <w:bottom w:val="single" w:sz="8" w:color="BFBFBF"/>
            </w:tcBorders>
          </w:tcPr>
          <w:p>
            <w:pPr>
              <w:spacing w:after="0"/>
              <w:rPr>
                <w:sz w:val="17"/>
                <w:szCs w:val="17"/>
                <w:color w:val="auto"/>
              </w:rPr>
            </w:pPr>
          </w:p>
        </w:tc>
        <w:tc>
          <w:tcPr>
            <w:tcW w:w="5220" w:type="dxa"/>
            <w:vAlign w:val="bottom"/>
            <w:tcBorders>
              <w:bottom w:val="single" w:sz="8" w:color="BFBFBF"/>
            </w:tcBorders>
          </w:tcPr>
          <w:p>
            <w:pPr>
              <w:ind w:left="220"/>
              <w:spacing w:after="0" w:line="196" w:lineRule="exact"/>
              <w:rPr>
                <w:sz w:val="20"/>
                <w:szCs w:val="20"/>
                <w:color w:val="auto"/>
              </w:rPr>
            </w:pPr>
            <w:r>
              <w:rPr>
                <w:rFonts w:ascii="Arial" w:cs="Arial" w:eastAsia="Arial" w:hAnsi="Arial"/>
                <w:sz w:val="18"/>
                <w:szCs w:val="18"/>
                <w:color w:val="auto"/>
              </w:rPr>
              <w:t>(Loss)/income from discontinued operations</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w:t>
            </w:r>
          </w:p>
        </w:tc>
        <w:tc>
          <w:tcPr>
            <w:tcW w:w="320" w:type="dxa"/>
            <w:vAlign w:val="bottom"/>
            <w:tcBorders>
              <w:bottom w:val="single" w:sz="8" w:color="BFBFB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($7,379)</w:t>
            </w:r>
          </w:p>
        </w:tc>
        <w:tc>
          <w:tcPr>
            <w:tcW w:w="320" w:type="dxa"/>
            <w:vAlign w:val="bottom"/>
            <w:tcBorders>
              <w:bottom w:val="single" w:sz="8" w:color="BFBFBF"/>
            </w:tcBorders>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($33,745)</w:t>
            </w:r>
          </w:p>
        </w:tc>
        <w:tc>
          <w:tcPr>
            <w:tcW w:w="200" w:type="dxa"/>
            <w:vAlign w:val="bottom"/>
            <w:tcBorders>
              <w:bottom w:val="single" w:sz="8" w:color="BFBFBF"/>
            </w:tcBorders>
            <w:shd w:val="clear" w:color="auto" w:fill="BFBFBF"/>
          </w:tcPr>
          <w:p>
            <w:pPr>
              <w:spacing w:after="0"/>
              <w:rPr>
                <w:sz w:val="18"/>
                <w:szCs w:val="18"/>
                <w:color w:val="auto"/>
              </w:rPr>
            </w:pPr>
          </w:p>
        </w:tc>
        <w:tc>
          <w:tcPr>
            <w:tcW w:w="5220" w:type="dxa"/>
            <w:vAlign w:val="bottom"/>
            <w:tcBorders>
              <w:bottom w:val="single" w:sz="8" w:color="BFBFBF"/>
            </w:tcBorders>
            <w:shd w:val="clear" w:color="auto" w:fill="BFBFBF"/>
          </w:tcPr>
          <w:p>
            <w:pPr>
              <w:ind w:left="220"/>
              <w:spacing w:after="0" w:line="196" w:lineRule="exact"/>
              <w:rPr>
                <w:sz w:val="20"/>
                <w:szCs w:val="20"/>
                <w:color w:val="auto"/>
              </w:rPr>
            </w:pPr>
            <w:r>
              <w:rPr>
                <w:rFonts w:ascii="Arial" w:cs="Arial" w:eastAsia="Arial" w:hAnsi="Arial"/>
                <w:sz w:val="18"/>
                <w:szCs w:val="18"/>
                <w:color w:val="auto"/>
              </w:rPr>
              <w:t>Net income/(loss)</w:t>
            </w:r>
          </w:p>
        </w:tc>
        <w:tc>
          <w:tcPr>
            <w:tcW w:w="13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$4,132</w:t>
            </w:r>
          </w:p>
        </w:tc>
        <w:tc>
          <w:tcPr>
            <w:tcW w:w="320" w:type="dxa"/>
            <w:vAlign w:val="bottom"/>
            <w:tcBorders>
              <w:bottom w:val="single" w:sz="8" w:color="BFBFBF"/>
            </w:tcBorders>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$13,296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Earnings per share - Basic</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BFBFBF"/>
          </w:tcPr>
          <w:p>
            <w:pPr>
              <w:spacing w:after="0"/>
              <w:rPr>
                <w:sz w:val="18"/>
                <w:szCs w:val="18"/>
                <w:color w:val="auto"/>
              </w:rPr>
            </w:pPr>
          </w:p>
        </w:tc>
        <w:tc>
          <w:tcPr>
            <w:tcW w:w="1220" w:type="dxa"/>
            <w:vAlign w:val="bottom"/>
            <w:gridSpan w:val="2"/>
            <w:shd w:val="clear" w:color="auto" w:fill="BFBFBF"/>
          </w:tcPr>
          <w:p>
            <w:pPr>
              <w:jc w:val="right"/>
              <w:ind w:right="200"/>
              <w:spacing w:after="0"/>
              <w:rPr>
                <w:sz w:val="20"/>
                <w:szCs w:val="20"/>
                <w:color w:val="auto"/>
              </w:rPr>
            </w:pPr>
            <w:r>
              <w:rPr>
                <w:rFonts w:ascii="Arial" w:cs="Arial" w:eastAsia="Arial" w:hAnsi="Arial"/>
                <w:sz w:val="18"/>
                <w:szCs w:val="18"/>
                <w:color w:val="auto"/>
              </w:rPr>
              <w:t>($1.84)</w:t>
            </w:r>
          </w:p>
        </w:tc>
        <w:tc>
          <w:tcPr>
            <w:tcW w:w="5220" w:type="dxa"/>
            <w:vAlign w:val="bottom"/>
            <w:shd w:val="clear" w:color="auto" w:fill="BFBFBF"/>
          </w:tcPr>
          <w:p>
            <w:pPr>
              <w:ind w:left="220"/>
              <w:spacing w:after="0"/>
              <w:rPr>
                <w:sz w:val="20"/>
                <w:szCs w:val="20"/>
                <w:color w:val="auto"/>
              </w:rPr>
            </w:pPr>
            <w:r>
              <w:rPr>
                <w:rFonts w:ascii="Arial" w:cs="Arial" w:eastAsia="Arial" w:hAnsi="Arial"/>
                <w:sz w:val="18"/>
                <w:szCs w:val="18"/>
                <w:color w:val="auto"/>
              </w:rPr>
              <w:t>Income/(loss) from continuing operations</w:t>
            </w:r>
          </w:p>
        </w:tc>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BFBFBF"/>
          </w:tcPr>
          <w:p>
            <w:pPr>
              <w:spacing w:after="0"/>
              <w:rPr>
                <w:sz w:val="18"/>
                <w:szCs w:val="18"/>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522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($0.23)</w:t>
            </w:r>
          </w:p>
        </w:tc>
        <w:tc>
          <w:tcPr>
            <w:tcW w:w="320" w:type="dxa"/>
            <w:vAlign w:val="bottom"/>
            <w:tcBorders>
              <w:top w:val="single" w:sz="8" w:color="BFBFBF"/>
              <w:bottom w:val="single" w:sz="8" w:color="BFBFBF"/>
            </w:tcBorders>
            <w:shd w:val="clear" w:color="auto" w:fill="BFBFBF"/>
          </w:tcPr>
          <w:p>
            <w:pPr>
              <w:spacing w:after="0"/>
              <w:rPr>
                <w:sz w:val="18"/>
                <w:szCs w:val="18"/>
                <w:color w:val="auto"/>
              </w:rPr>
            </w:pPr>
          </w:p>
        </w:tc>
        <w:tc>
          <w:tcPr>
            <w:tcW w:w="320" w:type="dxa"/>
            <w:vAlign w:val="bottom"/>
            <w:tcBorders>
              <w:top w:val="single" w:sz="8" w:color="auto"/>
              <w:bottom w:val="single" w:sz="8" w:color="auto"/>
            </w:tcBorders>
            <w:shd w:val="clear" w:color="auto" w:fill="BFBFBF"/>
          </w:tcPr>
          <w:p>
            <w:pPr>
              <w:spacing w:after="0"/>
              <w:rPr>
                <w:sz w:val="18"/>
                <w:szCs w:val="18"/>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($1.08)</w:t>
            </w:r>
          </w:p>
        </w:tc>
        <w:tc>
          <w:tcPr>
            <w:tcW w:w="200" w:type="dxa"/>
            <w:vAlign w:val="bottom"/>
            <w:tcBorders>
              <w:top w:val="single" w:sz="8" w:color="BFBFBF"/>
              <w:bottom w:val="single" w:sz="8" w:color="BFBFBF"/>
            </w:tcBorders>
            <w:shd w:val="clear" w:color="auto" w:fill="BFBFBF"/>
          </w:tcPr>
          <w:p>
            <w:pPr>
              <w:spacing w:after="0"/>
              <w:rPr>
                <w:sz w:val="18"/>
                <w:szCs w:val="18"/>
                <w:color w:val="auto"/>
              </w:rPr>
            </w:pPr>
          </w:p>
        </w:tc>
        <w:tc>
          <w:tcPr>
            <w:tcW w:w="5220" w:type="dxa"/>
            <w:vAlign w:val="bottom"/>
            <w:tcBorders>
              <w:top w:val="single" w:sz="8" w:color="BFBFBF"/>
              <w:bottom w:val="single" w:sz="8" w:color="BFBFBF"/>
            </w:tcBorders>
            <w:shd w:val="clear" w:color="auto" w:fill="BFBFBF"/>
          </w:tcPr>
          <w:p>
            <w:pPr>
              <w:ind w:left="220"/>
              <w:spacing w:after="0" w:line="196" w:lineRule="exact"/>
              <w:rPr>
                <w:sz w:val="20"/>
                <w:szCs w:val="20"/>
                <w:color w:val="auto"/>
              </w:rPr>
            </w:pPr>
            <w:r>
              <w:rPr>
                <w:rFonts w:ascii="Arial" w:cs="Arial" w:eastAsia="Arial" w:hAnsi="Arial"/>
                <w:sz w:val="18"/>
                <w:szCs w:val="18"/>
                <w:color w:val="auto"/>
              </w:rPr>
              <w:t>Net income/(loss)</w:t>
            </w:r>
          </w:p>
        </w:tc>
        <w:tc>
          <w:tcPr>
            <w:tcW w:w="13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$0.13</w:t>
            </w:r>
          </w:p>
        </w:tc>
        <w:tc>
          <w:tcPr>
            <w:tcW w:w="320" w:type="dxa"/>
            <w:vAlign w:val="bottom"/>
            <w:tcBorders>
              <w:top w:val="single" w:sz="8" w:color="BFBFBF"/>
              <w:bottom w:val="single" w:sz="8" w:color="BFBFBF"/>
            </w:tcBorders>
            <w:shd w:val="clear" w:color="auto" w:fill="BFBFBF"/>
          </w:tcPr>
          <w:p>
            <w:pPr>
              <w:spacing w:after="0"/>
              <w:rPr>
                <w:sz w:val="18"/>
                <w:szCs w:val="18"/>
                <w:color w:val="auto"/>
              </w:rPr>
            </w:pPr>
          </w:p>
        </w:tc>
        <w:tc>
          <w:tcPr>
            <w:tcW w:w="320" w:type="dxa"/>
            <w:vAlign w:val="bottom"/>
            <w:tcBorders>
              <w:top w:val="single" w:sz="8" w:color="auto"/>
              <w:bottom w:val="single" w:sz="8" w:color="auto"/>
            </w:tcBorders>
            <w:shd w:val="clear" w:color="auto" w:fill="BFBFBF"/>
          </w:tcPr>
          <w:p>
            <w:pPr>
              <w:spacing w:after="0"/>
              <w:rPr>
                <w:sz w:val="18"/>
                <w:szCs w:val="18"/>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Earnings per share - Diluted</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BFBFBF"/>
          </w:tcPr>
          <w:p>
            <w:pPr>
              <w:spacing w:after="0"/>
              <w:rPr>
                <w:sz w:val="18"/>
                <w:szCs w:val="18"/>
                <w:color w:val="auto"/>
              </w:rPr>
            </w:pPr>
          </w:p>
        </w:tc>
        <w:tc>
          <w:tcPr>
            <w:tcW w:w="1220" w:type="dxa"/>
            <w:vAlign w:val="bottom"/>
            <w:gridSpan w:val="2"/>
            <w:shd w:val="clear" w:color="auto" w:fill="BFBFBF"/>
          </w:tcPr>
          <w:p>
            <w:pPr>
              <w:jc w:val="right"/>
              <w:ind w:right="200"/>
              <w:spacing w:after="0"/>
              <w:rPr>
                <w:sz w:val="20"/>
                <w:szCs w:val="20"/>
                <w:color w:val="auto"/>
              </w:rPr>
            </w:pPr>
            <w:r>
              <w:rPr>
                <w:rFonts w:ascii="Arial" w:cs="Arial" w:eastAsia="Arial" w:hAnsi="Arial"/>
                <w:sz w:val="18"/>
                <w:szCs w:val="18"/>
                <w:color w:val="auto"/>
              </w:rPr>
              <w:t>($1.84)</w:t>
            </w:r>
          </w:p>
        </w:tc>
        <w:tc>
          <w:tcPr>
            <w:tcW w:w="5220" w:type="dxa"/>
            <w:vAlign w:val="bottom"/>
            <w:shd w:val="clear" w:color="auto" w:fill="BFBFBF"/>
          </w:tcPr>
          <w:p>
            <w:pPr>
              <w:ind w:left="220"/>
              <w:spacing w:after="0"/>
              <w:rPr>
                <w:sz w:val="20"/>
                <w:szCs w:val="20"/>
                <w:color w:val="auto"/>
              </w:rPr>
            </w:pPr>
            <w:r>
              <w:rPr>
                <w:rFonts w:ascii="Arial" w:cs="Arial" w:eastAsia="Arial" w:hAnsi="Arial"/>
                <w:sz w:val="18"/>
                <w:szCs w:val="18"/>
                <w:color w:val="auto"/>
              </w:rPr>
              <w:t>Income/(loss) from continuing operations</w:t>
            </w:r>
          </w:p>
        </w:tc>
        <w:tc>
          <w:tcPr>
            <w:tcW w:w="166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BFBFBF"/>
          </w:tcPr>
          <w:p>
            <w:pPr>
              <w:spacing w:after="0"/>
              <w:rPr>
                <w:sz w:val="18"/>
                <w:szCs w:val="18"/>
                <w:color w:val="auto"/>
              </w:rPr>
            </w:pPr>
          </w:p>
        </w:tc>
        <w:tc>
          <w:tcPr>
            <w:tcW w:w="10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522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($0.23)</w:t>
            </w:r>
          </w:p>
        </w:tc>
        <w:tc>
          <w:tcPr>
            <w:tcW w:w="320" w:type="dxa"/>
            <w:vAlign w:val="bottom"/>
            <w:tcBorders>
              <w:top w:val="single" w:sz="8" w:color="BFBFBF"/>
              <w:bottom w:val="single" w:sz="8" w:color="BFBFBF"/>
            </w:tcBorders>
            <w:shd w:val="clear" w:color="auto" w:fill="BFBFBF"/>
          </w:tcPr>
          <w:p>
            <w:pPr>
              <w:spacing w:after="0"/>
              <w:rPr>
                <w:sz w:val="18"/>
                <w:szCs w:val="18"/>
                <w:color w:val="auto"/>
              </w:rPr>
            </w:pPr>
          </w:p>
        </w:tc>
        <w:tc>
          <w:tcPr>
            <w:tcW w:w="320" w:type="dxa"/>
            <w:vAlign w:val="bottom"/>
            <w:tcBorders>
              <w:top w:val="single" w:sz="8" w:color="auto"/>
              <w:bottom w:val="single" w:sz="8" w:color="auto"/>
            </w:tcBorders>
            <w:shd w:val="clear" w:color="auto" w:fill="BFBFBF"/>
          </w:tcPr>
          <w:p>
            <w:pPr>
              <w:spacing w:after="0"/>
              <w:rPr>
                <w:sz w:val="18"/>
                <w:szCs w:val="18"/>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($1.08)</w:t>
            </w:r>
          </w:p>
        </w:tc>
        <w:tc>
          <w:tcPr>
            <w:tcW w:w="200" w:type="dxa"/>
            <w:vAlign w:val="bottom"/>
            <w:tcBorders>
              <w:top w:val="single" w:sz="8" w:color="BFBFBF"/>
              <w:bottom w:val="single" w:sz="8" w:color="BFBFBF"/>
            </w:tcBorders>
            <w:shd w:val="clear" w:color="auto" w:fill="BFBFBF"/>
          </w:tcPr>
          <w:p>
            <w:pPr>
              <w:spacing w:after="0"/>
              <w:rPr>
                <w:sz w:val="18"/>
                <w:szCs w:val="18"/>
                <w:color w:val="auto"/>
              </w:rPr>
            </w:pPr>
          </w:p>
        </w:tc>
        <w:tc>
          <w:tcPr>
            <w:tcW w:w="5220" w:type="dxa"/>
            <w:vAlign w:val="bottom"/>
            <w:tcBorders>
              <w:top w:val="single" w:sz="8" w:color="BFBFBF"/>
              <w:bottom w:val="single" w:sz="8" w:color="BFBFBF"/>
            </w:tcBorders>
            <w:shd w:val="clear" w:color="auto" w:fill="BFBFBF"/>
          </w:tcPr>
          <w:p>
            <w:pPr>
              <w:ind w:left="220"/>
              <w:spacing w:after="0" w:line="196" w:lineRule="exact"/>
              <w:rPr>
                <w:sz w:val="20"/>
                <w:szCs w:val="20"/>
                <w:color w:val="auto"/>
              </w:rPr>
            </w:pPr>
            <w:r>
              <w:rPr>
                <w:rFonts w:ascii="Arial" w:cs="Arial" w:eastAsia="Arial" w:hAnsi="Arial"/>
                <w:sz w:val="18"/>
                <w:szCs w:val="18"/>
                <w:color w:val="auto"/>
              </w:rPr>
              <w:t>Net income/(loss)</w:t>
            </w:r>
          </w:p>
        </w:tc>
        <w:tc>
          <w:tcPr>
            <w:tcW w:w="13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$0.13</w:t>
            </w:r>
          </w:p>
        </w:tc>
        <w:tc>
          <w:tcPr>
            <w:tcW w:w="320" w:type="dxa"/>
            <w:vAlign w:val="bottom"/>
            <w:tcBorders>
              <w:top w:val="single" w:sz="8" w:color="BFBFBF"/>
              <w:bottom w:val="single" w:sz="8" w:color="BFBFBF"/>
            </w:tcBorders>
            <w:shd w:val="clear" w:color="auto" w:fill="BFBFBF"/>
          </w:tcPr>
          <w:p>
            <w:pPr>
              <w:spacing w:after="0"/>
              <w:rPr>
                <w:sz w:val="18"/>
                <w:szCs w:val="18"/>
                <w:color w:val="auto"/>
              </w:rPr>
            </w:pPr>
          </w:p>
        </w:tc>
        <w:tc>
          <w:tcPr>
            <w:tcW w:w="320" w:type="dxa"/>
            <w:vAlign w:val="bottom"/>
            <w:tcBorders>
              <w:top w:val="single" w:sz="8" w:color="auto"/>
              <w:bottom w:val="single" w:sz="8" w:color="auto"/>
            </w:tcBorders>
            <w:shd w:val="clear" w:color="auto" w:fill="BFBFBF"/>
          </w:tcPr>
          <w:p>
            <w:pPr>
              <w:spacing w:after="0"/>
              <w:rPr>
                <w:sz w:val="18"/>
                <w:szCs w:val="18"/>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Shares used in computing earnings per share:</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31,628</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31,349</w:t>
            </w:r>
          </w:p>
        </w:tc>
        <w:tc>
          <w:tcPr>
            <w:tcW w:w="5220" w:type="dxa"/>
            <w:vAlign w:val="bottom"/>
          </w:tcPr>
          <w:p>
            <w:pPr>
              <w:ind w:left="32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31,562</w:t>
            </w: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31,329</w:t>
            </w: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31,628</w:t>
            </w:r>
          </w:p>
        </w:tc>
        <w:tc>
          <w:tcPr>
            <w:tcW w:w="320" w:type="dxa"/>
            <w:vAlign w:val="bottom"/>
            <w:shd w:val="clear" w:color="auto" w:fill="BFBFBF"/>
          </w:tcPr>
          <w:p>
            <w:pPr>
              <w:spacing w:after="0"/>
              <w:rPr>
                <w:sz w:val="17"/>
                <w:szCs w:val="17"/>
                <w:color w:val="auto"/>
              </w:rPr>
            </w:pPr>
          </w:p>
        </w:tc>
        <w:tc>
          <w:tcPr>
            <w:tcW w:w="122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31,349</w:t>
            </w:r>
          </w:p>
        </w:tc>
        <w:tc>
          <w:tcPr>
            <w:tcW w:w="522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31,856</w:t>
            </w:r>
          </w:p>
        </w:tc>
        <w:tc>
          <w:tcPr>
            <w:tcW w:w="32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31,518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5220" w:type="dxa"/>
            <w:vAlign w:val="bottom"/>
          </w:tcPr>
          <w:p>
            <w:pPr>
              <w:ind w:left="220"/>
              <w:spacing w:after="0"/>
              <w:rPr>
                <w:sz w:val="20"/>
                <w:szCs w:val="20"/>
                <w:color w:val="auto"/>
              </w:rPr>
            </w:pPr>
            <w:r>
              <w:rPr>
                <w:rFonts w:ascii="Arial" w:cs="Arial" w:eastAsia="Arial" w:hAnsi="Arial"/>
                <w:sz w:val="18"/>
                <w:szCs w:val="18"/>
                <w:color w:val="auto"/>
              </w:rPr>
              <w:t>Dividends per share</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8"/>
              </w:rPr>
              <w:t>ALBANY INTERNATIONAL CORP.</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60" w:type="dxa"/>
            <w:vAlign w:val="bottom"/>
            <w:gridSpan w:val="4"/>
          </w:tcPr>
          <w:p>
            <w:pPr>
              <w:jc w:val="center"/>
              <w:ind w:left="650"/>
              <w:spacing w:after="0" w:line="202" w:lineRule="exact"/>
              <w:rPr>
                <w:sz w:val="20"/>
                <w:szCs w:val="20"/>
                <w:color w:val="auto"/>
              </w:rPr>
            </w:pPr>
            <w:r>
              <w:rPr>
                <w:rFonts w:ascii="Arial" w:cs="Arial" w:eastAsia="Arial" w:hAnsi="Arial"/>
                <w:sz w:val="18"/>
                <w:szCs w:val="18"/>
                <w:color w:val="auto"/>
                <w:w w:val="99"/>
              </w:rPr>
              <w:t>CONSOLIDATED STATEMENTS OF COMPREHENSIVE INCOME</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2"/>
          </w:tcPr>
          <w:p>
            <w:pPr>
              <w:ind w:left="1200"/>
              <w:spacing w:after="0" w:line="202" w:lineRule="exact"/>
              <w:rPr>
                <w:sz w:val="20"/>
                <w:szCs w:val="20"/>
                <w:color w:val="auto"/>
              </w:rPr>
            </w:pPr>
            <w:r>
              <w:rPr>
                <w:rFonts w:ascii="Arial" w:cs="Arial" w:eastAsia="Arial" w:hAnsi="Arial"/>
                <w:sz w:val="18"/>
                <w:szCs w:val="18"/>
                <w:color w:val="auto"/>
              </w:rPr>
              <w:t>(in thousands, except per share data)</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40" w:type="dxa"/>
            <w:vAlign w:val="bottom"/>
            <w:gridSpan w:val="5"/>
            <w:vMerge w:val="restart"/>
          </w:tcPr>
          <w:p>
            <w:pPr>
              <w:jc w:val="center"/>
              <w:ind w:right="220"/>
              <w:spacing w:after="0"/>
              <w:rPr>
                <w:sz w:val="20"/>
                <w:szCs w:val="20"/>
                <w:color w:val="auto"/>
              </w:rPr>
            </w:pPr>
            <w:r>
              <w:rPr>
                <w:rFonts w:ascii="Arial" w:cs="Arial" w:eastAsia="Arial" w:hAnsi="Arial"/>
                <w:sz w:val="18"/>
                <w:szCs w:val="18"/>
                <w:color w:val="auto"/>
                <w:w w:val="99"/>
              </w:rPr>
              <w:t>Three Months Ended</w:t>
            </w:r>
          </w:p>
        </w:tc>
        <w:tc>
          <w:tcPr>
            <w:tcW w:w="5280" w:type="dxa"/>
            <w:vAlign w:val="bottom"/>
            <w:gridSpan w:val="2"/>
          </w:tcPr>
          <w:p>
            <w:pPr>
              <w:jc w:val="center"/>
              <w:ind w:right="540"/>
              <w:spacing w:after="0"/>
              <w:rPr>
                <w:sz w:val="20"/>
                <w:szCs w:val="20"/>
                <w:color w:val="auto"/>
              </w:rPr>
            </w:pPr>
            <w:r>
              <w:rPr>
                <w:rFonts w:ascii="Arial" w:cs="Arial" w:eastAsia="Arial" w:hAnsi="Arial"/>
                <w:sz w:val="18"/>
                <w:szCs w:val="18"/>
                <w:color w:val="auto"/>
                <w:w w:val="98"/>
              </w:rPr>
              <w:t>(unaudited)</w:t>
            </w:r>
          </w:p>
        </w:tc>
        <w:tc>
          <w:tcPr>
            <w:tcW w:w="2820" w:type="dxa"/>
            <w:vAlign w:val="bottom"/>
            <w:gridSpan w:val="5"/>
            <w:vMerge w:val="restart"/>
          </w:tcPr>
          <w:p>
            <w:pPr>
              <w:jc w:val="center"/>
              <w:ind w:right="28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162"/>
        </w:trPr>
        <w:tc>
          <w:tcPr>
            <w:tcW w:w="3340" w:type="dxa"/>
            <w:vAlign w:val="bottom"/>
            <w:gridSpan w:val="5"/>
            <w:vMerge w:val="continue"/>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60" w:type="dxa"/>
            <w:vAlign w:val="bottom"/>
            <w:gridSpan w:val="3"/>
          </w:tcPr>
          <w:p>
            <w:pPr>
              <w:jc w:val="center"/>
              <w:ind w:left="970"/>
              <w:spacing w:after="0" w:line="202" w:lineRule="exact"/>
              <w:rPr>
                <w:sz w:val="20"/>
                <w:szCs w:val="20"/>
                <w:color w:val="auto"/>
              </w:rPr>
            </w:pPr>
            <w:r>
              <w:rPr>
                <w:rFonts w:ascii="Arial" w:cs="Arial" w:eastAsia="Arial" w:hAnsi="Arial"/>
                <w:sz w:val="18"/>
                <w:szCs w:val="18"/>
                <w:color w:val="auto"/>
                <w:w w:val="98"/>
              </w:rPr>
              <w:t>June 30,</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center"/>
              <w:ind w:left="690"/>
              <w:spacing w:after="0" w:line="202"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BFBFB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BFBFBF"/>
            </w:tcBorders>
          </w:tcPr>
          <w:p>
            <w:pPr>
              <w:spacing w:after="0"/>
              <w:rPr>
                <w:sz w:val="20"/>
                <w:szCs w:val="20"/>
                <w:color w:val="auto"/>
              </w:rPr>
            </w:pPr>
          </w:p>
        </w:tc>
        <w:tc>
          <w:tcPr>
            <w:tcW w:w="5020" w:type="dxa"/>
            <w:vAlign w:val="bottom"/>
            <w:tcBorders>
              <w:bottom w:val="single" w:sz="8" w:color="BFBFB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BFBFB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8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($7,379)</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($33,745)</w:t>
            </w:r>
          </w:p>
        </w:tc>
        <w:tc>
          <w:tcPr>
            <w:tcW w:w="220" w:type="dxa"/>
            <w:vAlign w:val="bottom"/>
            <w:shd w:val="clear" w:color="auto" w:fill="BFBFBF"/>
          </w:tcPr>
          <w:p>
            <w:pPr>
              <w:spacing w:after="0"/>
              <w:rPr>
                <w:sz w:val="17"/>
                <w:szCs w:val="17"/>
                <w:color w:val="auto"/>
              </w:rPr>
            </w:pPr>
          </w:p>
        </w:tc>
        <w:tc>
          <w:tcPr>
            <w:tcW w:w="5020" w:type="dxa"/>
            <w:vAlign w:val="bottom"/>
            <w:shd w:val="clear" w:color="auto" w:fill="BFBFBF"/>
          </w:tcPr>
          <w:p>
            <w:pPr>
              <w:ind w:left="200"/>
              <w:spacing w:after="0" w:line="196" w:lineRule="exact"/>
              <w:rPr>
                <w:sz w:val="20"/>
                <w:szCs w:val="20"/>
                <w:color w:val="auto"/>
              </w:rPr>
            </w:pPr>
            <w:r>
              <w:rPr>
                <w:rFonts w:ascii="Arial" w:cs="Arial" w:eastAsia="Arial" w:hAnsi="Arial"/>
                <w:sz w:val="18"/>
                <w:szCs w:val="18"/>
                <w:color w:val="auto"/>
              </w:rPr>
              <w:t>Net income/(loss)</w:t>
            </w:r>
          </w:p>
        </w:tc>
        <w:tc>
          <w:tcPr>
            <w:tcW w:w="260" w:type="dxa"/>
            <w:vAlign w:val="bottom"/>
            <w:shd w:val="clear" w:color="auto" w:fill="BFBFBF"/>
          </w:tcPr>
          <w:p>
            <w:pPr>
              <w:spacing w:after="0"/>
              <w:rPr>
                <w:sz w:val="17"/>
                <w:szCs w:val="17"/>
                <w:color w:val="auto"/>
              </w:rPr>
            </w:pPr>
          </w:p>
        </w:tc>
        <w:tc>
          <w:tcPr>
            <w:tcW w:w="110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$4,132</w:t>
            </w:r>
          </w:p>
        </w:tc>
        <w:tc>
          <w:tcPr>
            <w:tcW w:w="34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$13,296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(loss)/income, before tax:</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(2,647)</w:t>
            </w: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(20,540)</w:t>
            </w:r>
          </w:p>
        </w:tc>
        <w:tc>
          <w:tcPr>
            <w:tcW w:w="220" w:type="dxa"/>
            <w:vAlign w:val="bottom"/>
            <w:shd w:val="clear" w:color="auto" w:fill="BFBFBF"/>
          </w:tcPr>
          <w:p>
            <w:pPr>
              <w:spacing w:after="0"/>
              <w:rPr>
                <w:sz w:val="17"/>
                <w:szCs w:val="17"/>
                <w:color w:val="auto"/>
              </w:rPr>
            </w:pPr>
          </w:p>
        </w:tc>
        <w:tc>
          <w:tcPr>
            <w:tcW w:w="5280" w:type="dxa"/>
            <w:vAlign w:val="bottom"/>
            <w:gridSpan w:val="2"/>
            <w:shd w:val="clear" w:color="auto" w:fill="BFBFBF"/>
          </w:tcPr>
          <w:p>
            <w:pPr>
              <w:ind w:left="38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(13,269)</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110,197</w:t>
            </w:r>
          </w:p>
        </w:tc>
        <w:tc>
          <w:tcPr>
            <w:tcW w:w="220" w:type="dxa"/>
            <w:vAlign w:val="bottom"/>
          </w:tcPr>
          <w:p>
            <w:pPr>
              <w:spacing w:after="0"/>
              <w:rPr>
                <w:sz w:val="17"/>
                <w:szCs w:val="17"/>
                <w:color w:val="auto"/>
              </w:rPr>
            </w:pPr>
          </w:p>
        </w:tc>
        <w:tc>
          <w:tcPr>
            <w:tcW w:w="5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Pension settlement</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(24,617)</w:t>
            </w:r>
          </w:p>
        </w:tc>
        <w:tc>
          <w:tcPr>
            <w:tcW w:w="220" w:type="dxa"/>
            <w:vAlign w:val="bottom"/>
            <w:shd w:val="clear" w:color="auto" w:fill="BFBFBF"/>
          </w:tcPr>
          <w:p>
            <w:pPr>
              <w:spacing w:after="0"/>
              <w:rPr>
                <w:sz w:val="17"/>
                <w:szCs w:val="17"/>
                <w:color w:val="auto"/>
              </w:rPr>
            </w:pPr>
          </w:p>
        </w:tc>
        <w:tc>
          <w:tcPr>
            <w:tcW w:w="5280" w:type="dxa"/>
            <w:vAlign w:val="bottom"/>
            <w:gridSpan w:val="2"/>
            <w:shd w:val="clear" w:color="auto" w:fill="BFBFBF"/>
          </w:tcPr>
          <w:p>
            <w:pPr>
              <w:ind w:left="380"/>
              <w:spacing w:after="0" w:line="202" w:lineRule="exact"/>
              <w:rPr>
                <w:sz w:val="20"/>
                <w:szCs w:val="20"/>
                <w:color w:val="auto"/>
              </w:rPr>
            </w:pPr>
            <w:r>
              <w:rPr>
                <w:rFonts w:ascii="Arial" w:cs="Arial" w:eastAsia="Arial" w:hAnsi="Arial"/>
                <w:sz w:val="18"/>
                <w:szCs w:val="18"/>
                <w:color w:val="auto"/>
              </w:rPr>
              <w:t>Pension plan remeasurement</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(24,617)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17</w:t>
            </w:r>
          </w:p>
        </w:tc>
        <w:tc>
          <w:tcPr>
            <w:tcW w:w="320" w:type="dxa"/>
            <w:vAlign w:val="bottom"/>
            <w:shd w:val="clear" w:color="auto" w:fill="BFBFBF"/>
          </w:tcPr>
          <w:p>
            <w:pPr>
              <w:spacing w:after="0"/>
              <w:rPr>
                <w:sz w:val="17"/>
                <w:szCs w:val="17"/>
                <w:color w:val="auto"/>
              </w:rPr>
            </w:pPr>
          </w:p>
        </w:tc>
        <w:tc>
          <w:tcPr>
            <w:tcW w:w="1280" w:type="dxa"/>
            <w:vAlign w:val="bottom"/>
            <w:gridSpan w:val="2"/>
            <w:shd w:val="clear" w:color="auto" w:fill="BFBFBF"/>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5280" w:type="dxa"/>
            <w:vAlign w:val="bottom"/>
            <w:gridSpan w:val="2"/>
            <w:shd w:val="clear" w:color="auto" w:fill="BFBFBF"/>
          </w:tcPr>
          <w:p>
            <w:pPr>
              <w:ind w:left="560"/>
              <w:spacing w:after="0" w:line="202" w:lineRule="exact"/>
              <w:rPr>
                <w:sz w:val="20"/>
                <w:szCs w:val="20"/>
                <w:color w:val="auto"/>
              </w:rPr>
            </w:pPr>
            <w:r>
              <w:rPr>
                <w:rFonts w:ascii="Arial" w:cs="Arial" w:eastAsia="Arial" w:hAnsi="Arial"/>
                <w:sz w:val="18"/>
                <w:szCs w:val="18"/>
                <w:color w:val="auto"/>
              </w:rPr>
              <w:t>Transition obligation</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(909)</w:t>
            </w:r>
          </w:p>
        </w:tc>
        <w:tc>
          <w:tcPr>
            <w:tcW w:w="3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(909)</w:t>
            </w:r>
          </w:p>
        </w:tc>
        <w:tc>
          <w:tcPr>
            <w:tcW w:w="528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Prior service (credit)/cost</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(1,817)</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1,664</w:t>
            </w:r>
          </w:p>
        </w:tc>
        <w:tc>
          <w:tcPr>
            <w:tcW w:w="320" w:type="dxa"/>
            <w:vAlign w:val="bottom"/>
            <w:shd w:val="clear" w:color="auto" w:fill="BFBFBF"/>
          </w:tcPr>
          <w:p>
            <w:pPr>
              <w:spacing w:after="0"/>
              <w:rPr>
                <w:sz w:val="17"/>
                <w:szCs w:val="17"/>
                <w:color w:val="auto"/>
              </w:rPr>
            </w:pPr>
          </w:p>
        </w:tc>
        <w:tc>
          <w:tcPr>
            <w:tcW w:w="1280" w:type="dxa"/>
            <w:vAlign w:val="bottom"/>
            <w:gridSpan w:val="2"/>
            <w:shd w:val="clear" w:color="auto" w:fill="BFBFBF"/>
          </w:tcPr>
          <w:p>
            <w:pPr>
              <w:jc w:val="right"/>
              <w:ind w:right="220"/>
              <w:spacing w:after="0" w:line="202" w:lineRule="exact"/>
              <w:rPr>
                <w:sz w:val="20"/>
                <w:szCs w:val="20"/>
                <w:color w:val="auto"/>
              </w:rPr>
            </w:pPr>
            <w:r>
              <w:rPr>
                <w:rFonts w:ascii="Arial" w:cs="Arial" w:eastAsia="Arial" w:hAnsi="Arial"/>
                <w:sz w:val="18"/>
                <w:szCs w:val="18"/>
                <w:color w:val="auto"/>
              </w:rPr>
              <w:t>1,870</w:t>
            </w:r>
          </w:p>
        </w:tc>
        <w:tc>
          <w:tcPr>
            <w:tcW w:w="5280" w:type="dxa"/>
            <w:vAlign w:val="bottom"/>
            <w:gridSpan w:val="2"/>
            <w:shd w:val="clear" w:color="auto" w:fill="BFBFBF"/>
          </w:tcPr>
          <w:p>
            <w:pPr>
              <w:ind w:left="560"/>
              <w:spacing w:after="0" w:line="202" w:lineRule="exact"/>
              <w:rPr>
                <w:sz w:val="20"/>
                <w:szCs w:val="20"/>
                <w:color w:val="auto"/>
              </w:rPr>
            </w:pPr>
            <w:r>
              <w:rPr>
                <w:rFonts w:ascii="Arial" w:cs="Arial" w:eastAsia="Arial" w:hAnsi="Arial"/>
                <w:sz w:val="18"/>
                <w:szCs w:val="18"/>
                <w:color w:val="auto"/>
              </w:rPr>
              <w:t>Net actuarial loss</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3,328</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2,414</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5280" w:type="dxa"/>
            <w:vAlign w:val="bottom"/>
            <w:gridSpan w:val="2"/>
          </w:tcPr>
          <w:p>
            <w:pPr>
              <w:ind w:left="380"/>
              <w:spacing w:after="0"/>
              <w:rPr>
                <w:sz w:val="20"/>
                <w:szCs w:val="20"/>
                <w:color w:val="auto"/>
              </w:rPr>
            </w:pPr>
            <w:r>
              <w:rPr>
                <w:rFonts w:ascii="Arial" w:cs="Arial" w:eastAsia="Arial" w:hAnsi="Arial"/>
                <w:sz w:val="18"/>
                <w:szCs w:val="18"/>
                <w:color w:val="auto"/>
              </w:rPr>
              <w:t>Derivative valuation adjustment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2,871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8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220" w:type="dxa"/>
            <w:vAlign w:val="bottom"/>
            <w:shd w:val="clear" w:color="auto" w:fill="BFBFBF"/>
          </w:tcPr>
          <w:p>
            <w:pPr>
              <w:spacing w:after="0"/>
              <w:rPr>
                <w:sz w:val="15"/>
                <w:szCs w:val="15"/>
                <w:color w:val="auto"/>
              </w:rPr>
            </w:pPr>
          </w:p>
        </w:tc>
        <w:tc>
          <w:tcPr>
            <w:tcW w:w="5280" w:type="dxa"/>
            <w:vAlign w:val="bottom"/>
            <w:gridSpan w:val="2"/>
            <w:shd w:val="clear" w:color="auto" w:fill="BFBFBF"/>
          </w:tcPr>
          <w:p>
            <w:pPr>
              <w:ind w:left="200"/>
              <w:spacing w:after="0" w:line="180" w:lineRule="exact"/>
              <w:rPr>
                <w:sz w:val="20"/>
                <w:szCs w:val="20"/>
                <w:color w:val="auto"/>
              </w:rPr>
            </w:pPr>
            <w:r>
              <w:rPr>
                <w:rFonts w:ascii="Arial" w:cs="Arial" w:eastAsia="Arial" w:hAnsi="Arial"/>
                <w:sz w:val="18"/>
                <w:szCs w:val="18"/>
                <w:color w:val="auto"/>
              </w:rPr>
              <w:t>Income taxes related to items of other comprehensive</w:t>
            </w:r>
          </w:p>
        </w:tc>
        <w:tc>
          <w:tcPr>
            <w:tcW w:w="1100" w:type="dxa"/>
            <w:vAlign w:val="bottom"/>
            <w:shd w:val="clear" w:color="auto" w:fill="BFBFBF"/>
          </w:tcPr>
          <w:p>
            <w:pPr>
              <w:spacing w:after="0"/>
              <w:rPr>
                <w:sz w:val="15"/>
                <w:szCs w:val="15"/>
                <w:color w:val="auto"/>
              </w:rPr>
            </w:pPr>
          </w:p>
        </w:tc>
        <w:tc>
          <w:tcPr>
            <w:tcW w:w="34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40" w:type="dxa"/>
            <w:vAlign w:val="bottom"/>
            <w:shd w:val="clear" w:color="auto" w:fill="BFBFB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80" w:type="dxa"/>
            <w:vAlign w:val="bottom"/>
            <w:shd w:val="clear" w:color="auto" w:fill="BFBFBF"/>
          </w:tcPr>
          <w:p>
            <w:pPr>
              <w:spacing w:after="0"/>
              <w:rPr>
                <w:sz w:val="19"/>
                <w:szCs w:val="19"/>
                <w:color w:val="auto"/>
              </w:rPr>
            </w:pPr>
          </w:p>
        </w:tc>
        <w:tc>
          <w:tcPr>
            <w:tcW w:w="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5280" w:type="dxa"/>
            <w:vAlign w:val="bottom"/>
            <w:gridSpan w:val="2"/>
            <w:shd w:val="clear" w:color="auto" w:fill="BFBFBF"/>
          </w:tcPr>
          <w:p>
            <w:pPr>
              <w:ind w:left="200"/>
              <w:spacing w:after="0"/>
              <w:rPr>
                <w:sz w:val="20"/>
                <w:szCs w:val="20"/>
                <w:color w:val="auto"/>
              </w:rPr>
            </w:pPr>
            <w:r>
              <w:rPr>
                <w:rFonts w:ascii="Arial" w:cs="Arial" w:eastAsia="Arial" w:hAnsi="Arial"/>
                <w:sz w:val="18"/>
                <w:szCs w:val="18"/>
                <w:color w:val="auto"/>
              </w:rPr>
              <w:t>(loss)/income:</w:t>
            </w:r>
          </w:p>
        </w:tc>
        <w:tc>
          <w:tcPr>
            <w:tcW w:w="1100" w:type="dxa"/>
            <w:vAlign w:val="bottom"/>
            <w:shd w:val="clear" w:color="auto" w:fill="BFBFBF"/>
          </w:tcPr>
          <w:p>
            <w:pPr>
              <w:spacing w:after="0"/>
              <w:rPr>
                <w:sz w:val="19"/>
                <w:szCs w:val="19"/>
                <w:color w:val="auto"/>
              </w:rPr>
            </w:pPr>
          </w:p>
        </w:tc>
        <w:tc>
          <w:tcPr>
            <w:tcW w:w="34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04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(37,002)</w:t>
            </w:r>
          </w:p>
        </w:tc>
        <w:tc>
          <w:tcPr>
            <w:tcW w:w="220" w:type="dxa"/>
            <w:vAlign w:val="bottom"/>
          </w:tcPr>
          <w:p>
            <w:pPr>
              <w:spacing w:after="0"/>
              <w:rPr>
                <w:sz w:val="17"/>
                <w:szCs w:val="17"/>
                <w:color w:val="auto"/>
              </w:rPr>
            </w:pPr>
          </w:p>
        </w:tc>
        <w:tc>
          <w:tcPr>
            <w:tcW w:w="5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Pension settlement</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1280" w:type="dxa"/>
            <w:vAlign w:val="bottom"/>
            <w:gridSpan w:val="2"/>
            <w:shd w:val="clear" w:color="auto" w:fill="BFBFBF"/>
          </w:tcPr>
          <w:p>
            <w:pPr>
              <w:jc w:val="right"/>
              <w:ind w:right="220"/>
              <w:spacing w:after="0" w:line="202" w:lineRule="exact"/>
              <w:rPr>
                <w:sz w:val="20"/>
                <w:szCs w:val="20"/>
                <w:color w:val="auto"/>
              </w:rPr>
            </w:pPr>
            <w:r>
              <w:rPr>
                <w:rFonts w:ascii="Arial" w:cs="Arial" w:eastAsia="Arial" w:hAnsi="Arial"/>
                <w:sz w:val="18"/>
                <w:szCs w:val="18"/>
                <w:color w:val="auto"/>
              </w:rPr>
              <w:t>7,270</w:t>
            </w:r>
          </w:p>
        </w:tc>
        <w:tc>
          <w:tcPr>
            <w:tcW w:w="5280" w:type="dxa"/>
            <w:vAlign w:val="bottom"/>
            <w:gridSpan w:val="2"/>
            <w:shd w:val="clear" w:color="auto" w:fill="BFBFBF"/>
          </w:tcPr>
          <w:p>
            <w:pPr>
              <w:ind w:left="380"/>
              <w:spacing w:after="0" w:line="202" w:lineRule="exact"/>
              <w:rPr>
                <w:sz w:val="20"/>
                <w:szCs w:val="20"/>
                <w:color w:val="auto"/>
              </w:rPr>
            </w:pPr>
            <w:r>
              <w:rPr>
                <w:rFonts w:ascii="Arial" w:cs="Arial" w:eastAsia="Arial" w:hAnsi="Arial"/>
                <w:sz w:val="18"/>
                <w:szCs w:val="18"/>
                <w:color w:val="auto"/>
              </w:rPr>
              <w:t>Pension plan remeasurement</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(271)</w:t>
            </w:r>
          </w:p>
        </w:tc>
        <w:tc>
          <w:tcPr>
            <w:tcW w:w="3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(304)</w:t>
            </w:r>
          </w:p>
        </w:tc>
        <w:tc>
          <w:tcPr>
            <w:tcW w:w="5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(541)</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(941)</w:t>
            </w: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124</w:t>
            </w:r>
          </w:p>
        </w:tc>
        <w:tc>
          <w:tcPr>
            <w:tcW w:w="220" w:type="dxa"/>
            <w:vAlign w:val="bottom"/>
            <w:shd w:val="clear" w:color="auto" w:fill="BFBFBF"/>
          </w:tcPr>
          <w:p>
            <w:pPr>
              <w:spacing w:after="0"/>
              <w:rPr>
                <w:sz w:val="17"/>
                <w:szCs w:val="17"/>
                <w:color w:val="auto"/>
              </w:rPr>
            </w:pPr>
          </w:p>
        </w:tc>
        <w:tc>
          <w:tcPr>
            <w:tcW w:w="5280" w:type="dxa"/>
            <w:vAlign w:val="bottom"/>
            <w:gridSpan w:val="2"/>
            <w:shd w:val="clear" w:color="auto" w:fill="BFBFBF"/>
          </w:tcPr>
          <w:p>
            <w:pPr>
              <w:ind w:left="380"/>
              <w:spacing w:after="0" w:line="202" w:lineRule="exact"/>
              <w:rPr>
                <w:sz w:val="20"/>
                <w:szCs w:val="20"/>
                <w:color w:val="auto"/>
              </w:rPr>
            </w:pPr>
            <w:r>
              <w:rPr>
                <w:rFonts w:ascii="Arial" w:cs="Arial" w:eastAsia="Arial" w:hAnsi="Arial"/>
                <w:sz w:val="18"/>
                <w:szCs w:val="18"/>
                <w:color w:val="auto"/>
              </w:rPr>
              <w:t>Derivative valuation adjustment</w:t>
            </w:r>
          </w:p>
        </w:tc>
        <w:tc>
          <w:tcPr>
            <w:tcW w:w="1440" w:type="dxa"/>
            <w:vAlign w:val="bottom"/>
            <w:gridSpan w:val="2"/>
            <w:shd w:val="clear" w:color="auto" w:fill="BFBFBF"/>
          </w:tcPr>
          <w:p>
            <w:pPr>
              <w:jc w:val="right"/>
              <w:ind w:right="340"/>
              <w:spacing w:after="0" w:line="202" w:lineRule="exact"/>
              <w:rPr>
                <w:sz w:val="20"/>
                <w:szCs w:val="20"/>
                <w:color w:val="auto"/>
              </w:rPr>
            </w:pPr>
            <w:r>
              <w:rPr>
                <w:rFonts w:ascii="Arial" w:cs="Arial" w:eastAsia="Arial" w:hAnsi="Arial"/>
                <w:sz w:val="18"/>
                <w:szCs w:val="18"/>
                <w:color w:val="auto"/>
              </w:rPr>
              <w:t>(1,119)</w:t>
            </w:r>
          </w:p>
        </w:tc>
        <w:tc>
          <w:tcPr>
            <w:tcW w:w="32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BFBFB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BFBFBF"/>
            </w:tcBorders>
          </w:tcPr>
          <w:p>
            <w:pPr>
              <w:spacing w:after="0"/>
              <w:rPr>
                <w:sz w:val="18"/>
                <w:szCs w:val="18"/>
                <w:color w:val="auto"/>
              </w:rPr>
            </w:pPr>
          </w:p>
        </w:tc>
        <w:tc>
          <w:tcPr>
            <w:tcW w:w="5020" w:type="dxa"/>
            <w:vAlign w:val="bottom"/>
            <w:tcBorders>
              <w:bottom w:val="single" w:sz="8" w:color="BFBFB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BFBFB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(673)</w:t>
            </w:r>
          </w:p>
        </w:tc>
        <w:tc>
          <w:tcPr>
            <w:tcW w:w="360" w:type="dxa"/>
            <w:vAlign w:val="bottom"/>
            <w:shd w:val="clear" w:color="auto" w:fill="BFBFBF"/>
          </w:tcPr>
          <w:p>
            <w:pPr>
              <w:spacing w:after="0"/>
              <w:rPr>
                <w:sz w:val="17"/>
                <w:szCs w:val="17"/>
                <w:color w:val="auto"/>
              </w:rPr>
            </w:pPr>
          </w:p>
        </w:tc>
        <w:tc>
          <w:tcPr>
            <w:tcW w:w="320" w:type="dxa"/>
            <w:vAlign w:val="bottom"/>
            <w:tcBorders>
              <w:bottom w:val="single" w:sz="8" w:color="auto"/>
            </w:tcBorders>
            <w:shd w:val="clear" w:color="auto" w:fill="BFBFBF"/>
          </w:tcPr>
          <w:p>
            <w:pPr>
              <w:spacing w:after="0"/>
              <w:rPr>
                <w:sz w:val="17"/>
                <w:szCs w:val="17"/>
                <w:color w:val="auto"/>
              </w:rPr>
            </w:pPr>
          </w:p>
        </w:tc>
        <w:tc>
          <w:tcPr>
            <w:tcW w:w="106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35,789</w:t>
            </w:r>
          </w:p>
        </w:tc>
        <w:tc>
          <w:tcPr>
            <w:tcW w:w="220" w:type="dxa"/>
            <w:vAlign w:val="bottom"/>
            <w:shd w:val="clear" w:color="auto" w:fill="BFBFBF"/>
          </w:tcPr>
          <w:p>
            <w:pPr>
              <w:spacing w:after="0"/>
              <w:rPr>
                <w:sz w:val="17"/>
                <w:szCs w:val="17"/>
                <w:color w:val="auto"/>
              </w:rPr>
            </w:pPr>
          </w:p>
        </w:tc>
        <w:tc>
          <w:tcPr>
            <w:tcW w:w="5020" w:type="dxa"/>
            <w:vAlign w:val="bottom"/>
            <w:shd w:val="clear" w:color="auto" w:fill="BFBFBF"/>
          </w:tcPr>
          <w:p>
            <w:pPr>
              <w:ind w:left="200"/>
              <w:spacing w:after="0" w:line="196" w:lineRule="exact"/>
              <w:rPr>
                <w:sz w:val="20"/>
                <w:szCs w:val="20"/>
                <w:color w:val="auto"/>
              </w:rPr>
            </w:pPr>
            <w:r>
              <w:rPr>
                <w:rFonts w:ascii="Arial" w:cs="Arial" w:eastAsia="Arial" w:hAnsi="Arial"/>
                <w:sz w:val="18"/>
                <w:szCs w:val="18"/>
                <w:color w:val="auto"/>
              </w:rPr>
              <w:t>Other comprehensive (loss)/income, net of tax</w:t>
            </w:r>
          </w:p>
        </w:tc>
        <w:tc>
          <w:tcPr>
            <w:tcW w:w="260" w:type="dxa"/>
            <w:vAlign w:val="bottom"/>
            <w:tcBorders>
              <w:bottom w:val="single" w:sz="8" w:color="auto"/>
            </w:tcBorders>
            <w:shd w:val="clear" w:color="auto" w:fill="BFBFBF"/>
          </w:tcPr>
          <w:p>
            <w:pPr>
              <w:spacing w:after="0"/>
              <w:rPr>
                <w:sz w:val="17"/>
                <w:szCs w:val="17"/>
                <w:color w:val="auto"/>
              </w:rPr>
            </w:pPr>
          </w:p>
        </w:tc>
        <w:tc>
          <w:tcPr>
            <w:tcW w:w="11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(10,513)</w:t>
            </w:r>
          </w:p>
        </w:tc>
        <w:tc>
          <w:tcPr>
            <w:tcW w:w="340" w:type="dxa"/>
            <w:vAlign w:val="bottom"/>
            <w:shd w:val="clear" w:color="auto" w:fill="BFBFBF"/>
          </w:tcPr>
          <w:p>
            <w:pPr>
              <w:spacing w:after="0"/>
              <w:rPr>
                <w:sz w:val="17"/>
                <w:szCs w:val="17"/>
                <w:color w:val="auto"/>
              </w:rPr>
            </w:pPr>
          </w:p>
        </w:tc>
        <w:tc>
          <w:tcPr>
            <w:tcW w:w="320" w:type="dxa"/>
            <w:vAlign w:val="bottom"/>
            <w:tcBorders>
              <w:bottom w:val="single" w:sz="8" w:color="auto"/>
            </w:tcBorders>
            <w:shd w:val="clear" w:color="auto" w:fill="BFBFBF"/>
          </w:tcPr>
          <w:p>
            <w:pPr>
              <w:spacing w:after="0"/>
              <w:rPr>
                <w:sz w:val="17"/>
                <w:szCs w:val="17"/>
                <w:color w:val="auto"/>
              </w:rPr>
            </w:pPr>
          </w:p>
        </w:tc>
        <w:tc>
          <w:tcPr>
            <w:tcW w:w="10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56,070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($8,052)</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$2,044</w:t>
            </w:r>
          </w:p>
        </w:tc>
        <w:tc>
          <w:tcPr>
            <w:tcW w:w="220" w:type="dxa"/>
            <w:vAlign w:val="bottom"/>
          </w:tcPr>
          <w:p>
            <w:pPr>
              <w:spacing w:after="0"/>
              <w:rPr>
                <w:sz w:val="17"/>
                <w:szCs w:val="17"/>
                <w:color w:val="auto"/>
              </w:rPr>
            </w:pPr>
          </w:p>
        </w:tc>
        <w:tc>
          <w:tcPr>
            <w:tcW w:w="5020" w:type="dxa"/>
            <w:vAlign w:val="bottom"/>
          </w:tcPr>
          <w:p>
            <w:pPr>
              <w:ind w:left="200"/>
              <w:spacing w:after="0" w:line="196" w:lineRule="exact"/>
              <w:rPr>
                <w:sz w:val="20"/>
                <w:szCs w:val="20"/>
                <w:color w:val="auto"/>
              </w:rPr>
            </w:pPr>
            <w:r>
              <w:rPr>
                <w:rFonts w:ascii="Arial" w:cs="Arial" w:eastAsia="Arial" w:hAnsi="Arial"/>
                <w:sz w:val="18"/>
                <w:szCs w:val="18"/>
                <w:color w:val="auto"/>
              </w:rPr>
              <w:t>Comprehensive (loss)/income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($6,381)</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$69,366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ind w:left="4640"/>
              <w:spacing w:after="0"/>
              <w:rPr>
                <w:sz w:val="20"/>
                <w:szCs w:val="20"/>
                <w:color w:val="auto"/>
              </w:rPr>
            </w:pPr>
            <w:r>
              <w:rPr>
                <w:rFonts w:ascii="Arial" w:cs="Arial" w:eastAsia="Arial" w:hAnsi="Arial"/>
                <w:sz w:val="18"/>
                <w:szCs w:val="18"/>
                <w:color w:val="auto"/>
              </w:rPr>
              <w:t>ALBANY INTERNATIONAL CORP.</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jc w:val="center"/>
              <w:ind w:left="3670"/>
              <w:spacing w:after="0" w:line="202" w:lineRule="exact"/>
              <w:rPr>
                <w:sz w:val="20"/>
                <w:szCs w:val="20"/>
                <w:color w:val="auto"/>
              </w:rPr>
            </w:pPr>
            <w:r>
              <w:rPr>
                <w:rFonts w:ascii="Arial" w:cs="Arial" w:eastAsia="Arial" w:hAnsi="Arial"/>
                <w:sz w:val="18"/>
                <w:szCs w:val="18"/>
                <w:color w:val="auto"/>
                <w:w w:val="99"/>
              </w:rPr>
              <w:t>CONSOLIDATED BALANCE SHEETS</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jc w:val="center"/>
              <w:ind w:left="3690"/>
              <w:spacing w:after="0" w:line="202" w:lineRule="exact"/>
              <w:rPr>
                <w:sz w:val="20"/>
                <w:szCs w:val="20"/>
                <w:color w:val="auto"/>
              </w:rPr>
            </w:pPr>
            <w:r>
              <w:rPr>
                <w:rFonts w:ascii="Arial" w:cs="Arial" w:eastAsia="Arial" w:hAnsi="Arial"/>
                <w:sz w:val="18"/>
                <w:szCs w:val="18"/>
                <w:color w:val="auto"/>
              </w:rPr>
              <w:t>(in thousands, except share and per share data)</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jc w:val="center"/>
              <w:ind w:left="3670"/>
              <w:spacing w:after="0"/>
              <w:rPr>
                <w:sz w:val="20"/>
                <w:szCs w:val="20"/>
                <w:color w:val="auto"/>
              </w:rPr>
            </w:pPr>
            <w:r>
              <w:rPr>
                <w:rFonts w:ascii="Arial" w:cs="Arial" w:eastAsia="Arial" w:hAnsi="Arial"/>
                <w:sz w:val="18"/>
                <w:szCs w:val="18"/>
                <w:color w:val="auto"/>
                <w:w w:val="98"/>
              </w:rPr>
              <w:t>(unaudited)</w:t>
            </w:r>
          </w:p>
        </w:tc>
        <w:tc>
          <w:tcPr>
            <w:tcW w:w="1960" w:type="dxa"/>
            <w:vAlign w:val="bottom"/>
            <w:gridSpan w:val="2"/>
            <w:vMerge w:val="restart"/>
          </w:tcPr>
          <w:p>
            <w:pPr>
              <w:ind w:left="20"/>
              <w:spacing w:after="0"/>
              <w:rPr>
                <w:sz w:val="20"/>
                <w:szCs w:val="20"/>
                <w:color w:val="auto"/>
              </w:rPr>
            </w:pPr>
            <w:r>
              <w:rPr>
                <w:rFonts w:ascii="Arial" w:cs="Arial" w:eastAsia="Arial" w:hAnsi="Arial"/>
                <w:sz w:val="18"/>
                <w:szCs w:val="18"/>
                <w:color w:val="auto"/>
              </w:rPr>
              <w:t>June 30,</w:t>
            </w: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62"/>
        </w:trPr>
        <w:tc>
          <w:tcPr>
            <w:tcW w:w="7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100" w:type="dxa"/>
            <w:vAlign w:val="bottom"/>
            <w:vMerge w:val="restart"/>
          </w:tcPr>
          <w:p>
            <w:pPr>
              <w:ind w:left="100"/>
              <w:spacing w:after="0"/>
              <w:rPr>
                <w:sz w:val="20"/>
                <w:szCs w:val="20"/>
                <w:color w:val="auto"/>
              </w:rPr>
            </w:pPr>
            <w:r>
              <w:rPr>
                <w:rFonts w:ascii="Arial" w:cs="Arial" w:eastAsia="Arial" w:hAnsi="Arial"/>
                <w:sz w:val="18"/>
                <w:szCs w:val="18"/>
                <w:color w:val="auto"/>
              </w:rPr>
              <w:t>ASSETS</w:t>
            </w: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20"/>
                <w:szCs w:val="20"/>
                <w:color w:val="auto"/>
              </w:rPr>
            </w:pP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$197,321</w:t>
            </w:r>
          </w:p>
        </w:tc>
        <w:tc>
          <w:tcPr>
            <w:tcW w:w="680" w:type="dxa"/>
            <w:vAlign w:val="bottom"/>
            <w:shd w:val="clear" w:color="auto" w:fill="C0C0C0"/>
          </w:tcPr>
          <w:p>
            <w:pPr>
              <w:spacing w:after="0"/>
              <w:rPr>
                <w:sz w:val="17"/>
                <w:szCs w:val="17"/>
                <w:color w:val="auto"/>
              </w:rPr>
            </w:pPr>
          </w:p>
        </w:tc>
        <w:tc>
          <w:tcPr>
            <w:tcW w:w="18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174,881</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171,535</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Inventories</w:t>
            </w:r>
          </w:p>
        </w:tc>
        <w:tc>
          <w:tcPr>
            <w:tcW w:w="128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117,443</w:t>
            </w:r>
          </w:p>
        </w:tc>
        <w:tc>
          <w:tcPr>
            <w:tcW w:w="680" w:type="dxa"/>
            <w:vAlign w:val="bottom"/>
            <w:shd w:val="clear" w:color="auto" w:fill="C0C0C0"/>
          </w:tcPr>
          <w:p>
            <w:pPr>
              <w:spacing w:after="0"/>
              <w:rPr>
                <w:sz w:val="17"/>
                <w:szCs w:val="17"/>
                <w:color w:val="auto"/>
              </w:rPr>
            </w:pPr>
          </w:p>
        </w:tc>
        <w:tc>
          <w:tcPr>
            <w:tcW w:w="18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119,183</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taxes receivable and deferred</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20,298</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16"/>
        </w:trPr>
        <w:tc>
          <w:tcPr>
            <w:tcW w:w="7100" w:type="dxa"/>
            <w:vAlign w:val="bottom"/>
            <w:shd w:val="clear" w:color="auto" w:fill="BFBFB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Borders>
              <w:bottom w:val="single" w:sz="8" w:color="auto"/>
            </w:tcBorders>
            <w:shd w:val="clear" w:color="auto" w:fill="C0C0C0"/>
          </w:tcPr>
          <w:p>
            <w:pPr>
              <w:spacing w:after="0"/>
              <w:rPr>
                <w:sz w:val="18"/>
                <w:szCs w:val="18"/>
                <w:color w:val="auto"/>
              </w:rPr>
            </w:pPr>
          </w:p>
        </w:tc>
        <w:tc>
          <w:tcPr>
            <w:tcW w:w="128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12,311</w:t>
            </w:r>
          </w:p>
        </w:tc>
        <w:tc>
          <w:tcPr>
            <w:tcW w:w="680" w:type="dxa"/>
            <w:vAlign w:val="bottom"/>
            <w:shd w:val="clear" w:color="auto" w:fill="C0C0C0"/>
          </w:tcPr>
          <w:p>
            <w:pPr>
              <w:spacing w:after="0"/>
              <w:rPr>
                <w:sz w:val="18"/>
                <w:szCs w:val="18"/>
                <w:color w:val="auto"/>
              </w:rPr>
            </w:pPr>
          </w:p>
        </w:tc>
        <w:tc>
          <w:tcPr>
            <w:tcW w:w="18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36"/>
        </w:trPr>
        <w:tc>
          <w:tcPr>
            <w:tcW w:w="71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522,254</w:t>
            </w:r>
          </w:p>
        </w:tc>
        <w:tc>
          <w:tcPr>
            <w:tcW w:w="68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512,465</w:t>
            </w:r>
          </w:p>
        </w:tc>
        <w:tc>
          <w:tcPr>
            <w:tcW w:w="0" w:type="dxa"/>
            <w:vAlign w:val="bottom"/>
          </w:tcPr>
          <w:p>
            <w:pPr>
              <w:spacing w:after="0"/>
              <w:rPr>
                <w:sz w:val="1"/>
                <w:szCs w:val="1"/>
                <w:color w:val="auto"/>
              </w:rPr>
            </w:pPr>
          </w:p>
        </w:tc>
      </w:tr>
      <w:tr>
        <w:trPr>
          <w:trHeight w:val="162"/>
        </w:trPr>
        <w:tc>
          <w:tcPr>
            <w:tcW w:w="7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Property, plant and equipment, net</w:t>
            </w:r>
          </w:p>
        </w:tc>
        <w:tc>
          <w:tcPr>
            <w:tcW w:w="128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406,845</w:t>
            </w:r>
          </w:p>
        </w:tc>
        <w:tc>
          <w:tcPr>
            <w:tcW w:w="680" w:type="dxa"/>
            <w:vAlign w:val="bottom"/>
            <w:shd w:val="clear" w:color="auto" w:fill="C0C0C0"/>
          </w:tcPr>
          <w:p>
            <w:pPr>
              <w:spacing w:after="0"/>
              <w:rPr>
                <w:sz w:val="17"/>
                <w:szCs w:val="17"/>
                <w:color w:val="auto"/>
              </w:rPr>
            </w:pPr>
          </w:p>
        </w:tc>
        <w:tc>
          <w:tcPr>
            <w:tcW w:w="18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420,154</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Intangibles</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733</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C0C0C0"/>
          </w:tcPr>
          <w:p>
            <w:pPr>
              <w:ind w:left="200"/>
              <w:spacing w:after="0" w:line="202" w:lineRule="exact"/>
              <w:rPr>
                <w:sz w:val="20"/>
                <w:szCs w:val="20"/>
                <w:color w:val="auto"/>
              </w:rPr>
            </w:pPr>
            <w:r>
              <w:rPr>
                <w:rFonts w:ascii="Arial" w:cs="Arial" w:eastAsia="Arial" w:hAnsi="Arial"/>
                <w:sz w:val="18"/>
                <w:szCs w:val="18"/>
                <w:color w:val="auto"/>
              </w:rPr>
              <w:t>Goodwill</w:t>
            </w:r>
          </w:p>
        </w:tc>
        <w:tc>
          <w:tcPr>
            <w:tcW w:w="128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75,688</w:t>
            </w:r>
          </w:p>
        </w:tc>
        <w:tc>
          <w:tcPr>
            <w:tcW w:w="680" w:type="dxa"/>
            <w:vAlign w:val="bottom"/>
            <w:shd w:val="clear" w:color="auto" w:fill="C0C0C0"/>
          </w:tcPr>
          <w:p>
            <w:pPr>
              <w:spacing w:after="0"/>
              <w:rPr>
                <w:sz w:val="17"/>
                <w:szCs w:val="17"/>
                <w:color w:val="auto"/>
              </w:rPr>
            </w:pPr>
          </w:p>
        </w:tc>
        <w:tc>
          <w:tcPr>
            <w:tcW w:w="18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125,549</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123,886</w:t>
            </w:r>
          </w:p>
        </w:tc>
        <w:tc>
          <w:tcPr>
            <w:tcW w:w="0" w:type="dxa"/>
            <w:vAlign w:val="bottom"/>
          </w:tcPr>
          <w:p>
            <w:pPr>
              <w:spacing w:after="0"/>
              <w:rPr>
                <w:sz w:val="1"/>
                <w:szCs w:val="1"/>
                <w:color w:val="auto"/>
              </w:rPr>
            </w:pPr>
          </w:p>
        </w:tc>
      </w:tr>
      <w:tr>
        <w:trPr>
          <w:trHeight w:val="216"/>
        </w:trPr>
        <w:tc>
          <w:tcPr>
            <w:tcW w:w="7100" w:type="dxa"/>
            <w:vAlign w:val="bottom"/>
            <w:shd w:val="clear" w:color="auto" w:fill="BFBFBF"/>
          </w:tcPr>
          <w:p>
            <w:pPr>
              <w:ind w:left="200"/>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auto"/>
            </w:tcBorders>
            <w:shd w:val="clear" w:color="auto" w:fill="C0C0C0"/>
          </w:tcPr>
          <w:p>
            <w:pPr>
              <w:spacing w:after="0"/>
              <w:rPr>
                <w:sz w:val="18"/>
                <w:szCs w:val="18"/>
                <w:color w:val="auto"/>
              </w:rPr>
            </w:pPr>
          </w:p>
        </w:tc>
        <w:tc>
          <w:tcPr>
            <w:tcW w:w="128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26,875</w:t>
            </w:r>
          </w:p>
        </w:tc>
        <w:tc>
          <w:tcPr>
            <w:tcW w:w="680" w:type="dxa"/>
            <w:vAlign w:val="bottom"/>
            <w:shd w:val="clear" w:color="auto" w:fill="C0C0C0"/>
          </w:tcPr>
          <w:p>
            <w:pPr>
              <w:spacing w:after="0"/>
              <w:rPr>
                <w:sz w:val="18"/>
                <w:szCs w:val="18"/>
                <w:color w:val="auto"/>
              </w:rPr>
            </w:pPr>
          </w:p>
        </w:tc>
        <w:tc>
          <w:tcPr>
            <w:tcW w:w="18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10"/>
        </w:trPr>
        <w:tc>
          <w:tcPr>
            <w:tcW w:w="71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$1,157,944</w:t>
            </w:r>
          </w:p>
        </w:tc>
        <w:tc>
          <w:tcPr>
            <w:tcW w:w="680" w:type="dxa"/>
            <w:vAlign w:val="bottom"/>
          </w:tcPr>
          <w:p>
            <w:pPr>
              <w:spacing w:after="0"/>
              <w:rPr>
                <w:sz w:val="18"/>
                <w:szCs w:val="18"/>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$1,156,697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gridSpan w:val="2"/>
          </w:tcPr>
          <w:p>
            <w:pPr>
              <w:ind w:left="100"/>
              <w:spacing w:after="0"/>
              <w:rPr>
                <w:sz w:val="20"/>
                <w:szCs w:val="20"/>
                <w:color w:val="auto"/>
              </w:rPr>
            </w:pPr>
            <w:r>
              <w:rPr>
                <w:rFonts w:ascii="Arial" w:cs="Arial" w:eastAsia="Arial" w:hAnsi="Arial"/>
                <w:sz w:val="18"/>
                <w:szCs w:val="18"/>
                <w:color w:val="auto"/>
              </w:rPr>
              <w:t>LIABILITIES AND SHAREHOLDERS' EQUITY</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200"/>
              <w:spacing w:after="0" w:line="202" w:lineRule="exact"/>
              <w:rPr>
                <w:sz w:val="20"/>
                <w:szCs w:val="20"/>
                <w:color w:val="auto"/>
              </w:rPr>
            </w:pPr>
            <w:r>
              <w:rPr>
                <w:rFonts w:ascii="Arial" w:cs="Arial" w:eastAsia="Arial" w:hAnsi="Arial"/>
                <w:sz w:val="18"/>
                <w:szCs w:val="18"/>
                <w:color w:val="auto"/>
              </w:rPr>
              <w:t>Notes and loans payable</w:t>
            </w:r>
          </w:p>
        </w:tc>
        <w:tc>
          <w:tcPr>
            <w:tcW w:w="12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$610</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34,032</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35,117</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2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130,269</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103,257</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Current maturities of long-term debt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55,014</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216"/>
        </w:trPr>
        <w:tc>
          <w:tcPr>
            <w:tcW w:w="7100" w:type="dxa"/>
            <w:vAlign w:val="bottom"/>
            <w:shd w:val="clear" w:color="auto" w:fill="BFBFBF"/>
          </w:tcPr>
          <w:p>
            <w:pPr>
              <w:ind w:left="200"/>
              <w:spacing w:after="0"/>
              <w:rPr>
                <w:sz w:val="20"/>
                <w:szCs w:val="20"/>
                <w:color w:val="auto"/>
              </w:rPr>
            </w:pPr>
            <w:r>
              <w:rPr>
                <w:rFonts w:ascii="Arial" w:cs="Arial" w:eastAsia="Arial" w:hAnsi="Arial"/>
                <w:sz w:val="18"/>
                <w:szCs w:val="18"/>
                <w:color w:val="auto"/>
              </w:rPr>
              <w:t>Income taxes payable and deferred</w:t>
            </w:r>
          </w:p>
        </w:tc>
        <w:tc>
          <w:tcPr>
            <w:tcW w:w="560" w:type="dxa"/>
            <w:vAlign w:val="bottom"/>
            <w:tcBorders>
              <w:bottom w:val="single" w:sz="8" w:color="auto"/>
            </w:tcBorders>
            <w:shd w:val="clear" w:color="auto" w:fill="C0C0C0"/>
          </w:tcPr>
          <w:p>
            <w:pPr>
              <w:spacing w:after="0"/>
              <w:rPr>
                <w:sz w:val="18"/>
                <w:szCs w:val="18"/>
                <w:color w:val="auto"/>
              </w:rPr>
            </w:pPr>
          </w:p>
        </w:tc>
        <w:tc>
          <w:tcPr>
            <w:tcW w:w="128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7,795</w:t>
            </w:r>
          </w:p>
        </w:tc>
        <w:tc>
          <w:tcPr>
            <w:tcW w:w="680" w:type="dxa"/>
            <w:vAlign w:val="bottom"/>
            <w:shd w:val="clear" w:color="auto" w:fill="C0C0C0"/>
          </w:tcPr>
          <w:p>
            <w:pPr>
              <w:spacing w:after="0"/>
              <w:rPr>
                <w:sz w:val="18"/>
                <w:szCs w:val="18"/>
                <w:color w:val="auto"/>
              </w:rPr>
            </w:pPr>
          </w:p>
        </w:tc>
        <w:tc>
          <w:tcPr>
            <w:tcW w:w="18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36"/>
        </w:trPr>
        <w:tc>
          <w:tcPr>
            <w:tcW w:w="71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227,720</w:t>
            </w:r>
          </w:p>
        </w:tc>
        <w:tc>
          <w:tcPr>
            <w:tcW w:w="68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235,788</w:t>
            </w:r>
          </w:p>
        </w:tc>
        <w:tc>
          <w:tcPr>
            <w:tcW w:w="0" w:type="dxa"/>
            <w:vAlign w:val="bottom"/>
          </w:tcPr>
          <w:p>
            <w:pPr>
              <w:spacing w:after="0"/>
              <w:rPr>
                <w:sz w:val="1"/>
                <w:szCs w:val="1"/>
                <w:color w:val="auto"/>
              </w:rPr>
            </w:pPr>
          </w:p>
        </w:tc>
      </w:tr>
      <w:tr>
        <w:trPr>
          <w:trHeight w:val="162"/>
        </w:trPr>
        <w:tc>
          <w:tcPr>
            <w:tcW w:w="7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200"/>
              <w:spacing w:after="0" w:line="202" w:lineRule="exact"/>
              <w:rPr>
                <w:sz w:val="20"/>
                <w:szCs w:val="20"/>
                <w:color w:val="auto"/>
              </w:rPr>
            </w:pPr>
            <w:r>
              <w:rPr>
                <w:rFonts w:ascii="Arial" w:cs="Arial" w:eastAsia="Arial" w:hAnsi="Arial"/>
                <w:sz w:val="18"/>
                <w:szCs w:val="18"/>
                <w:color w:val="auto"/>
              </w:rPr>
              <w:t>Long-term debt</w:t>
            </w:r>
          </w:p>
        </w:tc>
        <w:tc>
          <w:tcPr>
            <w:tcW w:w="12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265,368</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131,808</w:t>
            </w:r>
          </w:p>
        </w:tc>
        <w:tc>
          <w:tcPr>
            <w:tcW w:w="680" w:type="dxa"/>
            <w:vAlign w:val="bottom"/>
          </w:tcPr>
          <w:p>
            <w:pPr>
              <w:spacing w:after="0"/>
              <w:rPr>
                <w:sz w:val="17"/>
                <w:szCs w:val="17"/>
                <w:color w:val="auto"/>
              </w:rPr>
            </w:pPr>
          </w:p>
        </w:tc>
        <w:tc>
          <w:tcPr>
            <w:tcW w:w="1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136,012</w:t>
            </w:r>
          </w:p>
        </w:tc>
        <w:tc>
          <w:tcPr>
            <w:tcW w:w="0" w:type="dxa"/>
            <w:vAlign w:val="bottom"/>
          </w:tcPr>
          <w:p>
            <w:pPr>
              <w:spacing w:after="0"/>
              <w:rPr>
                <w:sz w:val="1"/>
                <w:szCs w:val="1"/>
                <w:color w:val="auto"/>
              </w:rPr>
            </w:pPr>
          </w:p>
        </w:tc>
      </w:tr>
      <w:tr>
        <w:trPr>
          <w:trHeight w:val="216"/>
        </w:trPr>
        <w:tc>
          <w:tcPr>
            <w:tcW w:w="7100" w:type="dxa"/>
            <w:vAlign w:val="bottom"/>
            <w:shd w:val="clear" w:color="auto" w:fill="BFBFBF"/>
          </w:tcPr>
          <w:p>
            <w:pPr>
              <w:ind w:left="200"/>
              <w:spacing w:after="0"/>
              <w:rPr>
                <w:sz w:val="20"/>
                <w:szCs w:val="20"/>
                <w:color w:val="auto"/>
              </w:rPr>
            </w:pPr>
            <w:r>
              <w:rPr>
                <w:rFonts w:ascii="Arial" w:cs="Arial" w:eastAsia="Arial" w:hAnsi="Arial"/>
                <w:sz w:val="18"/>
                <w:szCs w:val="18"/>
                <w:color w:val="auto"/>
              </w:rPr>
              <w:t>Deferred taxes and other credits</w:t>
            </w:r>
          </w:p>
        </w:tc>
        <w:tc>
          <w:tcPr>
            <w:tcW w:w="560" w:type="dxa"/>
            <w:vAlign w:val="bottom"/>
            <w:tcBorders>
              <w:bottom w:val="single" w:sz="8" w:color="auto"/>
            </w:tcBorders>
            <w:shd w:val="clear" w:color="auto" w:fill="C0C0C0"/>
          </w:tcPr>
          <w:p>
            <w:pPr>
              <w:spacing w:after="0"/>
              <w:rPr>
                <w:sz w:val="18"/>
                <w:szCs w:val="18"/>
                <w:color w:val="auto"/>
              </w:rPr>
            </w:pPr>
          </w:p>
        </w:tc>
        <w:tc>
          <w:tcPr>
            <w:tcW w:w="128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52,771</w:t>
            </w:r>
          </w:p>
        </w:tc>
        <w:tc>
          <w:tcPr>
            <w:tcW w:w="680" w:type="dxa"/>
            <w:vAlign w:val="bottom"/>
            <w:shd w:val="clear" w:color="auto" w:fill="C0C0C0"/>
          </w:tcPr>
          <w:p>
            <w:pPr>
              <w:spacing w:after="0"/>
              <w:rPr>
                <w:sz w:val="18"/>
                <w:szCs w:val="18"/>
                <w:color w:val="auto"/>
              </w:rPr>
            </w:pPr>
          </w:p>
        </w:tc>
        <w:tc>
          <w:tcPr>
            <w:tcW w:w="18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196"/>
        </w:trPr>
        <w:tc>
          <w:tcPr>
            <w:tcW w:w="7100" w:type="dxa"/>
            <w:vAlign w:val="bottom"/>
          </w:tcPr>
          <w:p>
            <w:pPr>
              <w:ind w:left="260"/>
              <w:spacing w:after="0" w:line="196" w:lineRule="exact"/>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677,667</w:t>
            </w:r>
          </w:p>
        </w:tc>
        <w:tc>
          <w:tcPr>
            <w:tcW w:w="680" w:type="dxa"/>
            <w:vAlign w:val="bottom"/>
          </w:tcPr>
          <w:p>
            <w:pPr>
              <w:spacing w:after="0"/>
              <w:rPr>
                <w:sz w:val="17"/>
                <w:szCs w:val="17"/>
                <w:color w:val="auto"/>
              </w:rPr>
            </w:pP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663,186</w:t>
            </w:r>
          </w:p>
        </w:tc>
        <w:tc>
          <w:tcPr>
            <w:tcW w:w="0" w:type="dxa"/>
            <w:vAlign w:val="bottom"/>
          </w:tcPr>
          <w:p>
            <w:pPr>
              <w:spacing w:after="0"/>
              <w:rPr>
                <w:sz w:val="1"/>
                <w:szCs w:val="1"/>
                <w:color w:val="auto"/>
              </w:rPr>
            </w:pPr>
          </w:p>
        </w:tc>
      </w:tr>
      <w:tr>
        <w:trPr>
          <w:trHeight w:val="376"/>
        </w:trPr>
        <w:tc>
          <w:tcPr>
            <w:tcW w:w="766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Preferred stock, par value $5.00 per share;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authorized 2,000,000 shares; none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100" w:type="dxa"/>
            <w:vAlign w:val="bottom"/>
            <w:shd w:val="clear" w:color="auto" w:fill="BFBFBF"/>
          </w:tcPr>
          <w:p>
            <w:pPr>
              <w:ind w:left="200"/>
              <w:spacing w:after="0" w:line="180" w:lineRule="exact"/>
              <w:rPr>
                <w:sz w:val="20"/>
                <w:szCs w:val="20"/>
                <w:color w:val="auto"/>
              </w:rPr>
            </w:pPr>
            <w:r>
              <w:rPr>
                <w:rFonts w:ascii="Arial" w:cs="Arial" w:eastAsia="Arial" w:hAnsi="Arial"/>
                <w:sz w:val="18"/>
                <w:szCs w:val="18"/>
                <w:color w:val="auto"/>
              </w:rPr>
              <w:t>Class A Common Stock, par value $.001 per share;</w:t>
            </w:r>
          </w:p>
        </w:tc>
        <w:tc>
          <w:tcPr>
            <w:tcW w:w="560" w:type="dxa"/>
            <w:vAlign w:val="bottom"/>
            <w:shd w:val="clear" w:color="auto" w:fill="BFBFBF"/>
          </w:tcPr>
          <w:p>
            <w:pPr>
              <w:spacing w:after="0"/>
              <w:rPr>
                <w:sz w:val="15"/>
                <w:szCs w:val="15"/>
                <w:color w:val="auto"/>
              </w:rPr>
            </w:pPr>
          </w:p>
        </w:tc>
        <w:tc>
          <w:tcPr>
            <w:tcW w:w="1280" w:type="dxa"/>
            <w:vAlign w:val="bottom"/>
            <w:shd w:val="clear" w:color="auto" w:fill="BFBFBF"/>
          </w:tcPr>
          <w:p>
            <w:pPr>
              <w:spacing w:after="0"/>
              <w:rPr>
                <w:sz w:val="15"/>
                <w:szCs w:val="15"/>
                <w:color w:val="auto"/>
              </w:rPr>
            </w:pPr>
          </w:p>
        </w:tc>
        <w:tc>
          <w:tcPr>
            <w:tcW w:w="680" w:type="dxa"/>
            <w:vAlign w:val="bottom"/>
            <w:shd w:val="clear" w:color="auto" w:fill="BFBFBF"/>
          </w:tcPr>
          <w:p>
            <w:pPr>
              <w:spacing w:after="0"/>
              <w:rPr>
                <w:sz w:val="15"/>
                <w:szCs w:val="15"/>
                <w:color w:val="auto"/>
              </w:rPr>
            </w:pPr>
          </w:p>
        </w:tc>
        <w:tc>
          <w:tcPr>
            <w:tcW w:w="180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BFBFBF"/>
          </w:tcPr>
          <w:p>
            <w:pPr>
              <w:ind w:left="360"/>
              <w:spacing w:after="0" w:line="202" w:lineRule="exact"/>
              <w:rPr>
                <w:sz w:val="20"/>
                <w:szCs w:val="20"/>
                <w:color w:val="auto"/>
              </w:rPr>
            </w:pPr>
            <w:r>
              <w:rPr>
                <w:rFonts w:ascii="Arial" w:cs="Arial" w:eastAsia="Arial" w:hAnsi="Arial"/>
                <w:sz w:val="18"/>
                <w:szCs w:val="18"/>
                <w:color w:val="auto"/>
              </w:rPr>
              <w:t>authorized 100,000,000 shares; issued</w:t>
            </w:r>
          </w:p>
        </w:tc>
        <w:tc>
          <w:tcPr>
            <w:tcW w:w="560" w:type="dxa"/>
            <w:vAlign w:val="bottom"/>
            <w:shd w:val="clear" w:color="auto" w:fill="BFBFBF"/>
          </w:tcPr>
          <w:p>
            <w:pPr>
              <w:spacing w:after="0"/>
              <w:rPr>
                <w:sz w:val="17"/>
                <w:szCs w:val="17"/>
                <w:color w:val="auto"/>
              </w:rPr>
            </w:pPr>
          </w:p>
        </w:tc>
        <w:tc>
          <w:tcPr>
            <w:tcW w:w="1280" w:type="dxa"/>
            <w:vAlign w:val="bottom"/>
            <w:shd w:val="clear" w:color="auto" w:fill="BFBFBF"/>
          </w:tcPr>
          <w:p>
            <w:pPr>
              <w:spacing w:after="0"/>
              <w:rPr>
                <w:sz w:val="17"/>
                <w:szCs w:val="17"/>
                <w:color w:val="auto"/>
              </w:rPr>
            </w:pP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BFBFBF"/>
          </w:tcPr>
          <w:p>
            <w:pPr>
              <w:ind w:left="360"/>
              <w:spacing w:after="0"/>
              <w:rPr>
                <w:sz w:val="20"/>
                <w:szCs w:val="20"/>
                <w:color w:val="auto"/>
              </w:rPr>
            </w:pPr>
            <w:r>
              <w:rPr>
                <w:rFonts w:ascii="Arial" w:cs="Arial" w:eastAsia="Arial" w:hAnsi="Arial"/>
                <w:sz w:val="18"/>
                <w:szCs w:val="18"/>
                <w:color w:val="auto"/>
              </w:rPr>
              <w:t>36,875,127 in 2013 and 36,642,204 in 2012</w:t>
            </w:r>
          </w:p>
        </w:tc>
        <w:tc>
          <w:tcPr>
            <w:tcW w:w="560" w:type="dxa"/>
            <w:vAlign w:val="bottom"/>
            <w:shd w:val="clear" w:color="auto" w:fill="BFBFBF"/>
          </w:tcPr>
          <w:p>
            <w:pPr>
              <w:spacing w:after="0"/>
              <w:rPr>
                <w:sz w:val="19"/>
                <w:szCs w:val="19"/>
                <w:color w:val="auto"/>
              </w:rPr>
            </w:pPr>
          </w:p>
        </w:tc>
        <w:tc>
          <w:tcPr>
            <w:tcW w:w="128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37</w:t>
            </w:r>
          </w:p>
        </w:tc>
        <w:tc>
          <w:tcPr>
            <w:tcW w:w="680" w:type="dxa"/>
            <w:vAlign w:val="bottom"/>
            <w:shd w:val="clear" w:color="auto" w:fill="BFBFBF"/>
          </w:tcPr>
          <w:p>
            <w:pPr>
              <w:spacing w:after="0"/>
              <w:rPr>
                <w:sz w:val="19"/>
                <w:szCs w:val="19"/>
                <w:color w:val="auto"/>
              </w:rPr>
            </w:pPr>
          </w:p>
        </w:tc>
        <w:tc>
          <w:tcPr>
            <w:tcW w:w="180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0"/>
        </w:trPr>
        <w:tc>
          <w:tcPr>
            <w:tcW w:w="7100" w:type="dxa"/>
            <w:vAlign w:val="bottom"/>
          </w:tcPr>
          <w:p>
            <w:pPr>
              <w:ind w:left="200"/>
              <w:spacing w:after="0" w:line="180" w:lineRule="exact"/>
              <w:rPr>
                <w:sz w:val="20"/>
                <w:szCs w:val="20"/>
                <w:color w:val="auto"/>
              </w:rPr>
            </w:pPr>
            <w:r>
              <w:rPr>
                <w:rFonts w:ascii="Arial" w:cs="Arial" w:eastAsia="Arial" w:hAnsi="Arial"/>
                <w:sz w:val="18"/>
                <w:szCs w:val="18"/>
                <w:color w:val="auto"/>
              </w:rPr>
              <w:t>Class B Common Stock, par value $.001 per share;</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authorized 25,000,000 shares; issued and</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outstanding 3,236,098 in 2013 and 2012</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200"/>
              <w:spacing w:after="0" w:line="202" w:lineRule="exact"/>
              <w:rPr>
                <w:sz w:val="20"/>
                <w:szCs w:val="20"/>
                <w:color w:val="auto"/>
              </w:rPr>
            </w:pPr>
            <w:r>
              <w:rPr>
                <w:rFonts w:ascii="Arial" w:cs="Arial" w:eastAsia="Arial" w:hAnsi="Arial"/>
                <w:sz w:val="18"/>
                <w:szCs w:val="18"/>
                <w:color w:val="auto"/>
              </w:rPr>
              <w:t>Additional paid in capital</w:t>
            </w:r>
          </w:p>
        </w:tc>
        <w:tc>
          <w:tcPr>
            <w:tcW w:w="12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397,606</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395,381</w:t>
            </w:r>
          </w:p>
        </w:tc>
        <w:tc>
          <w:tcPr>
            <w:tcW w:w="0" w:type="dxa"/>
            <w:vAlign w:val="bottom"/>
          </w:tcPr>
          <w:p>
            <w:pPr>
              <w:spacing w:after="0"/>
              <w:rPr>
                <w:sz w:val="1"/>
                <w:szCs w:val="1"/>
                <w:color w:val="auto"/>
              </w:rPr>
            </w:pPr>
          </w:p>
        </w:tc>
      </w:tr>
      <w:tr>
        <w:trPr>
          <w:trHeight w:val="180"/>
        </w:trPr>
        <w:tc>
          <w:tcPr>
            <w:tcW w:w="7660" w:type="dxa"/>
            <w:vAlign w:val="bottom"/>
            <w:gridSpan w:val="2"/>
          </w:tcPr>
          <w:p>
            <w:pPr>
              <w:ind w:left="200"/>
              <w:spacing w:after="0" w:line="180" w:lineRule="exact"/>
              <w:rPr>
                <w:sz w:val="20"/>
                <w:szCs w:val="20"/>
                <w:color w:val="auto"/>
              </w:rPr>
            </w:pPr>
            <w:r>
              <w:rPr>
                <w:rFonts w:ascii="Arial" w:cs="Arial" w:eastAsia="Arial" w:hAnsi="Arial"/>
                <w:sz w:val="18"/>
                <w:szCs w:val="18"/>
                <w:color w:val="auto"/>
              </w:rPr>
              <w:t>Retained earnings</w:t>
            </w:r>
          </w:p>
        </w:tc>
        <w:tc>
          <w:tcPr>
            <w:tcW w:w="1280" w:type="dxa"/>
            <w:vAlign w:val="bottom"/>
          </w:tcPr>
          <w:p>
            <w:pPr>
              <w:jc w:val="right"/>
              <w:ind w:right="30"/>
              <w:spacing w:after="0" w:line="180" w:lineRule="exact"/>
              <w:rPr>
                <w:sz w:val="20"/>
                <w:szCs w:val="20"/>
                <w:color w:val="auto"/>
              </w:rPr>
            </w:pPr>
            <w:r>
              <w:rPr>
                <w:rFonts w:ascii="Arial" w:cs="Arial" w:eastAsia="Arial" w:hAnsi="Arial"/>
                <w:sz w:val="18"/>
                <w:szCs w:val="18"/>
                <w:color w:val="auto"/>
              </w:rPr>
              <w:t>430,736</w:t>
            </w:r>
          </w:p>
        </w:tc>
        <w:tc>
          <w:tcPr>
            <w:tcW w:w="680" w:type="dxa"/>
            <w:vAlign w:val="bottom"/>
          </w:tcPr>
          <w:p>
            <w:pPr>
              <w:spacing w:after="0"/>
              <w:rPr>
                <w:sz w:val="15"/>
                <w:szCs w:val="15"/>
                <w:color w:val="auto"/>
              </w:rPr>
            </w:pPr>
          </w:p>
        </w:tc>
        <w:tc>
          <w:tcPr>
            <w:tcW w:w="1800" w:type="dxa"/>
            <w:vAlign w:val="bottom"/>
          </w:tcPr>
          <w:p>
            <w:pPr>
              <w:jc w:val="right"/>
              <w:ind w:right="10"/>
              <w:spacing w:after="0" w:line="180" w:lineRule="exact"/>
              <w:rPr>
                <w:sz w:val="20"/>
                <w:szCs w:val="20"/>
                <w:color w:val="auto"/>
              </w:rPr>
            </w:pPr>
            <w:r>
              <w:rPr>
                <w:rFonts w:ascii="Arial" w:cs="Arial" w:eastAsia="Arial" w:hAnsi="Arial"/>
                <w:sz w:val="18"/>
                <w:szCs w:val="18"/>
                <w:color w:val="auto"/>
              </w:rPr>
              <w:t>435,775</w:t>
            </w:r>
          </w:p>
        </w:tc>
        <w:tc>
          <w:tcPr>
            <w:tcW w:w="0" w:type="dxa"/>
            <w:vAlign w:val="bottom"/>
          </w:tcPr>
          <w:p>
            <w:pPr>
              <w:spacing w:after="0"/>
              <w:rPr>
                <w:sz w:val="1"/>
                <w:szCs w:val="1"/>
                <w:color w:val="auto"/>
              </w:rPr>
            </w:pPr>
          </w:p>
        </w:tc>
      </w:tr>
      <w:tr>
        <w:trPr>
          <w:trHeight w:val="225"/>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Accumulated items of other comprehensive income:</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360"/>
              <w:spacing w:after="0" w:line="202" w:lineRule="exact"/>
              <w:rPr>
                <w:sz w:val="20"/>
                <w:szCs w:val="20"/>
                <w:color w:val="auto"/>
              </w:rPr>
            </w:pPr>
            <w:r>
              <w:rPr>
                <w:rFonts w:ascii="Arial" w:cs="Arial" w:eastAsia="Arial" w:hAnsi="Arial"/>
                <w:sz w:val="18"/>
                <w:szCs w:val="18"/>
                <w:color w:val="auto"/>
              </w:rPr>
              <w:t>Translation adjustments</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(22,153)</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03"/>
        </w:trPr>
        <w:tc>
          <w:tcPr>
            <w:tcW w:w="76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(67,255)</w:t>
            </w:r>
          </w:p>
        </w:tc>
        <w:tc>
          <w:tcPr>
            <w:tcW w:w="6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03"/>
        </w:trPr>
        <w:tc>
          <w:tcPr>
            <w:tcW w:w="7660" w:type="dxa"/>
            <w:vAlign w:val="bottom"/>
            <w:gridSpan w:val="2"/>
            <w:shd w:val="clear" w:color="auto" w:fill="BFBFBF"/>
          </w:tcPr>
          <w:p>
            <w:pPr>
              <w:ind w:left="360"/>
              <w:spacing w:after="0" w:line="202" w:lineRule="exact"/>
              <w:rPr>
                <w:sz w:val="20"/>
                <w:szCs w:val="20"/>
                <w:color w:val="auto"/>
              </w:rPr>
            </w:pPr>
            <w:r>
              <w:rPr>
                <w:rFonts w:ascii="Arial" w:cs="Arial" w:eastAsia="Arial" w:hAnsi="Arial"/>
                <w:sz w:val="18"/>
                <w:szCs w:val="18"/>
                <w:color w:val="auto"/>
              </w:rPr>
              <w:t>Derivative valuation adjustment</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(1,126)</w:t>
            </w:r>
          </w:p>
        </w:tc>
        <w:tc>
          <w:tcPr>
            <w:tcW w:w="680" w:type="dxa"/>
            <w:vAlign w:val="bottom"/>
            <w:shd w:val="clear" w:color="auto" w:fill="BFBFBF"/>
          </w:tcPr>
          <w:p>
            <w:pPr>
              <w:spacing w:after="0"/>
              <w:rPr>
                <w:sz w:val="17"/>
                <w:szCs w:val="17"/>
                <w:color w:val="auto"/>
              </w:rPr>
            </w:pPr>
          </w:p>
        </w:tc>
        <w:tc>
          <w:tcPr>
            <w:tcW w:w="18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180"/>
        </w:trPr>
        <w:tc>
          <w:tcPr>
            <w:tcW w:w="7660" w:type="dxa"/>
            <w:vAlign w:val="bottom"/>
            <w:gridSpan w:val="2"/>
          </w:tcPr>
          <w:p>
            <w:pPr>
              <w:ind w:left="200"/>
              <w:spacing w:after="0" w:line="180" w:lineRule="exact"/>
              <w:rPr>
                <w:sz w:val="20"/>
                <w:szCs w:val="20"/>
                <w:color w:val="auto"/>
              </w:rPr>
            </w:pPr>
            <w:r>
              <w:rPr>
                <w:rFonts w:ascii="Arial" w:cs="Arial" w:eastAsia="Arial" w:hAnsi="Arial"/>
                <w:sz w:val="18"/>
                <w:szCs w:val="18"/>
                <w:color w:val="auto"/>
              </w:rPr>
              <w:t>Treasury stock (Class A), at cost 8,463,635 shares</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in 2013 and 8,467,873 in 2012</w:t>
            </w:r>
          </w:p>
        </w:tc>
        <w:tc>
          <w:tcPr>
            <w:tcW w:w="1280" w:type="dxa"/>
            <w:vAlign w:val="bottom"/>
          </w:tcPr>
          <w:p>
            <w:pPr>
              <w:jc w:val="right"/>
              <w:spacing w:after="0"/>
              <w:rPr>
                <w:sz w:val="20"/>
                <w:szCs w:val="20"/>
                <w:color w:val="auto"/>
              </w:rPr>
            </w:pPr>
            <w:r>
              <w:rPr>
                <w:rFonts w:ascii="Arial" w:cs="Arial" w:eastAsia="Arial" w:hAnsi="Arial"/>
                <w:sz w:val="18"/>
                <w:szCs w:val="18"/>
                <w:color w:val="auto"/>
              </w:rPr>
              <w:t>(257,571)</w:t>
            </w:r>
          </w:p>
        </w:tc>
        <w:tc>
          <w:tcPr>
            <w:tcW w:w="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(257,664)</w:t>
            </w:r>
          </w:p>
        </w:tc>
        <w:tc>
          <w:tcPr>
            <w:tcW w:w="0" w:type="dxa"/>
            <w:vAlign w:val="bottom"/>
          </w:tcPr>
          <w:p>
            <w:pPr>
              <w:spacing w:after="0"/>
              <w:rPr>
                <w:sz w:val="1"/>
                <w:szCs w:val="1"/>
                <w:color w:val="auto"/>
              </w:rPr>
            </w:pPr>
          </w:p>
        </w:tc>
      </w:tr>
      <w:tr>
        <w:trPr>
          <w:trHeight w:val="196"/>
        </w:trPr>
        <w:tc>
          <w:tcPr>
            <w:tcW w:w="7100" w:type="dxa"/>
            <w:vAlign w:val="bottom"/>
            <w:tcBorders>
              <w:top w:val="single" w:sz="8" w:color="BFBFBF"/>
            </w:tcBorders>
            <w:shd w:val="clear" w:color="auto" w:fill="BFBFBF"/>
          </w:tcPr>
          <w:p>
            <w:pPr>
              <w:ind w:left="400"/>
              <w:spacing w:after="0" w:line="196" w:lineRule="exact"/>
              <w:rPr>
                <w:sz w:val="20"/>
                <w:szCs w:val="20"/>
                <w:color w:val="auto"/>
              </w:rPr>
            </w:pPr>
            <w:r>
              <w:rPr>
                <w:rFonts w:ascii="Arial" w:cs="Arial" w:eastAsia="Arial" w:hAnsi="Arial"/>
                <w:sz w:val="18"/>
                <w:szCs w:val="18"/>
                <w:color w:val="auto"/>
              </w:rPr>
              <w:t>Total shareholders' equity</w:t>
            </w:r>
          </w:p>
        </w:tc>
        <w:tc>
          <w:tcPr>
            <w:tcW w:w="560" w:type="dxa"/>
            <w:vAlign w:val="bottom"/>
            <w:tcBorders>
              <w:top w:val="single" w:sz="8" w:color="auto"/>
              <w:bottom w:val="single" w:sz="8" w:color="auto"/>
            </w:tcBorders>
            <w:shd w:val="clear" w:color="auto" w:fill="BFBFBF"/>
          </w:tcPr>
          <w:p>
            <w:pPr>
              <w:spacing w:after="0"/>
              <w:rPr>
                <w:sz w:val="17"/>
                <w:szCs w:val="17"/>
                <w:color w:val="auto"/>
              </w:rPr>
            </w:pPr>
          </w:p>
        </w:tc>
        <w:tc>
          <w:tcPr>
            <w:tcW w:w="128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480,277</w:t>
            </w:r>
          </w:p>
        </w:tc>
        <w:tc>
          <w:tcPr>
            <w:tcW w:w="680" w:type="dxa"/>
            <w:vAlign w:val="bottom"/>
            <w:tcBorders>
              <w:top w:val="single" w:sz="8" w:color="BFBFBF"/>
            </w:tcBorders>
            <w:shd w:val="clear" w:color="auto" w:fill="BFBFBF"/>
          </w:tcPr>
          <w:p>
            <w:pPr>
              <w:spacing w:after="0"/>
              <w:rPr>
                <w:sz w:val="17"/>
                <w:szCs w:val="17"/>
                <w:color w:val="auto"/>
              </w:rPr>
            </w:pPr>
          </w:p>
        </w:tc>
        <w:tc>
          <w:tcPr>
            <w:tcW w:w="180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493,511</w:t>
            </w:r>
          </w:p>
        </w:tc>
        <w:tc>
          <w:tcPr>
            <w:tcW w:w="0" w:type="dxa"/>
            <w:vAlign w:val="bottom"/>
          </w:tcPr>
          <w:p>
            <w:pPr>
              <w:spacing w:after="0"/>
              <w:rPr>
                <w:sz w:val="1"/>
                <w:szCs w:val="1"/>
                <w:color w:val="auto"/>
              </w:rPr>
            </w:pPr>
          </w:p>
        </w:tc>
      </w:tr>
      <w:tr>
        <w:trPr>
          <w:trHeight w:val="210"/>
        </w:trPr>
        <w:tc>
          <w:tcPr>
            <w:tcW w:w="710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$1,157,944</w:t>
            </w:r>
          </w:p>
        </w:tc>
        <w:tc>
          <w:tcPr>
            <w:tcW w:w="680" w:type="dxa"/>
            <w:vAlign w:val="bottom"/>
          </w:tcPr>
          <w:p>
            <w:pPr>
              <w:spacing w:after="0"/>
              <w:rPr>
                <w:sz w:val="18"/>
                <w:szCs w:val="18"/>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$1,156,697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0" w:type="dxa"/>
            <w:vAlign w:val="bottom"/>
          </w:tcPr>
          <w:p>
            <w:pPr>
              <w:ind w:left="2560"/>
              <w:spacing w:after="0"/>
              <w:rPr>
                <w:sz w:val="20"/>
                <w:szCs w:val="20"/>
                <w:color w:val="auto"/>
              </w:rPr>
            </w:pPr>
            <w:r>
              <w:rPr>
                <w:rFonts w:ascii="Arial" w:cs="Arial" w:eastAsia="Arial" w:hAnsi="Arial"/>
                <w:sz w:val="18"/>
                <w:szCs w:val="18"/>
                <w:color w:val="auto"/>
              </w:rPr>
              <w:t>ALBANY INTERNATIONAL CORP.</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0" w:type="dxa"/>
            <w:vAlign w:val="bottom"/>
          </w:tcPr>
          <w:p>
            <w:pPr>
              <w:jc w:val="center"/>
              <w:spacing w:after="0" w:line="202" w:lineRule="exact"/>
              <w:rPr>
                <w:sz w:val="20"/>
                <w:szCs w:val="20"/>
                <w:color w:val="auto"/>
              </w:rPr>
            </w:pPr>
            <w:r>
              <w:rPr>
                <w:rFonts w:ascii="Arial" w:cs="Arial" w:eastAsia="Arial" w:hAnsi="Arial"/>
                <w:sz w:val="18"/>
                <w:szCs w:val="18"/>
                <w:color w:val="auto"/>
                <w:w w:val="99"/>
              </w:rPr>
              <w:t>CONSOLIDATED STATEMENTS OF CASH FLOWS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0" w:type="dxa"/>
            <w:vAlign w:val="bottom"/>
          </w:tcPr>
          <w:p>
            <w:pPr>
              <w:jc w:val="center"/>
              <w:spacing w:after="0" w:line="202" w:lineRule="exact"/>
              <w:rPr>
                <w:sz w:val="20"/>
                <w:szCs w:val="20"/>
                <w:color w:val="auto"/>
              </w:rPr>
            </w:pPr>
            <w:r>
              <w:rPr>
                <w:rFonts w:ascii="Arial" w:cs="Arial" w:eastAsia="Arial" w:hAnsi="Arial"/>
                <w:sz w:val="18"/>
                <w:szCs w:val="18"/>
                <w:color w:val="auto"/>
                <w:w w:val="99"/>
              </w:rPr>
              <w:t>(in thousands)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0" w:type="dxa"/>
            <w:vAlign w:val="bottom"/>
          </w:tcPr>
          <w:p>
            <w:pPr>
              <w:jc w:val="center"/>
              <w:spacing w:after="0"/>
              <w:rPr>
                <w:sz w:val="20"/>
                <w:szCs w:val="20"/>
                <w:color w:val="auto"/>
              </w:rPr>
            </w:pPr>
            <w:r>
              <w:rPr>
                <w:rFonts w:ascii="Arial" w:cs="Arial" w:eastAsia="Arial" w:hAnsi="Arial"/>
                <w:sz w:val="18"/>
                <w:szCs w:val="18"/>
                <w:color w:val="auto"/>
                <w:w w:val="98"/>
              </w:rPr>
              <w:t>(unaudited)</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5"/>
        </w:trPr>
        <w:tc>
          <w:tcPr>
            <w:tcW w:w="2080" w:type="dxa"/>
            <w:vAlign w:val="bottom"/>
            <w:gridSpan w:val="4"/>
          </w:tcPr>
          <w:p>
            <w:pPr>
              <w:jc w:val="center"/>
              <w:spacing w:after="0"/>
              <w:rPr>
                <w:sz w:val="20"/>
                <w:szCs w:val="20"/>
                <w:color w:val="auto"/>
              </w:rPr>
            </w:pPr>
            <w:r>
              <w:rPr>
                <w:rFonts w:ascii="Arial" w:cs="Arial" w:eastAsia="Arial" w:hAnsi="Arial"/>
                <w:sz w:val="14"/>
                <w:szCs w:val="14"/>
                <w:color w:val="auto"/>
              </w:rPr>
              <w:t>Three Months Ended</w:t>
            </w:r>
          </w:p>
        </w:tc>
        <w:tc>
          <w:tcPr>
            <w:tcW w:w="7200" w:type="dxa"/>
            <w:vAlign w:val="bottom"/>
          </w:tcPr>
          <w:p>
            <w:pPr>
              <w:spacing w:after="0"/>
              <w:rPr>
                <w:sz w:val="21"/>
                <w:szCs w:val="21"/>
                <w:color w:val="auto"/>
              </w:rPr>
            </w:pPr>
          </w:p>
        </w:tc>
        <w:tc>
          <w:tcPr>
            <w:tcW w:w="2140" w:type="dxa"/>
            <w:vAlign w:val="bottom"/>
            <w:gridSpan w:val="4"/>
          </w:tcPr>
          <w:p>
            <w:pPr>
              <w:ind w:left="480"/>
              <w:spacing w:after="0"/>
              <w:rPr>
                <w:sz w:val="20"/>
                <w:szCs w:val="20"/>
                <w:color w:val="auto"/>
              </w:rPr>
            </w:pPr>
            <w:r>
              <w:rPr>
                <w:rFonts w:ascii="Arial" w:cs="Arial" w:eastAsia="Arial" w:hAnsi="Arial"/>
                <w:sz w:val="14"/>
                <w:szCs w:val="14"/>
                <w:color w:val="auto"/>
              </w:rPr>
              <w:t>Six Months Ended</w:t>
            </w:r>
          </w:p>
        </w:tc>
      </w:tr>
      <w:tr>
        <w:trPr>
          <w:trHeight w:val="243"/>
        </w:trPr>
        <w:tc>
          <w:tcPr>
            <w:tcW w:w="1380" w:type="dxa"/>
            <w:vAlign w:val="bottom"/>
            <w:gridSpan w:val="3"/>
          </w:tcPr>
          <w:p>
            <w:pPr>
              <w:jc w:val="center"/>
              <w:ind w:left="648"/>
              <w:spacing w:after="0"/>
              <w:rPr>
                <w:sz w:val="20"/>
                <w:szCs w:val="20"/>
                <w:color w:val="auto"/>
              </w:rPr>
            </w:pPr>
            <w:r>
              <w:rPr>
                <w:rFonts w:ascii="Arial" w:cs="Arial" w:eastAsia="Arial" w:hAnsi="Arial"/>
                <w:sz w:val="14"/>
                <w:szCs w:val="14"/>
                <w:color w:val="auto"/>
              </w:rPr>
              <w:t>June 30,</w:t>
            </w:r>
          </w:p>
        </w:tc>
        <w:tc>
          <w:tcPr>
            <w:tcW w:w="70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1400" w:type="dxa"/>
            <w:vAlign w:val="bottom"/>
            <w:gridSpan w:val="3"/>
          </w:tcPr>
          <w:p>
            <w:pPr>
              <w:ind w:left="800"/>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21"/>
                <w:szCs w:val="21"/>
                <w:color w:val="auto"/>
              </w:rPr>
            </w:pPr>
          </w:p>
        </w:tc>
      </w:tr>
      <w:tr>
        <w:trPr>
          <w:trHeight w:val="224"/>
        </w:trPr>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2012</w:t>
            </w:r>
          </w:p>
        </w:tc>
        <w:tc>
          <w:tcPr>
            <w:tcW w:w="7200" w:type="dxa"/>
            <w:vAlign w:val="bottom"/>
          </w:tcPr>
          <w:p>
            <w:pPr>
              <w:spacing w:after="0"/>
              <w:rPr>
                <w:sz w:val="19"/>
                <w:szCs w:val="19"/>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($7,379)</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($33,745)</w:t>
            </w:r>
          </w:p>
        </w:tc>
        <w:tc>
          <w:tcPr>
            <w:tcW w:w="7200" w:type="dxa"/>
            <w:vAlign w:val="bottom"/>
            <w:shd w:val="clear" w:color="auto" w:fill="BFBFBF"/>
          </w:tcPr>
          <w:p>
            <w:pPr>
              <w:ind w:left="100"/>
              <w:spacing w:after="0"/>
              <w:rPr>
                <w:sz w:val="20"/>
                <w:szCs w:val="20"/>
                <w:color w:val="auto"/>
              </w:rPr>
            </w:pPr>
            <w:r>
              <w:rPr>
                <w:rFonts w:ascii="Arial" w:cs="Arial" w:eastAsia="Arial" w:hAnsi="Arial"/>
                <w:sz w:val="14"/>
                <w:szCs w:val="14"/>
                <w:color w:val="auto"/>
              </w:rPr>
              <w:t>Net income/(loss)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$4,132</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$13,296</w:t>
            </w:r>
          </w:p>
        </w:tc>
      </w:tr>
      <w:tr>
        <w:trPr>
          <w:trHeight w:val="243"/>
        </w:trPr>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14,427</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14,340</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Depreciation</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28,638</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28,685</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1,654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1,767</w:t>
            </w:r>
          </w:p>
        </w:tc>
        <w:tc>
          <w:tcPr>
            <w:tcW w:w="7200" w:type="dxa"/>
            <w:vAlign w:val="bottom"/>
          </w:tcPr>
          <w:p>
            <w:pPr>
              <w:ind w:left="460"/>
              <w:spacing w:after="0"/>
              <w:rPr>
                <w:sz w:val="20"/>
                <w:szCs w:val="20"/>
                <w:color w:val="auto"/>
              </w:rPr>
            </w:pPr>
            <w:r>
              <w:rPr>
                <w:rFonts w:ascii="Arial" w:cs="Arial" w:eastAsia="Arial" w:hAnsi="Arial"/>
                <w:sz w:val="14"/>
                <w:szCs w:val="14"/>
                <w:color w:val="auto"/>
              </w:rPr>
              <w:t>Amortization</w:t>
            </w:r>
          </w:p>
        </w:tc>
        <w:tc>
          <w:tcPr>
            <w:tcW w:w="900" w:type="dxa"/>
            <w:vAlign w:val="bottom"/>
          </w:tcPr>
          <w:p>
            <w:pPr>
              <w:jc w:val="right"/>
              <w:spacing w:after="0"/>
              <w:rPr>
                <w:sz w:val="20"/>
                <w:szCs w:val="20"/>
                <w:color w:val="auto"/>
              </w:rPr>
            </w:pPr>
            <w:r>
              <w:rPr>
                <w:rFonts w:ascii="Arial" w:cs="Arial" w:eastAsia="Arial" w:hAnsi="Arial"/>
                <w:sz w:val="14"/>
                <w:szCs w:val="14"/>
                <w:color w:val="auto"/>
              </w:rPr>
              <w:t>3,317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3,553</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209</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Noncash interest expense</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614</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(7,864)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(58,125)</w:t>
            </w:r>
          </w:p>
        </w:tc>
        <w:tc>
          <w:tcPr>
            <w:tcW w:w="7200" w:type="dxa"/>
            <w:vAlign w:val="bottom"/>
          </w:tcPr>
          <w:p>
            <w:pPr>
              <w:ind w:left="460"/>
              <w:spacing w:after="0"/>
              <w:rPr>
                <w:sz w:val="20"/>
                <w:szCs w:val="20"/>
                <w:color w:val="auto"/>
              </w:rPr>
            </w:pPr>
            <w:r>
              <w:rPr>
                <w:rFonts w:ascii="Arial" w:cs="Arial" w:eastAsia="Arial" w:hAnsi="Arial"/>
                <w:sz w:val="14"/>
                <w:szCs w:val="14"/>
                <w:color w:val="auto"/>
              </w:rPr>
              <w:t>Change in long-term liabilities, deferred taxes and other credits</w:t>
            </w:r>
          </w:p>
        </w:tc>
        <w:tc>
          <w:tcPr>
            <w:tcW w:w="900" w:type="dxa"/>
            <w:vAlign w:val="bottom"/>
          </w:tcPr>
          <w:p>
            <w:pPr>
              <w:jc w:val="right"/>
              <w:spacing w:after="0"/>
              <w:rPr>
                <w:sz w:val="20"/>
                <w:szCs w:val="20"/>
                <w:color w:val="auto"/>
              </w:rPr>
            </w:pPr>
            <w:r>
              <w:rPr>
                <w:rFonts w:ascii="Arial" w:cs="Arial" w:eastAsia="Arial" w:hAnsi="Arial"/>
                <w:sz w:val="14"/>
                <w:szCs w:val="14"/>
                <w:color w:val="auto"/>
              </w:rPr>
              <w:t>(3,991)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(125,244)</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110,197</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Write-off of pension liability adjustment due to settlement</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118,350</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677</w:t>
            </w:r>
          </w:p>
        </w:tc>
        <w:tc>
          <w:tcPr>
            <w:tcW w:w="7200" w:type="dxa"/>
            <w:vAlign w:val="bottom"/>
          </w:tcPr>
          <w:p>
            <w:pPr>
              <w:ind w:left="460"/>
              <w:spacing w:after="0"/>
              <w:rPr>
                <w:sz w:val="20"/>
                <w:szCs w:val="20"/>
                <w:color w:val="auto"/>
              </w:rPr>
            </w:pPr>
            <w:r>
              <w:rPr>
                <w:rFonts w:ascii="Arial" w:cs="Arial" w:eastAsia="Arial" w:hAnsi="Arial"/>
                <w:sz w:val="14"/>
                <w:szCs w:val="14"/>
                <w:color w:val="auto"/>
              </w:rPr>
              <w:t>Provision for write-off of property, plant and equipment</w:t>
            </w: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(34,709)</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(Gain) on disposition of assets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(3,763)</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(92,677)</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7200" w:type="dxa"/>
            <w:vAlign w:val="bottom"/>
          </w:tcPr>
          <w:p>
            <w:pPr>
              <w:ind w:left="460"/>
              <w:spacing w:after="0"/>
              <w:rPr>
                <w:sz w:val="20"/>
                <w:szCs w:val="20"/>
                <w:color w:val="auto"/>
              </w:rPr>
            </w:pPr>
            <w:r>
              <w:rPr>
                <w:rFonts w:ascii="Arial" w:cs="Arial" w:eastAsia="Arial" w:hAnsi="Arial"/>
                <w:sz w:val="14"/>
                <w:szCs w:val="14"/>
                <w:color w:val="auto"/>
              </w:rPr>
              <w:t>Excess tax benefit of options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(524)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(476)</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566</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(1,174)</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1,403</w:t>
            </w:r>
          </w:p>
        </w:tc>
      </w:tr>
      <w:tr>
        <w:trPr>
          <w:trHeight w:val="486"/>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 net of business divestitures: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(4,515)</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(13,893)</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(6,238)</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(10,525)</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2,458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3,783</w:t>
            </w:r>
          </w:p>
        </w:tc>
        <w:tc>
          <w:tcPr>
            <w:tcW w:w="720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900" w:type="dxa"/>
            <w:vAlign w:val="bottom"/>
          </w:tcPr>
          <w:p>
            <w:pPr>
              <w:jc w:val="right"/>
              <w:spacing w:after="0"/>
              <w:rPr>
                <w:sz w:val="20"/>
                <w:szCs w:val="20"/>
                <w:color w:val="auto"/>
              </w:rPr>
            </w:pPr>
            <w:r>
              <w:rPr>
                <w:rFonts w:ascii="Arial" w:cs="Arial" w:eastAsia="Arial" w:hAnsi="Arial"/>
                <w:sz w:val="14"/>
                <w:szCs w:val="14"/>
                <w:color w:val="auto"/>
              </w:rPr>
              <w:t>(530)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1,544</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619</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(2,033)</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(997)</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832</w:t>
            </w:r>
          </w:p>
        </w:tc>
        <w:tc>
          <w:tcPr>
            <w:tcW w:w="7200" w:type="dxa"/>
            <w:vAlign w:val="bottom"/>
          </w:tcPr>
          <w:p>
            <w:pPr>
              <w:ind w:left="460"/>
              <w:spacing w:after="0"/>
              <w:rPr>
                <w:sz w:val="20"/>
                <w:szCs w:val="20"/>
                <w:color w:val="auto"/>
              </w:rPr>
            </w:pPr>
            <w:r>
              <w:rPr>
                <w:rFonts w:ascii="Arial" w:cs="Arial" w:eastAsia="Arial" w:hAnsi="Arial"/>
                <w:sz w:val="14"/>
                <w:szCs w:val="14"/>
                <w:color w:val="auto"/>
              </w:rPr>
              <w:t>Income taxes prepaid and receivable</w:t>
            </w: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7,392</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(1,139)</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(6,199)</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(592)</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(25)</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29,912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9,179</w:t>
            </w:r>
          </w:p>
        </w:tc>
        <w:tc>
          <w:tcPr>
            <w:tcW w:w="7200" w:type="dxa"/>
            <w:vAlign w:val="bottom"/>
          </w:tcPr>
          <w:p>
            <w:pPr>
              <w:ind w:left="46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jc w:val="right"/>
              <w:spacing w:after="0"/>
              <w:rPr>
                <w:sz w:val="20"/>
                <w:szCs w:val="20"/>
                <w:color w:val="auto"/>
              </w:rPr>
            </w:pPr>
            <w:r>
              <w:rPr>
                <w:rFonts w:ascii="Arial" w:cs="Arial" w:eastAsia="Arial" w:hAnsi="Arial"/>
                <w:sz w:val="14"/>
                <w:szCs w:val="14"/>
                <w:color w:val="auto"/>
              </w:rPr>
              <w:t>20,929</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7,364</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441</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(4,486)</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Income taxes payable</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(4,877)</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(2,530)</w:t>
            </w:r>
          </w:p>
        </w:tc>
      </w:tr>
      <w:tr>
        <w:trPr>
          <w:trHeight w:val="24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w:t>
            </w:r>
          </w:p>
        </w:tc>
        <w:tc>
          <w:tcPr>
            <w:tcW w:w="7200" w:type="dxa"/>
            <w:vAlign w:val="bottom"/>
            <w:tcBorders>
              <w:bottom w:val="single" w:sz="8" w:color="BFBFBF"/>
            </w:tcBorders>
          </w:tcPr>
          <w:p>
            <w:pPr>
              <w:ind w:left="46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w:t>
            </w:r>
          </w:p>
        </w:tc>
        <w:tc>
          <w:tcPr>
            <w:tcW w:w="30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w:t>
            </w:r>
          </w:p>
        </w:tc>
      </w:tr>
      <w:tr>
        <w:trPr>
          <w:trHeight w:val="156"/>
        </w:trPr>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28,147</w:t>
            </w:r>
          </w:p>
        </w:tc>
        <w:tc>
          <w:tcPr>
            <w:tcW w:w="300" w:type="dxa"/>
            <w:vAlign w:val="bottom"/>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7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(10,780)</w:t>
            </w:r>
          </w:p>
        </w:tc>
        <w:tc>
          <w:tcPr>
            <w:tcW w:w="7200" w:type="dxa"/>
            <w:vAlign w:val="bottom"/>
            <w:shd w:val="clear" w:color="auto" w:fill="BFBFBF"/>
          </w:tcPr>
          <w:p>
            <w:pPr>
              <w:ind w:left="460"/>
              <w:spacing w:after="0" w:line="155" w:lineRule="exact"/>
              <w:rPr>
                <w:sz w:val="20"/>
                <w:szCs w:val="20"/>
                <w:color w:val="auto"/>
              </w:rPr>
            </w:pPr>
            <w:r>
              <w:rPr>
                <w:rFonts w:ascii="Arial" w:cs="Arial" w:eastAsia="Arial" w:hAnsi="Arial"/>
                <w:sz w:val="14"/>
                <w:szCs w:val="14"/>
                <w:color w:val="auto"/>
              </w:rPr>
              <w:t>Net cash provided by/(used in) operating activities</w:t>
            </w:r>
          </w:p>
        </w:tc>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32,308</w:t>
            </w:r>
          </w:p>
        </w:tc>
        <w:tc>
          <w:tcPr>
            <w:tcW w:w="300" w:type="dxa"/>
            <w:vAlign w:val="bottom"/>
            <w:shd w:val="clear" w:color="auto" w:fill="BFBFBF"/>
          </w:tcPr>
          <w:p>
            <w:pPr>
              <w:spacing w:after="0"/>
              <w:rPr>
                <w:sz w:val="13"/>
                <w:szCs w:val="13"/>
                <w:color w:val="auto"/>
              </w:rPr>
            </w:pPr>
          </w:p>
        </w:tc>
        <w:tc>
          <w:tcPr>
            <w:tcW w:w="200" w:type="dxa"/>
            <w:vAlign w:val="bottom"/>
            <w:tcBorders>
              <w:bottom w:val="single" w:sz="8" w:color="auto"/>
            </w:tcBorders>
            <w:shd w:val="clear" w:color="auto" w:fill="BFBFBF"/>
          </w:tcPr>
          <w:p>
            <w:pPr>
              <w:spacing w:after="0"/>
              <w:rPr>
                <w:sz w:val="13"/>
                <w:szCs w:val="13"/>
                <w:color w:val="auto"/>
              </w:rPr>
            </w:pPr>
          </w:p>
        </w:tc>
        <w:tc>
          <w:tcPr>
            <w:tcW w:w="74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(53,448)</w:t>
            </w:r>
          </w:p>
        </w:tc>
      </w:tr>
      <w:tr>
        <w:trPr>
          <w:trHeight w:val="480"/>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INVESTING ACTIVITIES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(14,620)</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(9,881)</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(27,808)</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(14,190)</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(555)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7200" w:type="dxa"/>
            <w:vAlign w:val="bottom"/>
          </w:tcPr>
          <w:p>
            <w:pPr>
              <w:ind w:left="460"/>
              <w:spacing w:after="0"/>
              <w:rPr>
                <w:sz w:val="20"/>
                <w:szCs w:val="20"/>
                <w:color w:val="auto"/>
              </w:rPr>
            </w:pPr>
            <w:r>
              <w:rPr>
                <w:rFonts w:ascii="Arial" w:cs="Arial" w:eastAsia="Arial" w:hAnsi="Arial"/>
                <w:sz w:val="14"/>
                <w:szCs w:val="14"/>
                <w:color w:val="auto"/>
              </w:rPr>
              <w:t>Purchased software</w:t>
            </w:r>
          </w:p>
        </w:tc>
        <w:tc>
          <w:tcPr>
            <w:tcW w:w="900" w:type="dxa"/>
            <w:vAlign w:val="bottom"/>
          </w:tcPr>
          <w:p>
            <w:pPr>
              <w:jc w:val="right"/>
              <w:spacing w:after="0"/>
              <w:rPr>
                <w:sz w:val="20"/>
                <w:szCs w:val="20"/>
                <w:color w:val="auto"/>
              </w:rPr>
            </w:pPr>
            <w:r>
              <w:rPr>
                <w:rFonts w:ascii="Arial" w:cs="Arial" w:eastAsia="Arial" w:hAnsi="Arial"/>
                <w:sz w:val="14"/>
                <w:szCs w:val="14"/>
                <w:color w:val="auto"/>
              </w:rPr>
              <w:t>(648)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Proceeds from sale of assets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6,268</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38,081</w:t>
            </w:r>
          </w:p>
        </w:tc>
        <w:tc>
          <w:tcPr>
            <w:tcW w:w="7200" w:type="dxa"/>
            <w:vAlign w:val="bottom"/>
            <w:tcBorders>
              <w:bottom w:val="single" w:sz="8" w:color="BFBFBF"/>
            </w:tcBorders>
          </w:tcPr>
          <w:p>
            <w:pPr>
              <w:ind w:left="460"/>
              <w:spacing w:after="0"/>
              <w:rPr>
                <w:sz w:val="20"/>
                <w:szCs w:val="20"/>
                <w:color w:val="auto"/>
              </w:rPr>
            </w:pPr>
            <w:r>
              <w:rPr>
                <w:rFonts w:ascii="Arial" w:cs="Arial" w:eastAsia="Arial" w:hAnsi="Arial"/>
                <w:sz w:val="14"/>
                <w:szCs w:val="14"/>
                <w:color w:val="auto"/>
              </w:rPr>
              <w:t>Proceeds from sale of discontinued operations, net of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150,654</w:t>
            </w:r>
          </w:p>
        </w:tc>
      </w:tr>
      <w:tr>
        <w:trPr>
          <w:trHeight w:val="156"/>
        </w:trPr>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(15,175)</w:t>
            </w:r>
          </w:p>
        </w:tc>
        <w:tc>
          <w:tcPr>
            <w:tcW w:w="300" w:type="dxa"/>
            <w:vAlign w:val="bottom"/>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7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28,222</w:t>
            </w:r>
          </w:p>
        </w:tc>
        <w:tc>
          <w:tcPr>
            <w:tcW w:w="7200" w:type="dxa"/>
            <w:vAlign w:val="bottom"/>
            <w:shd w:val="clear" w:color="auto" w:fill="BFBFBF"/>
          </w:tcPr>
          <w:p>
            <w:pPr>
              <w:ind w:left="460"/>
              <w:spacing w:after="0" w:line="155" w:lineRule="exact"/>
              <w:rPr>
                <w:sz w:val="20"/>
                <w:szCs w:val="20"/>
                <w:color w:val="auto"/>
              </w:rPr>
            </w:pPr>
            <w:r>
              <w:rPr>
                <w:rFonts w:ascii="Arial" w:cs="Arial" w:eastAsia="Arial" w:hAnsi="Arial"/>
                <w:sz w:val="14"/>
                <w:szCs w:val="14"/>
                <w:color w:val="auto"/>
              </w:rPr>
              <w:t>Net cash (used in)/provided by investing activities</w:t>
            </w:r>
          </w:p>
        </w:tc>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(22,188)</w:t>
            </w:r>
          </w:p>
        </w:tc>
        <w:tc>
          <w:tcPr>
            <w:tcW w:w="300" w:type="dxa"/>
            <w:vAlign w:val="bottom"/>
            <w:shd w:val="clear" w:color="auto" w:fill="BFBFBF"/>
          </w:tcPr>
          <w:p>
            <w:pPr>
              <w:spacing w:after="0"/>
              <w:rPr>
                <w:sz w:val="13"/>
                <w:szCs w:val="13"/>
                <w:color w:val="auto"/>
              </w:rPr>
            </w:pPr>
          </w:p>
        </w:tc>
        <w:tc>
          <w:tcPr>
            <w:tcW w:w="200" w:type="dxa"/>
            <w:vAlign w:val="bottom"/>
            <w:tcBorders>
              <w:bottom w:val="single" w:sz="8" w:color="auto"/>
            </w:tcBorders>
            <w:shd w:val="clear" w:color="auto" w:fill="BFBFBF"/>
          </w:tcPr>
          <w:p>
            <w:pPr>
              <w:spacing w:after="0"/>
              <w:rPr>
                <w:sz w:val="13"/>
                <w:szCs w:val="13"/>
                <w:color w:val="auto"/>
              </w:rPr>
            </w:pPr>
          </w:p>
        </w:tc>
        <w:tc>
          <w:tcPr>
            <w:tcW w:w="74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136,456</w:t>
            </w:r>
          </w:p>
        </w:tc>
      </w:tr>
      <w:tr>
        <w:trPr>
          <w:trHeight w:val="480"/>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5,037</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29,164</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Proceeds from borrowings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51,905</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38,164</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(18,476)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(11,981)</w:t>
            </w:r>
          </w:p>
        </w:tc>
        <w:tc>
          <w:tcPr>
            <w:tcW w:w="7200" w:type="dxa"/>
            <w:vAlign w:val="bottom"/>
          </w:tcPr>
          <w:p>
            <w:pPr>
              <w:ind w:left="460"/>
              <w:spacing w:after="0"/>
              <w:rPr>
                <w:sz w:val="20"/>
                <w:szCs w:val="20"/>
                <w:color w:val="auto"/>
              </w:rPr>
            </w:pPr>
            <w:r>
              <w:rPr>
                <w:rFonts w:ascii="Arial" w:cs="Arial" w:eastAsia="Arial" w:hAnsi="Arial"/>
                <w:sz w:val="14"/>
                <w:szCs w:val="14"/>
                <w:color w:val="auto"/>
              </w:rPr>
              <w:t>Principal payments on debt</w:t>
            </w:r>
          </w:p>
        </w:tc>
        <w:tc>
          <w:tcPr>
            <w:tcW w:w="900" w:type="dxa"/>
            <w:vAlign w:val="bottom"/>
          </w:tcPr>
          <w:p>
            <w:pPr>
              <w:jc w:val="right"/>
              <w:spacing w:after="0"/>
              <w:rPr>
                <w:sz w:val="20"/>
                <w:szCs w:val="20"/>
                <w:color w:val="auto"/>
              </w:rPr>
            </w:pPr>
            <w:r>
              <w:rPr>
                <w:rFonts w:ascii="Arial" w:cs="Arial" w:eastAsia="Arial" w:hAnsi="Arial"/>
                <w:sz w:val="14"/>
                <w:szCs w:val="14"/>
                <w:color w:val="auto"/>
              </w:rPr>
              <w:t>(50,659)</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(69,223)</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1,004</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79</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Proceeds from options exercised</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2,968</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268</w:t>
            </w:r>
          </w:p>
        </w:tc>
      </w:tr>
      <w:tr>
        <w:trPr>
          <w:trHeight w:val="243"/>
        </w:trPr>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7200" w:type="dxa"/>
            <w:vAlign w:val="bottom"/>
          </w:tcPr>
          <w:p>
            <w:pPr>
              <w:ind w:left="460"/>
              <w:spacing w:after="0"/>
              <w:rPr>
                <w:sz w:val="20"/>
                <w:szCs w:val="20"/>
                <w:color w:val="auto"/>
              </w:rPr>
            </w:pPr>
            <w:r>
              <w:rPr>
                <w:rFonts w:ascii="Arial" w:cs="Arial" w:eastAsia="Arial" w:hAnsi="Arial"/>
                <w:sz w:val="14"/>
                <w:szCs w:val="14"/>
                <w:color w:val="auto"/>
              </w:rPr>
              <w:t>Excess tax benefit of options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524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(76)</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c>
          <w:tcPr>
            <w:tcW w:w="7200" w:type="dxa"/>
            <w:vAlign w:val="bottom"/>
            <w:shd w:val="clear" w:color="auto" w:fill="BFBFBF"/>
          </w:tcPr>
          <w:p>
            <w:pPr>
              <w:ind w:left="460"/>
              <w:spacing w:after="0"/>
              <w:rPr>
                <w:sz w:val="20"/>
                <w:szCs w:val="20"/>
                <w:color w:val="auto"/>
              </w:rPr>
            </w:pPr>
            <w:r>
              <w:rPr>
                <w:rFonts w:ascii="Arial" w:cs="Arial" w:eastAsia="Arial" w:hAnsi="Arial"/>
                <w:sz w:val="14"/>
                <w:szCs w:val="14"/>
                <w:color w:val="auto"/>
              </w:rPr>
              <w:t>Debt acquisition costs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(1,639)</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w:t>
            </w: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(4,069)</w:t>
            </w:r>
          </w:p>
        </w:tc>
        <w:tc>
          <w:tcPr>
            <w:tcW w:w="7200" w:type="dxa"/>
            <w:vAlign w:val="bottom"/>
            <w:tcBorders>
              <w:bottom w:val="single" w:sz="8" w:color="BFBFBF"/>
            </w:tcBorders>
          </w:tcPr>
          <w:p>
            <w:pPr>
              <w:ind w:left="460"/>
              <w:spacing w:after="0"/>
              <w:rPr>
                <w:sz w:val="20"/>
                <w:szCs w:val="20"/>
                <w:color w:val="auto"/>
              </w:rPr>
            </w:pPr>
            <w:r>
              <w:rPr>
                <w:rFonts w:ascii="Arial" w:cs="Arial" w:eastAsia="Arial" w:hAnsi="Arial"/>
                <w:sz w:val="14"/>
                <w:szCs w:val="14"/>
                <w:color w:val="auto"/>
              </w:rPr>
              <w:t>Dividends paid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w:t>
            </w:r>
          </w:p>
        </w:tc>
        <w:tc>
          <w:tcPr>
            <w:tcW w:w="30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(8,138)</w:t>
            </w:r>
          </w:p>
        </w:tc>
      </w:tr>
      <w:tr>
        <w:trPr>
          <w:trHeight w:val="156"/>
        </w:trPr>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(16,762)</w:t>
            </w:r>
          </w:p>
        </w:tc>
        <w:tc>
          <w:tcPr>
            <w:tcW w:w="300" w:type="dxa"/>
            <w:vAlign w:val="bottom"/>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7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13,201</w:t>
            </w:r>
          </w:p>
        </w:tc>
        <w:tc>
          <w:tcPr>
            <w:tcW w:w="7200" w:type="dxa"/>
            <w:vAlign w:val="bottom"/>
            <w:shd w:val="clear" w:color="auto" w:fill="BFBFBF"/>
          </w:tcPr>
          <w:p>
            <w:pPr>
              <w:ind w:left="460"/>
              <w:spacing w:after="0" w:line="155" w:lineRule="exact"/>
              <w:rPr>
                <w:sz w:val="20"/>
                <w:szCs w:val="20"/>
                <w:color w:val="auto"/>
              </w:rPr>
            </w:pPr>
            <w:r>
              <w:rPr>
                <w:rFonts w:ascii="Arial" w:cs="Arial" w:eastAsia="Arial" w:hAnsi="Arial"/>
                <w:sz w:val="14"/>
                <w:szCs w:val="14"/>
                <w:color w:val="auto"/>
              </w:rPr>
              <w:t>Net cash (used in)/provided by financing activities</w:t>
            </w:r>
          </w:p>
        </w:tc>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(1,324)</w:t>
            </w:r>
          </w:p>
        </w:tc>
        <w:tc>
          <w:tcPr>
            <w:tcW w:w="300" w:type="dxa"/>
            <w:vAlign w:val="bottom"/>
            <w:shd w:val="clear" w:color="auto" w:fill="BFBFBF"/>
          </w:tcPr>
          <w:p>
            <w:pPr>
              <w:spacing w:after="0"/>
              <w:rPr>
                <w:sz w:val="13"/>
                <w:szCs w:val="13"/>
                <w:color w:val="auto"/>
              </w:rPr>
            </w:pPr>
          </w:p>
        </w:tc>
        <w:tc>
          <w:tcPr>
            <w:tcW w:w="200" w:type="dxa"/>
            <w:vAlign w:val="bottom"/>
            <w:tcBorders>
              <w:bottom w:val="single" w:sz="8" w:color="auto"/>
            </w:tcBorders>
            <w:shd w:val="clear" w:color="auto" w:fill="BFBFBF"/>
          </w:tcPr>
          <w:p>
            <w:pPr>
              <w:spacing w:after="0"/>
              <w:rPr>
                <w:sz w:val="13"/>
                <w:szCs w:val="13"/>
                <w:color w:val="auto"/>
              </w:rPr>
            </w:pPr>
          </w:p>
        </w:tc>
        <w:tc>
          <w:tcPr>
            <w:tcW w:w="74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(38,918)</w:t>
            </w: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62"/>
        </w:trPr>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1,278</w:t>
            </w:r>
          </w:p>
        </w:tc>
        <w:tc>
          <w:tcPr>
            <w:tcW w:w="300" w:type="dxa"/>
            <w:vAlign w:val="bottom"/>
            <w:shd w:val="clear" w:color="auto" w:fill="BFBFBF"/>
          </w:tcPr>
          <w:p>
            <w:pPr>
              <w:spacing w:after="0"/>
              <w:rPr>
                <w:sz w:val="14"/>
                <w:szCs w:val="14"/>
                <w:color w:val="auto"/>
              </w:rPr>
            </w:pPr>
          </w:p>
        </w:tc>
        <w:tc>
          <w:tcPr>
            <w:tcW w:w="18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(6,976)</w:t>
            </w:r>
          </w:p>
        </w:tc>
        <w:tc>
          <w:tcPr>
            <w:tcW w:w="7200" w:type="dxa"/>
            <w:vAlign w:val="bottom"/>
            <w:shd w:val="clear" w:color="auto" w:fill="BFBFBF"/>
          </w:tcPr>
          <w:p>
            <w:pPr>
              <w:ind w:left="100"/>
              <w:spacing w:after="0"/>
              <w:rPr>
                <w:sz w:val="20"/>
                <w:szCs w:val="20"/>
                <w:color w:val="auto"/>
              </w:rPr>
            </w:pPr>
            <w:r>
              <w:rPr>
                <w:rFonts w:ascii="Arial" w:cs="Arial" w:eastAsia="Arial" w:hAnsi="Arial"/>
                <w:sz w:val="14"/>
                <w:szCs w:val="14"/>
                <w:color w:val="auto"/>
              </w:rPr>
              <w:t>Effect of exchange rate changes on cash and cash equivalents</w:t>
            </w: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(2,193)</w:t>
            </w:r>
          </w:p>
        </w:tc>
        <w:tc>
          <w:tcPr>
            <w:tcW w:w="300" w:type="dxa"/>
            <w:vAlign w:val="bottom"/>
            <w:shd w:val="clear" w:color="auto" w:fill="BFBFBF"/>
          </w:tcPr>
          <w:p>
            <w:pPr>
              <w:spacing w:after="0"/>
              <w:rPr>
                <w:sz w:val="14"/>
                <w:szCs w:val="14"/>
                <w:color w:val="auto"/>
              </w:rPr>
            </w:pPr>
          </w:p>
        </w:tc>
        <w:tc>
          <w:tcPr>
            <w:tcW w:w="20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1,593</w:t>
            </w: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62"/>
        </w:trPr>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(2,512)</w:t>
            </w:r>
          </w:p>
        </w:tc>
        <w:tc>
          <w:tcPr>
            <w:tcW w:w="30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23,667</w:t>
            </w:r>
          </w:p>
        </w:tc>
        <w:tc>
          <w:tcPr>
            <w:tcW w:w="7200" w:type="dxa"/>
            <w:vAlign w:val="bottom"/>
            <w:shd w:val="clear" w:color="auto" w:fill="BFBFBF"/>
          </w:tcPr>
          <w:p>
            <w:pPr>
              <w:ind w:left="100"/>
              <w:spacing w:after="0"/>
              <w:rPr>
                <w:sz w:val="20"/>
                <w:szCs w:val="20"/>
                <w:color w:val="auto"/>
              </w:rPr>
            </w:pPr>
            <w:r>
              <w:rPr>
                <w:rFonts w:ascii="Arial" w:cs="Arial" w:eastAsia="Arial" w:hAnsi="Arial"/>
                <w:sz w:val="14"/>
                <w:szCs w:val="14"/>
                <w:color w:val="auto"/>
              </w:rPr>
              <w:t>Increase/(decrease) in cash and cash equivalents</w:t>
            </w:r>
          </w:p>
        </w:tc>
        <w:tc>
          <w:tcPr>
            <w:tcW w:w="9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6,603</w:t>
            </w:r>
          </w:p>
        </w:tc>
        <w:tc>
          <w:tcPr>
            <w:tcW w:w="300" w:type="dxa"/>
            <w:vAlign w:val="bottom"/>
            <w:shd w:val="clear" w:color="auto" w:fill="BFBFBF"/>
          </w:tcPr>
          <w:p>
            <w:pPr>
              <w:spacing w:after="0"/>
              <w:rPr>
                <w:sz w:val="14"/>
                <w:szCs w:val="14"/>
                <w:color w:val="auto"/>
              </w:rPr>
            </w:pPr>
          </w:p>
        </w:tc>
        <w:tc>
          <w:tcPr>
            <w:tcW w:w="200" w:type="dxa"/>
            <w:vAlign w:val="bottom"/>
            <w:shd w:val="clear" w:color="auto" w:fill="BFBFBF"/>
          </w:tcPr>
          <w:p>
            <w:pPr>
              <w:spacing w:after="0"/>
              <w:rPr>
                <w:sz w:val="14"/>
                <w:szCs w:val="14"/>
                <w:color w:val="auto"/>
              </w:rPr>
            </w:pP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45,683</w:t>
            </w:r>
          </w:p>
        </w:tc>
      </w:tr>
      <w:tr>
        <w:trPr>
          <w:trHeight w:val="24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199,833</w:t>
            </w:r>
          </w:p>
        </w:tc>
        <w:tc>
          <w:tcPr>
            <w:tcW w:w="300" w:type="dxa"/>
            <w:vAlign w:val="bottom"/>
            <w:tcBorders>
              <w:bottom w:val="single" w:sz="8" w:color="BFBFB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140,925</w:t>
            </w:r>
          </w:p>
        </w:tc>
        <w:tc>
          <w:tcPr>
            <w:tcW w:w="7200" w:type="dxa"/>
            <w:vAlign w:val="bottom"/>
            <w:tcBorders>
              <w:bottom w:val="single" w:sz="8" w:color="BFBFBF"/>
            </w:tcBorders>
          </w:tcPr>
          <w:p>
            <w:pPr>
              <w:ind w:left="100"/>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190,718</w:t>
            </w:r>
          </w:p>
        </w:tc>
        <w:tc>
          <w:tcPr>
            <w:tcW w:w="30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118,909</w:t>
            </w:r>
          </w:p>
        </w:tc>
      </w:tr>
      <w:tr>
        <w:trPr>
          <w:trHeight w:val="156"/>
        </w:trPr>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$197,321</w:t>
            </w:r>
          </w:p>
        </w:tc>
        <w:tc>
          <w:tcPr>
            <w:tcW w:w="300" w:type="dxa"/>
            <w:vAlign w:val="bottom"/>
            <w:tcBorders>
              <w:bottom w:val="single" w:sz="8" w:color="BFBFBF"/>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7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$164,592</w:t>
            </w:r>
          </w:p>
        </w:tc>
        <w:tc>
          <w:tcPr>
            <w:tcW w:w="7200" w:type="dxa"/>
            <w:vAlign w:val="bottom"/>
            <w:tcBorders>
              <w:bottom w:val="single" w:sz="8" w:color="BFBFBF"/>
            </w:tcBorders>
            <w:shd w:val="clear" w:color="auto" w:fill="BFBFBF"/>
          </w:tcPr>
          <w:p>
            <w:pPr>
              <w:ind w:left="10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$197,321</w:t>
            </w:r>
          </w:p>
        </w:tc>
        <w:tc>
          <w:tcPr>
            <w:tcW w:w="300" w:type="dxa"/>
            <w:vAlign w:val="bottom"/>
            <w:tcBorders>
              <w:bottom w:val="single" w:sz="8" w:color="BFBFBF"/>
            </w:tcBorders>
            <w:shd w:val="clear" w:color="auto" w:fill="BFBFBF"/>
          </w:tcPr>
          <w:p>
            <w:pPr>
              <w:spacing w:after="0"/>
              <w:rPr>
                <w:sz w:val="13"/>
                <w:szCs w:val="13"/>
                <w:color w:val="auto"/>
              </w:rPr>
            </w:pPr>
          </w:p>
        </w:tc>
        <w:tc>
          <w:tcPr>
            <w:tcW w:w="200" w:type="dxa"/>
            <w:vAlign w:val="bottom"/>
            <w:tcBorders>
              <w:bottom w:val="single" w:sz="8" w:color="auto"/>
            </w:tcBorders>
            <w:shd w:val="clear" w:color="auto" w:fill="BFBFBF"/>
          </w:tcPr>
          <w:p>
            <w:pPr>
              <w:spacing w:after="0"/>
              <w:rPr>
                <w:sz w:val="13"/>
                <w:szCs w:val="13"/>
                <w:color w:val="auto"/>
              </w:rPr>
            </w:pPr>
          </w:p>
        </w:tc>
        <w:tc>
          <w:tcPr>
            <w:tcW w:w="740" w:type="dxa"/>
            <w:vAlign w:val="bottom"/>
            <w:tcBorders>
              <w:bottom w:val="single" w:sz="8" w:color="auto"/>
            </w:tcBorders>
            <w:shd w:val="clear" w:color="auto" w:fill="BFBFBF"/>
          </w:tcPr>
          <w:p>
            <w:pPr>
              <w:jc w:val="right"/>
              <w:spacing w:after="0" w:line="155" w:lineRule="exact"/>
              <w:rPr>
                <w:sz w:val="20"/>
                <w:szCs w:val="20"/>
                <w:color w:val="auto"/>
              </w:rPr>
            </w:pPr>
            <w:r>
              <w:rPr>
                <w:rFonts w:ascii="Arial" w:cs="Arial" w:eastAsia="Arial" w:hAnsi="Arial"/>
                <w:sz w:val="14"/>
                <w:szCs w:val="14"/>
                <w:color w:val="auto"/>
              </w:rPr>
              <w:t>$164,592</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04" w:lineRule="exact"/>
        <w:rPr>
          <w:sz w:val="20"/>
          <w:szCs w:val="20"/>
          <w:color w:val="auto"/>
        </w:rPr>
      </w:pPr>
    </w:p>
    <w:p>
      <w:pPr>
        <w:ind w:right="80" w:firstLine="396"/>
        <w:spacing w:after="0" w:line="241"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2012.</w:t>
      </w:r>
    </w:p>
    <w:p>
      <w:pPr>
        <w:spacing w:after="0" w:line="71" w:lineRule="exact"/>
        <w:rPr>
          <w:sz w:val="20"/>
          <w:szCs w:val="20"/>
          <w:color w:val="auto"/>
        </w:rPr>
      </w:pPr>
    </w:p>
    <w:p>
      <w:pPr>
        <w:ind w:right="80" w:firstLine="39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104" w:lineRule="exact"/>
        <w:rPr>
          <w:sz w:val="20"/>
          <w:szCs w:val="20"/>
          <w:color w:val="auto"/>
        </w:rPr>
      </w:pPr>
    </w:p>
    <w:p>
      <w:pPr>
        <w:ind w:firstLine="396"/>
        <w:spacing w:after="0" w:line="241"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(ADS)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were located in the United States, Australia, China, and Italy. In January 2012, the Company completed the sale of Albany Door Systems, and in March 2012, we finalized certain post-closing adjustments that increased the sale price by $5 million. As of December 31, 2012, $122 million of the total $135 million sale price had been received, with the remainder received in July 2013.</w:t>
      </w:r>
    </w:p>
    <w:p>
      <w:pPr>
        <w:spacing w:after="0" w:line="75" w:lineRule="exact"/>
        <w:rPr>
          <w:sz w:val="20"/>
          <w:szCs w:val="20"/>
          <w:color w:val="auto"/>
        </w:rPr>
      </w:pPr>
    </w:p>
    <w:p>
      <w:pPr>
        <w:ind w:right="80" w:firstLine="396"/>
        <w:spacing w:after="0" w:line="222"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that transaction closed on June 29, 2012. Under the terms of the agreement, the purchaser acquired all of the assets of that business, which were located in the United States, Italy and Germany. The purchase price of $38.0 million included $3.8 million held in an escrow account which is included in Accounts receivable and is expected to be received in December 2013. The Company recorded a pre-tax gain in the second quarter of 2012 of $34.9 million as result of that sale. The Company recorded an accrual of $0.6 million for pre-closing liabilities that arose during the second quarter of 2013.</w:t>
      </w:r>
    </w:p>
    <w:p>
      <w:pPr>
        <w:spacing w:after="0" w:line="72" w:lineRule="exact"/>
        <w:rPr>
          <w:sz w:val="20"/>
          <w:szCs w:val="20"/>
          <w:color w:val="auto"/>
        </w:rPr>
      </w:pPr>
    </w:p>
    <w:p>
      <w:pPr>
        <w:jc w:val="both"/>
        <w:ind w:right="140" w:firstLine="396"/>
        <w:spacing w:after="0" w:line="245" w:lineRule="auto"/>
        <w:rPr>
          <w:sz w:val="20"/>
          <w:szCs w:val="20"/>
          <w:color w:val="auto"/>
        </w:rPr>
      </w:pPr>
      <w:r>
        <w:rPr>
          <w:rFonts w:ascii="Arial" w:cs="Arial" w:eastAsia="Arial" w:hAnsi="Arial"/>
          <w:sz w:val="18"/>
          <w:szCs w:val="18"/>
          <w:color w:val="auto"/>
        </w:rPr>
        <w:t>We have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Operations and Balance Sheets. Cash flows of the discontinued operation were combined with cash flows from continuing operations in the Consolidated Statements of Cash Flows.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3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ind w:left="110"/>
              <w:spacing w:after="0" w:line="194" w:lineRule="exact"/>
              <w:rPr>
                <w:sz w:val="20"/>
                <w:szCs w:val="20"/>
                <w:color w:val="auto"/>
              </w:rPr>
            </w:pPr>
            <w:r>
              <w:rPr>
                <w:rFonts w:ascii="Arial" w:cs="Arial" w:eastAsia="Arial" w:hAnsi="Arial"/>
                <w:sz w:val="18"/>
                <w:szCs w:val="18"/>
                <w:color w:val="auto"/>
              </w:rPr>
              <w:t>Three months</w:t>
            </w:r>
          </w:p>
        </w:tc>
        <w:tc>
          <w:tcPr>
            <w:tcW w:w="1560" w:type="dxa"/>
            <w:vAlign w:val="bottom"/>
            <w:tcBorders>
              <w:top w:val="single" w:sz="8" w:color="auto"/>
            </w:tcBorders>
            <w:gridSpan w:val="2"/>
          </w:tcPr>
          <w:p>
            <w:pPr>
              <w:jc w:val="center"/>
              <w:ind w:right="50"/>
              <w:spacing w:after="0" w:line="194" w:lineRule="exact"/>
              <w:rPr>
                <w:sz w:val="20"/>
                <w:szCs w:val="20"/>
                <w:color w:val="auto"/>
              </w:rPr>
            </w:pPr>
            <w:r>
              <w:rPr>
                <w:rFonts w:ascii="Arial" w:cs="Arial" w:eastAsia="Arial" w:hAnsi="Arial"/>
                <w:sz w:val="18"/>
                <w:szCs w:val="18"/>
                <w:color w:val="auto"/>
                <w:w w:val="99"/>
              </w:rPr>
              <w:t>Three months</w:t>
            </w:r>
          </w:p>
        </w:tc>
        <w:tc>
          <w:tcPr>
            <w:tcW w:w="1640" w:type="dxa"/>
            <w:vAlign w:val="bottom"/>
            <w:tcBorders>
              <w:top w:val="single" w:sz="8" w:color="auto"/>
            </w:tcBorders>
          </w:tcPr>
          <w:p>
            <w:pPr>
              <w:jc w:val="right"/>
              <w:ind w:right="50"/>
              <w:spacing w:after="0" w:line="194" w:lineRule="exact"/>
              <w:rPr>
                <w:sz w:val="20"/>
                <w:szCs w:val="20"/>
                <w:color w:val="auto"/>
              </w:rPr>
            </w:pPr>
            <w:r>
              <w:rPr>
                <w:rFonts w:ascii="Arial" w:cs="Arial" w:eastAsia="Arial" w:hAnsi="Arial"/>
                <w:sz w:val="18"/>
                <w:szCs w:val="18"/>
                <w:color w:val="auto"/>
              </w:rPr>
              <w:t>Six months ended</w:t>
            </w:r>
          </w:p>
        </w:tc>
        <w:tc>
          <w:tcPr>
            <w:tcW w:w="1600" w:type="dxa"/>
            <w:vAlign w:val="bottom"/>
            <w:tcBorders>
              <w:top w:val="single" w:sz="8" w:color="auto"/>
            </w:tcBorders>
            <w:gridSpan w:val="2"/>
          </w:tcPr>
          <w:p>
            <w:pPr>
              <w:jc w:val="right"/>
              <w:ind w:right="1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3380" w:type="dxa"/>
            <w:vAlign w:val="bottom"/>
          </w:tcPr>
          <w:p>
            <w:pPr>
              <w:spacing w:after="0"/>
              <w:rPr>
                <w:sz w:val="17"/>
                <w:szCs w:val="17"/>
                <w:color w:val="auto"/>
              </w:rPr>
            </w:pPr>
          </w:p>
        </w:tc>
        <w:tc>
          <w:tcPr>
            <w:tcW w:w="208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9"/>
              </w:rPr>
              <w:t>ended</w:t>
            </w:r>
          </w:p>
        </w:tc>
        <w:tc>
          <w:tcPr>
            <w:tcW w:w="1560" w:type="dxa"/>
            <w:vAlign w:val="bottom"/>
            <w:gridSpan w:val="2"/>
          </w:tcPr>
          <w:p>
            <w:pPr>
              <w:jc w:val="center"/>
              <w:ind w:right="50"/>
              <w:spacing w:after="0" w:line="201" w:lineRule="exact"/>
              <w:rPr>
                <w:sz w:val="20"/>
                <w:szCs w:val="20"/>
                <w:color w:val="auto"/>
              </w:rPr>
            </w:pPr>
            <w:r>
              <w:rPr>
                <w:rFonts w:ascii="Arial" w:cs="Arial" w:eastAsia="Arial" w:hAnsi="Arial"/>
                <w:sz w:val="18"/>
                <w:szCs w:val="18"/>
                <w:color w:val="auto"/>
                <w:w w:val="99"/>
              </w:rPr>
              <w:t>ended</w:t>
            </w: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June 30, 2013</w:t>
            </w:r>
          </w:p>
        </w:tc>
        <w:tc>
          <w:tcPr>
            <w:tcW w:w="15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rPr>
              <w:t>June 30, 2012</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June 30, 2013</w:t>
            </w: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June 30, 2012</w:t>
            </w:r>
          </w:p>
        </w:tc>
      </w:tr>
      <w:tr>
        <w:trPr>
          <w:trHeight w:val="438"/>
        </w:trPr>
        <w:tc>
          <w:tcPr>
            <w:tcW w:w="33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$0</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10,283</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19,774</w:t>
            </w:r>
          </w:p>
        </w:tc>
      </w:tr>
      <w:tr>
        <w:trPr>
          <w:trHeight w:val="357"/>
        </w:trPr>
        <w:tc>
          <w:tcPr>
            <w:tcW w:w="3380" w:type="dxa"/>
            <w:vAlign w:val="bottom"/>
          </w:tcPr>
          <w:p>
            <w:pPr>
              <w:ind w:left="20"/>
              <w:spacing w:after="0"/>
              <w:rPr>
                <w:sz w:val="20"/>
                <w:szCs w:val="20"/>
                <w:color w:val="auto"/>
              </w:rPr>
            </w:pPr>
            <w:r>
              <w:rPr>
                <w:rFonts w:ascii="Arial" w:cs="Arial" w:eastAsia="Arial" w:hAnsi="Arial"/>
                <w:sz w:val="18"/>
                <w:szCs w:val="18"/>
                <w:color w:val="auto"/>
              </w:rPr>
              <w:t>(Loss)/Income from operations of</w:t>
            </w: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(575)</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8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4,776</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discontinued business before tax</w:t>
            </w:r>
          </w:p>
        </w:tc>
        <w:tc>
          <w:tcPr>
            <w:tcW w:w="2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65"/>
        </w:trPr>
        <w:tc>
          <w:tcPr>
            <w:tcW w:w="3380" w:type="dxa"/>
            <w:vAlign w:val="bottom"/>
          </w:tcPr>
          <w:p>
            <w:pPr>
              <w:ind w:left="20"/>
              <w:spacing w:after="0"/>
              <w:rPr>
                <w:sz w:val="20"/>
                <w:szCs w:val="20"/>
                <w:color w:val="auto"/>
              </w:rPr>
            </w:pPr>
            <w:r>
              <w:rPr>
                <w:rFonts w:ascii="Arial" w:cs="Arial" w:eastAsia="Arial" w:hAnsi="Arial"/>
                <w:sz w:val="18"/>
                <w:szCs w:val="18"/>
                <w:color w:val="auto"/>
              </w:rPr>
              <w:t>Gain on disposition of discontinued</w:t>
            </w: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34,709</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92,677</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2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413"/>
        </w:trPr>
        <w:tc>
          <w:tcPr>
            <w:tcW w:w="3380" w:type="dxa"/>
            <w:vAlign w:val="bottom"/>
          </w:tcPr>
          <w:p>
            <w:pPr>
              <w:ind w:left="20"/>
              <w:spacing w:after="0"/>
              <w:rPr>
                <w:sz w:val="20"/>
                <w:szCs w:val="20"/>
                <w:color w:val="auto"/>
              </w:rPr>
            </w:pPr>
            <w:r>
              <w:rPr>
                <w:rFonts w:ascii="Arial" w:cs="Arial" w:eastAsia="Arial" w:hAnsi="Arial"/>
                <w:sz w:val="18"/>
                <w:szCs w:val="18"/>
                <w:color w:val="auto"/>
              </w:rPr>
              <w:t>Income tax (benefit)/expense</w:t>
            </w: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(224)</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13,439</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8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26,253</w:t>
            </w:r>
          </w:p>
        </w:tc>
      </w:tr>
      <w:tr>
        <w:trPr>
          <w:trHeight w:val="191"/>
        </w:trPr>
        <w:tc>
          <w:tcPr>
            <w:tcW w:w="3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gridSpan w:val="2"/>
          </w:tcPr>
          <w:p>
            <w:pPr>
              <w:jc w:val="right"/>
              <w:ind w:right="1030"/>
              <w:spacing w:after="0" w:line="194" w:lineRule="exact"/>
              <w:rPr>
                <w:sz w:val="20"/>
                <w:szCs w:val="20"/>
                <w:color w:val="auto"/>
              </w:rPr>
            </w:pPr>
            <w:r>
              <w:rPr>
                <w:rFonts w:ascii="Arial" w:cs="Arial" w:eastAsia="Arial" w:hAnsi="Arial"/>
                <w:sz w:val="18"/>
                <w:szCs w:val="18"/>
                <w:color w:val="auto"/>
              </w:rPr>
              <w:t>Three months ended</w:t>
            </w:r>
          </w:p>
        </w:tc>
        <w:tc>
          <w:tcPr>
            <w:tcW w:w="300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2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420" w:type="dxa"/>
            <w:vAlign w:val="bottom"/>
          </w:tcPr>
          <w:p>
            <w:pPr>
              <w:spacing w:after="0"/>
              <w:rPr>
                <w:sz w:val="17"/>
                <w:szCs w:val="17"/>
                <w:color w:val="auto"/>
              </w:rPr>
            </w:pPr>
          </w:p>
        </w:tc>
        <w:tc>
          <w:tcPr>
            <w:tcW w:w="19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2012</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4"/>
        </w:trPr>
        <w:tc>
          <w:tcPr>
            <w:tcW w:w="498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20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$177,536</w:t>
            </w:r>
          </w:p>
        </w:tc>
        <w:tc>
          <w:tcPr>
            <w:tcW w:w="1420" w:type="dxa"/>
            <w:vAlign w:val="bottom"/>
          </w:tcPr>
          <w:p>
            <w:pPr>
              <w:spacing w:after="0"/>
              <w:rPr>
                <w:sz w:val="18"/>
                <w:szCs w:val="18"/>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$344,946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line="201" w:lineRule="exact"/>
              <w:rPr>
                <w:sz w:val="20"/>
                <w:szCs w:val="20"/>
                <w:color w:val="auto"/>
              </w:rPr>
            </w:pPr>
            <w:r>
              <w:rPr>
                <w:rFonts w:ascii="Arial" w:cs="Arial" w:eastAsia="Arial" w:hAnsi="Arial"/>
                <w:sz w:val="18"/>
                <w:szCs w:val="18"/>
                <w:color w:val="auto"/>
              </w:rPr>
              <w:t>Machine Clothing (MC)</w:t>
            </w:r>
          </w:p>
        </w:tc>
        <w:tc>
          <w:tcPr>
            <w:tcW w:w="2020" w:type="dxa"/>
            <w:vAlign w:val="bottom"/>
            <w:vMerge w:val="continue"/>
          </w:tcPr>
          <w:p>
            <w:pPr>
              <w:spacing w:after="0"/>
              <w:rPr>
                <w:sz w:val="17"/>
                <w:szCs w:val="17"/>
                <w:color w:val="auto"/>
              </w:rPr>
            </w:pPr>
          </w:p>
        </w:tc>
        <w:tc>
          <w:tcPr>
            <w:tcW w:w="142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$177,122</w:t>
            </w:r>
          </w:p>
        </w:tc>
        <w:tc>
          <w:tcPr>
            <w:tcW w:w="1980" w:type="dxa"/>
            <w:vAlign w:val="bottom"/>
            <w:vMerge w:val="continue"/>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$341,410</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 (AEC)</w:t>
            </w: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20,438</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14,818</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39,682</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30,607</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02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$197,974</w:t>
            </w:r>
          </w:p>
        </w:tc>
        <w:tc>
          <w:tcPr>
            <w:tcW w:w="14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$191,940</w:t>
            </w:r>
          </w:p>
        </w:tc>
        <w:tc>
          <w:tcPr>
            <w:tcW w:w="19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$384,628</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$372,017</w:t>
            </w:r>
          </w:p>
        </w:tc>
        <w:tc>
          <w:tcPr>
            <w:tcW w:w="0" w:type="dxa"/>
            <w:vAlign w:val="bottom"/>
          </w:tcPr>
          <w:p>
            <w:pPr>
              <w:spacing w:after="0"/>
              <w:rPr>
                <w:sz w:val="1"/>
                <w:szCs w:val="1"/>
                <w:color w:val="auto"/>
              </w:rPr>
            </w:pPr>
          </w:p>
        </w:tc>
      </w:tr>
      <w:tr>
        <w:trPr>
          <w:trHeight w:val="214"/>
        </w:trPr>
        <w:tc>
          <w:tcPr>
            <w:tcW w:w="4980" w:type="dxa"/>
            <w:vAlign w:val="bottom"/>
          </w:tcPr>
          <w:p>
            <w:pPr>
              <w:ind w:left="100"/>
              <w:spacing w:after="0"/>
              <w:rPr>
                <w:sz w:val="20"/>
                <w:szCs w:val="20"/>
                <w:color w:val="auto"/>
              </w:rPr>
            </w:pPr>
            <w:r>
              <w:rPr>
                <w:rFonts w:ascii="Arial" w:cs="Arial" w:eastAsia="Arial" w:hAnsi="Arial"/>
                <w:sz w:val="18"/>
                <w:szCs w:val="18"/>
                <w:b w:val="1"/>
                <w:bCs w:val="1"/>
                <w:color w:val="auto"/>
              </w:rPr>
              <w:t>Operating income/(loss)</w:t>
            </w:r>
          </w:p>
        </w:tc>
        <w:tc>
          <w:tcPr>
            <w:tcW w:w="20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$20,699</w:t>
            </w:r>
          </w:p>
        </w:tc>
        <w:tc>
          <w:tcPr>
            <w:tcW w:w="1420" w:type="dxa"/>
            <w:vAlign w:val="bottom"/>
          </w:tcPr>
          <w:p>
            <w:pPr>
              <w:spacing w:after="0"/>
              <w:rPr>
                <w:sz w:val="18"/>
                <w:szCs w:val="18"/>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$63,607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100"/>
              <w:spacing w:after="0" w:line="201" w:lineRule="exact"/>
              <w:rPr>
                <w:sz w:val="20"/>
                <w:szCs w:val="20"/>
                <w:color w:val="auto"/>
              </w:rPr>
            </w:pPr>
            <w:r>
              <w:rPr>
                <w:rFonts w:ascii="Arial" w:cs="Arial" w:eastAsia="Arial" w:hAnsi="Arial"/>
                <w:sz w:val="18"/>
                <w:szCs w:val="18"/>
                <w:color w:val="auto"/>
              </w:rPr>
              <w:t>Machine Clothing</w:t>
            </w:r>
          </w:p>
        </w:tc>
        <w:tc>
          <w:tcPr>
            <w:tcW w:w="2020" w:type="dxa"/>
            <w:vAlign w:val="bottom"/>
            <w:vMerge w:val="continue"/>
          </w:tcPr>
          <w:p>
            <w:pPr>
              <w:spacing w:after="0"/>
              <w:rPr>
                <w:sz w:val="17"/>
                <w:szCs w:val="17"/>
                <w:color w:val="auto"/>
              </w:rPr>
            </w:pPr>
          </w:p>
        </w:tc>
        <w:tc>
          <w:tcPr>
            <w:tcW w:w="142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$44,997</w:t>
            </w:r>
          </w:p>
        </w:tc>
        <w:tc>
          <w:tcPr>
            <w:tcW w:w="1980" w:type="dxa"/>
            <w:vAlign w:val="bottom"/>
            <w:vMerge w:val="continue"/>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$75,842</w:t>
            </w:r>
          </w:p>
        </w:tc>
        <w:tc>
          <w:tcPr>
            <w:tcW w:w="0" w:type="dxa"/>
            <w:vAlign w:val="bottom"/>
          </w:tcPr>
          <w:p>
            <w:pPr>
              <w:spacing w:after="0"/>
              <w:rPr>
                <w:sz w:val="1"/>
                <w:szCs w:val="1"/>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(1,825)</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(369)</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(3,888)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(7,673)</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(7,253)</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(14,664)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0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(14,714)</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(123,379)</w:t>
            </w:r>
          </w:p>
        </w:tc>
        <w:tc>
          <w:tcPr>
            <w:tcW w:w="1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(26,050)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(149,097)</w:t>
            </w:r>
          </w:p>
        </w:tc>
        <w:tc>
          <w:tcPr>
            <w:tcW w:w="0" w:type="dxa"/>
            <w:vAlign w:val="bottom"/>
          </w:tcPr>
          <w:p>
            <w:pPr>
              <w:spacing w:after="0"/>
              <w:rPr>
                <w:sz w:val="1"/>
                <w:szCs w:val="1"/>
                <w:color w:val="auto"/>
              </w:rPr>
            </w:pPr>
          </w:p>
        </w:tc>
      </w:tr>
      <w:tr>
        <w:trPr>
          <w:trHeight w:val="214"/>
        </w:trPr>
        <w:tc>
          <w:tcPr>
            <w:tcW w:w="4980" w:type="dxa"/>
            <w:vAlign w:val="bottom"/>
          </w:tcPr>
          <w:p>
            <w:pPr>
              <w:ind w:left="100"/>
              <w:spacing w:after="0"/>
              <w:rPr>
                <w:sz w:val="20"/>
                <w:szCs w:val="20"/>
                <w:color w:val="auto"/>
              </w:rPr>
            </w:pPr>
            <w:r>
              <w:rPr>
                <w:rFonts w:ascii="Arial" w:cs="Arial" w:eastAsia="Arial" w:hAnsi="Arial"/>
                <w:sz w:val="18"/>
                <w:szCs w:val="18"/>
                <w:color w:val="auto"/>
              </w:rPr>
              <w:t>Operating income/(loss) before reconciling items</w:t>
            </w:r>
          </w:p>
        </w:tc>
        <w:tc>
          <w:tcPr>
            <w:tcW w:w="2020" w:type="dxa"/>
            <w:vAlign w:val="bottom"/>
          </w:tcPr>
          <w:p>
            <w:pPr>
              <w:jc w:val="right"/>
              <w:ind w:right="650"/>
              <w:spacing w:after="0"/>
              <w:rPr>
                <w:sz w:val="20"/>
                <w:szCs w:val="20"/>
                <w:color w:val="auto"/>
              </w:rPr>
            </w:pPr>
            <w:r>
              <w:rPr>
                <w:rFonts w:ascii="Arial" w:cs="Arial" w:eastAsia="Arial" w:hAnsi="Arial"/>
                <w:sz w:val="18"/>
                <w:szCs w:val="18"/>
                <w:b w:val="1"/>
                <w:bCs w:val="1"/>
                <w:color w:val="auto"/>
              </w:rPr>
              <w:t>(3,513)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(86,004)</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19,005</w:t>
            </w:r>
          </w:p>
        </w:tc>
        <w:tc>
          <w:tcPr>
            <w:tcW w:w="1020" w:type="dxa"/>
            <w:vAlign w:val="bottom"/>
          </w:tcPr>
          <w:p>
            <w:pPr>
              <w:jc w:val="right"/>
              <w:spacing w:after="0"/>
              <w:rPr>
                <w:sz w:val="20"/>
                <w:szCs w:val="20"/>
                <w:color w:val="auto"/>
              </w:rPr>
            </w:pPr>
            <w:r>
              <w:rPr>
                <w:rFonts w:ascii="Arial" w:cs="Arial" w:eastAsia="Arial" w:hAnsi="Arial"/>
                <w:sz w:val="18"/>
                <w:szCs w:val="18"/>
                <w:color w:val="auto"/>
              </w:rPr>
              <w:t>(86,913)</w:t>
            </w:r>
          </w:p>
        </w:tc>
        <w:tc>
          <w:tcPr>
            <w:tcW w:w="0" w:type="dxa"/>
            <w:vAlign w:val="bottom"/>
          </w:tcPr>
          <w:p>
            <w:pPr>
              <w:spacing w:after="0"/>
              <w:rPr>
                <w:sz w:val="1"/>
                <w:szCs w:val="1"/>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Reconciling items:</w:t>
            </w:r>
          </w:p>
        </w:tc>
        <w:tc>
          <w:tcPr>
            <w:tcW w:w="202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(300)</w:t>
            </w:r>
          </w:p>
        </w:tc>
        <w:tc>
          <w:tcPr>
            <w:tcW w:w="1420" w:type="dxa"/>
            <w:vAlign w:val="bottom"/>
          </w:tcPr>
          <w:p>
            <w:pPr>
              <w:spacing w:after="0"/>
              <w:rPr>
                <w:sz w:val="17"/>
                <w:szCs w:val="17"/>
                <w:color w:val="auto"/>
              </w:rPr>
            </w:pPr>
          </w:p>
        </w:tc>
        <w:tc>
          <w:tcPr>
            <w:tcW w:w="19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(600)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80" w:type="dxa"/>
            <w:vAlign w:val="bottom"/>
          </w:tcPr>
          <w:p>
            <w:pPr>
              <w:ind w:left="260"/>
              <w:spacing w:after="0" w:line="201" w:lineRule="exact"/>
              <w:rPr>
                <w:sz w:val="20"/>
                <w:szCs w:val="20"/>
                <w:color w:val="auto"/>
              </w:rPr>
            </w:pPr>
            <w:r>
              <w:rPr>
                <w:rFonts w:ascii="Arial" w:cs="Arial" w:eastAsia="Arial" w:hAnsi="Arial"/>
                <w:sz w:val="18"/>
                <w:szCs w:val="18"/>
                <w:color w:val="auto"/>
              </w:rPr>
              <w:t>Interest income</w:t>
            </w:r>
          </w:p>
        </w:tc>
        <w:tc>
          <w:tcPr>
            <w:tcW w:w="2020" w:type="dxa"/>
            <w:vAlign w:val="bottom"/>
            <w:vMerge w:val="continue"/>
          </w:tcPr>
          <w:p>
            <w:pPr>
              <w:spacing w:after="0"/>
              <w:rPr>
                <w:sz w:val="17"/>
                <w:szCs w:val="17"/>
                <w:color w:val="auto"/>
              </w:rPr>
            </w:pPr>
          </w:p>
        </w:tc>
        <w:tc>
          <w:tcPr>
            <w:tcW w:w="14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(522)</w:t>
            </w:r>
          </w:p>
        </w:tc>
        <w:tc>
          <w:tcPr>
            <w:tcW w:w="1980" w:type="dxa"/>
            <w:vAlign w:val="bottom"/>
            <w:vMerge w:val="continue"/>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4980" w:type="dxa"/>
            <w:vAlign w:val="bottom"/>
          </w:tcPr>
          <w:p>
            <w:pPr>
              <w:ind w:left="260"/>
              <w:spacing w:after="0" w:line="202" w:lineRule="exact"/>
              <w:rPr>
                <w:sz w:val="20"/>
                <w:szCs w:val="20"/>
                <w:color w:val="auto"/>
              </w:rPr>
            </w:pPr>
            <w:r>
              <w:rPr>
                <w:rFonts w:ascii="Arial" w:cs="Arial" w:eastAsia="Arial" w:hAnsi="Arial"/>
                <w:sz w:val="18"/>
                <w:szCs w:val="18"/>
                <w:color w:val="auto"/>
              </w:rPr>
              <w:t>Interest expense</w:t>
            </w:r>
          </w:p>
        </w:tc>
        <w:tc>
          <w:tcPr>
            <w:tcW w:w="202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3,847</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4,491</w:t>
            </w:r>
          </w:p>
        </w:tc>
        <w:tc>
          <w:tcPr>
            <w:tcW w:w="19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8,172</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expense/ (income), net</w:t>
            </w:r>
          </w:p>
        </w:tc>
        <w:tc>
          <w:tcPr>
            <w:tcW w:w="2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2,211</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(2,555)</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2,945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173"/>
        </w:trPr>
        <w:tc>
          <w:tcPr>
            <w:tcW w:w="4980" w:type="dxa"/>
            <w:vAlign w:val="bottom"/>
          </w:tcPr>
          <w:p>
            <w:pPr>
              <w:ind w:left="100"/>
              <w:spacing w:after="0" w:line="173" w:lineRule="exact"/>
              <w:rPr>
                <w:sz w:val="20"/>
                <w:szCs w:val="20"/>
                <w:color w:val="auto"/>
              </w:rPr>
            </w:pPr>
            <w:r>
              <w:rPr>
                <w:rFonts w:ascii="Arial" w:cs="Arial" w:eastAsia="Arial" w:hAnsi="Arial"/>
                <w:sz w:val="18"/>
                <w:szCs w:val="18"/>
                <w:color w:val="auto"/>
              </w:rPr>
              <w:t>Income/(loss) from continuing operations before income</w:t>
            </w:r>
          </w:p>
        </w:tc>
        <w:tc>
          <w:tcPr>
            <w:tcW w:w="202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($9,271)</w:t>
            </w:r>
          </w:p>
        </w:tc>
        <w:tc>
          <w:tcPr>
            <w:tcW w:w="1420" w:type="dxa"/>
            <w:vAlign w:val="bottom"/>
          </w:tcPr>
          <w:p>
            <w:pPr>
              <w:spacing w:after="0"/>
              <w:rPr>
                <w:sz w:val="15"/>
                <w:szCs w:val="15"/>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$8,488</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taxes</w:t>
            </w:r>
          </w:p>
        </w:tc>
        <w:tc>
          <w:tcPr>
            <w:tcW w:w="20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($87,418)</w:t>
            </w:r>
          </w:p>
        </w:tc>
        <w:tc>
          <w:tcPr>
            <w:tcW w:w="19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($97,519)</w:t>
            </w:r>
          </w:p>
        </w:tc>
        <w:tc>
          <w:tcPr>
            <w:tcW w:w="0" w:type="dxa"/>
            <w:vAlign w:val="bottom"/>
          </w:tcPr>
          <w:p>
            <w:pPr>
              <w:spacing w:after="0"/>
              <w:rPr>
                <w:sz w:val="1"/>
                <w:szCs w:val="1"/>
                <w:color w:val="auto"/>
              </w:rPr>
            </w:pPr>
          </w:p>
        </w:tc>
      </w:tr>
      <w:tr>
        <w:trPr>
          <w:trHeight w:val="588"/>
        </w:trPr>
        <w:tc>
          <w:tcPr>
            <w:tcW w:w="4980" w:type="dxa"/>
            <w:vAlign w:val="bottom"/>
          </w:tcPr>
          <w:p>
            <w:pPr>
              <w:spacing w:after="0"/>
              <w:rPr>
                <w:sz w:val="24"/>
                <w:szCs w:val="24"/>
                <w:color w:val="auto"/>
              </w:rPr>
            </w:pPr>
          </w:p>
        </w:tc>
        <w:tc>
          <w:tcPr>
            <w:tcW w:w="20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98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5):</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414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68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2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June 30,</w:t>
            </w:r>
          </w:p>
        </w:tc>
        <w:tc>
          <w:tcPr>
            <w:tcW w:w="1300" w:type="dxa"/>
            <w:vAlign w:val="bottom"/>
          </w:tcPr>
          <w:p>
            <w:pPr>
              <w:spacing w:after="0"/>
              <w:rPr>
                <w:sz w:val="17"/>
                <w:szCs w:val="17"/>
                <w:color w:val="auto"/>
              </w:rPr>
            </w:pPr>
          </w:p>
        </w:tc>
        <w:tc>
          <w:tcPr>
            <w:tcW w:w="17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2012</w:t>
            </w:r>
          </w:p>
        </w:tc>
        <w:tc>
          <w:tcPr>
            <w:tcW w:w="1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4"/>
        </w:trPr>
        <w:tc>
          <w:tcPr>
            <w:tcW w:w="3440" w:type="dxa"/>
            <w:vAlign w:val="bottom"/>
          </w:tcPr>
          <w:p>
            <w:pPr>
              <w:ind w:left="100"/>
              <w:spacing w:after="0"/>
              <w:rPr>
                <w:sz w:val="20"/>
                <w:szCs w:val="20"/>
                <w:color w:val="auto"/>
              </w:rPr>
            </w:pPr>
            <w:r>
              <w:rPr>
                <w:rFonts w:ascii="Arial" w:cs="Arial" w:eastAsia="Arial" w:hAnsi="Arial"/>
                <w:sz w:val="18"/>
                <w:szCs w:val="18"/>
                <w:b w:val="1"/>
                <w:bCs w:val="1"/>
                <w:color w:val="auto"/>
              </w:rPr>
              <w:t>Pension settlement</w:t>
            </w:r>
          </w:p>
        </w:tc>
        <w:tc>
          <w:tcPr>
            <w:tcW w:w="28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$0</w:t>
            </w:r>
          </w:p>
        </w:tc>
        <w:tc>
          <w:tcPr>
            <w:tcW w:w="1300" w:type="dxa"/>
            <w:vAlign w:val="bottom"/>
          </w:tcPr>
          <w:p>
            <w:pPr>
              <w:spacing w:after="0"/>
              <w:rPr>
                <w:sz w:val="18"/>
                <w:szCs w:val="18"/>
                <w:color w:val="auto"/>
              </w:rPr>
            </w:pPr>
          </w:p>
        </w:tc>
        <w:tc>
          <w:tcPr>
            <w:tcW w:w="17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8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$110,560</w:t>
            </w:r>
          </w:p>
        </w:tc>
        <w:tc>
          <w:tcPr>
            <w:tcW w:w="17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457"/>
        </w:trPr>
        <w:tc>
          <w:tcPr>
            <w:tcW w:w="3440" w:type="dxa"/>
            <w:vAlign w:val="bottom"/>
          </w:tcPr>
          <w:p>
            <w:pPr>
              <w:ind w:left="100"/>
              <w:spacing w:after="0"/>
              <w:rPr>
                <w:sz w:val="20"/>
                <w:szCs w:val="20"/>
                <w:color w:val="auto"/>
              </w:rPr>
            </w:pPr>
            <w:r>
              <w:rPr>
                <w:rFonts w:ascii="Arial" w:cs="Arial" w:eastAsia="Arial" w:hAnsi="Arial"/>
                <w:sz w:val="18"/>
                <w:szCs w:val="18"/>
                <w:b w:val="1"/>
                <w:bCs w:val="1"/>
                <w:color w:val="auto"/>
              </w:rPr>
              <w:t>Restructuring expense</w:t>
            </w:r>
          </w:p>
        </w:tc>
        <w:tc>
          <w:tcPr>
            <w:tcW w:w="28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$24,230</w:t>
            </w:r>
          </w:p>
        </w:tc>
        <w:tc>
          <w:tcPr>
            <w:tcW w:w="1300" w:type="dxa"/>
            <w:vAlign w:val="bottom"/>
          </w:tcPr>
          <w:p>
            <w:pPr>
              <w:spacing w:after="0"/>
              <w:rPr>
                <w:sz w:val="24"/>
                <w:szCs w:val="24"/>
                <w:color w:val="auto"/>
              </w:rPr>
            </w:pPr>
          </w:p>
        </w:tc>
        <w:tc>
          <w:tcPr>
            <w:tcW w:w="17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$24,423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40" w:type="dxa"/>
            <w:vAlign w:val="bottom"/>
          </w:tcPr>
          <w:p>
            <w:pPr>
              <w:ind w:left="100"/>
              <w:spacing w:after="0" w:line="201" w:lineRule="exact"/>
              <w:rPr>
                <w:sz w:val="20"/>
                <w:szCs w:val="20"/>
                <w:color w:val="auto"/>
              </w:rPr>
            </w:pPr>
            <w:r>
              <w:rPr>
                <w:rFonts w:ascii="Arial" w:cs="Arial" w:eastAsia="Arial" w:hAnsi="Arial"/>
                <w:sz w:val="18"/>
                <w:szCs w:val="18"/>
                <w:color w:val="auto"/>
              </w:rPr>
              <w:t>Machine Clothing</w:t>
            </w:r>
          </w:p>
        </w:tc>
        <w:tc>
          <w:tcPr>
            <w:tcW w:w="2840" w:type="dxa"/>
            <w:vAlign w:val="bottom"/>
            <w:vMerge w:val="continue"/>
          </w:tcPr>
          <w:p>
            <w:pPr>
              <w:spacing w:after="0"/>
              <w:rPr>
                <w:sz w:val="17"/>
                <w:szCs w:val="17"/>
                <w:color w:val="auto"/>
              </w:rPr>
            </w:pPr>
          </w:p>
        </w:tc>
        <w:tc>
          <w:tcPr>
            <w:tcW w:w="130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$2,903</w:t>
            </w:r>
          </w:p>
        </w:tc>
        <w:tc>
          <w:tcPr>
            <w:tcW w:w="1760" w:type="dxa"/>
            <w:vAlign w:val="bottom"/>
            <w:vMerge w:val="continue"/>
          </w:tcPr>
          <w:p>
            <w:pPr>
              <w:spacing w:after="0"/>
              <w:rPr>
                <w:sz w:val="17"/>
                <w:szCs w:val="17"/>
                <w:color w:val="auto"/>
              </w:rPr>
            </w:pPr>
          </w:p>
        </w:tc>
        <w:tc>
          <w:tcPr>
            <w:tcW w:w="9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8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91</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534</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8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249</w:t>
            </w: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8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$24,321</w:t>
            </w:r>
          </w:p>
        </w:tc>
        <w:tc>
          <w:tcPr>
            <w:tcW w:w="13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$3,152</w:t>
            </w:r>
          </w:p>
        </w:tc>
        <w:tc>
          <w:tcPr>
            <w:tcW w:w="17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$24,957</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Substantially all of the restructuring charges recorded in the second quarter of 2013 relate to the completion of consultations with employee works councils in Sélestat and St. Junien, France, which will result in the reduction of approximately 200 employees, most of which will leave the Company during the third quarter of 2013. The restructuring program was driven by the Company’s need to balance manufacturing capacity and demand.</w:t>
      </w:r>
    </w:p>
    <w:p>
      <w:pPr>
        <w:spacing w:after="0" w:line="15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Through the first six months of 2013, the Company incurred some restructuring costs in the Engineered Composites segment that were related to organizational changes and exiting certain aerospace programs.</w:t>
      </w:r>
    </w:p>
    <w:p>
      <w:pPr>
        <w:spacing w:after="0" w:line="132"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The 2012 restructuring expense was principally due to a reduction in workforce in Sweden and curtailment of manufacturing in New York and Wisconsin which was related to the lower demand for paper machine clothing. Those costs were partially offset by a reduction in accruals related to the Company’s headquarters.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69"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69"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benefits. Effective January 2005, any new employees who wish to be covered under this plan will be responsible for the full cost of such benefits, except for life insurance benefits, which continue to be provided. In September 2008, we changed the cost sharing arrangement under this program such that increases in health care costs are the responsibility of plan participants.</w:t>
      </w:r>
    </w:p>
    <w:p>
      <w:pPr>
        <w:spacing w:after="0" w:line="12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plan cost for the six months ended June 30, 2013 and 2012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Pension plans</w:t>
            </w:r>
          </w:p>
        </w:tc>
        <w:tc>
          <w:tcPr>
            <w:tcW w:w="1320" w:type="dxa"/>
            <w:vAlign w:val="bottom"/>
          </w:tcPr>
          <w:p>
            <w:pPr>
              <w:spacing w:after="0"/>
              <w:rPr>
                <w:sz w:val="17"/>
                <w:szCs w:val="17"/>
                <w:color w:val="auto"/>
              </w:rPr>
            </w:pPr>
          </w:p>
        </w:tc>
        <w:tc>
          <w:tcPr>
            <w:tcW w:w="3060" w:type="dxa"/>
            <w:vAlign w:val="bottom"/>
            <w:gridSpan w:val="2"/>
          </w:tcPr>
          <w:p>
            <w:pPr>
              <w:jc w:val="right"/>
              <w:ind w:right="270"/>
              <w:spacing w:after="0"/>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7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2013</w:t>
            </w:r>
          </w:p>
        </w:tc>
        <w:tc>
          <w:tcPr>
            <w:tcW w:w="1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2013</w:t>
            </w: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57"/>
        </w:trPr>
        <w:tc>
          <w:tcPr>
            <w:tcW w:w="4340" w:type="dxa"/>
            <w:vAlign w:val="bottom"/>
          </w:tcPr>
          <w:p>
            <w:pPr>
              <w:ind w:left="100"/>
              <w:spacing w:after="0"/>
              <w:rPr>
                <w:sz w:val="20"/>
                <w:szCs w:val="20"/>
                <w:color w:val="auto"/>
              </w:rPr>
            </w:pPr>
            <w:r>
              <w:rPr>
                <w:rFonts w:ascii="Arial" w:cs="Arial" w:eastAsia="Arial" w:hAnsi="Arial"/>
                <w:sz w:val="18"/>
                <w:szCs w:val="18"/>
                <w:color w:val="auto"/>
              </w:rPr>
              <w:t>Components of net periodic benefit cost:</w:t>
            </w:r>
          </w:p>
        </w:tc>
        <w:tc>
          <w:tcPr>
            <w:tcW w:w="27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$1,684</w:t>
            </w:r>
          </w:p>
        </w:tc>
        <w:tc>
          <w:tcPr>
            <w:tcW w:w="1320" w:type="dxa"/>
            <w:vAlign w:val="bottom"/>
          </w:tcPr>
          <w:p>
            <w:pPr>
              <w:spacing w:after="0"/>
              <w:rPr>
                <w:sz w:val="24"/>
                <w:szCs w:val="24"/>
                <w:color w:val="auto"/>
              </w:rPr>
            </w:pPr>
          </w:p>
        </w:tc>
        <w:tc>
          <w:tcPr>
            <w:tcW w:w="17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$571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40" w:type="dxa"/>
            <w:vAlign w:val="bottom"/>
          </w:tcPr>
          <w:p>
            <w:pPr>
              <w:ind w:left="100"/>
              <w:spacing w:after="0" w:line="201" w:lineRule="exact"/>
              <w:rPr>
                <w:sz w:val="20"/>
                <w:szCs w:val="20"/>
                <w:color w:val="auto"/>
              </w:rPr>
            </w:pPr>
            <w:r>
              <w:rPr>
                <w:rFonts w:ascii="Arial" w:cs="Arial" w:eastAsia="Arial" w:hAnsi="Arial"/>
                <w:sz w:val="18"/>
                <w:szCs w:val="18"/>
                <w:color w:val="auto"/>
              </w:rPr>
              <w:t>Service cost</w:t>
            </w:r>
          </w:p>
        </w:tc>
        <w:tc>
          <w:tcPr>
            <w:tcW w:w="2700" w:type="dxa"/>
            <w:vAlign w:val="bottom"/>
            <w:vMerge w:val="continue"/>
          </w:tcPr>
          <w:p>
            <w:pPr>
              <w:spacing w:after="0"/>
              <w:rPr>
                <w:sz w:val="17"/>
                <w:szCs w:val="17"/>
                <w:color w:val="auto"/>
              </w:rPr>
            </w:pPr>
          </w:p>
        </w:tc>
        <w:tc>
          <w:tcPr>
            <w:tcW w:w="132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$1,699</w:t>
            </w:r>
          </w:p>
        </w:tc>
        <w:tc>
          <w:tcPr>
            <w:tcW w:w="1720" w:type="dxa"/>
            <w:vAlign w:val="bottom"/>
            <w:vMerge w:val="continue"/>
          </w:tcPr>
          <w:p>
            <w:pPr>
              <w:spacing w:after="0"/>
              <w:rPr>
                <w:sz w:val="17"/>
                <w:szCs w:val="17"/>
                <w:color w:val="auto"/>
              </w:rPr>
            </w:pPr>
          </w:p>
        </w:tc>
        <w:tc>
          <w:tcPr>
            <w:tcW w:w="13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Interest cost</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4,000</w:t>
            </w:r>
          </w:p>
        </w:tc>
        <w:tc>
          <w:tcPr>
            <w:tcW w:w="13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7,589</w:t>
            </w:r>
          </w:p>
        </w:tc>
        <w:tc>
          <w:tcPr>
            <w:tcW w:w="17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1,604</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Expected return on assets</w:t>
            </w:r>
          </w:p>
        </w:tc>
        <w:tc>
          <w:tcPr>
            <w:tcW w:w="27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(4,068)</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(7,184)</w:t>
            </w:r>
          </w:p>
        </w:tc>
        <w:tc>
          <w:tcPr>
            <w:tcW w:w="17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17</w:t>
            </w:r>
          </w:p>
        </w:tc>
        <w:tc>
          <w:tcPr>
            <w:tcW w:w="13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17</w:t>
            </w:r>
          </w:p>
        </w:tc>
        <w:tc>
          <w:tcPr>
            <w:tcW w:w="17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(1,834)</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transition obligation</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34</w:t>
            </w:r>
          </w:p>
        </w:tc>
        <w:tc>
          <w:tcPr>
            <w:tcW w:w="13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w:t>
            </w:r>
          </w:p>
        </w:tc>
        <w:tc>
          <w:tcPr>
            <w:tcW w:w="17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net actuarial loss</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1,571</w:t>
            </w:r>
          </w:p>
        </w:tc>
        <w:tc>
          <w:tcPr>
            <w:tcW w:w="13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2,839</w:t>
            </w:r>
          </w:p>
        </w:tc>
        <w:tc>
          <w:tcPr>
            <w:tcW w:w="17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1,757</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w:t>
            </w:r>
          </w:p>
        </w:tc>
        <w:tc>
          <w:tcPr>
            <w:tcW w:w="2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119,735</w:t>
            </w:r>
          </w:p>
        </w:tc>
        <w:tc>
          <w:tcPr>
            <w:tcW w:w="1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periodic benefit cost</w:t>
            </w:r>
          </w:p>
        </w:tc>
        <w:tc>
          <w:tcPr>
            <w:tcW w:w="27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$3,238</w:t>
            </w:r>
          </w:p>
        </w:tc>
        <w:tc>
          <w:tcPr>
            <w:tcW w:w="13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$124,732</w:t>
            </w:r>
          </w:p>
        </w:tc>
        <w:tc>
          <w:tcPr>
            <w:tcW w:w="17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$2,098</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settling certain pension obligations leading to settlement charges totaling $119.7 million for the first six months of 2012. In the first quarter of 2012, we recorded a settlement charge of $9.2 million related to the extinguishment of our pension plan liability in Sweden. In the second quarter of 2012, we recorded settlement charges totaling $110.6 million related to settling a majority of the defined benefit pension plan liabilities in the United States and Canada.</w:t>
      </w: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5. Restructuring</w:t>
      </w:r>
    </w:p>
    <w:p>
      <w:pPr>
        <w:spacing w:after="0" w:line="171"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During the second quarter of 2013, the Company completed consultations with employee works councils regarding a plan to restructure operations at the Company’s Machine Clothing production facilities in Sélestat and St. Junien, France. The restructuring program was driven by the Company’s need to balance manufacturing capacity and demand. The restructuring charges recorded primarily related to severance and social costs. Under the terms of the restructuring plan, the Company will also provide training, outplacement and other programs. The costs for those benefits will be recorded as restructuring in future quarters when they are incurred and are expected to total $6 to $8 million.</w:t>
      </w:r>
    </w:p>
    <w:p>
      <w:pPr>
        <w:spacing w:after="0" w:line="161"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Company expects to record a pension curtailment gain the second half of 2013 related to this restructuring activity, but the amount has not yet been determined. Whereas most of the affected employees were involved in the production process, the full effect of cost savings associated with the restructuring, estimated to be $10 million per year, will not be fully realized until the second half of 2014. The effects of the cost reduction will principally affect cost of goods sold.</w:t>
      </w:r>
    </w:p>
    <w:p>
      <w:pPr>
        <w:spacing w:after="0" w:line="157"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Substantially all of the restructuring charges recorded in the second quarter of 2013 relate to the completion of these consultations, which will result in the reduction of approximately 200 employees, most of which will leave the Company during the third quarter of 2013. Whereas most of</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0" w:name="page11"/>
    <w:bookmarkEnd w:id="10"/>
    <w:p>
      <w:pPr>
        <w:jc w:val="both"/>
        <w:ind w:right="140"/>
        <w:spacing w:after="0" w:line="255" w:lineRule="auto"/>
        <w:rPr>
          <w:sz w:val="20"/>
          <w:szCs w:val="20"/>
          <w:color w:val="auto"/>
        </w:rPr>
      </w:pPr>
      <w:r>
        <w:rPr>
          <w:rFonts w:ascii="Arial" w:cs="Arial" w:eastAsia="Arial" w:hAnsi="Arial"/>
          <w:sz w:val="18"/>
          <w:szCs w:val="18"/>
          <w:color w:val="auto"/>
        </w:rPr>
        <w:t>the affected employees were involved in the production process, the full effect of cost savings associated with the restructuring will not be fully realized until the second half of 2014. Through the first six months of 2013, the Company incurred some restructuring costs in the Engineered Composites segment that were related to organizational changes and exiting certain aerospace programs.</w:t>
      </w:r>
    </w:p>
    <w:p>
      <w:pPr>
        <w:spacing w:after="0" w:line="164"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The 2012 restructuring expense was principally due to a reduction in workforce in Sweden and curtailment of manufacturing in New York and Wisconsin which was related to the lower demand for paper machine clothing. Those costs were partially offset by a reduction in accruals related to the Company’s headquarters.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Operations under “Restructuring and other”:</w:t>
      </w:r>
    </w:p>
    <w:p>
      <w:pPr>
        <w:sectPr>
          <w:pgSz w:w="11900" w:h="16838" w:orient="portrait"/>
          <w:cols w:equalWidth="0" w:num="1">
            <w:col w:w="11420"/>
          </w:cols>
          <w:pgMar w:left="240" w:top="468" w:right="23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tcBorders>
              <w:top w:val="single" w:sz="8" w:color="auto"/>
            </w:tcBorders>
          </w:tcPr>
          <w:p>
            <w:pPr>
              <w:spacing w:after="0"/>
              <w:rPr>
                <w:sz w:val="16"/>
                <w:szCs w:val="16"/>
                <w:color w:val="auto"/>
              </w:rPr>
            </w:pPr>
          </w:p>
        </w:tc>
        <w:tc>
          <w:tcPr>
            <w:tcW w:w="428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color w:val="auto"/>
              </w:rPr>
              <w:t>Three months ended</w:t>
            </w:r>
          </w:p>
        </w:tc>
      </w:tr>
      <w:tr>
        <w:trPr>
          <w:trHeight w:val="201"/>
        </w:trPr>
        <w:tc>
          <w:tcPr>
            <w:tcW w:w="3760" w:type="dxa"/>
            <w:vAlign w:val="bottom"/>
          </w:tcPr>
          <w:p>
            <w:pPr>
              <w:spacing w:after="0"/>
              <w:rPr>
                <w:sz w:val="17"/>
                <w:szCs w:val="17"/>
                <w:color w:val="auto"/>
              </w:rPr>
            </w:pPr>
          </w:p>
        </w:tc>
        <w:tc>
          <w:tcPr>
            <w:tcW w:w="32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r>
      <w:tr>
        <w:trPr>
          <w:trHeight w:val="227"/>
        </w:trPr>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2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r>
      <w:tr>
        <w:trPr>
          <w:trHeight w:val="171"/>
        </w:trPr>
        <w:tc>
          <w:tcPr>
            <w:tcW w:w="3760" w:type="dxa"/>
            <w:vAlign w:val="bottom"/>
          </w:tcPr>
          <w:p>
            <w:pPr>
              <w:ind w:left="160"/>
              <w:spacing w:after="0" w:line="171" w:lineRule="exact"/>
              <w:rPr>
                <w:sz w:val="20"/>
                <w:szCs w:val="20"/>
                <w:color w:val="auto"/>
              </w:rPr>
            </w:pPr>
            <w:r>
              <w:rPr>
                <w:rFonts w:ascii="Arial" w:cs="Arial" w:eastAsia="Arial" w:hAnsi="Arial"/>
                <w:sz w:val="18"/>
                <w:szCs w:val="18"/>
                <w:color w:val="auto"/>
              </w:rPr>
              <w:t>Machine Clothing</w:t>
            </w:r>
          </w:p>
        </w:tc>
        <w:tc>
          <w:tcPr>
            <w:tcW w:w="3240" w:type="dxa"/>
            <w:vAlign w:val="bottom"/>
          </w:tcPr>
          <w:p>
            <w:pPr>
              <w:jc w:val="right"/>
              <w:ind w:right="710"/>
              <w:spacing w:after="0" w:line="171" w:lineRule="exact"/>
              <w:rPr>
                <w:sz w:val="20"/>
                <w:szCs w:val="20"/>
                <w:color w:val="auto"/>
              </w:rPr>
            </w:pPr>
            <w:r>
              <w:rPr>
                <w:rFonts w:ascii="Arial" w:cs="Arial" w:eastAsia="Arial" w:hAnsi="Arial"/>
                <w:sz w:val="18"/>
                <w:szCs w:val="18"/>
                <w:b w:val="1"/>
                <w:bCs w:val="1"/>
                <w:color w:val="auto"/>
              </w:rPr>
              <w:t>$24,230</w:t>
            </w:r>
          </w:p>
        </w:tc>
        <w:tc>
          <w:tcPr>
            <w:tcW w:w="1040" w:type="dxa"/>
            <w:vAlign w:val="bottom"/>
          </w:tcPr>
          <w:p>
            <w:pPr>
              <w:jc w:val="right"/>
              <w:ind w:right="30"/>
              <w:spacing w:after="0" w:line="171" w:lineRule="exact"/>
              <w:rPr>
                <w:sz w:val="20"/>
                <w:szCs w:val="20"/>
                <w:color w:val="auto"/>
              </w:rPr>
            </w:pPr>
            <w:r>
              <w:rPr>
                <w:rFonts w:ascii="Arial" w:cs="Arial" w:eastAsia="Arial" w:hAnsi="Arial"/>
                <w:sz w:val="18"/>
                <w:szCs w:val="18"/>
                <w:color w:val="auto"/>
              </w:rPr>
              <w:t>$2,903</w:t>
            </w:r>
          </w:p>
        </w:tc>
      </w:tr>
      <w:tr>
        <w:trPr>
          <w:trHeight w:val="203"/>
        </w:trPr>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32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91</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7"/>
        </w:trPr>
        <w:tc>
          <w:tcPr>
            <w:tcW w:w="3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Unallocated expenses</w:t>
            </w:r>
          </w:p>
        </w:tc>
        <w:tc>
          <w:tcPr>
            <w:tcW w:w="3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r>
      <w:tr>
        <w:trPr>
          <w:trHeight w:val="196"/>
        </w:trPr>
        <w:tc>
          <w:tcPr>
            <w:tcW w:w="37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32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$24,321</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$3,152</w:t>
            </w: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1929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2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17"/>
                <w:szCs w:val="17"/>
                <w:color w:val="auto"/>
              </w:rPr>
            </w:pPr>
          </w:p>
        </w:tc>
      </w:tr>
      <w:tr>
        <w:trPr>
          <w:trHeight w:val="227"/>
        </w:trPr>
        <w:tc>
          <w:tcPr>
            <w:tcW w:w="20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r>
      <w:tr>
        <w:trPr>
          <w:trHeight w:val="171"/>
        </w:trPr>
        <w:tc>
          <w:tcPr>
            <w:tcW w:w="2020" w:type="dxa"/>
            <w:vAlign w:val="bottom"/>
          </w:tcPr>
          <w:p>
            <w:pPr>
              <w:jc w:val="right"/>
              <w:ind w:right="690"/>
              <w:spacing w:after="0" w:line="171" w:lineRule="exact"/>
              <w:rPr>
                <w:sz w:val="20"/>
                <w:szCs w:val="20"/>
                <w:color w:val="auto"/>
              </w:rPr>
            </w:pPr>
            <w:r>
              <w:rPr>
                <w:rFonts w:ascii="Arial" w:cs="Arial" w:eastAsia="Arial" w:hAnsi="Arial"/>
                <w:sz w:val="18"/>
                <w:szCs w:val="18"/>
                <w:b w:val="1"/>
                <w:bCs w:val="1"/>
                <w:color w:val="auto"/>
              </w:rPr>
              <w:t>$24,423</w:t>
            </w:r>
          </w:p>
        </w:tc>
        <w:tc>
          <w:tcPr>
            <w:tcW w:w="1020" w:type="dxa"/>
            <w:vAlign w:val="bottom"/>
          </w:tcPr>
          <w:p>
            <w:pPr>
              <w:jc w:val="right"/>
              <w:ind w:right="10"/>
              <w:spacing w:after="0" w:line="171" w:lineRule="exact"/>
              <w:rPr>
                <w:sz w:val="20"/>
                <w:szCs w:val="20"/>
                <w:color w:val="auto"/>
              </w:rPr>
            </w:pPr>
            <w:r>
              <w:rPr>
                <w:rFonts w:ascii="Arial" w:cs="Arial" w:eastAsia="Arial" w:hAnsi="Arial"/>
                <w:sz w:val="18"/>
                <w:szCs w:val="18"/>
                <w:color w:val="auto"/>
              </w:rPr>
              <w:t>$3,576</w:t>
            </w:r>
          </w:p>
        </w:tc>
      </w:tr>
      <w:tr>
        <w:trPr>
          <w:trHeight w:val="227"/>
        </w:trPr>
        <w:tc>
          <w:tcPr>
            <w:tcW w:w="2020" w:type="dxa"/>
            <w:vAlign w:val="bottom"/>
          </w:tcPr>
          <w:p>
            <w:pPr>
              <w:jc w:val="right"/>
              <w:ind w:right="690"/>
              <w:spacing w:after="0"/>
              <w:rPr>
                <w:sz w:val="20"/>
                <w:szCs w:val="20"/>
                <w:color w:val="auto"/>
              </w:rPr>
            </w:pPr>
            <w:r>
              <w:rPr>
                <w:rFonts w:ascii="Arial" w:cs="Arial" w:eastAsia="Arial" w:hAnsi="Arial"/>
                <w:sz w:val="18"/>
                <w:szCs w:val="18"/>
                <w:b w:val="1"/>
                <w:bCs w:val="1"/>
                <w:color w:val="auto"/>
              </w:rPr>
              <w:t>534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ind w:left="2580" w:hanging="1396"/>
        <w:spacing w:after="0"/>
        <w:tabs>
          <w:tab w:leader="none" w:pos="25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(166)</w:t>
      </w:r>
    </w:p>
    <w:p>
      <w:pPr>
        <w:spacing w:after="0" w:line="9"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$24,957</w:t>
      </w:r>
      <w:r>
        <w:rPr>
          <w:rFonts w:ascii="Arial" w:cs="Arial" w:eastAsia="Arial" w:hAnsi="Arial"/>
          <w:sz w:val="18"/>
          <w:szCs w:val="18"/>
          <w:color w:val="auto"/>
        </w:rPr>
        <w:t>$3,410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929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97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-139065</wp:posOffset>
            </wp:positionV>
            <wp:extent cx="1929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040" w:space="340"/>
            <w:col w:w="3040"/>
          </w:cols>
          <w:pgMar w:left="240" w:top="468" w:right="2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60" w:type="dxa"/>
            <w:vAlign w:val="bottom"/>
            <w:tcBorders>
              <w:top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Six months ended June 30, 2013</w:t>
            </w:r>
          </w:p>
        </w:tc>
        <w:tc>
          <w:tcPr>
            <w:tcW w:w="2520" w:type="dxa"/>
            <w:vAlign w:val="bottom"/>
            <w:tcBorders>
              <w:top w:val="single" w:sz="8" w:color="auto"/>
            </w:tcBorders>
          </w:tcPr>
          <w:p>
            <w:pPr>
              <w:jc w:val="center"/>
              <w:ind w:left="730"/>
              <w:spacing w:after="0" w:line="191" w:lineRule="exact"/>
              <w:rPr>
                <w:sz w:val="20"/>
                <w:szCs w:val="20"/>
                <w:color w:val="auto"/>
              </w:rPr>
            </w:pPr>
            <w:r>
              <w:rPr>
                <w:rFonts w:ascii="Arial" w:cs="Arial" w:eastAsia="Arial" w:hAnsi="Arial"/>
                <w:sz w:val="18"/>
                <w:szCs w:val="18"/>
                <w:b w:val="1"/>
                <w:bCs w:val="1"/>
                <w:color w:val="auto"/>
                <w:w w:val="97"/>
              </w:rPr>
              <w:t>Total</w:t>
            </w:r>
          </w:p>
        </w:tc>
        <w:tc>
          <w:tcPr>
            <w:tcW w:w="17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Termination</w:t>
            </w:r>
          </w:p>
        </w:tc>
        <w:tc>
          <w:tcPr>
            <w:tcW w:w="1760" w:type="dxa"/>
            <w:vAlign w:val="bottom"/>
            <w:tcBorders>
              <w:top w:val="single" w:sz="8" w:color="auto"/>
            </w:tcBorders>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rPr>
              <w:t>Impairment of</w:t>
            </w:r>
          </w:p>
        </w:tc>
        <w:tc>
          <w:tcPr>
            <w:tcW w:w="144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Benefit plan</w:t>
            </w:r>
          </w:p>
        </w:tc>
        <w:tc>
          <w:tcPr>
            <w:tcW w:w="20" w:type="dxa"/>
            <w:vAlign w:val="bottom"/>
          </w:tcPr>
          <w:p>
            <w:pPr>
              <w:spacing w:after="0"/>
              <w:rPr>
                <w:sz w:val="16"/>
                <w:szCs w:val="16"/>
                <w:color w:val="auto"/>
              </w:rPr>
            </w:pPr>
          </w:p>
        </w:tc>
      </w:tr>
      <w:tr>
        <w:trPr>
          <w:trHeight w:val="203"/>
        </w:trPr>
        <w:tc>
          <w:tcPr>
            <w:tcW w:w="3960" w:type="dxa"/>
            <w:vAlign w:val="bottom"/>
          </w:tcPr>
          <w:p>
            <w:pPr>
              <w:spacing w:after="0"/>
              <w:rPr>
                <w:sz w:val="17"/>
                <w:szCs w:val="17"/>
                <w:color w:val="auto"/>
              </w:rPr>
            </w:pPr>
          </w:p>
        </w:tc>
        <w:tc>
          <w:tcPr>
            <w:tcW w:w="252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and other costs</w:t>
            </w:r>
          </w:p>
        </w:tc>
        <w:tc>
          <w:tcPr>
            <w:tcW w:w="130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plant and</w:t>
            </w:r>
          </w:p>
        </w:tc>
        <w:tc>
          <w:tcPr>
            <w:tcW w:w="460" w:type="dxa"/>
            <w:vAlign w:val="bottom"/>
          </w:tcPr>
          <w:p>
            <w:pPr>
              <w:spacing w:after="0"/>
              <w:rPr>
                <w:sz w:val="17"/>
                <w:szCs w:val="17"/>
                <w:color w:val="auto"/>
              </w:rPr>
            </w:pPr>
          </w:p>
        </w:tc>
        <w:tc>
          <w:tcPr>
            <w:tcW w:w="14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27"/>
        </w:trPr>
        <w:tc>
          <w:tcPr>
            <w:tcW w:w="3960" w:type="dxa"/>
            <w:vAlign w:val="bottom"/>
          </w:tcPr>
          <w:p>
            <w:pPr>
              <w:ind w:left="160"/>
              <w:spacing w:after="0"/>
              <w:rPr>
                <w:sz w:val="20"/>
                <w:szCs w:val="20"/>
                <w:color w:val="auto"/>
              </w:rPr>
            </w:pPr>
            <w:r>
              <w:rPr>
                <w:rFonts w:ascii="Arial" w:cs="Arial" w:eastAsia="Arial" w:hAnsi="Arial"/>
                <w:sz w:val="18"/>
                <w:szCs w:val="18"/>
                <w:b w:val="1"/>
                <w:bCs w:val="1"/>
                <w:color w:val="auto"/>
              </w:rPr>
              <w:t>(in thousands)</w:t>
            </w:r>
          </w:p>
        </w:tc>
        <w:tc>
          <w:tcPr>
            <w:tcW w:w="252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costs incurred</w:t>
            </w:r>
          </w:p>
        </w:tc>
        <w:tc>
          <w:tcPr>
            <w:tcW w:w="1740" w:type="dxa"/>
            <w:vAlign w:val="bottom"/>
          </w:tcPr>
          <w:p>
            <w:pPr>
              <w:spacing w:after="0"/>
              <w:rPr>
                <w:sz w:val="19"/>
                <w:szCs w:val="19"/>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rPr>
              <w:t>equipment</w:t>
            </w:r>
          </w:p>
        </w:tc>
        <w:tc>
          <w:tcPr>
            <w:tcW w:w="460" w:type="dxa"/>
            <w:vAlign w:val="bottom"/>
          </w:tcPr>
          <w:p>
            <w:pPr>
              <w:spacing w:after="0"/>
              <w:rPr>
                <w:sz w:val="19"/>
                <w:szCs w:val="19"/>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settlement</w:t>
            </w:r>
          </w:p>
        </w:tc>
      </w:tr>
      <w:tr>
        <w:trPr>
          <w:trHeight w:val="173"/>
        </w:trPr>
        <w:tc>
          <w:tcPr>
            <w:tcW w:w="3960" w:type="dxa"/>
            <w:vAlign w:val="bottom"/>
            <w:tcBorders>
              <w:top w:val="single" w:sz="8" w:color="auto"/>
            </w:tcBorders>
          </w:tcPr>
          <w:p>
            <w:pPr>
              <w:ind w:left="160"/>
              <w:spacing w:after="0" w:line="173" w:lineRule="exact"/>
              <w:rPr>
                <w:sz w:val="20"/>
                <w:szCs w:val="20"/>
                <w:color w:val="auto"/>
              </w:rPr>
            </w:pPr>
            <w:r>
              <w:rPr>
                <w:rFonts w:ascii="Arial" w:cs="Arial" w:eastAsia="Arial" w:hAnsi="Arial"/>
                <w:sz w:val="18"/>
                <w:szCs w:val="18"/>
                <w:color w:val="auto"/>
              </w:rPr>
              <w:t>Machine Clothing</w:t>
            </w:r>
          </w:p>
        </w:tc>
        <w:tc>
          <w:tcPr>
            <w:tcW w:w="252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color w:val="auto"/>
              </w:rPr>
              <w:t>$24,423</w:t>
            </w:r>
          </w:p>
        </w:tc>
        <w:tc>
          <w:tcPr>
            <w:tcW w:w="174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color w:val="auto"/>
              </w:rPr>
              <w:t>$24,587</w:t>
            </w:r>
          </w:p>
        </w:tc>
        <w:tc>
          <w:tcPr>
            <w:tcW w:w="130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5"/>
                <w:szCs w:val="15"/>
                <w:color w:val="auto"/>
              </w:rPr>
            </w:pPr>
          </w:p>
        </w:tc>
      </w:tr>
      <w:tr>
        <w:trPr>
          <w:trHeight w:val="203"/>
        </w:trPr>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2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534</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446</w:t>
            </w:r>
          </w:p>
        </w:tc>
        <w:tc>
          <w:tcPr>
            <w:tcW w:w="1300" w:type="dxa"/>
            <w:vAlign w:val="bottom"/>
          </w:tcPr>
          <w:p>
            <w:pPr>
              <w:spacing w:after="0"/>
              <w:rPr>
                <w:sz w:val="17"/>
                <w:szCs w:val="17"/>
                <w:color w:val="auto"/>
              </w:rPr>
            </w:pPr>
          </w:p>
        </w:tc>
        <w:tc>
          <w:tcPr>
            <w:tcW w:w="4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89"/>
              </w:rPr>
              <w:t>88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3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Unallocated expenses</w:t>
            </w:r>
          </w:p>
        </w:tc>
        <w:tc>
          <w:tcPr>
            <w:tcW w:w="2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39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$24,957</w:t>
            </w:r>
          </w:p>
        </w:tc>
        <w:tc>
          <w:tcPr>
            <w:tcW w:w="1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$25,033</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89"/>
              </w:rPr>
              <w:t>88</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60" w:type="dxa"/>
            <w:vAlign w:val="bottom"/>
            <w:tcBorders>
              <w:top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Six months ended June 30, 2012</w:t>
            </w:r>
          </w:p>
        </w:tc>
        <w:tc>
          <w:tcPr>
            <w:tcW w:w="2520" w:type="dxa"/>
            <w:vAlign w:val="bottom"/>
            <w:tcBorders>
              <w:top w:val="single" w:sz="8" w:color="auto"/>
            </w:tcBorders>
          </w:tcPr>
          <w:p>
            <w:pPr>
              <w:jc w:val="center"/>
              <w:ind w:left="730"/>
              <w:spacing w:after="0" w:line="191" w:lineRule="exact"/>
              <w:rPr>
                <w:sz w:val="20"/>
                <w:szCs w:val="20"/>
                <w:color w:val="auto"/>
              </w:rPr>
            </w:pPr>
            <w:r>
              <w:rPr>
                <w:rFonts w:ascii="Arial" w:cs="Arial" w:eastAsia="Arial" w:hAnsi="Arial"/>
                <w:sz w:val="18"/>
                <w:szCs w:val="18"/>
                <w:b w:val="1"/>
                <w:bCs w:val="1"/>
                <w:color w:val="auto"/>
                <w:w w:val="97"/>
              </w:rPr>
              <w:t>Total</w:t>
            </w:r>
          </w:p>
        </w:tc>
        <w:tc>
          <w:tcPr>
            <w:tcW w:w="174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Termination</w:t>
            </w:r>
          </w:p>
        </w:tc>
        <w:tc>
          <w:tcPr>
            <w:tcW w:w="1760" w:type="dxa"/>
            <w:vAlign w:val="bottom"/>
            <w:tcBorders>
              <w:top w:val="single" w:sz="8" w:color="auto"/>
            </w:tcBorders>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rPr>
              <w:t>Impairment of</w:t>
            </w:r>
          </w:p>
        </w:tc>
        <w:tc>
          <w:tcPr>
            <w:tcW w:w="132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Benefit plan</w:t>
            </w:r>
          </w:p>
        </w:tc>
        <w:tc>
          <w:tcPr>
            <w:tcW w:w="120" w:type="dxa"/>
            <w:vAlign w:val="bottom"/>
            <w:tcBorders>
              <w:top w:val="single" w:sz="8" w:color="auto"/>
            </w:tcBorders>
          </w:tcPr>
          <w:p>
            <w:pPr>
              <w:spacing w:after="0"/>
              <w:rPr>
                <w:sz w:val="16"/>
                <w:szCs w:val="16"/>
                <w:color w:val="auto"/>
              </w:rPr>
            </w:pPr>
          </w:p>
        </w:tc>
      </w:tr>
      <w:tr>
        <w:trPr>
          <w:trHeight w:val="203"/>
        </w:trPr>
        <w:tc>
          <w:tcPr>
            <w:tcW w:w="3960" w:type="dxa"/>
            <w:vAlign w:val="bottom"/>
          </w:tcPr>
          <w:p>
            <w:pPr>
              <w:spacing w:after="0"/>
              <w:rPr>
                <w:sz w:val="17"/>
                <w:szCs w:val="17"/>
                <w:color w:val="auto"/>
              </w:rPr>
            </w:pPr>
          </w:p>
        </w:tc>
        <w:tc>
          <w:tcPr>
            <w:tcW w:w="252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and other costs</w:t>
            </w:r>
          </w:p>
        </w:tc>
        <w:tc>
          <w:tcPr>
            <w:tcW w:w="130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plant and</w:t>
            </w:r>
          </w:p>
        </w:tc>
        <w:tc>
          <w:tcPr>
            <w:tcW w:w="460" w:type="dxa"/>
            <w:vAlign w:val="bottom"/>
          </w:tcPr>
          <w:p>
            <w:pPr>
              <w:spacing w:after="0"/>
              <w:rPr>
                <w:sz w:val="17"/>
                <w:szCs w:val="17"/>
                <w:color w:val="auto"/>
              </w:rPr>
            </w:pPr>
          </w:p>
        </w:tc>
        <w:tc>
          <w:tcPr>
            <w:tcW w:w="132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curtailment/</w:t>
            </w:r>
          </w:p>
        </w:tc>
        <w:tc>
          <w:tcPr>
            <w:tcW w:w="120" w:type="dxa"/>
            <w:vAlign w:val="bottom"/>
          </w:tcPr>
          <w:p>
            <w:pPr>
              <w:spacing w:after="0"/>
              <w:rPr>
                <w:sz w:val="17"/>
                <w:szCs w:val="17"/>
                <w:color w:val="auto"/>
              </w:rPr>
            </w:pPr>
          </w:p>
        </w:tc>
      </w:tr>
      <w:tr>
        <w:trPr>
          <w:trHeight w:val="227"/>
        </w:trPr>
        <w:tc>
          <w:tcPr>
            <w:tcW w:w="3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(in thousands)</w:t>
            </w:r>
          </w:p>
        </w:tc>
        <w:tc>
          <w:tcPr>
            <w:tcW w:w="25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9"/>
              </w:rPr>
              <w:t>costs incurred</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rPr>
              <w:t>equipment</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settlement</w:t>
            </w:r>
          </w:p>
        </w:tc>
        <w:tc>
          <w:tcPr>
            <w:tcW w:w="120" w:type="dxa"/>
            <w:vAlign w:val="bottom"/>
            <w:tcBorders>
              <w:bottom w:val="single" w:sz="8" w:color="auto"/>
            </w:tcBorders>
          </w:tcPr>
          <w:p>
            <w:pPr>
              <w:spacing w:after="0"/>
              <w:rPr>
                <w:sz w:val="19"/>
                <w:szCs w:val="19"/>
                <w:color w:val="auto"/>
              </w:rPr>
            </w:pPr>
          </w:p>
        </w:tc>
      </w:tr>
      <w:tr>
        <w:trPr>
          <w:trHeight w:val="173"/>
        </w:trPr>
        <w:tc>
          <w:tcPr>
            <w:tcW w:w="3960" w:type="dxa"/>
            <w:vAlign w:val="bottom"/>
          </w:tcPr>
          <w:p>
            <w:pPr>
              <w:ind w:left="160"/>
              <w:spacing w:after="0" w:line="173" w:lineRule="exact"/>
              <w:rPr>
                <w:sz w:val="20"/>
                <w:szCs w:val="20"/>
                <w:color w:val="auto"/>
              </w:rPr>
            </w:pPr>
            <w:r>
              <w:rPr>
                <w:rFonts w:ascii="Arial" w:cs="Arial" w:eastAsia="Arial" w:hAnsi="Arial"/>
                <w:sz w:val="18"/>
                <w:szCs w:val="18"/>
                <w:color w:val="auto"/>
              </w:rPr>
              <w:t>Machine Clothing</w:t>
            </w:r>
          </w:p>
        </w:tc>
        <w:tc>
          <w:tcPr>
            <w:tcW w:w="252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$3,576</w:t>
            </w:r>
          </w:p>
        </w:tc>
        <w:tc>
          <w:tcPr>
            <w:tcW w:w="174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$3,576</w:t>
            </w:r>
          </w:p>
        </w:tc>
        <w:tc>
          <w:tcPr>
            <w:tcW w:w="13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73" w:lineRule="exact"/>
              <w:rPr>
                <w:sz w:val="20"/>
                <w:szCs w:val="20"/>
                <w:color w:val="auto"/>
              </w:rPr>
            </w:pPr>
            <w:r>
              <w:rPr>
                <w:rFonts w:ascii="Arial" w:cs="Arial" w:eastAsia="Arial" w:hAnsi="Arial"/>
                <w:sz w:val="16"/>
                <w:szCs w:val="16"/>
                <w:color w:val="auto"/>
                <w:w w:val="74"/>
              </w:rPr>
              <w:t>-</w:t>
            </w:r>
          </w:p>
        </w:tc>
      </w:tr>
      <w:tr>
        <w:trPr>
          <w:trHeight w:val="203"/>
        </w:trPr>
        <w:tc>
          <w:tcPr>
            <w:tcW w:w="396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2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5"/>
        </w:trPr>
        <w:tc>
          <w:tcPr>
            <w:tcW w:w="3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Unallocated expenses</w:t>
            </w:r>
          </w:p>
        </w:tc>
        <w:tc>
          <w:tcPr>
            <w:tcW w:w="2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(166)</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380</w:t>
            </w:r>
          </w:p>
        </w:tc>
        <w:tc>
          <w:tcPr>
            <w:tcW w:w="1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(546)</w:t>
            </w: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9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$3,410</w:t>
            </w:r>
          </w:p>
        </w:tc>
        <w:tc>
          <w:tcPr>
            <w:tcW w:w="1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$3,956</w:t>
            </w:r>
          </w:p>
        </w:tc>
        <w:tc>
          <w:tcPr>
            <w:tcW w:w="17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color w:val="auto"/>
              </w:rPr>
              <w:t>($546)</w:t>
            </w:r>
          </w:p>
        </w:tc>
        <w:tc>
          <w:tcPr>
            <w:tcW w:w="13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r>
    </w:tbl>
    <w:p>
      <w:pPr>
        <w:spacing w:after="0" w:line="35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year-to-date changes in restructuring liabilities for 2013 and 2012 all of which related to termination costs: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70"/>
              <w:spacing w:after="0" w:line="191" w:lineRule="exact"/>
              <w:rPr>
                <w:sz w:val="20"/>
                <w:szCs w:val="20"/>
                <w:color w:val="auto"/>
              </w:rPr>
            </w:pPr>
            <w:r>
              <w:rPr>
                <w:rFonts w:ascii="Arial" w:cs="Arial" w:eastAsia="Arial" w:hAnsi="Arial"/>
                <w:sz w:val="18"/>
                <w:szCs w:val="18"/>
                <w:b w:val="1"/>
                <w:bCs w:val="1"/>
                <w:color w:val="auto"/>
              </w:rPr>
              <w:t>Currency</w:t>
            </w:r>
          </w:p>
        </w:tc>
        <w:tc>
          <w:tcPr>
            <w:tcW w:w="1320" w:type="dxa"/>
            <w:vAlign w:val="bottom"/>
            <w:tcBorders>
              <w:top w:val="single" w:sz="8" w:color="auto"/>
            </w:tcBorders>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2860" w:type="dxa"/>
            <w:vAlign w:val="bottom"/>
          </w:tcPr>
          <w:p>
            <w:pPr>
              <w:jc w:val="center"/>
              <w:ind w:left="113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8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240" w:type="dxa"/>
            <w:vAlign w:val="bottom"/>
          </w:tcPr>
          <w:p>
            <w:pPr>
              <w:spacing w:after="0"/>
              <w:rPr>
                <w:sz w:val="17"/>
                <w:szCs w:val="17"/>
                <w:color w:val="auto"/>
              </w:rPr>
            </w:pPr>
          </w:p>
        </w:tc>
        <w:tc>
          <w:tcPr>
            <w:tcW w:w="14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3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27"/>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8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charges accrued</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Payments</w:t>
            </w: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other</w:t>
            </w: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196"/>
        </w:trPr>
        <w:tc>
          <w:tcPr>
            <w:tcW w:w="27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$4,947</w:t>
            </w:r>
          </w:p>
        </w:tc>
        <w:tc>
          <w:tcPr>
            <w:tcW w:w="1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$24,869</w:t>
            </w: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($2,576)</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($269)</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$26,971</w:t>
            </w:r>
          </w:p>
        </w:tc>
      </w:tr>
      <w:tr>
        <w:trPr>
          <w:trHeight w:val="601"/>
        </w:trPr>
        <w:tc>
          <w:tcPr>
            <w:tcW w:w="27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99"/>
              </w:rPr>
              <w:t>11</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27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68"/>
        </w:trPr>
        <w:tc>
          <w:tcPr>
            <w:tcW w:w="274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8" w:right="2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2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8"/>
              </w:rPr>
              <w:t>Currency</w:t>
            </w:r>
          </w:p>
        </w:tc>
        <w:tc>
          <w:tcPr>
            <w:tcW w:w="1300" w:type="dxa"/>
            <w:vAlign w:val="bottom"/>
            <w:tcBorders>
              <w:top w:val="single" w:sz="8" w:color="auto"/>
            </w:tcBorders>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240" w:type="dxa"/>
            <w:vAlign w:val="bottom"/>
          </w:tcPr>
          <w:p>
            <w:pPr>
              <w:spacing w:after="0"/>
              <w:rPr>
                <w:sz w:val="17"/>
                <w:szCs w:val="17"/>
                <w:color w:val="auto"/>
              </w:rPr>
            </w:pPr>
          </w:p>
        </w:tc>
        <w:tc>
          <w:tcPr>
            <w:tcW w:w="14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translation/</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27"/>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 2011</w:t>
            </w: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charges accrued</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Payments</w:t>
            </w: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other</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196"/>
        </w:trPr>
        <w:tc>
          <w:tcPr>
            <w:tcW w:w="2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$6,979</w:t>
            </w:r>
          </w:p>
        </w:tc>
        <w:tc>
          <w:tcPr>
            <w:tcW w:w="1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$3,830</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($2,778)</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($243)</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$7,788</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Expense/(Income), net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expense/(income), net,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3500" w:type="dxa"/>
            <w:vAlign w:val="bottom"/>
            <w:gridSpan w:val="2"/>
          </w:tcPr>
          <w:p>
            <w:pPr>
              <w:jc w:val="right"/>
              <w:ind w:right="990"/>
              <w:spacing w:after="0"/>
              <w:rPr>
                <w:sz w:val="20"/>
                <w:szCs w:val="20"/>
                <w:color w:val="auto"/>
              </w:rPr>
            </w:pPr>
            <w:r>
              <w:rPr>
                <w:rFonts w:ascii="Arial" w:cs="Arial" w:eastAsia="Arial" w:hAnsi="Arial"/>
                <w:sz w:val="18"/>
                <w:szCs w:val="18"/>
                <w:color w:val="auto"/>
              </w:rPr>
              <w:t>Three months ended</w:t>
            </w:r>
          </w:p>
        </w:tc>
        <w:tc>
          <w:tcPr>
            <w:tcW w:w="3040" w:type="dxa"/>
            <w:vAlign w:val="bottom"/>
            <w:gridSpan w:val="2"/>
          </w:tcPr>
          <w:p>
            <w:pPr>
              <w:jc w:val="right"/>
              <w:ind w:right="7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5"/>
        </w:trPr>
        <w:tc>
          <w:tcPr>
            <w:tcW w:w="48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(in thousands)</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1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1030"/>
              <w:spacing w:after="0" w:line="196" w:lineRule="exact"/>
              <w:rPr>
                <w:sz w:val="20"/>
                <w:szCs w:val="20"/>
                <w:color w:val="auto"/>
              </w:rPr>
            </w:pPr>
            <w:r>
              <w:rPr>
                <w:rFonts w:ascii="Arial" w:cs="Arial" w:eastAsia="Arial" w:hAnsi="Arial"/>
                <w:sz w:val="18"/>
                <w:szCs w:val="18"/>
                <w:b w:val="1"/>
                <w:bCs w:val="1"/>
                <w:color w:val="auto"/>
              </w:rPr>
              <w:t>2013</w:t>
            </w:r>
          </w:p>
        </w:tc>
        <w:tc>
          <w:tcPr>
            <w:tcW w:w="140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color w:val="auto"/>
              </w:rPr>
              <w:t>2012</w:t>
            </w:r>
          </w:p>
        </w:tc>
        <w:tc>
          <w:tcPr>
            <w:tcW w:w="200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71"/>
        </w:trPr>
        <w:tc>
          <w:tcPr>
            <w:tcW w:w="4880" w:type="dxa"/>
            <w:vAlign w:val="bottom"/>
          </w:tcPr>
          <w:p>
            <w:pPr>
              <w:ind w:left="160"/>
              <w:spacing w:after="0" w:line="171" w:lineRule="exact"/>
              <w:rPr>
                <w:sz w:val="20"/>
                <w:szCs w:val="20"/>
                <w:color w:val="auto"/>
              </w:rPr>
            </w:pPr>
            <w:r>
              <w:rPr>
                <w:rFonts w:ascii="Arial" w:cs="Arial" w:eastAsia="Arial" w:hAnsi="Arial"/>
                <w:sz w:val="18"/>
                <w:szCs w:val="18"/>
                <w:color w:val="auto"/>
              </w:rPr>
              <w:t>Currency transactions</w:t>
            </w:r>
          </w:p>
        </w:tc>
        <w:tc>
          <w:tcPr>
            <w:tcW w:w="2100" w:type="dxa"/>
            <w:vAlign w:val="bottom"/>
          </w:tcPr>
          <w:p>
            <w:pPr>
              <w:jc w:val="right"/>
              <w:ind w:right="690"/>
              <w:spacing w:after="0" w:line="171" w:lineRule="exact"/>
              <w:rPr>
                <w:sz w:val="20"/>
                <w:szCs w:val="20"/>
                <w:color w:val="auto"/>
              </w:rPr>
            </w:pPr>
            <w:r>
              <w:rPr>
                <w:rFonts w:ascii="Arial" w:cs="Arial" w:eastAsia="Arial" w:hAnsi="Arial"/>
                <w:sz w:val="18"/>
                <w:szCs w:val="18"/>
                <w:b w:val="1"/>
                <w:bCs w:val="1"/>
                <w:color w:val="auto"/>
              </w:rPr>
              <w:t>$1,894</w:t>
            </w:r>
          </w:p>
        </w:tc>
        <w:tc>
          <w:tcPr>
            <w:tcW w:w="1400" w:type="dxa"/>
            <w:vAlign w:val="bottom"/>
          </w:tcPr>
          <w:p>
            <w:pPr>
              <w:jc w:val="right"/>
              <w:ind w:right="350"/>
              <w:spacing w:after="0" w:line="171" w:lineRule="exact"/>
              <w:rPr>
                <w:sz w:val="20"/>
                <w:szCs w:val="20"/>
                <w:color w:val="auto"/>
              </w:rPr>
            </w:pPr>
            <w:r>
              <w:rPr>
                <w:rFonts w:ascii="Arial" w:cs="Arial" w:eastAsia="Arial" w:hAnsi="Arial"/>
                <w:sz w:val="18"/>
                <w:szCs w:val="18"/>
                <w:color w:val="auto"/>
              </w:rPr>
              <w:t>($3,133)</w:t>
            </w:r>
          </w:p>
        </w:tc>
        <w:tc>
          <w:tcPr>
            <w:tcW w:w="2000" w:type="dxa"/>
            <w:vAlign w:val="bottom"/>
          </w:tcPr>
          <w:p>
            <w:pPr>
              <w:jc w:val="right"/>
              <w:ind w:right="710"/>
              <w:spacing w:after="0" w:line="171" w:lineRule="exact"/>
              <w:rPr>
                <w:sz w:val="20"/>
                <w:szCs w:val="20"/>
                <w:color w:val="auto"/>
              </w:rPr>
            </w:pPr>
            <w:r>
              <w:rPr>
                <w:rFonts w:ascii="Arial" w:cs="Arial" w:eastAsia="Arial" w:hAnsi="Arial"/>
                <w:sz w:val="18"/>
                <w:szCs w:val="18"/>
                <w:b w:val="1"/>
                <w:bCs w:val="1"/>
                <w:color w:val="auto"/>
              </w:rPr>
              <w:t>$1,903</w:t>
            </w:r>
          </w:p>
        </w:tc>
        <w:tc>
          <w:tcPr>
            <w:tcW w:w="1040" w:type="dxa"/>
            <w:vAlign w:val="bottom"/>
          </w:tcPr>
          <w:p>
            <w:pPr>
              <w:jc w:val="right"/>
              <w:ind w:right="30"/>
              <w:spacing w:after="0" w:line="171"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1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377</w:t>
            </w:r>
          </w:p>
        </w:tc>
        <w:tc>
          <w:tcPr>
            <w:tcW w:w="14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533</w:t>
            </w:r>
          </w:p>
        </w:tc>
        <w:tc>
          <w:tcPr>
            <w:tcW w:w="200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998</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3"/>
        </w:trPr>
        <w:tc>
          <w:tcPr>
            <w:tcW w:w="4880" w:type="dxa"/>
            <w:vAlign w:val="bottom"/>
          </w:tcPr>
          <w:p>
            <w:pPr>
              <w:ind w:left="160"/>
              <w:spacing w:after="0" w:line="202" w:lineRule="exact"/>
              <w:rPr>
                <w:sz w:val="20"/>
                <w:szCs w:val="20"/>
                <w:color w:val="auto"/>
              </w:rPr>
            </w:pPr>
            <w:r>
              <w:rPr>
                <w:rFonts w:ascii="Arial" w:cs="Arial" w:eastAsia="Arial" w:hAnsi="Arial"/>
                <w:sz w:val="18"/>
                <w:szCs w:val="18"/>
                <w:color w:val="auto"/>
              </w:rPr>
              <w:t>Letter of credit fees</w:t>
            </w:r>
          </w:p>
        </w:tc>
        <w:tc>
          <w:tcPr>
            <w:tcW w:w="210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351</w:t>
            </w:r>
          </w:p>
        </w:tc>
        <w:tc>
          <w:tcPr>
            <w:tcW w:w="200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(60)</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(306)</w:t>
            </w: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44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$2,211</w:t>
            </w:r>
          </w:p>
        </w:tc>
        <w:tc>
          <w:tcPr>
            <w:tcW w:w="14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($2,555)</w:t>
            </w:r>
          </w:p>
        </w:tc>
        <w:tc>
          <w:tcPr>
            <w:tcW w:w="20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$2,945</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expense/(benefit) for the three and six month periods ended June 30, 2013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3280" w:type="dxa"/>
            <w:vAlign w:val="bottom"/>
            <w:gridSpan w:val="2"/>
          </w:tcPr>
          <w:p>
            <w:pPr>
              <w:jc w:val="right"/>
              <w:ind w:right="990"/>
              <w:spacing w:after="0"/>
              <w:rPr>
                <w:sz w:val="20"/>
                <w:szCs w:val="20"/>
                <w:color w:val="auto"/>
              </w:rPr>
            </w:pPr>
            <w:r>
              <w:rPr>
                <w:rFonts w:ascii="Arial" w:cs="Arial" w:eastAsia="Arial" w:hAnsi="Arial"/>
                <w:sz w:val="18"/>
                <w:szCs w:val="18"/>
                <w:color w:val="auto"/>
              </w:rPr>
              <w:t>Three months ended</w:t>
            </w:r>
          </w:p>
        </w:tc>
        <w:tc>
          <w:tcPr>
            <w:tcW w:w="3040" w:type="dxa"/>
            <w:vAlign w:val="bottom"/>
            <w:gridSpan w:val="2"/>
          </w:tcPr>
          <w:p>
            <w:pPr>
              <w:jc w:val="right"/>
              <w:ind w:right="7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1"/>
        </w:trPr>
        <w:tc>
          <w:tcPr>
            <w:tcW w:w="5100" w:type="dxa"/>
            <w:vAlign w:val="bottom"/>
          </w:tcPr>
          <w:p>
            <w:pPr>
              <w:spacing w:after="0"/>
              <w:rPr>
                <w:sz w:val="17"/>
                <w:szCs w:val="17"/>
                <w:color w:val="auto"/>
              </w:rPr>
            </w:pPr>
          </w:p>
        </w:tc>
        <w:tc>
          <w:tcPr>
            <w:tcW w:w="18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June 30,</w:t>
            </w:r>
          </w:p>
        </w:tc>
        <w:tc>
          <w:tcPr>
            <w:tcW w:w="1400" w:type="dxa"/>
            <w:vAlign w:val="bottom"/>
          </w:tcPr>
          <w:p>
            <w:pPr>
              <w:spacing w:after="0"/>
              <w:rPr>
                <w:sz w:val="17"/>
                <w:szCs w:val="17"/>
                <w:color w:val="auto"/>
              </w:rPr>
            </w:pPr>
          </w:p>
        </w:tc>
        <w:tc>
          <w:tcPr>
            <w:tcW w:w="2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2013</w:t>
            </w:r>
          </w:p>
        </w:tc>
        <w:tc>
          <w:tcPr>
            <w:tcW w:w="14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2012</w:t>
            </w:r>
          </w:p>
        </w:tc>
        <w:tc>
          <w:tcPr>
            <w:tcW w:w="20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76"/>
        </w:trPr>
        <w:tc>
          <w:tcPr>
            <w:tcW w:w="5100" w:type="dxa"/>
            <w:vAlign w:val="bottom"/>
          </w:tcPr>
          <w:p>
            <w:pPr>
              <w:ind w:left="40"/>
              <w:spacing w:after="0"/>
              <w:rPr>
                <w:sz w:val="20"/>
                <w:szCs w:val="20"/>
                <w:color w:val="auto"/>
              </w:rPr>
            </w:pPr>
            <w:r>
              <w:rPr>
                <w:rFonts w:ascii="Arial" w:cs="Arial" w:eastAsia="Arial" w:hAnsi="Arial"/>
                <w:sz w:val="18"/>
                <w:szCs w:val="18"/>
                <w:color w:val="auto"/>
              </w:rPr>
              <w:t>Income tax based on income from continuing operations, at</w:t>
            </w:r>
          </w:p>
        </w:tc>
        <w:tc>
          <w:tcPr>
            <w:tcW w:w="18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($3,616)</w:t>
            </w:r>
          </w:p>
        </w:tc>
        <w:tc>
          <w:tcPr>
            <w:tcW w:w="1400" w:type="dxa"/>
            <w:vAlign w:val="bottom"/>
          </w:tcPr>
          <w:p>
            <w:pPr>
              <w:spacing w:after="0"/>
              <w:rPr>
                <w:sz w:val="24"/>
                <w:szCs w:val="24"/>
                <w:color w:val="auto"/>
              </w:rPr>
            </w:pP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$3,310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100" w:type="dxa"/>
            <w:vAlign w:val="bottom"/>
          </w:tcPr>
          <w:p>
            <w:pPr>
              <w:ind w:left="40"/>
              <w:spacing w:after="0" w:line="201" w:lineRule="exact"/>
              <w:rPr>
                <w:sz w:val="20"/>
                <w:szCs w:val="20"/>
                <w:color w:val="auto"/>
              </w:rPr>
            </w:pPr>
            <w:r>
              <w:rPr>
                <w:rFonts w:ascii="Arial" w:cs="Arial" w:eastAsia="Arial" w:hAnsi="Arial"/>
                <w:sz w:val="18"/>
                <w:szCs w:val="18"/>
                <w:color w:val="auto"/>
              </w:rPr>
              <w:t>estimated tax rates of 39.0% and 26.5%, respectively</w:t>
            </w:r>
          </w:p>
        </w:tc>
        <w:tc>
          <w:tcPr>
            <w:tcW w:w="1880" w:type="dxa"/>
            <w:vAlign w:val="bottom"/>
            <w:vMerge w:val="continue"/>
          </w:tcPr>
          <w:p>
            <w:pPr>
              <w:spacing w:after="0"/>
              <w:rPr>
                <w:sz w:val="17"/>
                <w:szCs w:val="17"/>
                <w:color w:val="auto"/>
              </w:rPr>
            </w:pPr>
          </w:p>
        </w:tc>
        <w:tc>
          <w:tcPr>
            <w:tcW w:w="14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$6,133</w:t>
            </w:r>
          </w:p>
        </w:tc>
        <w:tc>
          <w:tcPr>
            <w:tcW w:w="2000" w:type="dxa"/>
            <w:vAlign w:val="bottom"/>
            <w:vMerge w:val="continue"/>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3"/>
        </w:trPr>
        <w:tc>
          <w:tcPr>
            <w:tcW w:w="5100" w:type="dxa"/>
            <w:vAlign w:val="bottom"/>
          </w:tcPr>
          <w:p>
            <w:pPr>
              <w:ind w:left="40"/>
              <w:spacing w:after="0" w:line="202" w:lineRule="exact"/>
              <w:rPr>
                <w:sz w:val="20"/>
                <w:szCs w:val="20"/>
                <w:color w:val="auto"/>
              </w:rPr>
            </w:pPr>
            <w:r>
              <w:rPr>
                <w:rFonts w:ascii="Arial" w:cs="Arial" w:eastAsia="Arial" w:hAnsi="Arial"/>
                <w:sz w:val="18"/>
                <w:szCs w:val="18"/>
                <w:color w:val="auto"/>
              </w:rPr>
              <w:t>Pension plan settlement</w:t>
            </w:r>
          </w:p>
        </w:tc>
        <w:tc>
          <w:tcPr>
            <w:tcW w:w="18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(37,047)</w:t>
            </w:r>
          </w:p>
        </w:tc>
        <w:tc>
          <w:tcPr>
            <w:tcW w:w="200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(39,460)</w:t>
            </w:r>
          </w:p>
        </w:tc>
        <w:tc>
          <w:tcPr>
            <w:tcW w:w="0" w:type="dxa"/>
            <w:vAlign w:val="bottom"/>
          </w:tcPr>
          <w:p>
            <w:pPr>
              <w:spacing w:after="0"/>
              <w:rPr>
                <w:sz w:val="1"/>
                <w:szCs w:val="1"/>
                <w:color w:val="auto"/>
              </w:rPr>
            </w:pPr>
          </w:p>
        </w:tc>
      </w:tr>
      <w:tr>
        <w:trPr>
          <w:trHeight w:val="203"/>
        </w:trPr>
        <w:tc>
          <w:tcPr>
            <w:tcW w:w="5100" w:type="dxa"/>
            <w:vAlign w:val="bottom"/>
          </w:tcPr>
          <w:p>
            <w:pPr>
              <w:ind w:left="40"/>
              <w:spacing w:after="0" w:line="202" w:lineRule="exact"/>
              <w:rPr>
                <w:sz w:val="20"/>
                <w:szCs w:val="20"/>
                <w:color w:val="auto"/>
              </w:rPr>
            </w:pPr>
            <w:r>
              <w:rPr>
                <w:rFonts w:ascii="Arial" w:cs="Arial" w:eastAsia="Arial" w:hAnsi="Arial"/>
                <w:sz w:val="18"/>
                <w:szCs w:val="18"/>
                <w:color w:val="auto"/>
              </w:rPr>
              <w:t>Tax rate adjustment on pension plan settlement</w:t>
            </w:r>
          </w:p>
        </w:tc>
        <w:tc>
          <w:tcPr>
            <w:tcW w:w="18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886</w:t>
            </w:r>
          </w:p>
        </w:tc>
        <w:tc>
          <w:tcPr>
            <w:tcW w:w="200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change in estimated tax rates</w:t>
            </w:r>
          </w:p>
        </w:tc>
        <w:tc>
          <w:tcPr>
            <w:tcW w:w="1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888</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(297)</w:t>
            </w: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5100" w:type="dxa"/>
            <w:vAlign w:val="bottom"/>
          </w:tcPr>
          <w:p>
            <w:pPr>
              <w:ind w:left="40"/>
              <w:spacing w:after="0"/>
              <w:rPr>
                <w:sz w:val="20"/>
                <w:szCs w:val="20"/>
                <w:color w:val="auto"/>
              </w:rPr>
            </w:pPr>
            <w:r>
              <w:rPr>
                <w:rFonts w:ascii="Arial" w:cs="Arial" w:eastAsia="Arial" w:hAnsi="Arial"/>
                <w:sz w:val="18"/>
                <w:szCs w:val="18"/>
                <w:color w:val="auto"/>
              </w:rPr>
              <w:t>Income tax before discrete items</w:t>
            </w:r>
          </w:p>
        </w:tc>
        <w:tc>
          <w:tcPr>
            <w:tcW w:w="1880" w:type="dxa"/>
            <w:vAlign w:val="bottom"/>
          </w:tcPr>
          <w:p>
            <w:pPr>
              <w:jc w:val="right"/>
              <w:ind w:right="630"/>
              <w:spacing w:after="0"/>
              <w:rPr>
                <w:sz w:val="20"/>
                <w:szCs w:val="20"/>
                <w:color w:val="auto"/>
              </w:rPr>
            </w:pPr>
            <w:r>
              <w:rPr>
                <w:rFonts w:ascii="Arial" w:cs="Arial" w:eastAsia="Arial" w:hAnsi="Arial"/>
                <w:sz w:val="18"/>
                <w:szCs w:val="18"/>
                <w:b w:val="1"/>
                <w:bCs w:val="1"/>
                <w:color w:val="auto"/>
              </w:rPr>
              <w:t>(2,728)</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(30,325)</w:t>
            </w:r>
          </w:p>
        </w:tc>
        <w:tc>
          <w:tcPr>
            <w:tcW w:w="2000" w:type="dxa"/>
            <w:vAlign w:val="bottom"/>
          </w:tcPr>
          <w:p>
            <w:pPr>
              <w:jc w:val="right"/>
              <w:ind w:right="710"/>
              <w:spacing w:after="0"/>
              <w:rPr>
                <w:sz w:val="20"/>
                <w:szCs w:val="20"/>
                <w:color w:val="auto"/>
              </w:rPr>
            </w:pPr>
            <w:r>
              <w:rPr>
                <w:rFonts w:ascii="Arial" w:cs="Arial" w:eastAsia="Arial" w:hAnsi="Arial"/>
                <w:sz w:val="18"/>
                <w:szCs w:val="18"/>
                <w:b w:val="1"/>
                <w:bCs w:val="1"/>
                <w:color w:val="auto"/>
              </w:rPr>
              <w:t>3,310</w:t>
            </w:r>
          </w:p>
        </w:tc>
        <w:tc>
          <w:tcPr>
            <w:tcW w:w="1040" w:type="dxa"/>
            <w:vAlign w:val="bottom"/>
          </w:tcPr>
          <w:p>
            <w:pPr>
              <w:jc w:val="right"/>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332"/>
        </w:trPr>
        <w:tc>
          <w:tcPr>
            <w:tcW w:w="5100" w:type="dxa"/>
            <w:vAlign w:val="bottom"/>
          </w:tcPr>
          <w:p>
            <w:pPr>
              <w:ind w:left="40"/>
              <w:spacing w:after="0"/>
              <w:rPr>
                <w:sz w:val="20"/>
                <w:szCs w:val="20"/>
                <w:color w:val="auto"/>
              </w:rPr>
            </w:pPr>
            <w:r>
              <w:rPr>
                <w:rFonts w:ascii="Arial" w:cs="Arial" w:eastAsia="Arial" w:hAnsi="Arial"/>
                <w:sz w:val="18"/>
                <w:szCs w:val="18"/>
                <w:color w:val="auto"/>
              </w:rPr>
              <w:t>Discrete tax expense/(benefit):</w:t>
            </w: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40"/>
              <w:spacing w:after="0" w:line="202" w:lineRule="exact"/>
              <w:rPr>
                <w:sz w:val="20"/>
                <w:szCs w:val="20"/>
                <w:color w:val="auto"/>
              </w:rPr>
            </w:pPr>
            <w:r>
              <w:rPr>
                <w:rFonts w:ascii="Arial" w:cs="Arial" w:eastAsia="Arial" w:hAnsi="Arial"/>
                <w:sz w:val="18"/>
                <w:szCs w:val="18"/>
                <w:color w:val="auto"/>
              </w:rPr>
              <w:t>Provision for/resolution of tax audits and</w:t>
            </w:r>
          </w:p>
        </w:tc>
        <w:tc>
          <w:tcPr>
            <w:tcW w:w="18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425</w:t>
            </w:r>
          </w:p>
        </w:tc>
        <w:tc>
          <w:tcPr>
            <w:tcW w:w="1400" w:type="dxa"/>
            <w:vAlign w:val="bottom"/>
          </w:tcPr>
          <w:p>
            <w:pPr>
              <w:spacing w:after="0"/>
              <w:rPr>
                <w:sz w:val="17"/>
                <w:szCs w:val="17"/>
                <w:color w:val="auto"/>
              </w:rPr>
            </w:pP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425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tcPr>
          <w:p>
            <w:pPr>
              <w:ind w:left="240"/>
              <w:spacing w:after="0" w:line="201" w:lineRule="exact"/>
              <w:rPr>
                <w:sz w:val="20"/>
                <w:szCs w:val="20"/>
                <w:color w:val="auto"/>
              </w:rPr>
            </w:pPr>
            <w:r>
              <w:rPr>
                <w:rFonts w:ascii="Arial" w:cs="Arial" w:eastAsia="Arial" w:hAnsi="Arial"/>
                <w:sz w:val="18"/>
                <w:szCs w:val="18"/>
                <w:color w:val="auto"/>
              </w:rPr>
              <w:t>contingencies, net</w:t>
            </w:r>
          </w:p>
        </w:tc>
        <w:tc>
          <w:tcPr>
            <w:tcW w:w="1880" w:type="dxa"/>
            <w:vAlign w:val="bottom"/>
            <w:vMerge w:val="continue"/>
          </w:tcPr>
          <w:p>
            <w:pPr>
              <w:spacing w:after="0"/>
              <w:rPr>
                <w:sz w:val="17"/>
                <w:szCs w:val="17"/>
                <w:color w:val="auto"/>
              </w:rPr>
            </w:pPr>
          </w:p>
        </w:tc>
        <w:tc>
          <w:tcPr>
            <w:tcW w:w="14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682</w:t>
            </w:r>
          </w:p>
        </w:tc>
        <w:tc>
          <w:tcPr>
            <w:tcW w:w="2000" w:type="dxa"/>
            <w:vAlign w:val="bottom"/>
            <w:vMerge w:val="continue"/>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line="202" w:lineRule="exact"/>
              <w:rPr>
                <w:sz w:val="20"/>
                <w:szCs w:val="20"/>
                <w:color w:val="auto"/>
              </w:rPr>
            </w:pPr>
            <w:r>
              <w:rPr>
                <w:rFonts w:ascii="Arial" w:cs="Arial" w:eastAsia="Arial" w:hAnsi="Arial"/>
                <w:sz w:val="18"/>
                <w:szCs w:val="18"/>
                <w:color w:val="auto"/>
              </w:rPr>
              <w:t>Repatriation of non-U.S. prior year earnings</w:t>
            </w:r>
          </w:p>
        </w:tc>
        <w:tc>
          <w:tcPr>
            <w:tcW w:w="18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186</w:t>
            </w:r>
          </w:p>
        </w:tc>
        <w:tc>
          <w:tcPr>
            <w:tcW w:w="14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186</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Adjustments to prior period tax liabilities</w:t>
            </w:r>
          </w:p>
        </w:tc>
        <w:tc>
          <w:tcPr>
            <w:tcW w:w="18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(126)</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84</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income tax expense/(benefit)</w:t>
            </w:r>
          </w:p>
        </w:tc>
        <w:tc>
          <w:tcPr>
            <w:tcW w:w="188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($2,243)</w:t>
            </w:r>
          </w:p>
        </w:tc>
        <w:tc>
          <w:tcPr>
            <w:tcW w:w="14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($29,643)</w:t>
            </w:r>
          </w:p>
        </w:tc>
        <w:tc>
          <w:tcPr>
            <w:tcW w:w="20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$4,005</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($39,615)</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280" w:firstLine="648"/>
        <w:spacing w:after="0" w:line="248" w:lineRule="auto"/>
        <w:rPr>
          <w:sz w:val="20"/>
          <w:szCs w:val="20"/>
          <w:color w:val="auto"/>
        </w:rPr>
      </w:pPr>
      <w:r>
        <w:rPr>
          <w:rFonts w:ascii="Arial" w:cs="Arial" w:eastAsia="Arial" w:hAnsi="Arial"/>
          <w:sz w:val="18"/>
          <w:szCs w:val="18"/>
          <w:color w:val="auto"/>
        </w:rPr>
        <w:t>The second quarter estimated effective tax rate on continuing operations was 39.0 percent in 2013 compared to 26.5 percent for the same period in 2012. The change in the estimated effective tax rate was primarily attributable to changes in the anticipated amount and distribution of income and loss among the countries in which we operate. The 2012 second quarter tax rate was also impacted by operating losses generated in tax jurisdictions where no tax benefit was recognized.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12" w:name="page13"/>
    <w:bookmarkEnd w:id="12"/>
    <w:p>
      <w:pPr>
        <w:ind w:right="80" w:firstLine="648"/>
        <w:spacing w:after="0" w:line="248" w:lineRule="auto"/>
        <w:rPr>
          <w:sz w:val="20"/>
          <w:szCs w:val="20"/>
          <w:color w:val="auto"/>
        </w:rPr>
      </w:pPr>
      <w:r>
        <w:rPr>
          <w:rFonts w:ascii="Arial" w:cs="Arial" w:eastAsia="Arial" w:hAnsi="Arial"/>
          <w:sz w:val="18"/>
          <w:szCs w:val="18"/>
          <w:color w:val="auto"/>
        </w:rPr>
        <w:t>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 At June 30, 2013, the Company recorded a deferred tax liability of $0.9 million on $12.4 million of non-U.S. earnings that have been targeted for future repatriation to the U.S.</w:t>
      </w:r>
    </w:p>
    <w:p>
      <w:pPr>
        <w:spacing w:after="0" w:line="130" w:lineRule="exact"/>
        <w:rPr>
          <w:sz w:val="20"/>
          <w:szCs w:val="20"/>
          <w:color w:val="auto"/>
        </w:rPr>
      </w:pPr>
    </w:p>
    <w:p>
      <w:pPr>
        <w:ind w:right="380" w:firstLine="648"/>
        <w:spacing w:after="0" w:line="245"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as the United States, Brazil, Canada, France, Germany, Italy, Mexico, and Switzerland. Open tax years in these jurisdictions range from 2000 to 2012. We are currently under audit in the U.S. and non-U.S. tax jurisdictions, including but not limited to Canada, Germany, and France.</w:t>
      </w:r>
    </w:p>
    <w:p>
      <w:pPr>
        <w:spacing w:after="0" w:line="14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$0 million to a net decrease of $2.5 million, from the reevaluation of uncertain tax positions arising in examinations, in appeals, or in the courts, or from the closure of tax statutes. Not included in the range is $22.7 million of tax benefits in Germany related to a 1999 reorganization that have been challenged by the German tax authorities in the course of an audit, of which $11.6 million would have a direct impact on our statement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tax and interest of approximately $13.0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5" w:lineRule="exact"/>
        <w:rPr>
          <w:sz w:val="20"/>
          <w:szCs w:val="20"/>
          <w:color w:val="auto"/>
        </w:rPr>
      </w:pPr>
    </w:p>
    <w:p>
      <w:pPr>
        <w:ind w:right="400" w:firstLine="648"/>
        <w:spacing w:after="0" w:line="27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494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1"/>
        </w:trPr>
        <w:tc>
          <w:tcPr>
            <w:tcW w:w="4940" w:type="dxa"/>
            <w:vAlign w:val="bottom"/>
          </w:tcPr>
          <w:p>
            <w:pPr>
              <w:spacing w:after="0"/>
              <w:rPr>
                <w:sz w:val="17"/>
                <w:szCs w:val="17"/>
                <w:color w:val="auto"/>
              </w:rPr>
            </w:pPr>
          </w:p>
        </w:tc>
        <w:tc>
          <w:tcPr>
            <w:tcW w:w="20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market price data)</w:t>
            </w:r>
          </w:p>
        </w:tc>
        <w:tc>
          <w:tcPr>
            <w:tcW w:w="20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99"/>
        </w:trPr>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income/(loss) available to common shareholders</w:t>
            </w:r>
          </w:p>
        </w:tc>
        <w:tc>
          <w:tcPr>
            <w:tcW w:w="2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($7,379)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w:t>
            </w:r>
          </w:p>
        </w:tc>
        <w:tc>
          <w:tcPr>
            <w:tcW w:w="0" w:type="dxa"/>
            <w:vAlign w:val="bottom"/>
          </w:tcPr>
          <w:p>
            <w:pPr>
              <w:spacing w:after="0"/>
              <w:rPr>
                <w:sz w:val="1"/>
                <w:szCs w:val="1"/>
                <w:color w:val="auto"/>
              </w:rPr>
            </w:pPr>
          </w:p>
        </w:tc>
      </w:tr>
      <w:tr>
        <w:trPr>
          <w:trHeight w:val="424"/>
        </w:trPr>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Weighted average number of shares:</w:t>
            </w: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94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20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31,628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40" w:type="dxa"/>
            <w:vAlign w:val="bottom"/>
          </w:tcPr>
          <w:p>
            <w:pPr>
              <w:ind w:left="260"/>
              <w:spacing w:after="0"/>
              <w:rPr>
                <w:sz w:val="20"/>
                <w:szCs w:val="20"/>
                <w:color w:val="auto"/>
              </w:rPr>
            </w:pPr>
            <w:r>
              <w:rPr>
                <w:rFonts w:ascii="Arial" w:cs="Arial" w:eastAsia="Arial" w:hAnsi="Arial"/>
                <w:sz w:val="18"/>
                <w:szCs w:val="18"/>
                <w:color w:val="auto"/>
              </w:rPr>
              <w:t>calculating basic net income/(loss) per share</w:t>
            </w:r>
          </w:p>
        </w:tc>
        <w:tc>
          <w:tcPr>
            <w:tcW w:w="2060" w:type="dxa"/>
            <w:vAlign w:val="bottom"/>
            <w:vMerge w:val="continue"/>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31,349</w:t>
            </w:r>
          </w:p>
        </w:tc>
        <w:tc>
          <w:tcPr>
            <w:tcW w:w="0" w:type="dxa"/>
            <w:vAlign w:val="bottom"/>
          </w:tcPr>
          <w:p>
            <w:pPr>
              <w:spacing w:after="0"/>
              <w:rPr>
                <w:sz w:val="1"/>
                <w:szCs w:val="1"/>
                <w:color w:val="auto"/>
              </w:rPr>
            </w:pPr>
          </w:p>
        </w:tc>
      </w:tr>
      <w:tr>
        <w:trPr>
          <w:trHeight w:val="405"/>
        </w:trPr>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4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06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0"/>
        </w:trPr>
        <w:tc>
          <w:tcPr>
            <w:tcW w:w="49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Long-term incentive plan</w:t>
            </w:r>
          </w:p>
        </w:tc>
        <w:tc>
          <w:tcPr>
            <w:tcW w:w="2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4940" w:type="dxa"/>
            <w:vAlign w:val="bottom"/>
          </w:tcPr>
          <w:p>
            <w:pPr>
              <w:ind w:left="100"/>
              <w:spacing w:after="0"/>
              <w:rPr>
                <w:sz w:val="20"/>
                <w:szCs w:val="20"/>
                <w:color w:val="auto"/>
              </w:rPr>
            </w:pPr>
            <w:r>
              <w:rPr>
                <w:rFonts w:ascii="Arial" w:cs="Arial" w:eastAsia="Arial" w:hAnsi="Arial"/>
                <w:sz w:val="18"/>
                <w:szCs w:val="18"/>
                <w:color w:val="auto"/>
              </w:rPr>
              <w:t>Weighted average number of shares used in</w:t>
            </w:r>
          </w:p>
        </w:tc>
        <w:tc>
          <w:tcPr>
            <w:tcW w:w="20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31,628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calculating diluted net income/(loss) per share</w:t>
            </w:r>
          </w:p>
        </w:tc>
        <w:tc>
          <w:tcPr>
            <w:tcW w:w="20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31,349</w:t>
            </w:r>
          </w:p>
        </w:tc>
        <w:tc>
          <w:tcPr>
            <w:tcW w:w="0" w:type="dxa"/>
            <w:vAlign w:val="bottom"/>
          </w:tcPr>
          <w:p>
            <w:pPr>
              <w:spacing w:after="0"/>
              <w:rPr>
                <w:sz w:val="1"/>
                <w:szCs w:val="1"/>
                <w:color w:val="auto"/>
              </w:rPr>
            </w:pPr>
          </w:p>
        </w:tc>
      </w:tr>
      <w:tr>
        <w:trPr>
          <w:trHeight w:val="578"/>
        </w:trPr>
        <w:tc>
          <w:tcPr>
            <w:tcW w:w="4940" w:type="dxa"/>
            <w:vAlign w:val="bottom"/>
          </w:tcPr>
          <w:p>
            <w:pPr>
              <w:ind w:left="100"/>
              <w:spacing w:after="0"/>
              <w:rPr>
                <w:sz w:val="20"/>
                <w:szCs w:val="20"/>
                <w:color w:val="auto"/>
              </w:rPr>
            </w:pPr>
            <w:r>
              <w:rPr>
                <w:rFonts w:ascii="Arial" w:cs="Arial" w:eastAsia="Arial" w:hAnsi="Arial"/>
                <w:sz w:val="18"/>
                <w:szCs w:val="18"/>
                <w:color w:val="auto"/>
              </w:rPr>
              <w:t>Average market price of common stock used</w:t>
            </w:r>
          </w:p>
        </w:tc>
        <w:tc>
          <w:tcPr>
            <w:tcW w:w="20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$30.59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for calculation of dilutive shares</w:t>
            </w:r>
          </w:p>
        </w:tc>
        <w:tc>
          <w:tcPr>
            <w:tcW w:w="20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24"/>
        </w:trPr>
        <w:tc>
          <w:tcPr>
            <w:tcW w:w="4940" w:type="dxa"/>
            <w:vAlign w:val="bottom"/>
          </w:tcPr>
          <w:p>
            <w:pPr>
              <w:ind w:left="100"/>
              <w:spacing w:after="0"/>
              <w:rPr>
                <w:sz w:val="20"/>
                <w:szCs w:val="20"/>
                <w:color w:val="auto"/>
              </w:rPr>
            </w:pPr>
            <w:r>
              <w:rPr>
                <w:rFonts w:ascii="Arial" w:cs="Arial" w:eastAsia="Arial" w:hAnsi="Arial"/>
                <w:sz w:val="18"/>
                <w:szCs w:val="18"/>
                <w:b w:val="1"/>
                <w:bCs w:val="1"/>
                <w:color w:val="auto"/>
              </w:rPr>
              <w:t>Net income per share:</w:t>
            </w: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40" w:type="dxa"/>
            <w:vAlign w:val="bottom"/>
          </w:tcPr>
          <w:p>
            <w:pPr>
              <w:ind w:left="260"/>
              <w:spacing w:after="0"/>
              <w:rPr>
                <w:sz w:val="20"/>
                <w:szCs w:val="20"/>
                <w:color w:val="auto"/>
              </w:rPr>
            </w:pPr>
            <w:r>
              <w:rPr>
                <w:rFonts w:ascii="Arial" w:cs="Arial" w:eastAsia="Arial" w:hAnsi="Arial"/>
                <w:sz w:val="18"/>
                <w:szCs w:val="18"/>
                <w:color w:val="auto"/>
              </w:rPr>
              <w:t>Basic</w:t>
            </w:r>
          </w:p>
        </w:tc>
        <w:tc>
          <w:tcPr>
            <w:tcW w:w="2060" w:type="dxa"/>
            <w:vAlign w:val="bottom"/>
          </w:tcPr>
          <w:p>
            <w:pPr>
              <w:jc w:val="right"/>
              <w:ind w:right="650"/>
              <w:spacing w:after="0"/>
              <w:rPr>
                <w:sz w:val="20"/>
                <w:szCs w:val="20"/>
                <w:color w:val="auto"/>
              </w:rPr>
            </w:pPr>
            <w:r>
              <w:rPr>
                <w:rFonts w:ascii="Arial" w:cs="Arial" w:eastAsia="Arial" w:hAnsi="Arial"/>
                <w:sz w:val="18"/>
                <w:szCs w:val="18"/>
                <w:b w:val="1"/>
                <w:bCs w:val="1"/>
                <w:color w:val="auto"/>
              </w:rPr>
              <w:t>($0.23)</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05"/>
        </w:trPr>
        <w:tc>
          <w:tcPr>
            <w:tcW w:w="49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60" w:type="dxa"/>
            <w:vAlign w:val="bottom"/>
          </w:tcPr>
          <w:p>
            <w:pPr>
              <w:jc w:val="right"/>
              <w:ind w:right="650"/>
              <w:spacing w:after="0"/>
              <w:rPr>
                <w:sz w:val="20"/>
                <w:szCs w:val="20"/>
                <w:color w:val="auto"/>
              </w:rPr>
            </w:pPr>
            <w:r>
              <w:rPr>
                <w:rFonts w:ascii="Arial" w:cs="Arial" w:eastAsia="Arial" w:hAnsi="Arial"/>
                <w:sz w:val="18"/>
                <w:szCs w:val="18"/>
                <w:b w:val="1"/>
                <w:bCs w:val="1"/>
                <w:color w:val="auto"/>
              </w:rPr>
              <w:t>($0.23)</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1929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June 30,</w:t>
      </w:r>
    </w:p>
    <w:p>
      <w:pPr>
        <w:ind w:left="480"/>
        <w:spacing w:after="0"/>
        <w:tabs>
          <w:tab w:leader="none" w:pos="21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929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68" w:lineRule="exact"/>
        <w:rPr>
          <w:sz w:val="20"/>
          <w:szCs w:val="20"/>
          <w:color w:val="auto"/>
        </w:rPr>
      </w:pPr>
    </w:p>
    <w:p>
      <w:pPr>
        <w:ind w:left="700"/>
        <w:spacing w:after="0"/>
        <w:tabs>
          <w:tab w:leader="none" w:pos="2260" w:val="left"/>
        </w:tabs>
        <w:rPr>
          <w:sz w:val="20"/>
          <w:szCs w:val="20"/>
          <w:color w:val="auto"/>
        </w:rPr>
      </w:pPr>
      <w:r>
        <w:rPr>
          <w:rFonts w:ascii="Arial" w:cs="Arial" w:eastAsia="Arial" w:hAnsi="Arial"/>
          <w:sz w:val="18"/>
          <w:szCs w:val="18"/>
          <w:b w:val="1"/>
          <w:bCs w:val="1"/>
          <w:color w:val="auto"/>
        </w:rPr>
        <w:t>$4,132</w:t>
      </w:r>
      <w:r>
        <w:rPr>
          <w:sz w:val="20"/>
          <w:szCs w:val="20"/>
          <w:color w:val="auto"/>
        </w:rPr>
        <w:tab/>
      </w:r>
      <w:r>
        <w:rPr>
          <w:rFonts w:ascii="Arial" w:cs="Arial" w:eastAsia="Arial" w:hAnsi="Arial"/>
          <w:sz w:val="18"/>
          <w:szCs w:val="18"/>
          <w:color w:val="auto"/>
        </w:rPr>
        <w:t>$13,296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1929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jc w:val="right"/>
              <w:ind w:right="490"/>
              <w:spacing w:after="0"/>
              <w:rPr>
                <w:sz w:val="20"/>
                <w:szCs w:val="20"/>
                <w:color w:val="auto"/>
              </w:rPr>
            </w:pPr>
            <w:r>
              <w:rPr>
                <w:rFonts w:ascii="Arial" w:cs="Arial" w:eastAsia="Arial" w:hAnsi="Arial"/>
                <w:sz w:val="18"/>
                <w:szCs w:val="18"/>
                <w:b w:val="1"/>
                <w:bCs w:val="1"/>
                <w:color w:val="auto"/>
              </w:rPr>
              <w:t>31,562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31,329</w:t>
            </w:r>
          </w:p>
        </w:tc>
      </w:tr>
      <w:tr>
        <w:trPr>
          <w:trHeight w:val="810"/>
        </w:trPr>
        <w:tc>
          <w:tcPr>
            <w:tcW w:w="1820" w:type="dxa"/>
            <w:vAlign w:val="bottom"/>
          </w:tcPr>
          <w:p>
            <w:pPr>
              <w:jc w:val="right"/>
              <w:ind w:right="490"/>
              <w:spacing w:after="0"/>
              <w:rPr>
                <w:sz w:val="20"/>
                <w:szCs w:val="20"/>
                <w:color w:val="auto"/>
              </w:rPr>
            </w:pPr>
            <w:r>
              <w:rPr>
                <w:rFonts w:ascii="Arial" w:cs="Arial" w:eastAsia="Arial" w:hAnsi="Arial"/>
                <w:sz w:val="18"/>
                <w:szCs w:val="18"/>
                <w:b w:val="1"/>
                <w:bCs w:val="1"/>
                <w:color w:val="auto"/>
              </w:rPr>
              <w:t>125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380"/>
        </w:trPr>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169</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601"/>
        </w:trPr>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31,856</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31,518</w:t>
            </w:r>
          </w:p>
        </w:tc>
      </w:tr>
      <w:tr>
        <w:trPr>
          <w:trHeight w:val="804"/>
        </w:trPr>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$28.53</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$22.08</w:t>
            </w:r>
          </w:p>
        </w:tc>
      </w:tr>
      <w:tr>
        <w:trPr>
          <w:trHeight w:val="829"/>
        </w:trPr>
        <w:tc>
          <w:tcPr>
            <w:tcW w:w="1820" w:type="dxa"/>
            <w:vAlign w:val="bottom"/>
          </w:tcPr>
          <w:p>
            <w:pPr>
              <w:jc w:val="right"/>
              <w:ind w:right="490"/>
              <w:spacing w:after="0"/>
              <w:rPr>
                <w:sz w:val="20"/>
                <w:szCs w:val="20"/>
                <w:color w:val="auto"/>
              </w:rPr>
            </w:pPr>
            <w:r>
              <w:rPr>
                <w:rFonts w:ascii="Arial" w:cs="Arial" w:eastAsia="Arial" w:hAnsi="Arial"/>
                <w:sz w:val="18"/>
                <w:szCs w:val="18"/>
                <w:b w:val="1"/>
                <w:bCs w:val="1"/>
                <w:color w:val="auto"/>
              </w:rPr>
              <w:t>$0.13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405"/>
        </w:trPr>
        <w:tc>
          <w:tcPr>
            <w:tcW w:w="1820" w:type="dxa"/>
            <w:vAlign w:val="bottom"/>
          </w:tcPr>
          <w:p>
            <w:pPr>
              <w:jc w:val="right"/>
              <w:ind w:right="490"/>
              <w:spacing w:after="0"/>
              <w:rPr>
                <w:sz w:val="20"/>
                <w:szCs w:val="20"/>
                <w:color w:val="auto"/>
              </w:rPr>
            </w:pPr>
            <w:r>
              <w:rPr>
                <w:rFonts w:ascii="Arial" w:cs="Arial" w:eastAsia="Arial" w:hAnsi="Arial"/>
                <w:sz w:val="18"/>
                <w:szCs w:val="18"/>
                <w:b w:val="1"/>
                <w:bCs w:val="1"/>
                <w:color w:val="auto"/>
              </w:rPr>
              <w:t>$0.13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r>
    </w:tbl>
    <w:p>
      <w:pPr>
        <w:spacing w:after="0" w:line="200" w:lineRule="exact"/>
        <w:rPr>
          <w:sz w:val="20"/>
          <w:szCs w:val="20"/>
          <w:color w:val="auto"/>
        </w:rPr>
      </w:pPr>
    </w:p>
    <w:p>
      <w:pPr>
        <w:sectPr>
          <w:pgSz w:w="11900" w:h="16838" w:orient="portrait"/>
          <w:cols w:equalWidth="0" w:num="2">
            <w:col w:w="8040" w:space="340"/>
            <w:col w:w="3040"/>
          </w:cols>
          <w:pgMar w:left="240" w:top="849" w:right="239" w:bottom="1440" w:gutter="0" w:footer="0" w:header="0"/>
        </w:sectPr>
      </w:pPr>
    </w:p>
    <w:p>
      <w:pPr>
        <w:spacing w:after="0" w:line="157" w:lineRule="exact"/>
        <w:rPr>
          <w:sz w:val="20"/>
          <w:szCs w:val="20"/>
          <w:color w:val="auto"/>
        </w:rPr>
      </w:pPr>
    </w:p>
    <w:p>
      <w:pPr>
        <w:ind w:right="240" w:firstLine="396"/>
        <w:spacing w:after="0" w:line="276" w:lineRule="auto"/>
        <w:rPr>
          <w:sz w:val="20"/>
          <w:szCs w:val="20"/>
          <w:color w:val="auto"/>
        </w:rPr>
      </w:pPr>
      <w:r>
        <w:rPr>
          <w:rFonts w:ascii="Arial" w:cs="Arial" w:eastAsia="Arial" w:hAnsi="Arial"/>
          <w:sz w:val="18"/>
          <w:szCs w:val="18"/>
          <w:color w:val="auto"/>
        </w:rPr>
        <w:t>As a result of a net loss in the second quarter of 2013 and 2012, the potential dilutive effect of stock-based compensation plans was not included in the computation of diluted earnings per share for these periods because to do so would have been antidilutive.</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right"/>
              <w:ind w:right="890"/>
              <w:spacing w:after="0" w:line="194" w:lineRule="exact"/>
              <w:rPr>
                <w:sz w:val="20"/>
                <w:szCs w:val="20"/>
                <w:color w:val="auto"/>
              </w:rPr>
            </w:pPr>
            <w:r>
              <w:rPr>
                <w:rFonts w:ascii="Arial" w:cs="Arial" w:eastAsia="Arial" w:hAnsi="Arial"/>
                <w:sz w:val="18"/>
                <w:szCs w:val="18"/>
                <w:color w:val="auto"/>
              </w:rPr>
              <w:t>Class A</w:t>
            </w:r>
          </w:p>
        </w:tc>
        <w:tc>
          <w:tcPr>
            <w:tcW w:w="1920" w:type="dxa"/>
            <w:vAlign w:val="bottom"/>
            <w:tcBorders>
              <w:top w:val="single" w:sz="8" w:color="auto"/>
            </w:tcBorders>
          </w:tcPr>
          <w:p>
            <w:pPr>
              <w:jc w:val="right"/>
              <w:ind w:right="750"/>
              <w:spacing w:after="0" w:line="194" w:lineRule="exact"/>
              <w:rPr>
                <w:sz w:val="20"/>
                <w:szCs w:val="20"/>
                <w:color w:val="auto"/>
              </w:rPr>
            </w:pPr>
            <w:r>
              <w:rPr>
                <w:rFonts w:ascii="Arial" w:cs="Arial" w:eastAsia="Arial" w:hAnsi="Arial"/>
                <w:sz w:val="18"/>
                <w:szCs w:val="18"/>
                <w:color w:val="auto"/>
              </w:rPr>
              <w:t>Class B</w:t>
            </w:r>
          </w:p>
        </w:tc>
        <w:tc>
          <w:tcPr>
            <w:tcW w:w="210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color w:val="auto"/>
              </w:rPr>
              <w:t>Less: Treasury</w:t>
            </w:r>
          </w:p>
        </w:tc>
        <w:tc>
          <w:tcPr>
            <w:tcW w:w="1700" w:type="dxa"/>
            <w:vAlign w:val="bottom"/>
            <w:tcBorders>
              <w:top w:val="single" w:sz="8" w:color="auto"/>
            </w:tcBorders>
          </w:tcPr>
          <w:p>
            <w:pPr>
              <w:jc w:val="right"/>
              <w:ind w:right="330"/>
              <w:spacing w:after="0" w:line="194" w:lineRule="exact"/>
              <w:rPr>
                <w:sz w:val="20"/>
                <w:szCs w:val="20"/>
                <w:color w:val="auto"/>
              </w:rPr>
            </w:pPr>
            <w:r>
              <w:rPr>
                <w:rFonts w:ascii="Arial" w:cs="Arial" w:eastAsia="Arial" w:hAnsi="Arial"/>
                <w:sz w:val="18"/>
                <w:szCs w:val="18"/>
                <w:color w:val="auto"/>
              </w:rPr>
              <w:t>Net shares</w:t>
            </w:r>
          </w:p>
        </w:tc>
      </w:tr>
      <w:tr>
        <w:trPr>
          <w:trHeight w:val="225"/>
        </w:trPr>
        <w:tc>
          <w:tcPr>
            <w:tcW w:w="26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Shares</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Shares</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Shares</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Outstanding</w:t>
            </w:r>
          </w:p>
        </w:tc>
      </w:tr>
      <w:tr>
        <w:trPr>
          <w:trHeight w:val="173"/>
        </w:trPr>
        <w:tc>
          <w:tcPr>
            <w:tcW w:w="2680" w:type="dxa"/>
            <w:vAlign w:val="bottom"/>
          </w:tcPr>
          <w:p>
            <w:pPr>
              <w:ind w:left="40"/>
              <w:spacing w:after="0" w:line="173" w:lineRule="exact"/>
              <w:rPr>
                <w:sz w:val="20"/>
                <w:szCs w:val="20"/>
                <w:color w:val="auto"/>
              </w:rPr>
            </w:pPr>
            <w:r>
              <w:rPr>
                <w:rFonts w:ascii="Arial" w:cs="Arial" w:eastAsia="Arial" w:hAnsi="Arial"/>
                <w:sz w:val="18"/>
                <w:szCs w:val="18"/>
                <w:color w:val="auto"/>
              </w:rPr>
              <w:t>June 30, 2013</w:t>
            </w:r>
          </w:p>
        </w:tc>
        <w:tc>
          <w:tcPr>
            <w:tcW w:w="302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36,875,127</w:t>
            </w:r>
          </w:p>
        </w:tc>
        <w:tc>
          <w:tcPr>
            <w:tcW w:w="19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3,236,098</w:t>
            </w:r>
          </w:p>
        </w:tc>
        <w:tc>
          <w:tcPr>
            <w:tcW w:w="210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(8,463,635)</w:t>
            </w:r>
          </w:p>
        </w:tc>
        <w:tc>
          <w:tcPr>
            <w:tcW w:w="1700" w:type="dxa"/>
            <w:vAlign w:val="bottom"/>
          </w:tcPr>
          <w:p>
            <w:pPr>
              <w:jc w:val="right"/>
              <w:spacing w:after="0" w:line="173" w:lineRule="exact"/>
              <w:rPr>
                <w:sz w:val="20"/>
                <w:szCs w:val="20"/>
                <w:color w:val="auto"/>
              </w:rPr>
            </w:pPr>
            <w:r>
              <w:rPr>
                <w:rFonts w:ascii="Arial" w:cs="Arial" w:eastAsia="Arial" w:hAnsi="Arial"/>
                <w:sz w:val="18"/>
                <w:szCs w:val="18"/>
                <w:color w:val="auto"/>
              </w:rPr>
              <w:t>31,647,590</w:t>
            </w:r>
          </w:p>
        </w:tc>
      </w:tr>
      <w:tr>
        <w:trPr>
          <w:trHeight w:val="203"/>
        </w:trPr>
        <w:tc>
          <w:tcPr>
            <w:tcW w:w="2680" w:type="dxa"/>
            <w:vAlign w:val="bottom"/>
          </w:tcPr>
          <w:p>
            <w:pPr>
              <w:ind w:left="40"/>
              <w:spacing w:after="0" w:line="202" w:lineRule="exact"/>
              <w:rPr>
                <w:sz w:val="20"/>
                <w:szCs w:val="20"/>
                <w:color w:val="auto"/>
              </w:rPr>
            </w:pPr>
            <w:r>
              <w:rPr>
                <w:rFonts w:ascii="Arial" w:cs="Arial" w:eastAsia="Arial" w:hAnsi="Arial"/>
                <w:sz w:val="18"/>
                <w:szCs w:val="18"/>
                <w:color w:val="auto"/>
              </w:rPr>
              <w:t>March 31, 2013</w:t>
            </w:r>
          </w:p>
        </w:tc>
        <w:tc>
          <w:tcPr>
            <w:tcW w:w="30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36,827,227</w:t>
            </w:r>
          </w:p>
        </w:tc>
        <w:tc>
          <w:tcPr>
            <w:tcW w:w="19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3,236,098</w:t>
            </w:r>
          </w:p>
        </w:tc>
        <w:tc>
          <w:tcPr>
            <w:tcW w:w="21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(8,467,873)</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31,595,452</w:t>
            </w:r>
          </w:p>
        </w:tc>
      </w:tr>
      <w:tr>
        <w:trPr>
          <w:trHeight w:val="225"/>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2012</w:t>
            </w:r>
          </w:p>
        </w:tc>
        <w:tc>
          <w:tcPr>
            <w:tcW w:w="3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36,589,304</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3,236,098</w:t>
            </w:r>
          </w:p>
        </w:tc>
        <w:tc>
          <w:tcPr>
            <w:tcW w:w="2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(8,467,873)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31,357,529</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w:t>
      </w:r>
    </w:p>
    <w:p>
      <w:pPr>
        <w:spacing w:after="0" w:line="171" w:lineRule="exact"/>
        <w:rPr>
          <w:sz w:val="20"/>
          <w:szCs w:val="20"/>
          <w:color w:val="auto"/>
        </w:rPr>
      </w:pPr>
    </w:p>
    <w:p>
      <w:pPr>
        <w:ind w:right="460" w:firstLine="396"/>
        <w:spacing w:after="0" w:line="276" w:lineRule="auto"/>
        <w:rPr>
          <w:sz w:val="20"/>
          <w:szCs w:val="20"/>
          <w:color w:val="auto"/>
        </w:rPr>
      </w:pPr>
      <w:r>
        <w:rPr>
          <w:rFonts w:ascii="Arial" w:cs="Arial" w:eastAsia="Arial" w:hAnsi="Arial"/>
          <w:sz w:val="18"/>
          <w:szCs w:val="18"/>
          <w:color w:val="auto"/>
        </w:rPr>
        <w:t>The Company adopted the provisions of Accounting Standards Update 2013-02 in the first quarter of 2013, which requires enhanced disclosures of Accumulated Other Comprehensive Income.</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changes in the components of Accumulated Other Comprehensive Income for the period December 31, 2012 to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color w:val="auto"/>
                <w:w w:val="99"/>
              </w:rPr>
              <w:t>Pension and</w:t>
            </w:r>
          </w:p>
        </w:tc>
        <w:tc>
          <w:tcPr>
            <w:tcW w:w="16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4700" w:type="dxa"/>
            <w:vAlign w:val="bottom"/>
          </w:tcPr>
          <w:p>
            <w:pPr>
              <w:spacing w:after="0"/>
              <w:rPr>
                <w:sz w:val="17"/>
                <w:szCs w:val="17"/>
                <w:color w:val="auto"/>
              </w:rPr>
            </w:pPr>
          </w:p>
        </w:tc>
        <w:tc>
          <w:tcPr>
            <w:tcW w:w="18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Translation</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adjustments</w:t>
            </w: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adjustment</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rPr>
              <w:t>Income</w:t>
            </w:r>
          </w:p>
        </w:tc>
      </w:tr>
      <w:tr>
        <w:trPr>
          <w:trHeight w:val="39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December 31, 2012</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($7,659)</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($69,484)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($2,878)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($80,021)</w:t>
            </w:r>
          </w:p>
        </w:tc>
      </w:tr>
      <w:tr>
        <w:trPr>
          <w:trHeight w:val="376"/>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(14,494)</w:t>
            </w:r>
          </w:p>
        </w:tc>
        <w:tc>
          <w:tcPr>
            <w:tcW w:w="1780" w:type="dxa"/>
            <w:vAlign w:val="bottom"/>
          </w:tcPr>
          <w:p>
            <w:pPr>
              <w:jc w:val="right"/>
              <w:ind w:right="290"/>
              <w:spacing w:after="0"/>
              <w:rPr>
                <w:sz w:val="20"/>
                <w:szCs w:val="20"/>
                <w:color w:val="auto"/>
              </w:rPr>
            </w:pPr>
            <w:r>
              <w:rPr>
                <w:rFonts w:ascii="Arial" w:cs="Arial" w:eastAsia="Arial" w:hAnsi="Arial"/>
                <w:sz w:val="18"/>
                <w:szCs w:val="18"/>
                <w:color w:val="auto"/>
              </w:rPr>
              <w:t>1,225</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2,301</w:t>
            </w:r>
          </w:p>
        </w:tc>
        <w:tc>
          <w:tcPr>
            <w:tcW w:w="1520" w:type="dxa"/>
            <w:vAlign w:val="bottom"/>
          </w:tcPr>
          <w:p>
            <w:pPr>
              <w:jc w:val="right"/>
              <w:spacing w:after="0"/>
              <w:rPr>
                <w:sz w:val="20"/>
                <w:szCs w:val="20"/>
                <w:color w:val="auto"/>
              </w:rPr>
            </w:pPr>
            <w:r>
              <w:rPr>
                <w:rFonts w:ascii="Arial" w:cs="Arial" w:eastAsia="Arial" w:hAnsi="Arial"/>
                <w:sz w:val="18"/>
                <w:szCs w:val="18"/>
                <w:color w:val="auto"/>
              </w:rPr>
              <w:t>(10,968)</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Statement of Operations, net of tax</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(549)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reclassified to Statement of Operations, net of tax</w:t>
            </w:r>
          </w:p>
        </w:tc>
        <w:tc>
          <w:tcPr>
            <w:tcW w:w="18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1,004</w:t>
            </w:r>
          </w:p>
        </w:tc>
        <w:tc>
          <w:tcPr>
            <w:tcW w:w="1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8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(14,494)</w:t>
            </w:r>
          </w:p>
        </w:tc>
        <w:tc>
          <w:tcPr>
            <w:tcW w:w="1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2,229</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1,752</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(10,513)</w:t>
            </w:r>
          </w:p>
        </w:tc>
      </w:tr>
      <w:tr>
        <w:trPr>
          <w:trHeight w:val="39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2013</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($22,153)</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($67,255)</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($1,126)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($90,534)</w:t>
            </w:r>
          </w:p>
        </w:tc>
      </w:tr>
    </w:tbl>
    <w:p>
      <w:pPr>
        <w:spacing w:after="0" w:line="301" w:lineRule="exact"/>
        <w:rPr>
          <w:sz w:val="20"/>
          <w:szCs w:val="20"/>
          <w:color w:val="auto"/>
        </w:rPr>
      </w:pPr>
    </w:p>
    <w:p>
      <w:pPr>
        <w:ind w:right="500" w:firstLine="396"/>
        <w:spacing w:after="0" w:line="255"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Operations relate to our pension and postretirement plans and interest rate swaps. The table below presents the amounts reclassified, and the line items of the Statement of Operations that were affected.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42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right"/>
              <w:ind w:right="390"/>
              <w:spacing w:after="0" w:line="194" w:lineRule="exact"/>
              <w:rPr>
                <w:sz w:val="20"/>
                <w:szCs w:val="20"/>
                <w:color w:val="auto"/>
              </w:rPr>
            </w:pPr>
            <w:r>
              <w:rPr>
                <w:rFonts w:ascii="Arial" w:cs="Arial" w:eastAsia="Arial" w:hAnsi="Arial"/>
                <w:sz w:val="18"/>
                <w:szCs w:val="18"/>
                <w:color w:val="auto"/>
              </w:rPr>
              <w:t>Three months ended</w:t>
            </w:r>
          </w:p>
        </w:tc>
        <w:tc>
          <w:tcPr>
            <w:tcW w:w="202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color w:val="auto"/>
              </w:rPr>
              <w:t>Six months ended</w:t>
            </w: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9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June 30, 2013</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30, 2013</w:t>
            </w:r>
          </w:p>
        </w:tc>
      </w:tr>
      <w:tr>
        <w:trPr>
          <w:trHeight w:val="171"/>
        </w:trPr>
        <w:tc>
          <w:tcPr>
            <w:tcW w:w="644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5"/>
        </w:trPr>
        <w:tc>
          <w:tcPr>
            <w:tcW w:w="64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Comprehensive Income:</w:t>
            </w: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80"/>
              <w:spacing w:after="0" w:line="202" w:lineRule="exact"/>
              <w:rPr>
                <w:sz w:val="20"/>
                <w:szCs w:val="20"/>
                <w:color w:val="auto"/>
              </w:rPr>
            </w:pPr>
            <w:r>
              <w:rPr>
                <w:rFonts w:ascii="Arial" w:cs="Arial" w:eastAsia="Arial" w:hAnsi="Arial"/>
                <w:sz w:val="18"/>
                <w:szCs w:val="18"/>
                <w:color w:val="auto"/>
              </w:rPr>
              <w:t>Swap interest expense</w:t>
            </w:r>
          </w:p>
        </w:tc>
        <w:tc>
          <w:tcPr>
            <w:tcW w:w="29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($500)</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(195)</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173"/>
        </w:trPr>
        <w:tc>
          <w:tcPr>
            <w:tcW w:w="6440" w:type="dxa"/>
            <w:vAlign w:val="bottom"/>
            <w:gridSpan w:val="2"/>
          </w:tcPr>
          <w:p>
            <w:pPr>
              <w:spacing w:after="0" w:line="173"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9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($305)</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37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29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5"/>
        </w:trPr>
        <w:tc>
          <w:tcPr>
            <w:tcW w:w="64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Accumulated Other Comprehensive Income:</w:t>
            </w: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9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($908)</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r>
      <w:tr>
        <w:trPr>
          <w:trHeight w:val="203"/>
        </w:trPr>
        <w:tc>
          <w:tcPr>
            <w:tcW w:w="20" w:type="dxa"/>
            <w:vAlign w:val="bottom"/>
          </w:tcPr>
          <w:p>
            <w:pPr>
              <w:spacing w:after="0"/>
              <w:rPr>
                <w:sz w:val="17"/>
                <w:szCs w:val="17"/>
                <w:color w:val="auto"/>
              </w:rPr>
            </w:pPr>
          </w:p>
        </w:tc>
        <w:tc>
          <w:tcPr>
            <w:tcW w:w="642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transition obligation</w:t>
            </w:r>
          </w:p>
        </w:tc>
        <w:tc>
          <w:tcPr>
            <w:tcW w:w="29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17</w:t>
            </w:r>
          </w:p>
        </w:tc>
        <w:tc>
          <w:tcPr>
            <w:tcW w:w="2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25"/>
        </w:trPr>
        <w:tc>
          <w:tcPr>
            <w:tcW w:w="20" w:type="dxa"/>
            <w:vAlign w:val="bottom"/>
          </w:tcPr>
          <w:p>
            <w:pPr>
              <w:spacing w:after="0"/>
              <w:rPr>
                <w:sz w:val="19"/>
                <w:szCs w:val="19"/>
                <w:color w:val="auto"/>
              </w:rPr>
            </w:pPr>
          </w:p>
        </w:tc>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Amortization of net actuarial loss</w:t>
            </w:r>
          </w:p>
        </w:tc>
        <w:tc>
          <w:tcPr>
            <w:tcW w:w="2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1,664</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3,328</w:t>
            </w:r>
          </w:p>
        </w:tc>
      </w:tr>
      <w:tr>
        <w:trPr>
          <w:trHeight w:val="236"/>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Total pretax amount reclassified</w:t>
            </w:r>
          </w:p>
        </w:tc>
        <w:tc>
          <w:tcPr>
            <w:tcW w:w="2960" w:type="dxa"/>
            <w:vAlign w:val="bottom"/>
          </w:tcPr>
          <w:p>
            <w:pPr>
              <w:jc w:val="right"/>
              <w:ind w:right="490"/>
              <w:spacing w:after="0"/>
              <w:rPr>
                <w:sz w:val="20"/>
                <w:szCs w:val="20"/>
                <w:color w:val="auto"/>
              </w:rPr>
            </w:pPr>
            <w:r>
              <w:rPr>
                <w:rFonts w:ascii="Arial" w:cs="Arial" w:eastAsia="Arial" w:hAnsi="Arial"/>
                <w:sz w:val="18"/>
                <w:szCs w:val="18"/>
                <w:color w:val="auto"/>
              </w:rPr>
              <w:t>773</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1,545</w:t>
            </w:r>
          </w:p>
        </w:tc>
      </w:tr>
      <w:tr>
        <w:trPr>
          <w:trHeight w:val="36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(270)</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173"/>
        </w:trPr>
        <w:tc>
          <w:tcPr>
            <w:tcW w:w="6440" w:type="dxa"/>
            <w:vAlign w:val="bottom"/>
            <w:gridSpan w:val="2"/>
          </w:tcPr>
          <w:p>
            <w:pPr>
              <w:spacing w:after="0" w:line="173"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29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5"/>
        </w:trPr>
        <w:tc>
          <w:tcPr>
            <w:tcW w:w="6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Comprehensive Income</w:t>
            </w:r>
          </w:p>
        </w:tc>
        <w:tc>
          <w:tcPr>
            <w:tcW w:w="2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$503</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71" w:lineRule="exact"/>
        <w:rPr>
          <w:sz w:val="20"/>
          <w:szCs w:val="20"/>
          <w:color w:val="auto"/>
        </w:rPr>
      </w:pPr>
    </w:p>
    <w:p>
      <w:pPr>
        <w:ind w:right="260" w:firstLine="648"/>
        <w:spacing w:after="0" w:line="245" w:lineRule="auto"/>
        <w:rPr>
          <w:sz w:val="20"/>
          <w:szCs w:val="20"/>
          <w:color w:val="auto"/>
        </w:rPr>
      </w:pPr>
      <w:r>
        <w:rPr>
          <w:rFonts w:ascii="Arial" w:cs="Arial" w:eastAsia="Arial" w:hAnsi="Arial"/>
          <w:sz w:val="18"/>
          <w:szCs w:val="18"/>
          <w:color w:val="auto"/>
        </w:rPr>
        <w:t>Accounts receivable includes trade receivables and revenue in excess of progress billings on Engineered Composites contracts accounted for under the percentage of completion method.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065"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3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June 30, 2013</w:t>
            </w: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December 31, 2012</w:t>
            </w:r>
          </w:p>
        </w:tc>
      </w:tr>
      <w:tr>
        <w:trPr>
          <w:trHeight w:val="171"/>
        </w:trPr>
        <w:tc>
          <w:tcPr>
            <w:tcW w:w="6340" w:type="dxa"/>
            <w:vAlign w:val="bottom"/>
          </w:tcPr>
          <w:p>
            <w:pPr>
              <w:ind w:left="40"/>
              <w:spacing w:after="0" w:line="171" w:lineRule="exact"/>
              <w:rPr>
                <w:sz w:val="20"/>
                <w:szCs w:val="20"/>
                <w:color w:val="auto"/>
              </w:rPr>
            </w:pPr>
            <w:r>
              <w:rPr>
                <w:rFonts w:ascii="Arial" w:cs="Arial" w:eastAsia="Arial" w:hAnsi="Arial"/>
                <w:sz w:val="18"/>
                <w:szCs w:val="18"/>
                <w:color w:val="auto"/>
              </w:rPr>
              <w:t>Trade accounts receivable</w:t>
            </w:r>
          </w:p>
        </w:tc>
        <w:tc>
          <w:tcPr>
            <w:tcW w:w="3100" w:type="dxa"/>
            <w:vAlign w:val="bottom"/>
          </w:tcPr>
          <w:p>
            <w:pPr>
              <w:jc w:val="right"/>
              <w:ind w:right="150"/>
              <w:spacing w:after="0" w:line="171" w:lineRule="exact"/>
              <w:rPr>
                <w:sz w:val="20"/>
                <w:szCs w:val="20"/>
                <w:color w:val="auto"/>
              </w:rPr>
            </w:pPr>
            <w:r>
              <w:rPr>
                <w:rFonts w:ascii="Arial" w:cs="Arial" w:eastAsia="Arial" w:hAnsi="Arial"/>
                <w:sz w:val="18"/>
                <w:szCs w:val="18"/>
                <w:b w:val="1"/>
                <w:bCs w:val="1"/>
                <w:color w:val="auto"/>
              </w:rPr>
              <w:t>$154,279</w:t>
            </w:r>
          </w:p>
        </w:tc>
        <w:tc>
          <w:tcPr>
            <w:tcW w:w="1980" w:type="dxa"/>
            <w:vAlign w:val="bottom"/>
          </w:tcPr>
          <w:p>
            <w:pPr>
              <w:jc w:val="right"/>
              <w:spacing w:after="0" w:line="171" w:lineRule="exact"/>
              <w:rPr>
                <w:sz w:val="20"/>
                <w:szCs w:val="20"/>
                <w:color w:val="auto"/>
              </w:rPr>
            </w:pPr>
            <w:r>
              <w:rPr>
                <w:rFonts w:ascii="Arial" w:cs="Arial" w:eastAsia="Arial" w:hAnsi="Arial"/>
                <w:sz w:val="18"/>
                <w:szCs w:val="18"/>
                <w:color w:val="auto"/>
              </w:rPr>
              <w:t>$149,737</w:t>
            </w:r>
          </w:p>
        </w:tc>
      </w:tr>
      <w:tr>
        <w:trPr>
          <w:trHeight w:val="203"/>
        </w:trPr>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Revenue in excess of progress billings</w:t>
            </w:r>
          </w:p>
        </w:tc>
        <w:tc>
          <w:tcPr>
            <w:tcW w:w="31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15,688</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17,105</w:t>
            </w:r>
          </w:p>
        </w:tc>
      </w:tr>
      <w:tr>
        <w:trPr>
          <w:trHeight w:val="203"/>
        </w:trPr>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Receivables related to the sale of discontinued businesses</w:t>
            </w:r>
          </w:p>
        </w:tc>
        <w:tc>
          <w:tcPr>
            <w:tcW w:w="31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16,795</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16,555</w:t>
            </w:r>
          </w:p>
        </w:tc>
      </w:tr>
      <w:tr>
        <w:trPr>
          <w:trHeight w:val="227"/>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allowance for doubtful accounts</w:t>
            </w:r>
          </w:p>
        </w:tc>
        <w:tc>
          <w:tcPr>
            <w:tcW w:w="3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(11,881)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w:t>
            </w:r>
          </w:p>
        </w:tc>
      </w:tr>
      <w:tr>
        <w:trPr>
          <w:trHeight w:val="196"/>
        </w:trPr>
        <w:tc>
          <w:tcPr>
            <w:tcW w:w="63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Accounts receivable, net</w:t>
            </w:r>
          </w:p>
        </w:tc>
        <w:tc>
          <w:tcPr>
            <w:tcW w:w="3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$174,881</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$171,535</w:t>
            </w:r>
          </w:p>
        </w:tc>
      </w:tr>
      <w:tr>
        <w:trPr>
          <w:trHeight w:val="613"/>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11. Inventories</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0"/>
        </w:trPr>
        <w:tc>
          <w:tcPr>
            <w:tcW w:w="6340" w:type="dxa"/>
            <w:vAlign w:val="bottom"/>
          </w:tcPr>
          <w:p>
            <w:pPr>
              <w:ind w:left="660"/>
              <w:spacing w:after="0"/>
              <w:rPr>
                <w:sz w:val="20"/>
                <w:szCs w:val="20"/>
                <w:color w:val="auto"/>
              </w:rPr>
            </w:pPr>
            <w:r>
              <w:rPr>
                <w:rFonts w:ascii="Arial" w:cs="Arial" w:eastAsia="Arial" w:hAnsi="Arial"/>
                <w:sz w:val="18"/>
                <w:szCs w:val="18"/>
                <w:color w:val="auto"/>
              </w:rPr>
              <w:t>The components of Inventories are summarized below:</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58"/>
        </w:trPr>
        <w:tc>
          <w:tcPr>
            <w:tcW w:w="63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r>
      <w:tr>
        <w:trPr>
          <w:trHeight w:val="399"/>
        </w:trPr>
        <w:tc>
          <w:tcPr>
            <w:tcW w:w="6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 thousands)</w:t>
            </w:r>
          </w:p>
        </w:tc>
        <w:tc>
          <w:tcPr>
            <w:tcW w:w="3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2013</w:t>
            </w:r>
          </w:p>
        </w:tc>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December 31, 2012</w:t>
            </w:r>
          </w:p>
        </w:tc>
      </w:tr>
      <w:tr>
        <w:trPr>
          <w:trHeight w:val="171"/>
        </w:trPr>
        <w:tc>
          <w:tcPr>
            <w:tcW w:w="6340" w:type="dxa"/>
            <w:vAlign w:val="bottom"/>
          </w:tcPr>
          <w:p>
            <w:pPr>
              <w:ind w:left="40"/>
              <w:spacing w:after="0" w:line="171" w:lineRule="exact"/>
              <w:rPr>
                <w:sz w:val="20"/>
                <w:szCs w:val="20"/>
                <w:color w:val="auto"/>
              </w:rPr>
            </w:pPr>
            <w:r>
              <w:rPr>
                <w:rFonts w:ascii="Arial" w:cs="Arial" w:eastAsia="Arial" w:hAnsi="Arial"/>
                <w:sz w:val="18"/>
                <w:szCs w:val="18"/>
                <w:color w:val="auto"/>
              </w:rPr>
              <w:t>Finished goods</w:t>
            </w:r>
          </w:p>
        </w:tc>
        <w:tc>
          <w:tcPr>
            <w:tcW w:w="3100" w:type="dxa"/>
            <w:vAlign w:val="bottom"/>
          </w:tcPr>
          <w:p>
            <w:pPr>
              <w:jc w:val="right"/>
              <w:ind w:right="10"/>
              <w:spacing w:after="0" w:line="171" w:lineRule="exact"/>
              <w:rPr>
                <w:sz w:val="20"/>
                <w:szCs w:val="20"/>
                <w:color w:val="auto"/>
              </w:rPr>
            </w:pPr>
            <w:r>
              <w:rPr>
                <w:rFonts w:ascii="Arial" w:cs="Arial" w:eastAsia="Arial" w:hAnsi="Arial"/>
                <w:sz w:val="18"/>
                <w:szCs w:val="18"/>
                <w:b w:val="1"/>
                <w:bCs w:val="1"/>
                <w:color w:val="auto"/>
              </w:rPr>
              <w:t>$48,698</w:t>
            </w:r>
          </w:p>
        </w:tc>
        <w:tc>
          <w:tcPr>
            <w:tcW w:w="1980" w:type="dxa"/>
            <w:vAlign w:val="bottom"/>
          </w:tcPr>
          <w:p>
            <w:pPr>
              <w:jc w:val="right"/>
              <w:spacing w:after="0" w:line="171" w:lineRule="exact"/>
              <w:rPr>
                <w:sz w:val="20"/>
                <w:szCs w:val="20"/>
                <w:color w:val="auto"/>
              </w:rPr>
            </w:pPr>
            <w:r>
              <w:rPr>
                <w:rFonts w:ascii="Arial" w:cs="Arial" w:eastAsia="Arial" w:hAnsi="Arial"/>
                <w:sz w:val="18"/>
                <w:szCs w:val="18"/>
                <w:color w:val="auto"/>
              </w:rPr>
              <w:t>$49,235</w:t>
            </w:r>
          </w:p>
        </w:tc>
      </w:tr>
      <w:tr>
        <w:trPr>
          <w:trHeight w:val="203"/>
        </w:trPr>
        <w:tc>
          <w:tcPr>
            <w:tcW w:w="634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3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42,871</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44,866</w:t>
            </w:r>
          </w:p>
        </w:tc>
      </w:tr>
      <w:tr>
        <w:trPr>
          <w:trHeight w:val="227"/>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Raw material and supplies</w:t>
            </w:r>
          </w:p>
        </w:tc>
        <w:tc>
          <w:tcPr>
            <w:tcW w:w="3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25,874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25,082</w:t>
            </w:r>
          </w:p>
        </w:tc>
      </w:tr>
      <w:tr>
        <w:trPr>
          <w:trHeight w:val="196"/>
        </w:trPr>
        <w:tc>
          <w:tcPr>
            <w:tcW w:w="63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inventories</w:t>
            </w:r>
          </w:p>
        </w:tc>
        <w:tc>
          <w:tcPr>
            <w:tcW w:w="3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$117,443</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$119,183</w:t>
            </w:r>
          </w:p>
        </w:tc>
      </w:tr>
    </w:tbl>
    <w:p>
      <w:pPr>
        <w:spacing w:after="0" w:line="36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71"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5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57"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5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entire balance of goodwill is attributable to the Machine Clothing business. In the second quarter of 2013 the Company applied the quantitative assessment approach in performing its annual evaluation of goodwill and concluded that no impairment provision was required. In addition, there were no amounts at risk due to the large spread between the fair and carrying values.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6" w:name="page17"/>
    <w:bookmarkEnd w:id="16"/>
    <w:p>
      <w:pPr>
        <w:ind w:right="540" w:firstLine="648"/>
        <w:spacing w:after="0" w:line="27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2012 to June 30, 2013,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Balance at</w:t>
            </w:r>
          </w:p>
        </w:tc>
        <w:tc>
          <w:tcPr>
            <w:tcW w:w="17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rPr>
              <w:t>Currency</w:t>
            </w:r>
          </w:p>
        </w:tc>
        <w:tc>
          <w:tcPr>
            <w:tcW w:w="1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7"/>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2012</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16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376"/>
        </w:trPr>
        <w:tc>
          <w:tcPr>
            <w:tcW w:w="370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2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1"/>
        </w:trPr>
        <w:tc>
          <w:tcPr>
            <w:tcW w:w="3700" w:type="dxa"/>
            <w:vAlign w:val="bottom"/>
          </w:tcPr>
          <w:p>
            <w:pPr>
              <w:ind w:left="180"/>
              <w:spacing w:after="0" w:line="201" w:lineRule="exact"/>
              <w:rPr>
                <w:sz w:val="20"/>
                <w:szCs w:val="20"/>
                <w:color w:val="auto"/>
              </w:rPr>
            </w:pPr>
            <w:r>
              <w:rPr>
                <w:rFonts w:ascii="Arial" w:cs="Arial" w:eastAsia="Arial" w:hAnsi="Arial"/>
                <w:sz w:val="18"/>
                <w:szCs w:val="18"/>
                <w:color w:val="auto"/>
              </w:rPr>
              <w:t>AEC trade names</w:t>
            </w:r>
          </w:p>
        </w:tc>
        <w:tc>
          <w:tcPr>
            <w:tcW w:w="294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$38</w:t>
            </w:r>
          </w:p>
        </w:tc>
        <w:tc>
          <w:tcPr>
            <w:tcW w:w="176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($2)</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AEC customer contracts</w:t>
            </w:r>
          </w:p>
        </w:tc>
        <w:tc>
          <w:tcPr>
            <w:tcW w:w="29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606</w:t>
            </w:r>
          </w:p>
        </w:tc>
        <w:tc>
          <w:tcPr>
            <w:tcW w:w="17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(101)</w:t>
            </w:r>
          </w:p>
        </w:tc>
        <w:tc>
          <w:tcPr>
            <w:tcW w:w="920" w:type="dxa"/>
            <w:vAlign w:val="bottom"/>
          </w:tcPr>
          <w:p>
            <w:pPr>
              <w:spacing w:after="0"/>
              <w:rPr>
                <w:sz w:val="17"/>
                <w:szCs w:val="17"/>
                <w:color w:val="auto"/>
              </w:rPr>
            </w:pPr>
          </w:p>
        </w:tc>
        <w:tc>
          <w:tcPr>
            <w:tcW w:w="6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27"/>
        </w:trPr>
        <w:tc>
          <w:tcPr>
            <w:tcW w:w="3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AEC technology</w:t>
            </w:r>
          </w:p>
        </w:tc>
        <w:tc>
          <w:tcPr>
            <w:tcW w:w="2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204</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amortized intangible assets</w:t>
            </w:r>
          </w:p>
        </w:tc>
        <w:tc>
          <w:tcPr>
            <w:tcW w:w="29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$848</w:t>
            </w:r>
          </w:p>
        </w:tc>
        <w:tc>
          <w:tcPr>
            <w:tcW w:w="17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($115)</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$733</w:t>
            </w:r>
          </w:p>
        </w:tc>
        <w:tc>
          <w:tcPr>
            <w:tcW w:w="0" w:type="dxa"/>
            <w:vAlign w:val="bottom"/>
          </w:tcPr>
          <w:p>
            <w:pPr>
              <w:spacing w:after="0"/>
              <w:rPr>
                <w:sz w:val="1"/>
                <w:szCs w:val="1"/>
                <w:color w:val="auto"/>
              </w:rPr>
            </w:pPr>
          </w:p>
        </w:tc>
      </w:tr>
      <w:tr>
        <w:trPr>
          <w:trHeight w:val="376"/>
        </w:trPr>
        <w:tc>
          <w:tcPr>
            <w:tcW w:w="3700" w:type="dxa"/>
            <w:vAlign w:val="bottom"/>
          </w:tcPr>
          <w:p>
            <w:pPr>
              <w:ind w:left="40"/>
              <w:spacing w:after="0"/>
              <w:rPr>
                <w:sz w:val="20"/>
                <w:szCs w:val="20"/>
                <w:color w:val="auto"/>
              </w:rPr>
            </w:pPr>
            <w:r>
              <w:rPr>
                <w:rFonts w:ascii="Arial" w:cs="Arial" w:eastAsia="Arial" w:hAnsi="Arial"/>
                <w:sz w:val="18"/>
                <w:szCs w:val="18"/>
                <w:color w:val="auto"/>
              </w:rPr>
              <w:t>Unamortized intangible assets:</w:t>
            </w:r>
          </w:p>
        </w:tc>
        <w:tc>
          <w:tcPr>
            <w:tcW w:w="2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$75,688</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Goodwill</w:t>
            </w:r>
          </w:p>
        </w:tc>
        <w:tc>
          <w:tcPr>
            <w:tcW w:w="2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$76,522</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834)</w:t>
            </w: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 balance of goodwill was $75.7 million and was completely attributable to our Machine Clothing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intangibles for the years ending December 31, 2013 through 2017,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8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Annual amortization</w:t>
            </w:r>
          </w:p>
        </w:tc>
      </w:tr>
      <w:tr>
        <w:trPr>
          <w:trHeight w:val="177"/>
        </w:trPr>
        <w:tc>
          <w:tcPr>
            <w:tcW w:w="2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8"/>
              </w:rPr>
              <w:t>Year</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173"/>
        </w:trPr>
        <w:tc>
          <w:tcPr>
            <w:tcW w:w="2180" w:type="dxa"/>
            <w:vAlign w:val="bottom"/>
          </w:tcPr>
          <w:p>
            <w:pPr>
              <w:jc w:val="center"/>
              <w:ind w:right="93"/>
              <w:spacing w:after="0" w:line="173" w:lineRule="exact"/>
              <w:rPr>
                <w:sz w:val="20"/>
                <w:szCs w:val="20"/>
                <w:color w:val="auto"/>
              </w:rPr>
            </w:pPr>
            <w:r>
              <w:rPr>
                <w:rFonts w:ascii="Arial" w:cs="Arial" w:eastAsia="Arial" w:hAnsi="Arial"/>
                <w:sz w:val="18"/>
                <w:szCs w:val="18"/>
                <w:color w:val="auto"/>
                <w:w w:val="99"/>
              </w:rPr>
              <w:t>2013</w:t>
            </w:r>
          </w:p>
        </w:tc>
        <w:tc>
          <w:tcPr>
            <w:tcW w:w="2400" w:type="dxa"/>
            <w:vAlign w:val="bottom"/>
          </w:tcPr>
          <w:p>
            <w:pPr>
              <w:jc w:val="right"/>
              <w:spacing w:after="0" w:line="173" w:lineRule="exact"/>
              <w:rPr>
                <w:sz w:val="20"/>
                <w:szCs w:val="20"/>
                <w:color w:val="auto"/>
              </w:rPr>
            </w:pPr>
            <w:r>
              <w:rPr>
                <w:rFonts w:ascii="Arial" w:cs="Arial" w:eastAsia="Arial" w:hAnsi="Arial"/>
                <w:sz w:val="18"/>
                <w:szCs w:val="18"/>
                <w:color w:val="auto"/>
              </w:rPr>
              <w:t>$231</w:t>
            </w:r>
          </w:p>
        </w:tc>
      </w:tr>
      <w:tr>
        <w:trPr>
          <w:trHeight w:val="203"/>
        </w:trPr>
        <w:tc>
          <w:tcPr>
            <w:tcW w:w="2180" w:type="dxa"/>
            <w:vAlign w:val="bottom"/>
          </w:tcPr>
          <w:p>
            <w:pPr>
              <w:jc w:val="center"/>
              <w:ind w:right="93"/>
              <w:spacing w:after="0" w:line="202" w:lineRule="exact"/>
              <w:rPr>
                <w:sz w:val="20"/>
                <w:szCs w:val="20"/>
                <w:color w:val="auto"/>
              </w:rPr>
            </w:pPr>
            <w:r>
              <w:rPr>
                <w:rFonts w:ascii="Arial" w:cs="Arial" w:eastAsia="Arial" w:hAnsi="Arial"/>
                <w:sz w:val="18"/>
                <w:szCs w:val="18"/>
                <w:color w:val="auto"/>
                <w:w w:val="99"/>
              </w:rPr>
              <w:t>2014</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180" w:type="dxa"/>
            <w:vAlign w:val="bottom"/>
          </w:tcPr>
          <w:p>
            <w:pPr>
              <w:jc w:val="center"/>
              <w:ind w:right="93"/>
              <w:spacing w:after="0" w:line="202" w:lineRule="exact"/>
              <w:rPr>
                <w:sz w:val="20"/>
                <w:szCs w:val="20"/>
                <w:color w:val="auto"/>
              </w:rPr>
            </w:pPr>
            <w:r>
              <w:rPr>
                <w:rFonts w:ascii="Arial" w:cs="Arial" w:eastAsia="Arial" w:hAnsi="Arial"/>
                <w:sz w:val="18"/>
                <w:szCs w:val="18"/>
                <w:color w:val="auto"/>
                <w:w w:val="99"/>
              </w:rPr>
              <w:t>2015</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180" w:type="dxa"/>
            <w:vAlign w:val="bottom"/>
          </w:tcPr>
          <w:p>
            <w:pPr>
              <w:jc w:val="center"/>
              <w:ind w:right="93"/>
              <w:spacing w:after="0" w:line="202" w:lineRule="exact"/>
              <w:rPr>
                <w:sz w:val="20"/>
                <w:szCs w:val="20"/>
                <w:color w:val="auto"/>
              </w:rPr>
            </w:pPr>
            <w:r>
              <w:rPr>
                <w:rFonts w:ascii="Arial" w:cs="Arial" w:eastAsia="Arial" w:hAnsi="Arial"/>
                <w:sz w:val="18"/>
                <w:szCs w:val="18"/>
                <w:color w:val="auto"/>
                <w:w w:val="99"/>
              </w:rPr>
              <w:t>2016</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25"/>
        </w:trPr>
        <w:tc>
          <w:tcPr>
            <w:tcW w:w="21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9"/>
              </w:rPr>
              <w:t>2017</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17"/>
                <w:szCs w:val="17"/>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76"/>
        </w:trPr>
        <w:tc>
          <w:tcPr>
            <w:tcW w:w="6840" w:type="dxa"/>
            <w:vAlign w:val="bottom"/>
          </w:tcPr>
          <w:p>
            <w:pPr>
              <w:ind w:left="40"/>
              <w:spacing w:after="0"/>
              <w:rPr>
                <w:sz w:val="20"/>
                <w:szCs w:val="20"/>
                <w:color w:val="auto"/>
              </w:rPr>
            </w:pPr>
            <w:r>
              <w:rPr>
                <w:rFonts w:ascii="Arial" w:cs="Arial" w:eastAsia="Arial" w:hAnsi="Arial"/>
                <w:sz w:val="18"/>
                <w:szCs w:val="18"/>
                <w:color w:val="auto"/>
              </w:rPr>
              <w:t>Convertible notes, par value $28,437, issued in March 2006 with fixed</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7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40" w:type="dxa"/>
            <w:vAlign w:val="bottom"/>
          </w:tcPr>
          <w:p>
            <w:pPr>
              <w:ind w:left="40"/>
              <w:spacing w:after="0"/>
              <w:rPr>
                <w:sz w:val="20"/>
                <w:szCs w:val="20"/>
                <w:color w:val="auto"/>
              </w:rPr>
            </w:pPr>
            <w:r>
              <w:rPr>
                <w:rFonts w:ascii="Arial" w:cs="Arial" w:eastAsia="Arial" w:hAnsi="Arial"/>
                <w:sz w:val="18"/>
                <w:szCs w:val="18"/>
                <w:color w:val="auto"/>
              </w:rPr>
              <w:t>contractual interest rates of 2.25%, due in 2026, redeemed March 2013</w:t>
            </w:r>
          </w:p>
        </w:tc>
        <w:tc>
          <w:tcPr>
            <w:tcW w:w="76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405"/>
        </w:trPr>
        <w:tc>
          <w:tcPr>
            <w:tcW w:w="6840" w:type="dxa"/>
            <w:vAlign w:val="bottom"/>
          </w:tcPr>
          <w:p>
            <w:pPr>
              <w:ind w:left="40"/>
              <w:spacing w:after="0"/>
              <w:rPr>
                <w:sz w:val="20"/>
                <w:szCs w:val="20"/>
                <w:color w:val="auto"/>
              </w:rPr>
            </w:pPr>
            <w:r>
              <w:rPr>
                <w:rFonts w:ascii="Arial" w:cs="Arial" w:eastAsia="Arial" w:hAnsi="Arial"/>
                <w:sz w:val="18"/>
                <w:szCs w:val="18"/>
                <w:color w:val="auto"/>
              </w:rPr>
              <w:t>Private placement with a fixed interest rate of 6.84%, due in 2013 through 2017</w:t>
            </w:r>
          </w:p>
        </w:tc>
        <w:tc>
          <w:tcPr>
            <w:tcW w:w="76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150,000</w:t>
            </w:r>
          </w:p>
        </w:tc>
        <w:tc>
          <w:tcPr>
            <w:tcW w:w="64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357"/>
        </w:trPr>
        <w:tc>
          <w:tcPr>
            <w:tcW w:w="6840" w:type="dxa"/>
            <w:vAlign w:val="bottom"/>
          </w:tcPr>
          <w:p>
            <w:pPr>
              <w:ind w:left="40"/>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760" w:type="dxa"/>
            <w:vAlign w:val="bottom"/>
          </w:tcPr>
          <w:p>
            <w:pPr>
              <w:spacing w:after="0"/>
              <w:rPr>
                <w:sz w:val="24"/>
                <w:szCs w:val="24"/>
                <w:color w:val="auto"/>
              </w:rPr>
            </w:pPr>
          </w:p>
        </w:tc>
        <w:tc>
          <w:tcPr>
            <w:tcW w:w="17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164,000</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40" w:type="dxa"/>
            <w:vAlign w:val="bottom"/>
          </w:tcPr>
          <w:p>
            <w:pPr>
              <w:ind w:left="40"/>
              <w:spacing w:after="0"/>
              <w:rPr>
                <w:sz w:val="20"/>
                <w:szCs w:val="20"/>
                <w:color w:val="auto"/>
              </w:rPr>
            </w:pPr>
            <w:r>
              <w:rPr>
                <w:rFonts w:ascii="Arial" w:cs="Arial" w:eastAsia="Arial" w:hAnsi="Arial"/>
                <w:sz w:val="18"/>
                <w:szCs w:val="18"/>
                <w:color w:val="auto"/>
              </w:rPr>
              <w:t>of 2.75% in 2013 and 3.92% in 2012, due in 2018</w:t>
            </w:r>
          </w:p>
        </w:tc>
        <w:tc>
          <w:tcPr>
            <w:tcW w:w="76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357"/>
        </w:trPr>
        <w:tc>
          <w:tcPr>
            <w:tcW w:w="6840" w:type="dxa"/>
            <w:vAlign w:val="bottom"/>
          </w:tcPr>
          <w:p>
            <w:pPr>
              <w:ind w:left="40"/>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40"/>
              <w:spacing w:after="0" w:line="202" w:lineRule="exact"/>
              <w:rPr>
                <w:sz w:val="20"/>
                <w:szCs w:val="20"/>
                <w:color w:val="auto"/>
              </w:rPr>
            </w:pPr>
            <w:r>
              <w:rPr>
                <w:rFonts w:ascii="Arial" w:cs="Arial" w:eastAsia="Arial" w:hAnsi="Arial"/>
                <w:sz w:val="18"/>
                <w:szCs w:val="18"/>
                <w:color w:val="auto"/>
              </w:rPr>
              <w:t>United States, at an average end of period rate of 3.07% in 2013 and 3.06% in</w:t>
            </w:r>
          </w:p>
        </w:tc>
        <w:tc>
          <w:tcPr>
            <w:tcW w:w="760" w:type="dxa"/>
            <w:vAlign w:val="bottom"/>
          </w:tcPr>
          <w:p>
            <w:pPr>
              <w:spacing w:after="0"/>
              <w:rPr>
                <w:sz w:val="17"/>
                <w:szCs w:val="17"/>
                <w:color w:val="auto"/>
              </w:rPr>
            </w:pPr>
          </w:p>
        </w:tc>
        <w:tc>
          <w:tcPr>
            <w:tcW w:w="17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6,382</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2012, due in varying amounts through 2021</w:t>
            </w:r>
          </w:p>
        </w:tc>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424"/>
        </w:trPr>
        <w:tc>
          <w:tcPr>
            <w:tcW w:w="68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320,382</w:t>
            </w:r>
          </w:p>
        </w:tc>
        <w:tc>
          <w:tcPr>
            <w:tcW w:w="64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319,153</w:t>
            </w:r>
          </w:p>
        </w:tc>
        <w:tc>
          <w:tcPr>
            <w:tcW w:w="0" w:type="dxa"/>
            <w:vAlign w:val="bottom"/>
          </w:tcPr>
          <w:p>
            <w:pPr>
              <w:spacing w:after="0"/>
              <w:rPr>
                <w:sz w:val="1"/>
                <w:szCs w:val="1"/>
                <w:color w:val="auto"/>
              </w:rPr>
            </w:pPr>
          </w:p>
        </w:tc>
      </w:tr>
      <w:tr>
        <w:trPr>
          <w:trHeight w:val="380"/>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(55,014)</w:t>
            </w:r>
          </w:p>
        </w:tc>
        <w:tc>
          <w:tcPr>
            <w:tcW w:w="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399"/>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Long-term debt, net of current portion</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265,368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note agreement and guaranty (“Prudential agreement”) was entered into in October 2005, and was amended and restated September 17, 2010 and March 26, 2013, with the Prudential Insurance Company of America, and on certain other purchasers, in an aggregate principal amount of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June 30, 2013, the fair value of the Prudential agreement was approximately $168.5 million, which was measured using active market interest rates, which would be considered Level 2 for fair value measurement purposes.</w:t>
      </w:r>
    </w:p>
    <w:p>
      <w:pPr>
        <w:spacing w:after="0" w:line="176"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$164 million of borrowings were outstanding as of June 30, 2013. The Credit agreement replaces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June 24, 2013, the spread was 1.375%. The spread is based on a pricing grid, which can go as low as 1.25% or as high as 1.875%, based on our leverage ratio.</w:t>
      </w:r>
    </w:p>
    <w:p>
      <w:pPr>
        <w:spacing w:after="0" w:line="174"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8" w:name="page19"/>
    <w:bookmarkEnd w:id="18"/>
    <w:p>
      <w:pPr>
        <w:ind w:right="120"/>
        <w:spacing w:after="0" w:line="276" w:lineRule="auto"/>
        <w:rPr>
          <w:sz w:val="20"/>
          <w:szCs w:val="20"/>
          <w:color w:val="auto"/>
        </w:rPr>
      </w:pPr>
      <w:r>
        <w:rPr>
          <w:rFonts w:ascii="Arial" w:cs="Arial" w:eastAsia="Arial" w:hAnsi="Arial"/>
          <w:sz w:val="18"/>
          <w:szCs w:val="18"/>
          <w:color w:val="auto"/>
        </w:rPr>
        <w:t>without modification to any other Credit agreements, as of June 30, 2013 we would have been able to borrow an additional $166 million under the Credit agreement.</w:t>
      </w:r>
    </w:p>
    <w:p>
      <w:pPr>
        <w:spacing w:after="0" w:line="132"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for five years. Under the terms of these transactions, we pay the fixed rate of 2.04% and the counterparties pay a floating rate based on the three-month LIBOR rate at each quarterly calculation date, which on April 16, 2013 was 0.28%. The net effect is to fix the effective interest rate on $105 million of indebtedness at 2.04%, plus the applicable spread, until these swap agreements expire on July 16, 2015. As of June 30, 2013, the all-in rate on the $105 million of debt was 3.415%.</w:t>
      </w:r>
    </w:p>
    <w:p>
      <w:pPr>
        <w:spacing w:after="0" w:line="161"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the indebtedness drawn under the Credit agreement at the rate of 1.414% during this period. Under the terms of these transactions, we pay the fixed rate of 1.414% and the counterparties pay a floating rate based on the one-month LIBOR rate at each monthly calculation date, which on June 28, 2013 was 0.19%. The net effect is to fix the effective interest rate on $110 million of indebtedness at 1.414%, plus the applicable spread, during the swap period.</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The interest rate swaps are accounted for as a hedge of future cash flows, as further described in Note 14 of the Notes to Consolidated Financial Statements. No cash collateral was received or pledged in relation to the swap agreements.</w:t>
      </w:r>
    </w:p>
    <w:p>
      <w:pPr>
        <w:spacing w:after="0" w:line="132"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We are currently required to maintain a leverage ratio of not greater than 3.50 to 1.00 and minimum interest coverage of 3.00 to 1.00 under the Credit agreement and Prudential agreement.</w:t>
      </w:r>
    </w:p>
    <w:p>
      <w:pPr>
        <w:spacing w:after="0" w:line="132" w:lineRule="exact"/>
        <w:rPr>
          <w:sz w:val="20"/>
          <w:szCs w:val="20"/>
          <w:color w:val="auto"/>
        </w:rPr>
      </w:pPr>
    </w:p>
    <w:p>
      <w:pPr>
        <w:jc w:val="both"/>
        <w:ind w:right="560" w:firstLine="648"/>
        <w:spacing w:after="0" w:line="255" w:lineRule="auto"/>
        <w:rPr>
          <w:sz w:val="20"/>
          <w:szCs w:val="20"/>
          <w:color w:val="auto"/>
        </w:rPr>
      </w:pPr>
      <w:r>
        <w:rPr>
          <w:rFonts w:ascii="Arial" w:cs="Arial" w:eastAsia="Arial" w:hAnsi="Arial"/>
          <w:sz w:val="18"/>
          <w:szCs w:val="18"/>
          <w:color w:val="auto"/>
        </w:rPr>
        <w:t>As of June 30, 2013, our leverage ratio was 1.75 to 1.00 and our interest coverage ratio was 8.57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51" w:lineRule="exact"/>
        <w:rPr>
          <w:sz w:val="20"/>
          <w:szCs w:val="20"/>
          <w:color w:val="auto"/>
        </w:rPr>
      </w:pPr>
    </w:p>
    <w:p>
      <w:pPr>
        <w:ind w:right="520" w:firstLine="648"/>
        <w:spacing w:after="0" w:line="276" w:lineRule="auto"/>
        <w:rPr>
          <w:sz w:val="20"/>
          <w:szCs w:val="20"/>
          <w:color w:val="auto"/>
        </w:rPr>
      </w:pPr>
      <w:r>
        <w:rPr>
          <w:rFonts w:ascii="Arial" w:cs="Arial" w:eastAsia="Arial" w:hAnsi="Arial"/>
          <w:sz w:val="18"/>
          <w:szCs w:val="18"/>
          <w:color w:val="auto"/>
        </w:rPr>
        <w:t>On March 15, 2013, the Company redeemed, at 100 percent of par, all remaining 2.25% Convertible Senior Notes due 2026 (the “Notes”). The cash payments of $28.4 million were funded by increased borrowings under the Credit agreement.</w:t>
      </w:r>
    </w:p>
    <w:p>
      <w:pPr>
        <w:spacing w:after="0" w:line="132"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were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 The Notes hedge and warrant transactions had a net cost of $14.7 million. The hedge transactions expired on March 15, 2013.</w:t>
      </w:r>
    </w:p>
    <w:p>
      <w:pPr>
        <w:spacing w:after="0" w:line="159"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which began on June 15, 2013, with a final expiration date of September 10,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9" w:name="page20"/>
    <w:bookmarkEnd w:id="19"/>
    <w:p>
      <w:pPr>
        <w:spacing w:after="0" w:line="248" w:lineRule="auto"/>
        <w:rPr>
          <w:sz w:val="20"/>
          <w:szCs w:val="20"/>
          <w:color w:val="auto"/>
        </w:rPr>
      </w:pPr>
      <w:r>
        <w:rPr>
          <w:rFonts w:ascii="Arial" w:cs="Arial" w:eastAsia="Arial" w:hAnsi="Arial"/>
          <w:sz w:val="18"/>
          <w:szCs w:val="18"/>
          <w:color w:val="auto"/>
        </w:rPr>
        <w:t>number of warrants exercised multiplied by (ii) the excess of the volume weighted average price of our Class A common stock on the expiration date of such warrants (the “settlement price”) over the strike price. Under net share settlement, we will deliver to the warrant holders a number of shares of our Class A common stock equal to, for each exercise of warrants, the amount payable upon net cash settlement divided by the settlement price.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under the Prudential agreement and the Credit agreement is ranked equally in right of payment to all unsecured senior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June 30, 2013.</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8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16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62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57"/>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3"/>
                <w:szCs w:val="13"/>
                <w:color w:val="auto"/>
              </w:rPr>
            </w:pPr>
          </w:p>
        </w:tc>
        <w:tc>
          <w:tcPr>
            <w:tcW w:w="1440" w:type="dxa"/>
            <w:vAlign w:val="bottom"/>
          </w:tcPr>
          <w:p>
            <w:pPr>
              <w:jc w:val="right"/>
              <w:ind w:right="312"/>
              <w:spacing w:after="0" w:line="157" w:lineRule="exact"/>
              <w:rPr>
                <w:sz w:val="20"/>
                <w:szCs w:val="20"/>
                <w:color w:val="auto"/>
              </w:rPr>
            </w:pPr>
            <w:r>
              <w:rPr>
                <w:rFonts w:ascii="Arial" w:cs="Arial" w:eastAsia="Arial" w:hAnsi="Arial"/>
                <w:sz w:val="14"/>
                <w:szCs w:val="14"/>
                <w:b w:val="1"/>
                <w:bCs w:val="1"/>
                <w:color w:val="auto"/>
              </w:rPr>
              <w:t>Total fair value</w:t>
            </w:r>
          </w:p>
        </w:tc>
        <w:tc>
          <w:tcPr>
            <w:tcW w:w="420" w:type="dxa"/>
            <w:vAlign w:val="bottom"/>
          </w:tcPr>
          <w:p>
            <w:pPr>
              <w:spacing w:after="0"/>
              <w:rPr>
                <w:sz w:val="13"/>
                <w:szCs w:val="13"/>
                <w:color w:val="auto"/>
              </w:rPr>
            </w:pPr>
          </w:p>
        </w:tc>
        <w:tc>
          <w:tcPr>
            <w:tcW w:w="1400" w:type="dxa"/>
            <w:vAlign w:val="bottom"/>
          </w:tcPr>
          <w:p>
            <w:pPr>
              <w:jc w:val="center"/>
              <w:ind w:right="273"/>
              <w:spacing w:after="0" w:line="157" w:lineRule="exact"/>
              <w:rPr>
                <w:sz w:val="20"/>
                <w:szCs w:val="20"/>
                <w:color w:val="auto"/>
              </w:rPr>
            </w:pPr>
            <w:r>
              <w:rPr>
                <w:rFonts w:ascii="Arial" w:cs="Arial" w:eastAsia="Arial" w:hAnsi="Arial"/>
                <w:sz w:val="14"/>
                <w:szCs w:val="14"/>
                <w:b w:val="1"/>
                <w:bCs w:val="1"/>
                <w:color w:val="auto"/>
              </w:rPr>
              <w:t>active markets</w:t>
            </w:r>
          </w:p>
        </w:tc>
        <w:tc>
          <w:tcPr>
            <w:tcW w:w="1620" w:type="dxa"/>
            <w:vAlign w:val="bottom"/>
            <w:gridSpan w:val="2"/>
          </w:tcPr>
          <w:p>
            <w:pPr>
              <w:jc w:val="center"/>
              <w:ind w:left="219"/>
              <w:spacing w:after="0" w:line="157"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182"/>
        </w:trPr>
        <w:tc>
          <w:tcPr>
            <w:tcW w:w="44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Fair Value at June 30, 2013</w:t>
            </w: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4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Assets: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180"/>
              <w:spacing w:after="0" w:line="205" w:lineRule="exact"/>
              <w:rPr>
                <w:sz w:val="20"/>
                <w:szCs w:val="20"/>
                <w:color w:val="auto"/>
              </w:rPr>
            </w:pPr>
            <w:r>
              <w:rPr>
                <w:rFonts w:ascii="Arial" w:cs="Arial" w:eastAsia="Arial" w:hAnsi="Arial"/>
                <w:sz w:val="18"/>
                <w:szCs w:val="18"/>
                <w:color w:val="auto"/>
              </w:rPr>
              <w:t>Cash equivalents</w:t>
            </w: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32"/>
              <w:spacing w:after="0" w:line="205" w:lineRule="exact"/>
              <w:rPr>
                <w:sz w:val="20"/>
                <w:szCs w:val="20"/>
                <w:color w:val="auto"/>
              </w:rPr>
            </w:pPr>
            <w:r>
              <w:rPr>
                <w:rFonts w:ascii="Arial" w:cs="Arial" w:eastAsia="Arial" w:hAnsi="Arial"/>
                <w:sz w:val="18"/>
                <w:szCs w:val="18"/>
                <w:color w:val="auto"/>
              </w:rPr>
              <w:t>30,586</w:t>
            </w:r>
          </w:p>
        </w:tc>
        <w:tc>
          <w:tcPr>
            <w:tcW w:w="4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33"/>
              <w:spacing w:after="0" w:line="205" w:lineRule="exact"/>
              <w:rPr>
                <w:sz w:val="20"/>
                <w:szCs w:val="20"/>
                <w:color w:val="auto"/>
              </w:rPr>
            </w:pPr>
            <w:r>
              <w:rPr>
                <w:rFonts w:ascii="Arial" w:cs="Arial" w:eastAsia="Arial" w:hAnsi="Arial"/>
                <w:sz w:val="18"/>
                <w:szCs w:val="18"/>
                <w:color w:val="auto"/>
              </w:rPr>
              <w:t>30,586</w:t>
            </w:r>
          </w:p>
        </w:tc>
        <w:tc>
          <w:tcPr>
            <w:tcW w:w="520" w:type="dxa"/>
            <w:vAlign w:val="bottom"/>
          </w:tcPr>
          <w:p>
            <w:pPr>
              <w:jc w:val="right"/>
              <w:ind w:right="39"/>
              <w:spacing w:after="0" w:line="20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44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Other assets: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Common stock of foreign public company</w:t>
            </w:r>
          </w:p>
        </w:tc>
        <w:tc>
          <w:tcPr>
            <w:tcW w:w="940" w:type="dxa"/>
            <w:vAlign w:val="bottom"/>
          </w:tcPr>
          <w:p>
            <w:pPr>
              <w:spacing w:after="0"/>
              <w:rPr>
                <w:sz w:val="17"/>
                <w:szCs w:val="17"/>
                <w:color w:val="auto"/>
              </w:rPr>
            </w:pP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848</w:t>
            </w:r>
          </w:p>
        </w:tc>
        <w:tc>
          <w:tcPr>
            <w:tcW w:w="420" w:type="dxa"/>
            <w:vAlign w:val="bottom"/>
          </w:tcPr>
          <w:p>
            <w:pPr>
              <w:spacing w:after="0"/>
              <w:rPr>
                <w:sz w:val="17"/>
                <w:szCs w:val="17"/>
                <w:color w:val="auto"/>
              </w:rPr>
            </w:pP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848</w:t>
            </w:r>
          </w:p>
        </w:tc>
        <w:tc>
          <w:tcPr>
            <w:tcW w:w="5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440" w:type="dxa"/>
            <w:vAlign w:val="bottom"/>
          </w:tcPr>
          <w:p>
            <w:pPr>
              <w:ind w:left="320"/>
              <w:spacing w:after="0" w:line="205" w:lineRule="exact"/>
              <w:rPr>
                <w:sz w:val="20"/>
                <w:szCs w:val="20"/>
                <w:color w:val="auto"/>
              </w:rPr>
            </w:pPr>
            <w:r>
              <w:rPr>
                <w:rFonts w:ascii="Arial" w:cs="Arial" w:eastAsia="Arial" w:hAnsi="Arial"/>
                <w:sz w:val="18"/>
                <w:szCs w:val="18"/>
                <w:color w:val="auto"/>
              </w:rPr>
              <w:t>Interest rate swap</w:t>
            </w:r>
          </w:p>
        </w:tc>
        <w:tc>
          <w:tcPr>
            <w:tcW w:w="940" w:type="dxa"/>
            <w:vAlign w:val="bottom"/>
          </w:tcPr>
          <w:p>
            <w:pPr>
              <w:spacing w:after="0"/>
              <w:rPr>
                <w:sz w:val="17"/>
                <w:szCs w:val="17"/>
                <w:color w:val="auto"/>
              </w:rPr>
            </w:pPr>
          </w:p>
        </w:tc>
        <w:tc>
          <w:tcPr>
            <w:tcW w:w="1440" w:type="dxa"/>
            <w:vAlign w:val="bottom"/>
          </w:tcPr>
          <w:p>
            <w:pPr>
              <w:jc w:val="right"/>
              <w:ind w:right="232"/>
              <w:spacing w:after="0" w:line="205" w:lineRule="exact"/>
              <w:rPr>
                <w:sz w:val="20"/>
                <w:szCs w:val="20"/>
                <w:color w:val="auto"/>
              </w:rPr>
            </w:pPr>
            <w:r>
              <w:rPr>
                <w:rFonts w:ascii="Arial" w:cs="Arial" w:eastAsia="Arial" w:hAnsi="Arial"/>
                <w:sz w:val="18"/>
                <w:szCs w:val="18"/>
                <w:color w:val="auto"/>
              </w:rPr>
              <w:t>1,852</w:t>
            </w:r>
          </w:p>
        </w:tc>
        <w:tc>
          <w:tcPr>
            <w:tcW w:w="420" w:type="dxa"/>
            <w:vAlign w:val="bottom"/>
          </w:tcPr>
          <w:p>
            <w:pPr>
              <w:spacing w:after="0"/>
              <w:rPr>
                <w:sz w:val="17"/>
                <w:szCs w:val="17"/>
                <w:color w:val="auto"/>
              </w:rPr>
            </w:pPr>
          </w:p>
        </w:tc>
        <w:tc>
          <w:tcPr>
            <w:tcW w:w="1400" w:type="dxa"/>
            <w:vAlign w:val="bottom"/>
          </w:tcPr>
          <w:p>
            <w:pPr>
              <w:jc w:val="right"/>
              <w:ind w:right="233"/>
              <w:spacing w:after="0" w:line="20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11"/>
              <w:spacing w:after="0" w:line="205" w:lineRule="exact"/>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Liabilities: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Other noncurrent liabilities: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94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(3,699)</w:t>
            </w:r>
          </w:p>
        </w:tc>
        <w:tc>
          <w:tcPr>
            <w:tcW w:w="420" w:type="dxa"/>
            <w:vAlign w:val="bottom"/>
          </w:tcPr>
          <w:p>
            <w:pPr>
              <w:spacing w:after="0"/>
              <w:rPr>
                <w:sz w:val="21"/>
                <w:szCs w:val="21"/>
                <w:color w:val="auto"/>
              </w:rPr>
            </w:pP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2012</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44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Assets: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180"/>
              <w:spacing w:after="0" w:line="205" w:lineRule="exact"/>
              <w:rPr>
                <w:sz w:val="20"/>
                <w:szCs w:val="20"/>
                <w:color w:val="auto"/>
              </w:rPr>
            </w:pPr>
            <w:r>
              <w:rPr>
                <w:rFonts w:ascii="Arial" w:cs="Arial" w:eastAsia="Arial" w:hAnsi="Arial"/>
                <w:sz w:val="18"/>
                <w:szCs w:val="18"/>
                <w:color w:val="auto"/>
              </w:rPr>
              <w:t>Cash equivalents</w:t>
            </w: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32"/>
              <w:spacing w:after="0" w:line="205" w:lineRule="exact"/>
              <w:rPr>
                <w:sz w:val="20"/>
                <w:szCs w:val="20"/>
                <w:color w:val="auto"/>
              </w:rPr>
            </w:pPr>
            <w:r>
              <w:rPr>
                <w:rFonts w:ascii="Arial" w:cs="Arial" w:eastAsia="Arial" w:hAnsi="Arial"/>
                <w:sz w:val="18"/>
                <w:szCs w:val="18"/>
                <w:color w:val="auto"/>
              </w:rPr>
              <w:t>33,171</w:t>
            </w:r>
          </w:p>
        </w:tc>
        <w:tc>
          <w:tcPr>
            <w:tcW w:w="4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33"/>
              <w:spacing w:after="0" w:line="205" w:lineRule="exact"/>
              <w:rPr>
                <w:sz w:val="20"/>
                <w:szCs w:val="20"/>
                <w:color w:val="auto"/>
              </w:rPr>
            </w:pPr>
            <w:r>
              <w:rPr>
                <w:rFonts w:ascii="Arial" w:cs="Arial" w:eastAsia="Arial" w:hAnsi="Arial"/>
                <w:sz w:val="18"/>
                <w:szCs w:val="18"/>
                <w:color w:val="auto"/>
              </w:rPr>
              <w:t>33,171</w:t>
            </w:r>
          </w:p>
        </w:tc>
        <w:tc>
          <w:tcPr>
            <w:tcW w:w="520" w:type="dxa"/>
            <w:vAlign w:val="bottom"/>
          </w:tcPr>
          <w:p>
            <w:pPr>
              <w:jc w:val="right"/>
              <w:ind w:right="39"/>
              <w:spacing w:after="0" w:line="20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44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Other assets: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320"/>
              <w:spacing w:after="0" w:line="202" w:lineRule="exact"/>
              <w:rPr>
                <w:sz w:val="20"/>
                <w:szCs w:val="20"/>
                <w:color w:val="auto"/>
              </w:rPr>
            </w:pPr>
            <w:r>
              <w:rPr>
                <w:rFonts w:ascii="Arial" w:cs="Arial" w:eastAsia="Arial" w:hAnsi="Arial"/>
                <w:sz w:val="18"/>
                <w:szCs w:val="18"/>
                <w:color w:val="auto"/>
              </w:rPr>
              <w:t>Common stock of foreign public company</w:t>
            </w:r>
          </w:p>
        </w:tc>
        <w:tc>
          <w:tcPr>
            <w:tcW w:w="940" w:type="dxa"/>
            <w:vAlign w:val="bottom"/>
          </w:tcPr>
          <w:p>
            <w:pPr>
              <w:spacing w:after="0"/>
              <w:rPr>
                <w:sz w:val="17"/>
                <w:szCs w:val="17"/>
                <w:color w:val="auto"/>
              </w:rPr>
            </w:pP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562</w:t>
            </w:r>
          </w:p>
        </w:tc>
        <w:tc>
          <w:tcPr>
            <w:tcW w:w="420" w:type="dxa"/>
            <w:vAlign w:val="bottom"/>
          </w:tcPr>
          <w:p>
            <w:pPr>
              <w:spacing w:after="0"/>
              <w:rPr>
                <w:sz w:val="17"/>
                <w:szCs w:val="17"/>
                <w:color w:val="auto"/>
              </w:rPr>
            </w:pP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562</w:t>
            </w:r>
          </w:p>
        </w:tc>
        <w:tc>
          <w:tcPr>
            <w:tcW w:w="5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440" w:type="dxa"/>
            <w:vAlign w:val="bottom"/>
          </w:tcPr>
          <w:p>
            <w:pPr>
              <w:ind w:left="320"/>
              <w:spacing w:after="0" w:line="205" w:lineRule="exact"/>
              <w:rPr>
                <w:sz w:val="20"/>
                <w:szCs w:val="20"/>
                <w:color w:val="auto"/>
              </w:rPr>
            </w:pPr>
            <w:r>
              <w:rPr>
                <w:rFonts w:ascii="Arial" w:cs="Arial" w:eastAsia="Arial" w:hAnsi="Arial"/>
                <w:sz w:val="18"/>
                <w:szCs w:val="18"/>
                <w:color w:val="auto"/>
              </w:rPr>
              <w:t>Interest rate swap</w:t>
            </w:r>
          </w:p>
        </w:tc>
        <w:tc>
          <w:tcPr>
            <w:tcW w:w="940" w:type="dxa"/>
            <w:vAlign w:val="bottom"/>
          </w:tcPr>
          <w:p>
            <w:pPr>
              <w:spacing w:after="0"/>
              <w:rPr>
                <w:sz w:val="17"/>
                <w:szCs w:val="17"/>
                <w:color w:val="auto"/>
              </w:rPr>
            </w:pPr>
          </w:p>
        </w:tc>
        <w:tc>
          <w:tcPr>
            <w:tcW w:w="1440" w:type="dxa"/>
            <w:vAlign w:val="bottom"/>
          </w:tcPr>
          <w:p>
            <w:pPr>
              <w:jc w:val="right"/>
              <w:ind w:right="232"/>
              <w:spacing w:after="0" w:line="205"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400" w:type="dxa"/>
            <w:vAlign w:val="bottom"/>
          </w:tcPr>
          <w:p>
            <w:pPr>
              <w:jc w:val="right"/>
              <w:ind w:right="233"/>
              <w:spacing w:after="0" w:line="20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11"/>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Liabilities: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Other noncurrent liabilities:</w:t>
            </w: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94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(4,718)</w:t>
            </w:r>
          </w:p>
        </w:tc>
        <w:tc>
          <w:tcPr>
            <w:tcW w:w="420" w:type="dxa"/>
            <w:vAlign w:val="bottom"/>
          </w:tcPr>
          <w:p>
            <w:pPr>
              <w:spacing w:after="0"/>
              <w:rPr>
                <w:sz w:val="21"/>
                <w:szCs w:val="21"/>
                <w:color w:val="auto"/>
              </w:rPr>
            </w:pP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06"/>
        </w:trPr>
        <w:tc>
          <w:tcPr>
            <w:tcW w:w="4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six-months ended June 30, 2013, there were no transfers between levels 1, 2, and 3.</w:t>
      </w:r>
    </w:p>
    <w:p>
      <w:pPr>
        <w:spacing w:after="0" w:line="19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32" w:lineRule="exact"/>
        <w:rPr>
          <w:sz w:val="20"/>
          <w:szCs w:val="20"/>
          <w:color w:val="auto"/>
        </w:rPr>
      </w:pPr>
    </w:p>
    <w:p>
      <w:pPr>
        <w:ind w:right="120" w:firstLine="648"/>
        <w:spacing w:after="0" w:line="245"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Operations. When the security is sold or impaired, gains and losses are reported on the Consolidated Statements of Operations. Investments are considered to be impaired when a decline in fair value is judged to be other than temporary.</w:t>
      </w:r>
    </w:p>
    <w:p>
      <w:pPr>
        <w:spacing w:after="0" w:line="15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There were no gains/(losses) for the six months ended June 30, 2013, and there were no open contracts at that date. Gains for the six months ended June 30, 2012 were $0.1 million.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894" w:right="259" w:bottom="1440" w:gutter="0" w:footer="0" w:header="0"/>
        </w:sectPr>
      </w:pPr>
    </w:p>
    <w:bookmarkStart w:id="21" w:name="page22"/>
    <w:bookmarkEnd w:id="21"/>
    <w:p>
      <w:pPr>
        <w:ind w:firstLine="648"/>
        <w:spacing w:after="0" w:line="245"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intercompany (recorded in Other income/expense) or third-party trade receivable or payable balances (recorded in Selling, General and Administrative expenses) in a currency other than their local reporting (or functional) currency.</w:t>
      </w:r>
    </w:p>
    <w:p>
      <w:pPr>
        <w:spacing w:after="0" w:line="171"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71"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 As of June 30, 2013, we reported an asset of $1.9 million, which is comprised of a liability of $4.1 million for the floating rate leg and a receivable of $5.9 million for the fixed rate leg, and a liability of $3.7 million, which is comprised of a liability of $4.9 million for the fixed rate leg, and a receivable of $1.2 million for the floating rate leg. Unrealized gains and losses on the swaps will flow through the caption Derivative valuation adjustment in the Shareholders’ equity section of the Consolidated Balance Sheets, to the extent that the hedges are highly effective.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$0.9 million and $0.8 million for the six months ended June 30, 2013 and 2012, respectively.</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expense/(income), net in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gridSpan w:val="2"/>
          </w:tcPr>
          <w:p>
            <w:pPr>
              <w:jc w:val="right"/>
              <w:ind w:right="310"/>
              <w:spacing w:after="0" w:line="194" w:lineRule="exact"/>
              <w:rPr>
                <w:sz w:val="20"/>
                <w:szCs w:val="20"/>
                <w:color w:val="auto"/>
              </w:rPr>
            </w:pPr>
            <w:r>
              <w:rPr>
                <w:rFonts w:ascii="Arial" w:cs="Arial" w:eastAsia="Arial" w:hAnsi="Arial"/>
                <w:sz w:val="18"/>
                <w:szCs w:val="18"/>
                <w:color w:val="auto"/>
              </w:rPr>
              <w:t>Three months ended</w:t>
            </w:r>
          </w:p>
        </w:tc>
        <w:tc>
          <w:tcPr>
            <w:tcW w:w="254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2013</w:t>
            </w:r>
          </w:p>
        </w:tc>
        <w:tc>
          <w:tcPr>
            <w:tcW w:w="1620" w:type="dxa"/>
            <w:vAlign w:val="bottom"/>
          </w:tcPr>
          <w:p>
            <w:pPr>
              <w:jc w:val="right"/>
              <w:ind w:right="770"/>
              <w:spacing w:after="0" w:line="202" w:lineRule="exact"/>
              <w:rPr>
                <w:sz w:val="20"/>
                <w:szCs w:val="20"/>
                <w:color w:val="auto"/>
              </w:rPr>
            </w:pPr>
            <w:r>
              <w:rPr>
                <w:rFonts w:ascii="Arial" w:cs="Arial" w:eastAsia="Arial" w:hAnsi="Arial"/>
                <w:sz w:val="18"/>
                <w:szCs w:val="18"/>
                <w:color w:val="auto"/>
              </w:rPr>
              <w:t>June 30,</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2013</w:t>
            </w:r>
          </w:p>
        </w:tc>
        <w:tc>
          <w:tcPr>
            <w:tcW w:w="1660" w:type="dxa"/>
            <w:vAlign w:val="bottom"/>
          </w:tcPr>
          <w:p>
            <w:pPr>
              <w:jc w:val="right"/>
              <w:ind w:right="81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18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8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76"/>
        </w:trPr>
        <w:tc>
          <w:tcPr>
            <w:tcW w:w="5460" w:type="dxa"/>
            <w:vAlign w:val="bottom"/>
          </w:tcPr>
          <w:p>
            <w:pPr>
              <w:ind w:left="100"/>
              <w:spacing w:after="0"/>
              <w:rPr>
                <w:sz w:val="20"/>
                <w:szCs w:val="20"/>
                <w:color w:val="auto"/>
              </w:rPr>
            </w:pPr>
            <w:r>
              <w:rPr>
                <w:rFonts w:ascii="Arial" w:cs="Arial" w:eastAsia="Arial" w:hAnsi="Arial"/>
                <w:sz w:val="18"/>
                <w:szCs w:val="18"/>
                <w:color w:val="auto"/>
              </w:rPr>
              <w:t>Derivatives not designated as hedging instruments</w:t>
            </w:r>
          </w:p>
        </w:tc>
        <w:tc>
          <w:tcPr>
            <w:tcW w:w="1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spacing w:after="0"/>
              <w:rPr>
                <w:sz w:val="24"/>
                <w:szCs w:val="24"/>
                <w:color w:val="auto"/>
              </w:rPr>
            </w:pP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Forward exchange options</w:t>
            </w:r>
          </w:p>
        </w:tc>
        <w:tc>
          <w:tcPr>
            <w:tcW w:w="18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119</w:t>
            </w:r>
          </w:p>
        </w:tc>
        <w:tc>
          <w:tcPr>
            <w:tcW w:w="8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06"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4,295 claims as of July 19, 2013.</w:t>
      </w:r>
    </w:p>
    <w:p>
      <w:pPr>
        <w:spacing w:after="0" w:line="171"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860" w:type="dxa"/>
            <w:vAlign w:val="bottom"/>
            <w:tcBorders>
              <w:top w:val="single" w:sz="8" w:color="auto"/>
              <w:left w:val="single" w:sz="8" w:color="auto"/>
              <w:right w:val="single" w:sz="8" w:color="auto"/>
            </w:tcBorders>
          </w:tcPr>
          <w:p>
            <w:pPr>
              <w:ind w:left="1080"/>
              <w:spacing w:after="0" w:line="137" w:lineRule="exact"/>
              <w:rPr>
                <w:sz w:val="20"/>
                <w:szCs w:val="20"/>
                <w:color w:val="auto"/>
              </w:rPr>
            </w:pPr>
            <w:r>
              <w:rPr>
                <w:rFonts w:ascii="Times New Roman" w:cs="Times New Roman" w:eastAsia="Times New Roman" w:hAnsi="Times New Roman"/>
                <w:sz w:val="14"/>
                <w:szCs w:val="14"/>
                <w:i w:val="1"/>
                <w:iCs w:val="1"/>
                <w:color w:val="auto"/>
              </w:rPr>
              <w:t>Year ended</w:t>
            </w:r>
          </w:p>
        </w:tc>
        <w:tc>
          <w:tcPr>
            <w:tcW w:w="1840" w:type="dxa"/>
            <w:vAlign w:val="bottom"/>
            <w:tcBorders>
              <w:top w:val="single" w:sz="8" w:color="auto"/>
              <w:right w:val="single" w:sz="8" w:color="auto"/>
            </w:tcBorders>
          </w:tcPr>
          <w:p>
            <w:pPr>
              <w:jc w:val="right"/>
              <w:ind w:right="16"/>
              <w:spacing w:after="0" w:line="137" w:lineRule="exact"/>
              <w:rPr>
                <w:sz w:val="20"/>
                <w:szCs w:val="20"/>
                <w:color w:val="auto"/>
              </w:rPr>
            </w:pPr>
            <w:r>
              <w:rPr>
                <w:rFonts w:ascii="Times New Roman" w:cs="Times New Roman" w:eastAsia="Times New Roman" w:hAnsi="Times New Roman"/>
                <w:sz w:val="14"/>
                <w:szCs w:val="14"/>
                <w:i w:val="1"/>
                <w:iCs w:val="1"/>
                <w:color w:val="auto"/>
              </w:rPr>
              <w:t>Opening Number of Claims</w:t>
            </w:r>
          </w:p>
        </w:tc>
        <w:tc>
          <w:tcPr>
            <w:tcW w:w="2040" w:type="dxa"/>
            <w:vAlign w:val="bottom"/>
            <w:tcBorders>
              <w:top w:val="single" w:sz="8" w:color="auto"/>
              <w:right w:val="single" w:sz="8" w:color="auto"/>
            </w:tcBorders>
          </w:tcPr>
          <w:p>
            <w:pPr>
              <w:jc w:val="right"/>
              <w:ind w:right="61"/>
              <w:spacing w:after="0" w:line="137" w:lineRule="exact"/>
              <w:rPr>
                <w:sz w:val="20"/>
                <w:szCs w:val="20"/>
                <w:color w:val="auto"/>
              </w:rPr>
            </w:pPr>
            <w:r>
              <w:rPr>
                <w:rFonts w:ascii="Times New Roman" w:cs="Times New Roman" w:eastAsia="Times New Roman" w:hAnsi="Times New Roman"/>
                <w:sz w:val="14"/>
                <w:szCs w:val="14"/>
                <w:i w:val="1"/>
                <w:iCs w:val="1"/>
                <w:color w:val="auto"/>
              </w:rPr>
              <w:t>Claims Dismissed,</w:t>
            </w:r>
          </w:p>
        </w:tc>
        <w:tc>
          <w:tcPr>
            <w:tcW w:w="1600" w:type="dxa"/>
            <w:vAlign w:val="bottom"/>
            <w:tcBorders>
              <w:top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jc w:val="right"/>
              <w:ind w:right="43"/>
              <w:spacing w:after="0" w:line="137" w:lineRule="exact"/>
              <w:rPr>
                <w:sz w:val="20"/>
                <w:szCs w:val="20"/>
                <w:color w:val="auto"/>
              </w:rPr>
            </w:pPr>
            <w:r>
              <w:rPr>
                <w:rFonts w:ascii="Times New Roman" w:cs="Times New Roman" w:eastAsia="Times New Roman" w:hAnsi="Times New Roman"/>
                <w:sz w:val="14"/>
                <w:szCs w:val="14"/>
                <w:i w:val="1"/>
                <w:iCs w:val="1"/>
                <w:color w:val="auto"/>
              </w:rPr>
              <w:t>Closing</w:t>
            </w:r>
          </w:p>
        </w:tc>
        <w:tc>
          <w:tcPr>
            <w:tcW w:w="2620" w:type="dxa"/>
            <w:vAlign w:val="bottom"/>
            <w:tcBorders>
              <w:top w:val="single" w:sz="8" w:color="auto"/>
              <w:right w:val="single" w:sz="8" w:color="auto"/>
            </w:tcBorders>
          </w:tcPr>
          <w:p>
            <w:pPr>
              <w:jc w:val="right"/>
              <w:ind w:right="23"/>
              <w:spacing w:after="0" w:line="137" w:lineRule="exact"/>
              <w:rPr>
                <w:sz w:val="20"/>
                <w:szCs w:val="20"/>
                <w:color w:val="auto"/>
              </w:rPr>
            </w:pPr>
            <w:r>
              <w:rPr>
                <w:rFonts w:ascii="Times New Roman" w:cs="Times New Roman" w:eastAsia="Times New Roman" w:hAnsi="Times New Roman"/>
                <w:sz w:val="14"/>
                <w:szCs w:val="14"/>
                <w:i w:val="1"/>
                <w:iCs w:val="1"/>
                <w:color w:val="auto"/>
              </w:rPr>
              <w:t>Amounts Paid</w:t>
            </w:r>
          </w:p>
        </w:tc>
      </w:tr>
      <w:tr>
        <w:trPr>
          <w:trHeight w:val="149"/>
        </w:trPr>
        <w:tc>
          <w:tcPr>
            <w:tcW w:w="1860" w:type="dxa"/>
            <w:vAlign w:val="bottom"/>
            <w:tcBorders>
              <w:left w:val="single" w:sz="8" w:color="auto"/>
              <w:right w:val="single" w:sz="8" w:color="auto"/>
            </w:tcBorders>
          </w:tcPr>
          <w:p>
            <w:pPr>
              <w:ind w:left="94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184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jc w:val="right"/>
              <w:ind w:right="61"/>
              <w:spacing w:after="0" w:line="149" w:lineRule="exact"/>
              <w:rPr>
                <w:sz w:val="20"/>
                <w:szCs w:val="20"/>
                <w:color w:val="auto"/>
              </w:rPr>
            </w:pPr>
            <w:r>
              <w:rPr>
                <w:rFonts w:ascii="Times New Roman" w:cs="Times New Roman" w:eastAsia="Times New Roman" w:hAnsi="Times New Roman"/>
                <w:sz w:val="14"/>
                <w:szCs w:val="14"/>
                <w:i w:val="1"/>
                <w:iCs w:val="1"/>
                <w:color w:val="auto"/>
              </w:rPr>
              <w:t>Settled, or</w:t>
            </w:r>
          </w:p>
        </w:tc>
        <w:tc>
          <w:tcPr>
            <w:tcW w:w="16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jc w:val="right"/>
              <w:ind w:right="43"/>
              <w:spacing w:after="0" w:line="149" w:lineRule="exact"/>
              <w:rPr>
                <w:sz w:val="20"/>
                <w:szCs w:val="20"/>
                <w:color w:val="auto"/>
              </w:rPr>
            </w:pPr>
            <w:r>
              <w:rPr>
                <w:rFonts w:ascii="Times New Roman" w:cs="Times New Roman" w:eastAsia="Times New Roman" w:hAnsi="Times New Roman"/>
                <w:sz w:val="14"/>
                <w:szCs w:val="14"/>
                <w:i w:val="1"/>
                <w:iCs w:val="1"/>
                <w:color w:val="auto"/>
              </w:rPr>
              <w:t>Number</w:t>
            </w:r>
          </w:p>
        </w:tc>
        <w:tc>
          <w:tcPr>
            <w:tcW w:w="2620" w:type="dxa"/>
            <w:vAlign w:val="bottom"/>
            <w:tcBorders>
              <w:right w:val="single" w:sz="8" w:color="auto"/>
            </w:tcBorders>
          </w:tcPr>
          <w:p>
            <w:pPr>
              <w:jc w:val="right"/>
              <w:ind w:right="23"/>
              <w:spacing w:after="0" w:line="149" w:lineRule="exact"/>
              <w:rPr>
                <w:sz w:val="20"/>
                <w:szCs w:val="20"/>
                <w:color w:val="auto"/>
              </w:rPr>
            </w:pPr>
            <w:r>
              <w:rPr>
                <w:rFonts w:ascii="Times New Roman" w:cs="Times New Roman" w:eastAsia="Times New Roman" w:hAnsi="Times New Roman"/>
                <w:sz w:val="14"/>
                <w:szCs w:val="14"/>
                <w:i w:val="1"/>
                <w:iCs w:val="1"/>
                <w:color w:val="auto"/>
              </w:rPr>
              <w:t>(thousands) to</w:t>
            </w:r>
          </w:p>
        </w:tc>
      </w:tr>
      <w:tr>
        <w:trPr>
          <w:trHeight w:val="187"/>
        </w:trPr>
        <w:tc>
          <w:tcPr>
            <w:tcW w:w="186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i w:val="1"/>
                <w:iCs w:val="1"/>
                <w:color w:val="auto"/>
              </w:rPr>
              <w:t>Resolved</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i w:val="1"/>
                <w:iCs w:val="1"/>
                <w:color w:val="auto"/>
              </w:rPr>
              <w:t>New Claims</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i w:val="1"/>
                <w:iCs w:val="1"/>
                <w:color w:val="auto"/>
              </w:rPr>
              <w:t>of</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i w:val="1"/>
                <w:iCs w:val="1"/>
                <w:color w:val="auto"/>
              </w:rPr>
              <w:t>Settle or</w:t>
            </w:r>
          </w:p>
        </w:tc>
      </w:tr>
      <w:tr>
        <w:trPr>
          <w:trHeight w:val="190"/>
        </w:trPr>
        <w:tc>
          <w:tcPr>
            <w:tcW w:w="186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i w:val="1"/>
                <w:iCs w:val="1"/>
                <w:color w:val="auto"/>
              </w:rPr>
              <w:t>Claims</w:t>
            </w:r>
          </w:p>
        </w:tc>
        <w:tc>
          <w:tcPr>
            <w:tcW w:w="2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Resolve</w:t>
            </w:r>
          </w:p>
        </w:tc>
      </w:tr>
      <w:tr>
        <w:trPr>
          <w:trHeight w:val="120"/>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2005</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29,411</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6,257</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1,297</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24,451</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$ 504</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2006</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24,451</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6,841</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1,806</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19,416</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3,879</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2007</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19,416</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808</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190</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18,798</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15</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2008</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18,798</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523</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110</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18,385</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52</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2009</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18,385</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9,482</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42</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8,945</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88</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2010</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8,945</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3,963</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188</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5,170</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159</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2011</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5,170</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789</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65</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4,446</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1,111</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0"/>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2012</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4,446</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90</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107</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4,463</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530</w:t>
            </w:r>
          </w:p>
        </w:tc>
      </w:tr>
      <w:tr>
        <w:trPr>
          <w:trHeight w:val="132"/>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r>
        <w:trPr>
          <w:trHeight w:val="282"/>
        </w:trPr>
        <w:tc>
          <w:tcPr>
            <w:tcW w:w="1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2013 as of July 19</w:t>
            </w:r>
          </w:p>
        </w:tc>
        <w:tc>
          <w:tcPr>
            <w:tcW w:w="184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b w:val="1"/>
                <w:bCs w:val="1"/>
                <w:i w:val="1"/>
                <w:iCs w:val="1"/>
                <w:color w:val="auto"/>
              </w:rPr>
              <w:t>4,463</w:t>
            </w:r>
          </w:p>
        </w:tc>
        <w:tc>
          <w:tcPr>
            <w:tcW w:w="2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b w:val="1"/>
                <w:bCs w:val="1"/>
                <w:i w:val="1"/>
                <w:iCs w:val="1"/>
                <w:color w:val="auto"/>
              </w:rPr>
              <w:t>215</w:t>
            </w:r>
          </w:p>
        </w:tc>
        <w:tc>
          <w:tcPr>
            <w:tcW w:w="16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b w:val="1"/>
                <w:bCs w:val="1"/>
                <w:i w:val="1"/>
                <w:iCs w:val="1"/>
                <w:color w:val="auto"/>
              </w:rPr>
              <w:t>47</w:t>
            </w: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b w:val="1"/>
                <w:bCs w:val="1"/>
                <w:i w:val="1"/>
                <w:iCs w:val="1"/>
                <w:color w:val="auto"/>
              </w:rPr>
              <w:t>4,295</w:t>
            </w:r>
          </w:p>
        </w:tc>
        <w:tc>
          <w:tcPr>
            <w:tcW w:w="26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b w:val="1"/>
                <w:bCs w:val="1"/>
                <w:i w:val="1"/>
                <w:iCs w:val="1"/>
                <w:color w:val="auto"/>
              </w:rPr>
              <w:t>$ 3</w:t>
            </w:r>
          </w:p>
        </w:tc>
      </w:tr>
      <w:tr>
        <w:trPr>
          <w:trHeight w:val="130"/>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r>
    </w:tbl>
    <w:p>
      <w:pPr>
        <w:spacing w:after="0" w:line="369"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0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24"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July 19, 2013, we had resolved, by means of settlement or dismissal, 36,585 claims. The total cost of resolving all claims was $8.6 million. Of this amount, almost 100% was paid by our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3" w:name="page24"/>
    <w:bookmarkEnd w:id="23"/>
    <w:p>
      <w:pPr>
        <w:ind w:right="340"/>
        <w:spacing w:after="0" w:line="276" w:lineRule="auto"/>
        <w:rPr>
          <w:sz w:val="20"/>
          <w:szCs w:val="20"/>
          <w:color w:val="auto"/>
        </w:rPr>
      </w:pPr>
      <w:r>
        <w:rPr>
          <w:rFonts w:ascii="Arial" w:cs="Arial" w:eastAsia="Arial" w:hAnsi="Arial"/>
          <w:sz w:val="18"/>
          <w:szCs w:val="18"/>
          <w:color w:val="auto"/>
        </w:rPr>
        <w:t>insurance carrier. The Company has over $125 million in confirmed insurance coverage that should be available with respect to current and future asbestos claims, as well as additional insurance coverage that we should be able to access.</w:t>
      </w:r>
    </w:p>
    <w:p>
      <w:pPr>
        <w:spacing w:after="0" w:line="1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7,815 claims as of July 19, 2013.</w:t>
      </w:r>
    </w:p>
    <w:p>
      <w:pPr>
        <w:spacing w:after="0" w:line="137"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100" w:type="dxa"/>
            <w:vAlign w:val="bottom"/>
            <w:tcBorders>
              <w:top w:val="single" w:sz="8" w:color="auto"/>
              <w:left w:val="single" w:sz="8" w:color="auto"/>
              <w:right w:val="single" w:sz="8" w:color="auto"/>
            </w:tcBorders>
          </w:tcPr>
          <w:p>
            <w:pPr>
              <w:jc w:val="right"/>
              <w:ind w:right="68"/>
              <w:spacing w:after="0" w:line="137" w:lineRule="exact"/>
              <w:rPr>
                <w:sz w:val="20"/>
                <w:szCs w:val="20"/>
                <w:color w:val="auto"/>
              </w:rPr>
            </w:pPr>
            <w:r>
              <w:rPr>
                <w:rFonts w:ascii="Times New Roman" w:cs="Times New Roman" w:eastAsia="Times New Roman" w:hAnsi="Times New Roman"/>
                <w:sz w:val="14"/>
                <w:szCs w:val="14"/>
                <w:i w:val="1"/>
                <w:iCs w:val="1"/>
                <w:color w:val="auto"/>
              </w:rPr>
              <w:t>Year ended</w:t>
            </w:r>
          </w:p>
        </w:tc>
        <w:tc>
          <w:tcPr>
            <w:tcW w:w="2040" w:type="dxa"/>
            <w:vAlign w:val="bottom"/>
            <w:tcBorders>
              <w:top w:val="single" w:sz="8" w:color="auto"/>
              <w:right w:val="single" w:sz="8" w:color="auto"/>
            </w:tcBorders>
          </w:tcPr>
          <w:p>
            <w:pPr>
              <w:jc w:val="right"/>
              <w:ind w:right="59"/>
              <w:spacing w:after="0" w:line="137" w:lineRule="exact"/>
              <w:rPr>
                <w:sz w:val="20"/>
                <w:szCs w:val="20"/>
                <w:color w:val="auto"/>
              </w:rPr>
            </w:pPr>
            <w:r>
              <w:rPr>
                <w:rFonts w:ascii="Times New Roman" w:cs="Times New Roman" w:eastAsia="Times New Roman" w:hAnsi="Times New Roman"/>
                <w:sz w:val="14"/>
                <w:szCs w:val="14"/>
                <w:i w:val="1"/>
                <w:iCs w:val="1"/>
                <w:color w:val="auto"/>
              </w:rPr>
              <w:t>Opening Number</w:t>
            </w:r>
          </w:p>
        </w:tc>
        <w:tc>
          <w:tcPr>
            <w:tcW w:w="2000" w:type="dxa"/>
            <w:vAlign w:val="bottom"/>
            <w:tcBorders>
              <w:top w:val="single" w:sz="8" w:color="auto"/>
              <w:right w:val="single" w:sz="8" w:color="auto"/>
            </w:tcBorders>
          </w:tcPr>
          <w:p>
            <w:pPr>
              <w:jc w:val="right"/>
              <w:ind w:right="61"/>
              <w:spacing w:after="0" w:line="137" w:lineRule="exact"/>
              <w:rPr>
                <w:sz w:val="20"/>
                <w:szCs w:val="20"/>
                <w:color w:val="auto"/>
              </w:rPr>
            </w:pPr>
            <w:r>
              <w:rPr>
                <w:rFonts w:ascii="Times New Roman" w:cs="Times New Roman" w:eastAsia="Times New Roman" w:hAnsi="Times New Roman"/>
                <w:sz w:val="14"/>
                <w:szCs w:val="14"/>
                <w:i w:val="1"/>
                <w:iCs w:val="1"/>
                <w:color w:val="auto"/>
              </w:rPr>
              <w:t>Claims Dismissed,</w:t>
            </w:r>
          </w:p>
        </w:tc>
        <w:tc>
          <w:tcPr>
            <w:tcW w:w="150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jc w:val="right"/>
              <w:ind w:right="41"/>
              <w:spacing w:after="0" w:line="137" w:lineRule="exact"/>
              <w:rPr>
                <w:sz w:val="20"/>
                <w:szCs w:val="20"/>
                <w:color w:val="auto"/>
              </w:rPr>
            </w:pPr>
            <w:r>
              <w:rPr>
                <w:rFonts w:ascii="Times New Roman" w:cs="Times New Roman" w:eastAsia="Times New Roman" w:hAnsi="Times New Roman"/>
                <w:sz w:val="14"/>
                <w:szCs w:val="14"/>
                <w:i w:val="1"/>
                <w:iCs w:val="1"/>
                <w:color w:val="auto"/>
              </w:rPr>
              <w:t>Closing</w:t>
            </w:r>
          </w:p>
        </w:tc>
        <w:tc>
          <w:tcPr>
            <w:tcW w:w="2080" w:type="dxa"/>
            <w:vAlign w:val="bottom"/>
            <w:tcBorders>
              <w:top w:val="single" w:sz="8" w:color="auto"/>
              <w:right w:val="single" w:sz="8" w:color="auto"/>
            </w:tcBorders>
          </w:tcPr>
          <w:p>
            <w:pPr>
              <w:jc w:val="right"/>
              <w:ind w:right="23"/>
              <w:spacing w:after="0" w:line="137" w:lineRule="exact"/>
              <w:rPr>
                <w:sz w:val="20"/>
                <w:szCs w:val="20"/>
                <w:color w:val="auto"/>
              </w:rPr>
            </w:pPr>
            <w:r>
              <w:rPr>
                <w:rFonts w:ascii="Times New Roman" w:cs="Times New Roman" w:eastAsia="Times New Roman" w:hAnsi="Times New Roman"/>
                <w:sz w:val="14"/>
                <w:szCs w:val="14"/>
                <w:i w:val="1"/>
                <w:iCs w:val="1"/>
                <w:color w:val="auto"/>
              </w:rPr>
              <w:t>Amounts Paid</w:t>
            </w:r>
          </w:p>
        </w:tc>
      </w:tr>
      <w:tr>
        <w:trPr>
          <w:trHeight w:val="149"/>
        </w:trPr>
        <w:tc>
          <w:tcPr>
            <w:tcW w:w="2100" w:type="dxa"/>
            <w:vAlign w:val="bottom"/>
            <w:tcBorders>
              <w:left w:val="single" w:sz="8" w:color="auto"/>
              <w:right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December</w:t>
            </w:r>
          </w:p>
        </w:tc>
        <w:tc>
          <w:tcPr>
            <w:tcW w:w="2040" w:type="dxa"/>
            <w:vAlign w:val="bottom"/>
            <w:tcBorders>
              <w:right w:val="single" w:sz="8" w:color="auto"/>
            </w:tcBorders>
          </w:tcPr>
          <w:p>
            <w:pPr>
              <w:jc w:val="right"/>
              <w:ind w:right="19"/>
              <w:spacing w:after="0" w:line="149" w:lineRule="exact"/>
              <w:rPr>
                <w:sz w:val="20"/>
                <w:szCs w:val="20"/>
                <w:color w:val="auto"/>
              </w:rPr>
            </w:pPr>
            <w:r>
              <w:rPr>
                <w:rFonts w:ascii="Times New Roman" w:cs="Times New Roman" w:eastAsia="Times New Roman" w:hAnsi="Times New Roman"/>
                <w:sz w:val="14"/>
                <w:szCs w:val="14"/>
                <w:i w:val="1"/>
                <w:iCs w:val="1"/>
                <w:color w:val="auto"/>
              </w:rPr>
              <w:t>of Claims</w:t>
            </w:r>
          </w:p>
        </w:tc>
        <w:tc>
          <w:tcPr>
            <w:tcW w:w="2000" w:type="dxa"/>
            <w:vAlign w:val="bottom"/>
            <w:tcBorders>
              <w:right w:val="single" w:sz="8" w:color="auto"/>
            </w:tcBorders>
          </w:tcPr>
          <w:p>
            <w:pPr>
              <w:jc w:val="right"/>
              <w:ind w:right="61"/>
              <w:spacing w:after="0" w:line="149" w:lineRule="exact"/>
              <w:rPr>
                <w:sz w:val="20"/>
                <w:szCs w:val="20"/>
                <w:color w:val="auto"/>
              </w:rPr>
            </w:pPr>
            <w:r>
              <w:rPr>
                <w:rFonts w:ascii="Times New Roman" w:cs="Times New Roman" w:eastAsia="Times New Roman" w:hAnsi="Times New Roman"/>
                <w:sz w:val="14"/>
                <w:szCs w:val="14"/>
                <w:i w:val="1"/>
                <w:iCs w:val="1"/>
                <w:color w:val="auto"/>
              </w:rPr>
              <w:t>Settled, or</w:t>
            </w:r>
          </w:p>
        </w:tc>
        <w:tc>
          <w:tcPr>
            <w:tcW w:w="15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right"/>
              <w:ind w:right="21"/>
              <w:spacing w:after="0" w:line="149"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2080" w:type="dxa"/>
            <w:vAlign w:val="bottom"/>
            <w:tcBorders>
              <w:right w:val="single" w:sz="8" w:color="auto"/>
            </w:tcBorders>
          </w:tcPr>
          <w:p>
            <w:pPr>
              <w:jc w:val="right"/>
              <w:ind w:right="23"/>
              <w:spacing w:after="0" w:line="149" w:lineRule="exact"/>
              <w:rPr>
                <w:sz w:val="20"/>
                <w:szCs w:val="20"/>
                <w:color w:val="auto"/>
              </w:rPr>
            </w:pPr>
            <w:r>
              <w:rPr>
                <w:rFonts w:ascii="Times New Roman" w:cs="Times New Roman" w:eastAsia="Times New Roman" w:hAnsi="Times New Roman"/>
                <w:sz w:val="14"/>
                <w:szCs w:val="14"/>
                <w:i w:val="1"/>
                <w:iCs w:val="1"/>
                <w:color w:val="auto"/>
              </w:rPr>
              <w:t>(thousands) to</w:t>
            </w:r>
          </w:p>
        </w:tc>
      </w:tr>
      <w:tr>
        <w:trPr>
          <w:trHeight w:val="173"/>
        </w:trPr>
        <w:tc>
          <w:tcPr>
            <w:tcW w:w="2100" w:type="dxa"/>
            <w:vAlign w:val="bottom"/>
            <w:tcBorders>
              <w:left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4"/>
                <w:szCs w:val="14"/>
                <w:i w:val="1"/>
                <w:iCs w:val="1"/>
                <w:color w:val="auto"/>
              </w:rPr>
              <w:t>31,</w:t>
            </w:r>
          </w:p>
        </w:tc>
        <w:tc>
          <w:tcPr>
            <w:tcW w:w="2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i w:val="1"/>
                <w:iCs w:val="1"/>
                <w:color w:val="auto"/>
              </w:rPr>
              <w:t>Resolved</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i w:val="1"/>
                <w:iCs w:val="1"/>
                <w:color w:val="auto"/>
              </w:rPr>
              <w:t>New Claims</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i w:val="1"/>
                <w:iCs w:val="1"/>
                <w:color w:val="auto"/>
              </w:rPr>
              <w:t>Claims</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i w:val="1"/>
                <w:iCs w:val="1"/>
                <w:color w:val="auto"/>
              </w:rPr>
              <w:t>Settle or</w:t>
            </w:r>
          </w:p>
        </w:tc>
      </w:tr>
      <w:tr>
        <w:trPr>
          <w:trHeight w:val="190"/>
        </w:trPr>
        <w:tc>
          <w:tcPr>
            <w:tcW w:w="210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Resolve</w:t>
            </w:r>
          </w:p>
        </w:tc>
      </w:tr>
      <w:tr>
        <w:trPr>
          <w:trHeight w:val="174"/>
        </w:trPr>
        <w:tc>
          <w:tcPr>
            <w:tcW w:w="2100" w:type="dxa"/>
            <w:vAlign w:val="bottom"/>
            <w:tcBorders>
              <w:left w:val="single" w:sz="8" w:color="auto"/>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2005</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9,985</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642</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223</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9,566</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$ 0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2006</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9,566</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1,182</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730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9,114</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2007</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9,114</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462</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88</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8,740</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2008</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8,740</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86</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10</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8,664</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2009</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8,664</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760</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3</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7,907</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2010</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7,907</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47</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9</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7,869</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2011</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7,869</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3</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11</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7,877</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0"/>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i w:val="1"/>
                <w:iCs w:val="1"/>
                <w:color w:val="auto"/>
              </w:rPr>
              <w:t>2012</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7,877</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12</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i w:val="1"/>
                <w:iCs w:val="1"/>
                <w:color w:val="auto"/>
              </w:rPr>
              <w:t>2</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i w:val="1"/>
                <w:iCs w:val="1"/>
                <w:color w:val="auto"/>
              </w:rPr>
              <w:t>7,867</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i w:val="1"/>
                <w:iCs w:val="1"/>
                <w:color w:val="auto"/>
              </w:rPr>
              <w:t>0</w:t>
            </w: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r>
        <w:trPr>
          <w:trHeight w:val="282"/>
        </w:trPr>
        <w:tc>
          <w:tcPr>
            <w:tcW w:w="2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2013 as of July 19</w:t>
            </w:r>
          </w:p>
        </w:tc>
        <w:tc>
          <w:tcPr>
            <w:tcW w:w="20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22"/>
                <w:szCs w:val="22"/>
                <w:b w:val="1"/>
                <w:bCs w:val="1"/>
                <w:i w:val="1"/>
                <w:iCs w:val="1"/>
                <w:color w:val="auto"/>
              </w:rPr>
              <w:t>7,867</w:t>
            </w:r>
          </w:p>
        </w:tc>
        <w:tc>
          <w:tcPr>
            <w:tcW w:w="20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b w:val="1"/>
                <w:bCs w:val="1"/>
                <w:i w:val="1"/>
                <w:iCs w:val="1"/>
                <w:color w:val="auto"/>
              </w:rPr>
              <w:t>54</w:t>
            </w:r>
          </w:p>
        </w:tc>
        <w:tc>
          <w:tcPr>
            <w:tcW w:w="15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22"/>
                <w:szCs w:val="22"/>
                <w:b w:val="1"/>
                <w:bCs w:val="1"/>
                <w:i w:val="1"/>
                <w:iCs w:val="1"/>
                <w:color w:val="auto"/>
              </w:rPr>
              <w:t>2</w:t>
            </w:r>
          </w:p>
        </w:tc>
        <w:tc>
          <w:tcPr>
            <w:tcW w:w="17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2"/>
                <w:szCs w:val="22"/>
                <w:b w:val="1"/>
                <w:bCs w:val="1"/>
                <w:i w:val="1"/>
                <w:iCs w:val="1"/>
                <w:color w:val="auto"/>
              </w:rPr>
              <w:t>7,815</w:t>
            </w:r>
          </w:p>
        </w:tc>
        <w:tc>
          <w:tcPr>
            <w:tcW w:w="20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2"/>
                <w:szCs w:val="22"/>
                <w:b w:val="1"/>
                <w:bCs w:val="1"/>
                <w:i w:val="1"/>
                <w:iCs w:val="1"/>
                <w:color w:val="auto"/>
              </w:rPr>
              <w:t>$ 0</w:t>
            </w:r>
          </w:p>
        </w:tc>
      </w:tr>
      <w:tr>
        <w:trPr>
          <w:trHeight w:val="130"/>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r>
    </w:tbl>
    <w:p>
      <w:pPr>
        <w:spacing w:after="0" w:line="36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July 19, 2013, Brandon has resolved, by means of settlement or dismissal, 9,787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4" w:name="page25"/>
    <w:bookmarkEnd w:id="24"/>
    <w:p>
      <w:pPr>
        <w:ind w:right="280" w:firstLine="648"/>
        <w:spacing w:after="0" w:line="255" w:lineRule="auto"/>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24"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4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NAFTA Audits</w:t>
      </w:r>
    </w:p>
    <w:p>
      <w:pPr>
        <w:spacing w:after="0" w:line="173"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paper machine clothing (PMC) from the Company and the Company’s affiliate in Canada for which the Company has claimed duty-free treatment under the North American Free Trade Agreement (“NAFTA”).</w:t>
      </w:r>
    </w:p>
    <w:p>
      <w:pPr>
        <w:spacing w:after="0" w:line="137"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believed that the certificates of origin were valid and properly issued and therefore commenced administrative appeals with SAT disputing its resolutions.</w:t>
      </w:r>
    </w:p>
    <w:p>
      <w:pPr>
        <w:spacing w:after="0" w:line="132"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As a result of the aforementioned appeals, SAT ultimately revoked its earlier declarations of invalidation with respect to the certificates of origin at issue in all 36 open audit files, and ordered a further review of such certificates. The Company has now been informed that review of all 36 audit files has been completed, and that only a small number of shipments were ineligible for duty-free NAFTA treatment, primarily due to some alternative raw material that was sourced from Europe during a brief period when sufficient U.S.-sourced material was temporarily unavailable. As a result, the Company could be liable for an immaterial amount of tariff charges and penalties with respect to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5" w:name="page26"/>
    <w:bookmarkEnd w:id="25"/>
    <w:p>
      <w:pPr>
        <w:ind w:right="400"/>
        <w:spacing w:after="0" w:line="255" w:lineRule="auto"/>
        <w:rPr>
          <w:sz w:val="20"/>
          <w:szCs w:val="20"/>
          <w:color w:val="auto"/>
        </w:rPr>
      </w:pPr>
      <w:r>
        <w:rPr>
          <w:rFonts w:ascii="Arial" w:cs="Arial" w:eastAsia="Arial" w:hAnsi="Arial"/>
          <w:sz w:val="18"/>
          <w:szCs w:val="18"/>
          <w:color w:val="auto"/>
        </w:rPr>
        <w:t>shipments determined to be ineligible. The Company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Accumulated</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120" w:type="dxa"/>
            <w:vAlign w:val="bottom"/>
          </w:tcPr>
          <w:p>
            <w:pPr>
              <w:jc w:val="center"/>
              <w:ind w:left="39"/>
              <w:spacing w:after="0"/>
              <w:rPr>
                <w:sz w:val="20"/>
                <w:szCs w:val="20"/>
                <w:color w:val="auto"/>
              </w:rPr>
            </w:pPr>
            <w:r>
              <w:rPr>
                <w:rFonts w:ascii="Arial" w:cs="Arial" w:eastAsia="Arial" w:hAnsi="Arial"/>
                <w:sz w:val="16"/>
                <w:szCs w:val="16"/>
                <w:color w:val="auto"/>
              </w:rPr>
              <w:t>Class A</w:t>
            </w:r>
          </w:p>
        </w:tc>
        <w:tc>
          <w:tcPr>
            <w:tcW w:w="940" w:type="dxa"/>
            <w:vAlign w:val="bottom"/>
          </w:tcPr>
          <w:p>
            <w:pPr>
              <w:jc w:val="center"/>
              <w:spacing w:after="0"/>
              <w:rPr>
                <w:sz w:val="20"/>
                <w:szCs w:val="20"/>
                <w:color w:val="auto"/>
              </w:rPr>
            </w:pPr>
            <w:r>
              <w:rPr>
                <w:rFonts w:ascii="Arial" w:cs="Arial" w:eastAsia="Arial" w:hAnsi="Arial"/>
                <w:sz w:val="16"/>
                <w:szCs w:val="16"/>
                <w:color w:val="auto"/>
              </w:rPr>
              <w:t>Class B</w:t>
            </w: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items of other</w:t>
            </w:r>
          </w:p>
        </w:tc>
        <w:tc>
          <w:tcPr>
            <w:tcW w:w="1000" w:type="dxa"/>
            <w:vAlign w:val="bottom"/>
          </w:tcPr>
          <w:p>
            <w:pPr>
              <w:spacing w:after="0"/>
              <w:rPr>
                <w:sz w:val="16"/>
                <w:szCs w:val="16"/>
                <w:color w:val="auto"/>
              </w:rPr>
            </w:pPr>
          </w:p>
        </w:tc>
        <w:tc>
          <w:tcPr>
            <w:tcW w:w="1200" w:type="dxa"/>
            <w:vAlign w:val="bottom"/>
          </w:tcPr>
          <w:p>
            <w:pPr>
              <w:ind w:left="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9"/>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jc w:val="center"/>
              <w:ind w:left="59"/>
              <w:spacing w:after="0"/>
              <w:rPr>
                <w:sz w:val="20"/>
                <w:szCs w:val="20"/>
                <w:color w:val="auto"/>
              </w:rPr>
            </w:pPr>
            <w:r>
              <w:rPr>
                <w:rFonts w:ascii="Arial" w:cs="Arial" w:eastAsia="Arial" w:hAnsi="Arial"/>
                <w:sz w:val="16"/>
                <w:szCs w:val="16"/>
                <w:color w:val="auto"/>
              </w:rPr>
              <w:t>Common</w:t>
            </w:r>
          </w:p>
        </w:tc>
        <w:tc>
          <w:tcPr>
            <w:tcW w:w="940" w:type="dxa"/>
            <w:vAlign w:val="bottom"/>
          </w:tcPr>
          <w:p>
            <w:pPr>
              <w:jc w:val="center"/>
              <w:spacing w:after="0"/>
              <w:rPr>
                <w:sz w:val="20"/>
                <w:szCs w:val="20"/>
                <w:color w:val="auto"/>
              </w:rPr>
            </w:pPr>
            <w:r>
              <w:rPr>
                <w:rFonts w:ascii="Arial" w:cs="Arial" w:eastAsia="Arial" w:hAnsi="Arial"/>
                <w:sz w:val="16"/>
                <w:szCs w:val="16"/>
                <w:color w:val="auto"/>
              </w:rPr>
              <w:t>Common</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Additional paid</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Retained</w:t>
            </w:r>
          </w:p>
        </w:tc>
        <w:tc>
          <w:tcPr>
            <w:tcW w:w="1300" w:type="dxa"/>
            <w:vAlign w:val="bottom"/>
          </w:tcPr>
          <w:p>
            <w:pPr>
              <w:jc w:val="center"/>
              <w:spacing w:after="0"/>
              <w:rPr>
                <w:sz w:val="20"/>
                <w:szCs w:val="20"/>
                <w:color w:val="auto"/>
              </w:rPr>
            </w:pPr>
            <w:r>
              <w:rPr>
                <w:rFonts w:ascii="Arial" w:cs="Arial" w:eastAsia="Arial" w:hAnsi="Arial"/>
                <w:sz w:val="16"/>
                <w:szCs w:val="16"/>
                <w:color w:val="auto"/>
              </w:rPr>
              <w:t>comprehensive</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Treasury</w:t>
            </w:r>
          </w:p>
        </w:tc>
        <w:tc>
          <w:tcPr>
            <w:tcW w:w="1200" w:type="dxa"/>
            <w:vAlign w:val="bottom"/>
          </w:tcPr>
          <w:p>
            <w:pPr>
              <w:ind w:left="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Stock</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Stock</w:t>
            </w: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in capital</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earnings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income</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stock</w:t>
            </w: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64"/>
        </w:trPr>
        <w:tc>
          <w:tcPr>
            <w:tcW w:w="3620" w:type="dxa"/>
            <w:vAlign w:val="bottom"/>
          </w:tcPr>
          <w:p>
            <w:pPr>
              <w:ind w:left="40"/>
              <w:spacing w:after="0" w:line="165" w:lineRule="exact"/>
              <w:rPr>
                <w:sz w:val="20"/>
                <w:szCs w:val="20"/>
                <w:color w:val="auto"/>
              </w:rPr>
            </w:pPr>
            <w:r>
              <w:rPr>
                <w:rFonts w:ascii="Arial" w:cs="Arial" w:eastAsia="Arial" w:hAnsi="Arial"/>
                <w:sz w:val="16"/>
                <w:szCs w:val="16"/>
                <w:color w:val="auto"/>
              </w:rPr>
              <w:t>December 31, 2012</w:t>
            </w:r>
          </w:p>
        </w:tc>
        <w:tc>
          <w:tcPr>
            <w:tcW w:w="1120" w:type="dxa"/>
            <w:vAlign w:val="bottom"/>
          </w:tcPr>
          <w:p>
            <w:pPr>
              <w:jc w:val="right"/>
              <w:ind w:right="119"/>
              <w:spacing w:after="0" w:line="165" w:lineRule="exact"/>
              <w:rPr>
                <w:sz w:val="20"/>
                <w:szCs w:val="20"/>
                <w:color w:val="auto"/>
              </w:rPr>
            </w:pPr>
            <w:r>
              <w:rPr>
                <w:rFonts w:ascii="Arial" w:cs="Arial" w:eastAsia="Arial" w:hAnsi="Arial"/>
                <w:sz w:val="16"/>
                <w:szCs w:val="16"/>
                <w:color w:val="auto"/>
              </w:rPr>
              <w:t>$37</w:t>
            </w:r>
          </w:p>
        </w:tc>
        <w:tc>
          <w:tcPr>
            <w:tcW w:w="940" w:type="dxa"/>
            <w:vAlign w:val="bottom"/>
          </w:tcPr>
          <w:p>
            <w:pPr>
              <w:jc w:val="right"/>
              <w:ind w:right="59"/>
              <w:spacing w:after="0" w:line="165" w:lineRule="exact"/>
              <w:rPr>
                <w:sz w:val="20"/>
                <w:szCs w:val="20"/>
                <w:color w:val="auto"/>
              </w:rPr>
            </w:pPr>
            <w:r>
              <w:rPr>
                <w:rFonts w:ascii="Arial" w:cs="Arial" w:eastAsia="Arial" w:hAnsi="Arial"/>
                <w:sz w:val="16"/>
                <w:szCs w:val="16"/>
                <w:color w:val="auto"/>
              </w:rPr>
              <w:t>$3</w:t>
            </w:r>
          </w:p>
        </w:tc>
        <w:tc>
          <w:tcPr>
            <w:tcW w:w="1280" w:type="dxa"/>
            <w:vAlign w:val="bottom"/>
          </w:tcPr>
          <w:p>
            <w:pPr>
              <w:jc w:val="right"/>
              <w:ind w:right="219"/>
              <w:spacing w:after="0" w:line="165" w:lineRule="exact"/>
              <w:rPr>
                <w:sz w:val="20"/>
                <w:szCs w:val="20"/>
                <w:color w:val="auto"/>
              </w:rPr>
            </w:pPr>
            <w:r>
              <w:rPr>
                <w:rFonts w:ascii="Arial" w:cs="Arial" w:eastAsia="Arial" w:hAnsi="Arial"/>
                <w:sz w:val="16"/>
                <w:szCs w:val="16"/>
                <w:color w:val="auto"/>
              </w:rPr>
              <w:t>$395,381</w:t>
            </w:r>
          </w:p>
        </w:tc>
        <w:tc>
          <w:tcPr>
            <w:tcW w:w="960" w:type="dxa"/>
            <w:vAlign w:val="bottom"/>
          </w:tcPr>
          <w:p>
            <w:pPr>
              <w:jc w:val="right"/>
              <w:ind w:right="59"/>
              <w:spacing w:after="0" w:line="165" w:lineRule="exact"/>
              <w:rPr>
                <w:sz w:val="20"/>
                <w:szCs w:val="20"/>
                <w:color w:val="auto"/>
              </w:rPr>
            </w:pPr>
            <w:r>
              <w:rPr>
                <w:rFonts w:ascii="Arial" w:cs="Arial" w:eastAsia="Arial" w:hAnsi="Arial"/>
                <w:sz w:val="16"/>
                <w:szCs w:val="16"/>
                <w:color w:val="auto"/>
              </w:rPr>
              <w:t>$435,775</w:t>
            </w:r>
          </w:p>
        </w:tc>
        <w:tc>
          <w:tcPr>
            <w:tcW w:w="1300" w:type="dxa"/>
            <w:vAlign w:val="bottom"/>
          </w:tcPr>
          <w:p>
            <w:pPr>
              <w:jc w:val="right"/>
              <w:ind w:right="199"/>
              <w:spacing w:after="0" w:line="165" w:lineRule="exact"/>
              <w:rPr>
                <w:sz w:val="20"/>
                <w:szCs w:val="20"/>
                <w:color w:val="auto"/>
              </w:rPr>
            </w:pPr>
            <w:r>
              <w:rPr>
                <w:rFonts w:ascii="Arial" w:cs="Arial" w:eastAsia="Arial" w:hAnsi="Arial"/>
                <w:sz w:val="16"/>
                <w:szCs w:val="16"/>
                <w:color w:val="auto"/>
              </w:rPr>
              <w:t>($80,021)</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($257,664)</w:t>
            </w:r>
          </w:p>
        </w:tc>
        <w:tc>
          <w:tcPr>
            <w:tcW w:w="1200" w:type="dxa"/>
            <w:vAlign w:val="bottom"/>
          </w:tcPr>
          <w:p>
            <w:pPr>
              <w:jc w:val="right"/>
              <w:ind w:right="139"/>
              <w:spacing w:after="0" w:line="165" w:lineRule="exact"/>
              <w:rPr>
                <w:sz w:val="20"/>
                <w:szCs w:val="20"/>
                <w:color w:val="auto"/>
              </w:rPr>
            </w:pPr>
            <w:r>
              <w:rPr>
                <w:rFonts w:ascii="Arial" w:cs="Arial" w:eastAsia="Arial" w:hAnsi="Arial"/>
                <w:sz w:val="16"/>
                <w:szCs w:val="16"/>
                <w:color w:val="auto"/>
              </w:rPr>
              <w:t>$493,511</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4,132</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(9,171)</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(9,171)</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Compensation and benefits paid or payable in</w:t>
            </w: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Class A Common Stock</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(1,311)</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Options exercised</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3,492</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Shares issued to Directors</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44</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Cumulative translation adjustment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(14,494)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(14,494)</w:t>
            </w:r>
          </w:p>
        </w:tc>
        <w:tc>
          <w:tcPr>
            <w:tcW w:w="0" w:type="dxa"/>
            <w:vAlign w:val="bottom"/>
          </w:tcPr>
          <w:p>
            <w:pPr>
              <w:spacing w:after="0"/>
              <w:rPr>
                <w:sz w:val="1"/>
                <w:szCs w:val="1"/>
                <w:color w:val="auto"/>
              </w:rPr>
            </w:pP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Change in pension liability adjustment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2,229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Change in derivative valuation adjustment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1,752</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June 30, 2013</w:t>
            </w:r>
          </w:p>
        </w:tc>
        <w:tc>
          <w:tcPr>
            <w:tcW w:w="11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$37</w:t>
            </w:r>
          </w:p>
        </w:tc>
        <w:tc>
          <w:tcPr>
            <w:tcW w:w="9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$3</w:t>
            </w:r>
          </w:p>
        </w:tc>
        <w:tc>
          <w:tcPr>
            <w:tcW w:w="12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$397,606</w:t>
            </w: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$430,736</w:t>
            </w:r>
          </w:p>
        </w:tc>
        <w:tc>
          <w:tcPr>
            <w:tcW w:w="13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($90,534)</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($257,571)</w:t>
            </w:r>
          </w:p>
        </w:tc>
        <w:tc>
          <w:tcPr>
            <w:tcW w:w="12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$480,277</w:t>
            </w: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0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2013, the Financial Accounting Standards Board (FASB) issued ASU 2013-02 which requires enhanced disclosures about changes in Accumulated Other Comprehensive Income. We adopted these provisions in the first quarter of 2013 by adding a Note to the Consolidated Financial Statements that provides the additional disclosures.</w:t>
      </w:r>
    </w:p>
    <w:p>
      <w:pPr>
        <w:spacing w:after="0" w:line="151"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In the first quarter of 2013, the Company adopted the provisions of ASU 2013-01 which requires enhanced disclosures of the effect or potential effect of netting arrangements on an entity’s financial position. This includes the effect or potential effect of rights of setoff associated with an entity’s recognized assets and recognized liabilities within the scope of this Update. The Company has an interest rate swap agreement that is within the scope of Update and we have added additional disclosure in the Notes to Consolidated Financial Statements about the offsetting asset and liability components of that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6" w:name="page27"/>
    <w:bookmarkEnd w:id="26"/>
    <w:p>
      <w:pPr>
        <w:ind w:right="360"/>
        <w:spacing w:after="0" w:line="276" w:lineRule="auto"/>
        <w:rPr>
          <w:sz w:val="20"/>
          <w:szCs w:val="20"/>
          <w:color w:val="auto"/>
        </w:rPr>
      </w:pPr>
      <w:r>
        <w:rPr>
          <w:rFonts w:ascii="Arial" w:cs="Arial" w:eastAsia="Arial" w:hAnsi="Arial"/>
          <w:sz w:val="18"/>
          <w:szCs w:val="18"/>
          <w:color w:val="auto"/>
        </w:rPr>
        <w:t>on Form 10-Q) that could cause actual results to differ materially from the Company’s historical experience and our present expectations or projections.</w:t>
      </w:r>
    </w:p>
    <w:p>
      <w:pPr>
        <w:spacing w:after="0" w:line="10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Forward-looking statements in this quarterly report include, without limitation, statements about economic and paper industry trends and conditions during 2013 and in future years; sales, EBITDA, Adjusted EBITDA and operating income expectations in 2013 and in future periods in each of the Company’s businesses and for the Company as a whole; the timing and impact of production and development programs in the Company’s AEC business segment and AEC sales growth potential; the amount and timing of capital expenditures, future tax rates and cash paid for taxes, depreciation and amortization; the amount and timing of charges related to announced restructuring activities; future debt levels and debt covenant ratios, and future revaluation gains and losses.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spacing w:after="0" w:line="154"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13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and Trends,” “Liquidity and Capital Resources,” and “Legal Proceedings” sections of this quarterly report, in Note 15 of Notes to Consolidated Financial Statements,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4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71"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 w:lineRule="exact"/>
        <w:rPr>
          <w:sz w:val="20"/>
          <w:szCs w:val="20"/>
          <w:color w:val="auto"/>
        </w:rPr>
      </w:pPr>
    </w:p>
    <w:p>
      <w:pPr>
        <w:ind w:right="300" w:firstLine="648"/>
        <w:spacing w:after="0" w:line="242" w:lineRule="auto"/>
        <w:rPr>
          <w:sz w:val="20"/>
          <w:szCs w:val="20"/>
          <w:color w:val="auto"/>
        </w:rPr>
      </w:pPr>
      <w:r>
        <w:rPr>
          <w:rFonts w:ascii="Arial" w:cs="Arial" w:eastAsia="Arial" w:hAnsi="Arial"/>
          <w:sz w:val="18"/>
          <w:szCs w:val="18"/>
          <w:color w:val="auto"/>
        </w:rPr>
        <w:t>Our reportable segments, Machine Clothing (MC) and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62"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Machine Clothing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Although we do not consider the market for Machine Clothing as having significant growth potential, we do believe it provides the Company with significant prospects for long-term cash generation. We feel we are now well-positioned in these markets, with high-quality, low-cost production in growth markets, substantially lower fixed costs in mature markets, and continued strength in new product development, field services, and manufacturing technology.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63" w:lineRule="exact"/>
        <w:rPr>
          <w:sz w:val="20"/>
          <w:szCs w:val="20"/>
          <w:color w:val="auto"/>
        </w:rPr>
      </w:pPr>
    </w:p>
    <w:p>
      <w:pPr>
        <w:ind w:right="300" w:firstLine="648"/>
        <w:spacing w:after="0" w:line="245"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largest aerospace customer is the Safran Group, and the most significant program is the production of fan blades and other components for the LEAP engine. AEC is also developing other new and potentially significant composite products for aerospace (engine and airframe)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color w:val="auto"/>
              </w:rPr>
              <w:t>Three months ended</w:t>
            </w:r>
          </w:p>
        </w:tc>
        <w:tc>
          <w:tcPr>
            <w:tcW w:w="1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tcPr>
          <w:p>
            <w:pPr>
              <w:jc w:val="right"/>
              <w:ind w:right="410"/>
              <w:spacing w:after="0" w:line="194" w:lineRule="exact"/>
              <w:rPr>
                <w:sz w:val="20"/>
                <w:szCs w:val="20"/>
                <w:color w:val="auto"/>
              </w:rPr>
            </w:pPr>
            <w:r>
              <w:rPr>
                <w:rFonts w:ascii="Arial" w:cs="Arial" w:eastAsia="Arial" w:hAnsi="Arial"/>
                <w:sz w:val="18"/>
                <w:szCs w:val="18"/>
                <w:color w:val="auto"/>
              </w:rPr>
              <w:t>Six months ended</w:t>
            </w:r>
          </w:p>
        </w:tc>
        <w:tc>
          <w:tcPr>
            <w:tcW w:w="1020" w:type="dxa"/>
            <w:vAlign w:val="bottom"/>
            <w:tcBorders>
              <w:top w:val="single" w:sz="8" w:color="auto"/>
            </w:tcBorders>
          </w:tcPr>
          <w:p>
            <w:pPr>
              <w:spacing w:after="0"/>
              <w:rPr>
                <w:sz w:val="16"/>
                <w:szCs w:val="16"/>
                <w:color w:val="auto"/>
              </w:rPr>
            </w:pPr>
          </w:p>
        </w:tc>
      </w:tr>
      <w:tr>
        <w:trPr>
          <w:trHeight w:val="201"/>
        </w:trPr>
        <w:tc>
          <w:tcPr>
            <w:tcW w:w="4000" w:type="dxa"/>
            <w:vAlign w:val="bottom"/>
          </w:tcPr>
          <w:p>
            <w:pPr>
              <w:spacing w:after="0"/>
              <w:rPr>
                <w:sz w:val="17"/>
                <w:szCs w:val="17"/>
                <w:color w:val="auto"/>
              </w:rPr>
            </w:pPr>
          </w:p>
        </w:tc>
        <w:tc>
          <w:tcPr>
            <w:tcW w:w="3040" w:type="dxa"/>
            <w:vAlign w:val="bottom"/>
            <w:gridSpan w:val="2"/>
          </w:tcPr>
          <w:p>
            <w:pPr>
              <w:jc w:val="right"/>
              <w:ind w:right="750"/>
              <w:spacing w:after="0" w:line="201" w:lineRule="exact"/>
              <w:rPr>
                <w:sz w:val="20"/>
                <w:szCs w:val="20"/>
                <w:color w:val="auto"/>
              </w:rPr>
            </w:pPr>
            <w:r>
              <w:rPr>
                <w:rFonts w:ascii="Arial" w:cs="Arial" w:eastAsia="Arial" w:hAnsi="Arial"/>
                <w:sz w:val="18"/>
                <w:szCs w:val="18"/>
                <w:color w:val="auto"/>
              </w:rPr>
              <w:t>June 30,</w:t>
            </w:r>
          </w:p>
        </w:tc>
        <w:tc>
          <w:tcPr>
            <w:tcW w:w="110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670"/>
              <w:spacing w:after="0" w:line="201" w:lineRule="exact"/>
              <w:rPr>
                <w:sz w:val="20"/>
                <w:szCs w:val="20"/>
                <w:color w:val="auto"/>
              </w:rPr>
            </w:pPr>
            <w:r>
              <w:rPr>
                <w:rFonts w:ascii="Arial" w:cs="Arial" w:eastAsia="Arial" w:hAnsi="Arial"/>
                <w:sz w:val="18"/>
                <w:szCs w:val="18"/>
                <w:color w:val="auto"/>
              </w:rPr>
              <w:t>June 30,</w:t>
            </w:r>
          </w:p>
        </w:tc>
        <w:tc>
          <w:tcPr>
            <w:tcW w:w="102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w:t>
            </w:r>
          </w:p>
        </w:tc>
      </w:tr>
      <w:tr>
        <w:trPr>
          <w:trHeight w:val="227"/>
        </w:trPr>
        <w:tc>
          <w:tcPr>
            <w:tcW w:w="4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r>
      <w:tr>
        <w:trPr>
          <w:trHeight w:val="171"/>
        </w:trPr>
        <w:tc>
          <w:tcPr>
            <w:tcW w:w="4000" w:type="dxa"/>
            <w:vAlign w:val="bottom"/>
          </w:tcPr>
          <w:p>
            <w:pPr>
              <w:ind w:left="100"/>
              <w:spacing w:after="0" w:line="171" w:lineRule="exact"/>
              <w:rPr>
                <w:sz w:val="20"/>
                <w:szCs w:val="20"/>
                <w:color w:val="auto"/>
              </w:rPr>
            </w:pPr>
            <w:r>
              <w:rPr>
                <w:rFonts w:ascii="Arial" w:cs="Arial" w:eastAsia="Arial" w:hAnsi="Arial"/>
                <w:sz w:val="18"/>
                <w:szCs w:val="18"/>
                <w:color w:val="auto"/>
              </w:rPr>
              <w:t>Machine Clothing</w:t>
            </w:r>
          </w:p>
        </w:tc>
        <w:tc>
          <w:tcPr>
            <w:tcW w:w="1840" w:type="dxa"/>
            <w:vAlign w:val="bottom"/>
          </w:tcPr>
          <w:p>
            <w:pPr>
              <w:jc w:val="right"/>
              <w:ind w:right="130"/>
              <w:spacing w:after="0" w:line="171" w:lineRule="exact"/>
              <w:rPr>
                <w:sz w:val="20"/>
                <w:szCs w:val="20"/>
                <w:color w:val="auto"/>
              </w:rPr>
            </w:pPr>
            <w:r>
              <w:rPr>
                <w:rFonts w:ascii="Arial" w:cs="Arial" w:eastAsia="Arial" w:hAnsi="Arial"/>
                <w:sz w:val="18"/>
                <w:szCs w:val="18"/>
                <w:b w:val="1"/>
                <w:bCs w:val="1"/>
                <w:color w:val="auto"/>
              </w:rPr>
              <w:t>$177,536</w:t>
            </w:r>
          </w:p>
        </w:tc>
        <w:tc>
          <w:tcPr>
            <w:tcW w:w="1200" w:type="dxa"/>
            <w:vAlign w:val="bottom"/>
          </w:tcPr>
          <w:p>
            <w:pPr>
              <w:jc w:val="right"/>
              <w:ind w:right="170"/>
              <w:spacing w:after="0" w:line="171" w:lineRule="exact"/>
              <w:rPr>
                <w:sz w:val="20"/>
                <w:szCs w:val="20"/>
                <w:color w:val="auto"/>
              </w:rPr>
            </w:pPr>
            <w:r>
              <w:rPr>
                <w:rFonts w:ascii="Arial" w:cs="Arial" w:eastAsia="Arial" w:hAnsi="Arial"/>
                <w:sz w:val="18"/>
                <w:szCs w:val="18"/>
                <w:color w:val="auto"/>
              </w:rPr>
              <w:t>$177,122</w:t>
            </w:r>
          </w:p>
        </w:tc>
        <w:tc>
          <w:tcPr>
            <w:tcW w:w="1100" w:type="dxa"/>
            <w:vAlign w:val="bottom"/>
          </w:tcPr>
          <w:p>
            <w:pPr>
              <w:jc w:val="right"/>
              <w:ind w:right="110"/>
              <w:spacing w:after="0" w:line="171" w:lineRule="exact"/>
              <w:rPr>
                <w:sz w:val="20"/>
                <w:szCs w:val="20"/>
                <w:color w:val="auto"/>
              </w:rPr>
            </w:pPr>
            <w:r>
              <w:rPr>
                <w:rFonts w:ascii="Arial" w:cs="Arial" w:eastAsia="Arial" w:hAnsi="Arial"/>
                <w:sz w:val="18"/>
                <w:szCs w:val="18"/>
                <w:color w:val="auto"/>
              </w:rPr>
              <w:t>0.23%</w:t>
            </w:r>
          </w:p>
        </w:tc>
        <w:tc>
          <w:tcPr>
            <w:tcW w:w="1120" w:type="dxa"/>
            <w:vAlign w:val="bottom"/>
          </w:tcPr>
          <w:p>
            <w:pPr>
              <w:jc w:val="right"/>
              <w:ind w:right="90"/>
              <w:spacing w:after="0" w:line="171" w:lineRule="exact"/>
              <w:rPr>
                <w:sz w:val="20"/>
                <w:szCs w:val="20"/>
                <w:color w:val="auto"/>
              </w:rPr>
            </w:pPr>
            <w:r>
              <w:rPr>
                <w:rFonts w:ascii="Arial" w:cs="Arial" w:eastAsia="Arial" w:hAnsi="Arial"/>
                <w:sz w:val="18"/>
                <w:szCs w:val="18"/>
                <w:b w:val="1"/>
                <w:bCs w:val="1"/>
                <w:color w:val="auto"/>
              </w:rPr>
              <w:t>$344,946</w:t>
            </w:r>
          </w:p>
        </w:tc>
        <w:tc>
          <w:tcPr>
            <w:tcW w:w="1140" w:type="dxa"/>
            <w:vAlign w:val="bottom"/>
          </w:tcPr>
          <w:p>
            <w:pPr>
              <w:jc w:val="right"/>
              <w:ind w:right="110"/>
              <w:spacing w:after="0" w:line="171" w:lineRule="exact"/>
              <w:rPr>
                <w:sz w:val="20"/>
                <w:szCs w:val="20"/>
                <w:color w:val="auto"/>
              </w:rPr>
            </w:pPr>
            <w:r>
              <w:rPr>
                <w:rFonts w:ascii="Arial" w:cs="Arial" w:eastAsia="Arial" w:hAnsi="Arial"/>
                <w:sz w:val="18"/>
                <w:szCs w:val="18"/>
                <w:color w:val="auto"/>
              </w:rPr>
              <w:t>$341,410</w:t>
            </w:r>
          </w:p>
        </w:tc>
        <w:tc>
          <w:tcPr>
            <w:tcW w:w="1020" w:type="dxa"/>
            <w:vAlign w:val="bottom"/>
          </w:tcPr>
          <w:p>
            <w:pPr>
              <w:jc w:val="right"/>
              <w:ind w:right="10"/>
              <w:spacing w:after="0" w:line="171" w:lineRule="exact"/>
              <w:rPr>
                <w:sz w:val="20"/>
                <w:szCs w:val="20"/>
                <w:color w:val="auto"/>
              </w:rPr>
            </w:pPr>
            <w:r>
              <w:rPr>
                <w:rFonts w:ascii="Arial" w:cs="Arial" w:eastAsia="Arial" w:hAnsi="Arial"/>
                <w:sz w:val="18"/>
                <w:szCs w:val="18"/>
                <w:color w:val="auto"/>
              </w:rPr>
              <w:t>1.04%</w:t>
            </w:r>
          </w:p>
        </w:tc>
      </w:tr>
      <w:tr>
        <w:trPr>
          <w:trHeight w:val="227"/>
        </w:trPr>
        <w:tc>
          <w:tcPr>
            <w:tcW w:w="4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w:t>
            </w: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20,438</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14,818</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37.93%</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39,682</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30,607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w:t>
            </w:r>
          </w:p>
        </w:tc>
      </w:tr>
      <w:tr>
        <w:trPr>
          <w:trHeight w:val="196"/>
        </w:trPr>
        <w:tc>
          <w:tcPr>
            <w:tcW w:w="40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$197,974</w:t>
            </w:r>
          </w:p>
        </w:tc>
        <w:tc>
          <w:tcPr>
            <w:tcW w:w="12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$191,940</w:t>
            </w: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3.14%</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$384,628</w:t>
            </w:r>
          </w:p>
        </w:tc>
        <w:tc>
          <w:tcPr>
            <w:tcW w:w="1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$372,017</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3.39%</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left="1300" w:right="2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increasing net sales by $0.1 million during the second quarter of 2013 as compared to 2012.</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net sales increased 3.1% compared to the same period in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w:t>
      </w:r>
    </w:p>
    <w:p>
      <w:pPr>
        <w:spacing w:after="0" w:line="8" w:lineRule="exact"/>
        <w:rPr>
          <w:rFonts w:ascii="Times New Roman" w:cs="Times New Roman" w:eastAsia="Times New Roman" w:hAnsi="Times New Roman"/>
          <w:sz w:val="18"/>
          <w:szCs w:val="18"/>
          <w:color w:val="auto"/>
        </w:rPr>
      </w:pPr>
    </w:p>
    <w:p>
      <w:pPr>
        <w:ind w:left="2600" w:hanging="323"/>
        <w:spacing w:after="0"/>
        <w:tabs>
          <w:tab w:leader="none" w:pos="26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MC increased 0.2%.</w:t>
      </w:r>
    </w:p>
    <w:p>
      <w:pPr>
        <w:spacing w:after="0" w:line="8" w:lineRule="exact"/>
        <w:rPr>
          <w:rFonts w:ascii="Times New Roman" w:cs="Times New Roman" w:eastAsia="Times New Roman" w:hAnsi="Times New Roman"/>
          <w:sz w:val="18"/>
          <w:szCs w:val="18"/>
          <w:color w:val="auto"/>
        </w:rPr>
      </w:pPr>
    </w:p>
    <w:p>
      <w:pPr>
        <w:ind w:left="2600" w:hanging="323"/>
        <w:spacing w:after="0"/>
        <w:tabs>
          <w:tab w:leader="none" w:pos="26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Engineered Composites increased 37.9%.</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net sales by $0.3 million during 2013 as compared to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net sales increased 3.5% compared to the same period in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w:t>
      </w:r>
    </w:p>
    <w:p>
      <w:pPr>
        <w:spacing w:after="0" w:line="8" w:lineRule="exact"/>
        <w:rPr>
          <w:rFonts w:ascii="Times New Roman" w:cs="Times New Roman" w:eastAsia="Times New Roman" w:hAnsi="Times New Roman"/>
          <w:sz w:val="18"/>
          <w:szCs w:val="18"/>
          <w:color w:val="auto"/>
        </w:rPr>
      </w:pPr>
    </w:p>
    <w:p>
      <w:pPr>
        <w:ind w:left="2600" w:hanging="323"/>
        <w:spacing w:after="0"/>
        <w:tabs>
          <w:tab w:leader="none" w:pos="26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MC increased 1.1%.</w:t>
      </w:r>
    </w:p>
    <w:p>
      <w:pPr>
        <w:spacing w:after="0" w:line="8" w:lineRule="exact"/>
        <w:rPr>
          <w:rFonts w:ascii="Times New Roman" w:cs="Times New Roman" w:eastAsia="Times New Roman" w:hAnsi="Times New Roman"/>
          <w:sz w:val="18"/>
          <w:szCs w:val="18"/>
          <w:color w:val="auto"/>
        </w:rPr>
      </w:pPr>
    </w:p>
    <w:p>
      <w:pPr>
        <w:ind w:left="2600" w:hanging="323"/>
        <w:spacing w:after="0"/>
        <w:tabs>
          <w:tab w:leader="none" w:pos="26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Engineered Composites increased 29.7%.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gridSpan w:val="2"/>
          </w:tcPr>
          <w:p>
            <w:pPr>
              <w:jc w:val="right"/>
              <w:ind w:right="1070"/>
              <w:spacing w:after="0" w:line="194" w:lineRule="exact"/>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79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4220" w:type="dxa"/>
            <w:vAlign w:val="bottom"/>
          </w:tcPr>
          <w:p>
            <w:pPr>
              <w:spacing w:after="0"/>
              <w:rPr>
                <w:sz w:val="17"/>
                <w:szCs w:val="17"/>
                <w:color w:val="auto"/>
              </w:rPr>
            </w:pPr>
          </w:p>
        </w:tc>
        <w:tc>
          <w:tcPr>
            <w:tcW w:w="26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460" w:type="dxa"/>
            <w:vAlign w:val="bottom"/>
          </w:tcPr>
          <w:p>
            <w:pPr>
              <w:spacing w:after="0"/>
              <w:rPr>
                <w:sz w:val="17"/>
                <w:szCs w:val="17"/>
                <w:color w:val="auto"/>
              </w:rPr>
            </w:pPr>
          </w:p>
        </w:tc>
        <w:tc>
          <w:tcPr>
            <w:tcW w:w="2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17"/>
                <w:szCs w:val="17"/>
                <w:color w:val="auto"/>
              </w:rPr>
            </w:pPr>
          </w:p>
        </w:tc>
      </w:tr>
      <w:tr>
        <w:trPr>
          <w:trHeight w:val="227"/>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26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2012</w:t>
            </w:r>
          </w:p>
        </w:tc>
        <w:tc>
          <w:tcPr>
            <w:tcW w:w="20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r>
      <w:tr>
        <w:trPr>
          <w:trHeight w:val="171"/>
        </w:trPr>
        <w:tc>
          <w:tcPr>
            <w:tcW w:w="4220" w:type="dxa"/>
            <w:vAlign w:val="bottom"/>
          </w:tcPr>
          <w:p>
            <w:pPr>
              <w:ind w:left="100"/>
              <w:spacing w:after="0" w:line="171" w:lineRule="exact"/>
              <w:rPr>
                <w:sz w:val="20"/>
                <w:szCs w:val="20"/>
                <w:color w:val="auto"/>
              </w:rPr>
            </w:pPr>
            <w:r>
              <w:rPr>
                <w:rFonts w:ascii="Arial" w:cs="Arial" w:eastAsia="Arial" w:hAnsi="Arial"/>
                <w:sz w:val="18"/>
                <w:szCs w:val="18"/>
                <w:color w:val="auto"/>
              </w:rPr>
              <w:t>Machine Clothing</w:t>
            </w:r>
          </w:p>
        </w:tc>
        <w:tc>
          <w:tcPr>
            <w:tcW w:w="2660" w:type="dxa"/>
            <w:vAlign w:val="bottom"/>
          </w:tcPr>
          <w:p>
            <w:pPr>
              <w:jc w:val="right"/>
              <w:ind w:right="750"/>
              <w:spacing w:after="0" w:line="171" w:lineRule="exact"/>
              <w:rPr>
                <w:sz w:val="20"/>
                <w:szCs w:val="20"/>
                <w:color w:val="auto"/>
              </w:rPr>
            </w:pPr>
            <w:r>
              <w:rPr>
                <w:rFonts w:ascii="Arial" w:cs="Arial" w:eastAsia="Arial" w:hAnsi="Arial"/>
                <w:sz w:val="18"/>
                <w:szCs w:val="18"/>
                <w:b w:val="1"/>
                <w:bCs w:val="1"/>
                <w:color w:val="auto"/>
              </w:rPr>
              <w:t>$77,797</w:t>
            </w:r>
          </w:p>
        </w:tc>
        <w:tc>
          <w:tcPr>
            <w:tcW w:w="1460" w:type="dxa"/>
            <w:vAlign w:val="bottom"/>
          </w:tcPr>
          <w:p>
            <w:pPr>
              <w:jc w:val="right"/>
              <w:ind w:right="470"/>
              <w:spacing w:after="0" w:line="171" w:lineRule="exact"/>
              <w:rPr>
                <w:sz w:val="20"/>
                <w:szCs w:val="20"/>
                <w:color w:val="auto"/>
              </w:rPr>
            </w:pPr>
            <w:r>
              <w:rPr>
                <w:rFonts w:ascii="Arial" w:cs="Arial" w:eastAsia="Arial" w:hAnsi="Arial"/>
                <w:sz w:val="18"/>
                <w:szCs w:val="18"/>
                <w:color w:val="auto"/>
              </w:rPr>
              <w:t>$78,245</w:t>
            </w:r>
          </w:p>
        </w:tc>
        <w:tc>
          <w:tcPr>
            <w:tcW w:w="2000" w:type="dxa"/>
            <w:vAlign w:val="bottom"/>
          </w:tcPr>
          <w:p>
            <w:pPr>
              <w:jc w:val="right"/>
              <w:ind w:right="730"/>
              <w:spacing w:after="0" w:line="171" w:lineRule="exact"/>
              <w:rPr>
                <w:sz w:val="20"/>
                <w:szCs w:val="20"/>
                <w:color w:val="auto"/>
              </w:rPr>
            </w:pPr>
            <w:r>
              <w:rPr>
                <w:rFonts w:ascii="Arial" w:cs="Arial" w:eastAsia="Arial" w:hAnsi="Arial"/>
                <w:sz w:val="18"/>
                <w:szCs w:val="18"/>
                <w:b w:val="1"/>
                <w:bCs w:val="1"/>
                <w:color w:val="auto"/>
              </w:rPr>
              <w:t>$151,786</w:t>
            </w:r>
          </w:p>
        </w:tc>
        <w:tc>
          <w:tcPr>
            <w:tcW w:w="1080" w:type="dxa"/>
            <w:vAlign w:val="bottom"/>
          </w:tcPr>
          <w:p>
            <w:pPr>
              <w:jc w:val="right"/>
              <w:ind w:right="70"/>
              <w:spacing w:after="0" w:line="171" w:lineRule="exact"/>
              <w:rPr>
                <w:sz w:val="20"/>
                <w:szCs w:val="20"/>
                <w:color w:val="auto"/>
              </w:rPr>
            </w:pPr>
            <w:r>
              <w:rPr>
                <w:rFonts w:ascii="Arial" w:cs="Arial" w:eastAsia="Arial" w:hAnsi="Arial"/>
                <w:sz w:val="18"/>
                <w:szCs w:val="18"/>
                <w:color w:val="auto"/>
              </w:rPr>
              <w:t>$146,243</w:t>
            </w:r>
          </w:p>
        </w:tc>
      </w:tr>
      <w:tr>
        <w:trPr>
          <w:trHeight w:val="203"/>
        </w:trPr>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66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667</w:t>
            </w:r>
          </w:p>
        </w:tc>
        <w:tc>
          <w:tcPr>
            <w:tcW w:w="1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1,311</w:t>
            </w:r>
          </w:p>
        </w:tc>
        <w:tc>
          <w:tcPr>
            <w:tcW w:w="200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481</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2,704</w:t>
            </w:r>
          </w:p>
        </w:tc>
      </w:tr>
      <w:tr>
        <w:trPr>
          <w:trHeight w:val="227"/>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(1,031)</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(1,056)</w:t>
            </w:r>
          </w:p>
        </w:tc>
        <w:tc>
          <w:tcPr>
            <w:tcW w:w="20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(2,065)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r>
      <w:tr>
        <w:trPr>
          <w:trHeight w:val="196"/>
        </w:trPr>
        <w:tc>
          <w:tcPr>
            <w:tcW w:w="42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$77,433</w:t>
            </w:r>
          </w:p>
        </w:tc>
        <w:tc>
          <w:tcPr>
            <w:tcW w:w="14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$78,500</w:t>
            </w:r>
          </w:p>
        </w:tc>
        <w:tc>
          <w:tcPr>
            <w:tcW w:w="20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$150,202</w:t>
            </w:r>
          </w:p>
        </w:tc>
        <w:tc>
          <w:tcPr>
            <w:tcW w:w="10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$146,786</w:t>
            </w:r>
          </w:p>
        </w:tc>
      </w:tr>
      <w:tr>
        <w:trPr>
          <w:trHeight w:val="196"/>
        </w:trPr>
        <w:tc>
          <w:tcPr>
            <w:tcW w:w="42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26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39.1%</w:t>
            </w:r>
          </w:p>
        </w:tc>
        <w:tc>
          <w:tcPr>
            <w:tcW w:w="1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40.9%</w:t>
            </w:r>
          </w:p>
        </w:tc>
        <w:tc>
          <w:tcPr>
            <w:tcW w:w="20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39.1%</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decrease in gross profit, compared to the same period in 2012, was principally due to the net effect of the following:</w:t>
      </w:r>
    </w:p>
    <w:p>
      <w:pPr>
        <w:spacing w:after="0" w:line="176" w:lineRule="exact"/>
        <w:rPr>
          <w:sz w:val="20"/>
          <w:szCs w:val="20"/>
          <w:color w:val="auto"/>
        </w:rPr>
      </w:pPr>
    </w:p>
    <w:p>
      <w:pPr>
        <w:ind w:left="1620" w:hanging="315"/>
        <w:spacing w:after="0"/>
        <w:tabs>
          <w:tab w:leader="none" w:pos="1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margins in MC decreased slightly from 44.2 percent to 43.8 percent.</w:t>
      </w:r>
    </w:p>
    <w:p>
      <w:pPr>
        <w:spacing w:after="0" w:line="30" w:lineRule="exact"/>
        <w:rPr>
          <w:rFonts w:ascii="Times New Roman" w:cs="Times New Roman" w:eastAsia="Times New Roman" w:hAnsi="Times New Roman"/>
          <w:sz w:val="18"/>
          <w:szCs w:val="18"/>
          <w:color w:val="auto"/>
        </w:rPr>
      </w:pPr>
    </w:p>
    <w:p>
      <w:pPr>
        <w:ind w:left="1620" w:right="280" w:hanging="315"/>
        <w:spacing w:after="0" w:line="250" w:lineRule="auto"/>
        <w:tabs>
          <w:tab w:leader="none" w:pos="1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AEC profit margin was negatively affected by $0.9 million of inventory write-offs associated with a legacy program at the Company’s Boerne, Texas,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increase in gross profit during 2013 was principally due to the net effect of the following:</w:t>
      </w:r>
    </w:p>
    <w:p>
      <w:pPr>
        <w:spacing w:after="0" w:line="176" w:lineRule="exact"/>
        <w:rPr>
          <w:sz w:val="20"/>
          <w:szCs w:val="20"/>
          <w:color w:val="auto"/>
        </w:rPr>
      </w:pPr>
    </w:p>
    <w:p>
      <w:pPr>
        <w:ind w:left="1620" w:right="900" w:hanging="315"/>
        <w:spacing w:after="0" w:line="247" w:lineRule="auto"/>
        <w:tabs>
          <w:tab w:leader="none" w:pos="1620" w:val="left"/>
        </w:tabs>
        <w:numPr>
          <w:ilvl w:val="0"/>
          <w:numId w:val="7"/>
        </w:numPr>
        <w:rPr>
          <w:rFonts w:ascii="Times New Roman" w:cs="Times New Roman" w:eastAsia="Times New Roman" w:hAnsi="Times New Roman"/>
          <w:sz w:val="18"/>
          <w:szCs w:val="18"/>
          <w:color w:val="auto"/>
          <w:strike w:val="1"/>
        </w:rPr>
      </w:pPr>
      <w:r>
        <w:rPr>
          <w:rFonts w:ascii="Arial" w:cs="Arial" w:eastAsia="Arial" w:hAnsi="Arial"/>
          <w:sz w:val="18"/>
          <w:szCs w:val="18"/>
          <w:color w:val="auto"/>
        </w:rPr>
        <w:t>A $4.0 million increase due to higher gross profit margin in MC. The improved gross profit margin reflects strong performance in the Americas and the cumulative effect of productivity improvements and restructuring.</w:t>
      </w:r>
    </w:p>
    <w:p>
      <w:pPr>
        <w:ind w:left="1620" w:hanging="315"/>
        <w:spacing w:after="0"/>
        <w:tabs>
          <w:tab w:leader="none" w:pos="1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increase due to higher sales in MC.</w:t>
      </w:r>
    </w:p>
    <w:p>
      <w:pPr>
        <w:spacing w:after="0" w:line="8" w:lineRule="exact"/>
        <w:rPr>
          <w:rFonts w:ascii="Times New Roman" w:cs="Times New Roman" w:eastAsia="Times New Roman" w:hAnsi="Times New Roman"/>
          <w:sz w:val="18"/>
          <w:szCs w:val="18"/>
          <w:color w:val="auto"/>
        </w:rPr>
      </w:pPr>
    </w:p>
    <w:p>
      <w:pPr>
        <w:ind w:left="1620" w:right="480" w:hanging="315"/>
        <w:spacing w:after="0" w:line="250" w:lineRule="auto"/>
        <w:tabs>
          <w:tab w:leader="none" w:pos="1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$1.1 million decrease in AEC due to negative effects of inventory write-offs associated with a legacy program at the Company’s Boerne, Texas, facility.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Borders>
              <w:top w:val="single" w:sz="8" w:color="auto"/>
            </w:tcBorders>
          </w:tcPr>
          <w:p>
            <w:pPr>
              <w:spacing w:after="0"/>
              <w:rPr>
                <w:sz w:val="16"/>
                <w:szCs w:val="16"/>
                <w:color w:val="auto"/>
              </w:rPr>
            </w:pPr>
          </w:p>
        </w:tc>
        <w:tc>
          <w:tcPr>
            <w:tcW w:w="4680" w:type="dxa"/>
            <w:vAlign w:val="bottom"/>
            <w:tcBorders>
              <w:top w:val="single" w:sz="8" w:color="auto"/>
            </w:tcBorders>
            <w:gridSpan w:val="2"/>
          </w:tcPr>
          <w:p>
            <w:pPr>
              <w:jc w:val="right"/>
              <w:ind w:right="1070"/>
              <w:spacing w:after="0" w:line="194" w:lineRule="exact"/>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79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3660" w:type="dxa"/>
            <w:vAlign w:val="bottom"/>
          </w:tcPr>
          <w:p>
            <w:pPr>
              <w:spacing w:after="0"/>
              <w:rPr>
                <w:sz w:val="17"/>
                <w:szCs w:val="17"/>
                <w:color w:val="auto"/>
              </w:rPr>
            </w:pPr>
          </w:p>
        </w:tc>
        <w:tc>
          <w:tcPr>
            <w:tcW w:w="32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460" w:type="dxa"/>
            <w:vAlign w:val="bottom"/>
          </w:tcPr>
          <w:p>
            <w:pPr>
              <w:spacing w:after="0"/>
              <w:rPr>
                <w:sz w:val="17"/>
                <w:szCs w:val="17"/>
                <w:color w:val="auto"/>
              </w:rPr>
            </w:pPr>
          </w:p>
        </w:tc>
        <w:tc>
          <w:tcPr>
            <w:tcW w:w="2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17"/>
                <w:szCs w:val="17"/>
                <w:color w:val="auto"/>
              </w:rPr>
            </w:pPr>
          </w:p>
        </w:tc>
      </w:tr>
      <w:tr>
        <w:trPr>
          <w:trHeight w:val="227"/>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2013</w:t>
            </w: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2012</w:t>
            </w:r>
          </w:p>
        </w:tc>
        <w:tc>
          <w:tcPr>
            <w:tcW w:w="20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r>
      <w:tr>
        <w:trPr>
          <w:trHeight w:val="171"/>
        </w:trPr>
        <w:tc>
          <w:tcPr>
            <w:tcW w:w="3660" w:type="dxa"/>
            <w:vAlign w:val="bottom"/>
          </w:tcPr>
          <w:p>
            <w:pPr>
              <w:ind w:left="100"/>
              <w:spacing w:after="0" w:line="171" w:lineRule="exact"/>
              <w:rPr>
                <w:sz w:val="20"/>
                <w:szCs w:val="20"/>
                <w:color w:val="auto"/>
              </w:rPr>
            </w:pPr>
            <w:r>
              <w:rPr>
                <w:rFonts w:ascii="Arial" w:cs="Arial" w:eastAsia="Arial" w:hAnsi="Arial"/>
                <w:sz w:val="18"/>
                <w:szCs w:val="18"/>
                <w:color w:val="auto"/>
              </w:rPr>
              <w:t>Machine Clothing</w:t>
            </w:r>
          </w:p>
        </w:tc>
        <w:tc>
          <w:tcPr>
            <w:tcW w:w="3220" w:type="dxa"/>
            <w:vAlign w:val="bottom"/>
          </w:tcPr>
          <w:p>
            <w:pPr>
              <w:jc w:val="right"/>
              <w:ind w:right="750"/>
              <w:spacing w:after="0" w:line="171" w:lineRule="exact"/>
              <w:rPr>
                <w:sz w:val="20"/>
                <w:szCs w:val="20"/>
                <w:color w:val="auto"/>
              </w:rPr>
            </w:pPr>
            <w:r>
              <w:rPr>
                <w:rFonts w:ascii="Arial" w:cs="Arial" w:eastAsia="Arial" w:hAnsi="Arial"/>
                <w:sz w:val="18"/>
                <w:szCs w:val="18"/>
                <w:b w:val="1"/>
                <w:bCs w:val="1"/>
                <w:color w:val="auto"/>
              </w:rPr>
              <w:t>$32,867</w:t>
            </w:r>
          </w:p>
        </w:tc>
        <w:tc>
          <w:tcPr>
            <w:tcW w:w="1460" w:type="dxa"/>
            <w:vAlign w:val="bottom"/>
          </w:tcPr>
          <w:p>
            <w:pPr>
              <w:jc w:val="right"/>
              <w:ind w:right="470"/>
              <w:spacing w:after="0" w:line="171" w:lineRule="exact"/>
              <w:rPr>
                <w:sz w:val="20"/>
                <w:szCs w:val="20"/>
                <w:color w:val="auto"/>
              </w:rPr>
            </w:pPr>
            <w:r>
              <w:rPr>
                <w:rFonts w:ascii="Arial" w:cs="Arial" w:eastAsia="Arial" w:hAnsi="Arial"/>
                <w:sz w:val="18"/>
                <w:szCs w:val="18"/>
                <w:color w:val="auto"/>
              </w:rPr>
              <w:t>$30,345</w:t>
            </w:r>
          </w:p>
        </w:tc>
        <w:tc>
          <w:tcPr>
            <w:tcW w:w="2020" w:type="dxa"/>
            <w:vAlign w:val="bottom"/>
          </w:tcPr>
          <w:p>
            <w:pPr>
              <w:jc w:val="right"/>
              <w:ind w:right="750"/>
              <w:spacing w:after="0" w:line="171" w:lineRule="exact"/>
              <w:rPr>
                <w:sz w:val="20"/>
                <w:szCs w:val="20"/>
                <w:color w:val="auto"/>
              </w:rPr>
            </w:pPr>
            <w:r>
              <w:rPr>
                <w:rFonts w:ascii="Arial" w:cs="Arial" w:eastAsia="Arial" w:hAnsi="Arial"/>
                <w:sz w:val="18"/>
                <w:szCs w:val="18"/>
                <w:b w:val="1"/>
                <w:bCs w:val="1"/>
                <w:color w:val="auto"/>
              </w:rPr>
              <w:t>$63,755</w:t>
            </w:r>
          </w:p>
        </w:tc>
        <w:tc>
          <w:tcPr>
            <w:tcW w:w="1060" w:type="dxa"/>
            <w:vAlign w:val="bottom"/>
          </w:tcPr>
          <w:p>
            <w:pPr>
              <w:jc w:val="right"/>
              <w:ind w:right="70"/>
              <w:spacing w:after="0" w:line="171" w:lineRule="exact"/>
              <w:rPr>
                <w:sz w:val="20"/>
                <w:szCs w:val="20"/>
                <w:color w:val="auto"/>
              </w:rPr>
            </w:pPr>
            <w:r>
              <w:rPr>
                <w:rFonts w:ascii="Arial" w:cs="Arial" w:eastAsia="Arial" w:hAnsi="Arial"/>
                <w:sz w:val="18"/>
                <w:szCs w:val="18"/>
                <w:color w:val="auto"/>
              </w:rPr>
              <w:t>$66,825</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32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2,402</w:t>
            </w:r>
          </w:p>
        </w:tc>
        <w:tc>
          <w:tcPr>
            <w:tcW w:w="1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1,680</w:t>
            </w:r>
          </w:p>
        </w:tc>
        <w:tc>
          <w:tcPr>
            <w:tcW w:w="20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3,835</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3,044</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Research</w:t>
            </w:r>
          </w:p>
        </w:tc>
        <w:tc>
          <w:tcPr>
            <w:tcW w:w="32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7,673</w:t>
            </w:r>
          </w:p>
        </w:tc>
        <w:tc>
          <w:tcPr>
            <w:tcW w:w="1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7,253</w:t>
            </w:r>
          </w:p>
        </w:tc>
        <w:tc>
          <w:tcPr>
            <w:tcW w:w="20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14,664</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13,318</w:t>
            </w:r>
          </w:p>
        </w:tc>
      </w:tr>
      <w:tr>
        <w:trPr>
          <w:trHeight w:val="227"/>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3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13,683</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11,514</w:t>
            </w:r>
          </w:p>
        </w:tc>
        <w:tc>
          <w:tcPr>
            <w:tcW w:w="2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23,986</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27,367</w:t>
            </w:r>
          </w:p>
        </w:tc>
      </w:tr>
      <w:tr>
        <w:trPr>
          <w:trHeight w:val="196"/>
        </w:trPr>
        <w:tc>
          <w:tcPr>
            <w:tcW w:w="36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2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$56,625</w:t>
            </w:r>
          </w:p>
        </w:tc>
        <w:tc>
          <w:tcPr>
            <w:tcW w:w="14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$50,792</w:t>
            </w:r>
          </w:p>
        </w:tc>
        <w:tc>
          <w:tcPr>
            <w:tcW w:w="20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$106,240</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$110,554</w:t>
            </w:r>
          </w:p>
        </w:tc>
      </w:tr>
      <w:tr>
        <w:trPr>
          <w:trHeight w:val="196"/>
        </w:trPr>
        <w:tc>
          <w:tcPr>
            <w:tcW w:w="36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2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28.6%</w:t>
            </w:r>
          </w:p>
        </w:tc>
        <w:tc>
          <w:tcPr>
            <w:tcW w:w="1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26.5%</w:t>
            </w:r>
          </w:p>
        </w:tc>
        <w:tc>
          <w:tcPr>
            <w:tcW w:w="20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27.6%</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increased $5.8 million, compared to the same period in 2012, principally due to the net effect of the following:</w:t>
      </w:r>
    </w:p>
    <w:p>
      <w:pPr>
        <w:spacing w:after="0" w:line="176" w:lineRule="exact"/>
        <w:rPr>
          <w:sz w:val="20"/>
          <w:szCs w:val="20"/>
          <w:color w:val="auto"/>
        </w:rPr>
      </w:pPr>
    </w:p>
    <w:p>
      <w:pPr>
        <w:ind w:left="1300" w:right="180" w:hanging="320"/>
        <w:spacing w:after="0" w:line="247" w:lineRule="auto"/>
        <w:tabs>
          <w:tab w:leader="none" w:pos="13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gains of $0.5 million during the second quarter of 2013 and gains of $2.7 million in the comparable quarter of 2012.</w:t>
      </w:r>
    </w:p>
    <w:p>
      <w:pPr>
        <w:ind w:left="1300" w:right="240" w:hanging="320"/>
        <w:spacing w:after="0" w:line="234" w:lineRule="auto"/>
        <w:tabs>
          <w:tab w:leader="none" w:pos="13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Adjustments to various accruals, including incentive compensation accruals that are tied to the Company’s share price, were unfavorably adjusted by $0.4 million in 2013, and favorably adjusted by $1.5 million in 2012.</w:t>
      </w: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U.S. Pension expense decreased by $0.4 million principally due to the settlement in 2012 of certain pension plan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gain on the sale of former manufacturing facility in Australia reduced 2013 expenses by $3.8 million.</w:t>
      </w:r>
    </w:p>
    <w:p>
      <w:pPr>
        <w:spacing w:after="0" w:line="8" w:lineRule="exact"/>
        <w:rPr>
          <w:rFonts w:ascii="Times New Roman" w:cs="Times New Roman" w:eastAsia="Times New Roman" w:hAnsi="Times New Roman"/>
          <w:sz w:val="18"/>
          <w:szCs w:val="18"/>
          <w:color w:val="auto"/>
        </w:rPr>
      </w:pPr>
    </w:p>
    <w:p>
      <w:pPr>
        <w:ind w:left="1300" w:right="500" w:hanging="320"/>
        <w:spacing w:after="0" w:line="234" w:lineRule="auto"/>
        <w:tabs>
          <w:tab w:leader="none" w:pos="13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gains of $1.2 million during 2013 and gains of $1.0 million in 2012.</w:t>
      </w: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U.S. Pension expense decreased by $1.6 million principally due to the settlement in 2012 of certain pension plan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2"/>
          </w:tcPr>
          <w:p>
            <w:pPr>
              <w:jc w:val="right"/>
              <w:ind w:right="870"/>
              <w:spacing w:after="0" w:line="194" w:lineRule="exact"/>
              <w:rPr>
                <w:sz w:val="20"/>
                <w:szCs w:val="20"/>
                <w:color w:val="auto"/>
              </w:rPr>
            </w:pPr>
            <w:r>
              <w:rPr>
                <w:rFonts w:ascii="Arial" w:cs="Arial" w:eastAsia="Arial" w:hAnsi="Arial"/>
                <w:sz w:val="18"/>
                <w:szCs w:val="18"/>
                <w:color w:val="auto"/>
              </w:rPr>
              <w:t>Three months ended</w:t>
            </w:r>
          </w:p>
        </w:tc>
        <w:tc>
          <w:tcPr>
            <w:tcW w:w="2800" w:type="dxa"/>
            <w:vAlign w:val="bottom"/>
            <w:tcBorders>
              <w:top w:val="single" w:sz="8" w:color="auto"/>
            </w:tcBorders>
            <w:gridSpan w:val="2"/>
          </w:tcPr>
          <w:p>
            <w:pPr>
              <w:jc w:val="right"/>
              <w:ind w:right="690"/>
              <w:spacing w:after="0" w:line="194" w:lineRule="exact"/>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6"/>
                <w:szCs w:val="16"/>
                <w:color w:val="auto"/>
              </w:rPr>
            </w:pPr>
          </w:p>
        </w:tc>
      </w:tr>
      <w:tr>
        <w:trPr>
          <w:trHeight w:val="201"/>
        </w:trPr>
        <w:tc>
          <w:tcPr>
            <w:tcW w:w="4640" w:type="dxa"/>
            <w:vAlign w:val="bottom"/>
          </w:tcPr>
          <w:p>
            <w:pPr>
              <w:spacing w:after="0"/>
              <w:rPr>
                <w:sz w:val="17"/>
                <w:szCs w:val="17"/>
                <w:color w:val="auto"/>
              </w:rPr>
            </w:pPr>
          </w:p>
        </w:tc>
        <w:tc>
          <w:tcPr>
            <w:tcW w:w="2600" w:type="dxa"/>
            <w:vAlign w:val="bottom"/>
          </w:tcPr>
          <w:p>
            <w:pPr>
              <w:jc w:val="right"/>
              <w:spacing w:after="0" w:line="201" w:lineRule="exact"/>
              <w:rPr>
                <w:sz w:val="20"/>
                <w:szCs w:val="20"/>
                <w:color w:val="auto"/>
              </w:rPr>
            </w:pPr>
            <w:r>
              <w:rPr>
                <w:rFonts w:ascii="Arial" w:cs="Arial" w:eastAsia="Arial" w:hAnsi="Arial"/>
                <w:sz w:val="18"/>
                <w:szCs w:val="18"/>
                <w:color w:val="auto"/>
              </w:rPr>
              <w:t>June 30,</w:t>
            </w:r>
          </w:p>
        </w:tc>
        <w:tc>
          <w:tcPr>
            <w:tcW w:w="1380" w:type="dxa"/>
            <w:vAlign w:val="bottom"/>
          </w:tcPr>
          <w:p>
            <w:pPr>
              <w:spacing w:after="0"/>
              <w:rPr>
                <w:sz w:val="17"/>
                <w:szCs w:val="17"/>
                <w:color w:val="auto"/>
              </w:rPr>
            </w:pPr>
          </w:p>
        </w:tc>
        <w:tc>
          <w:tcPr>
            <w:tcW w:w="17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2013</w:t>
            </w:r>
          </w:p>
        </w:tc>
        <w:tc>
          <w:tcPr>
            <w:tcW w:w="1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2012</w:t>
            </w: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171"/>
        </w:trPr>
        <w:tc>
          <w:tcPr>
            <w:tcW w:w="4640" w:type="dxa"/>
            <w:vAlign w:val="bottom"/>
          </w:tcPr>
          <w:p>
            <w:pPr>
              <w:ind w:left="40"/>
              <w:spacing w:after="0" w:line="171" w:lineRule="exact"/>
              <w:rPr>
                <w:sz w:val="20"/>
                <w:szCs w:val="20"/>
                <w:color w:val="auto"/>
              </w:rPr>
            </w:pPr>
            <w:r>
              <w:rPr>
                <w:rFonts w:ascii="Arial" w:cs="Arial" w:eastAsia="Arial" w:hAnsi="Arial"/>
                <w:sz w:val="18"/>
                <w:szCs w:val="18"/>
                <w:color w:val="auto"/>
              </w:rPr>
              <w:t>Machine Clothing</w:t>
            </w:r>
          </w:p>
        </w:tc>
        <w:tc>
          <w:tcPr>
            <w:tcW w:w="2600" w:type="dxa"/>
            <w:vAlign w:val="bottom"/>
          </w:tcPr>
          <w:p>
            <w:pPr>
              <w:jc w:val="right"/>
              <w:ind w:right="450"/>
              <w:spacing w:after="0" w:line="171" w:lineRule="exact"/>
              <w:rPr>
                <w:sz w:val="20"/>
                <w:szCs w:val="20"/>
                <w:color w:val="auto"/>
              </w:rPr>
            </w:pPr>
            <w:r>
              <w:rPr>
                <w:rFonts w:ascii="Arial" w:cs="Arial" w:eastAsia="Arial" w:hAnsi="Arial"/>
                <w:sz w:val="18"/>
                <w:szCs w:val="18"/>
                <w:b w:val="1"/>
                <w:bCs w:val="1"/>
                <w:color w:val="auto"/>
              </w:rPr>
              <w:t>$20,699</w:t>
            </w:r>
          </w:p>
        </w:tc>
        <w:tc>
          <w:tcPr>
            <w:tcW w:w="1380" w:type="dxa"/>
            <w:vAlign w:val="bottom"/>
          </w:tcPr>
          <w:p>
            <w:pPr>
              <w:jc w:val="right"/>
              <w:ind w:right="350"/>
              <w:spacing w:after="0" w:line="171" w:lineRule="exact"/>
              <w:rPr>
                <w:sz w:val="20"/>
                <w:szCs w:val="20"/>
                <w:color w:val="auto"/>
              </w:rPr>
            </w:pPr>
            <w:r>
              <w:rPr>
                <w:rFonts w:ascii="Arial" w:cs="Arial" w:eastAsia="Arial" w:hAnsi="Arial"/>
                <w:sz w:val="18"/>
                <w:szCs w:val="18"/>
                <w:color w:val="auto"/>
              </w:rPr>
              <w:t>$44,997</w:t>
            </w:r>
          </w:p>
        </w:tc>
        <w:tc>
          <w:tcPr>
            <w:tcW w:w="1760" w:type="dxa"/>
            <w:vAlign w:val="bottom"/>
          </w:tcPr>
          <w:p>
            <w:pPr>
              <w:jc w:val="right"/>
              <w:ind w:right="390"/>
              <w:spacing w:after="0" w:line="171" w:lineRule="exact"/>
              <w:rPr>
                <w:sz w:val="20"/>
                <w:szCs w:val="20"/>
                <w:color w:val="auto"/>
              </w:rPr>
            </w:pPr>
            <w:r>
              <w:rPr>
                <w:rFonts w:ascii="Arial" w:cs="Arial" w:eastAsia="Arial" w:hAnsi="Arial"/>
                <w:sz w:val="18"/>
                <w:szCs w:val="18"/>
                <w:b w:val="1"/>
                <w:bCs w:val="1"/>
                <w:color w:val="auto"/>
              </w:rPr>
              <w:t>$63,607</w:t>
            </w:r>
          </w:p>
        </w:tc>
        <w:tc>
          <w:tcPr>
            <w:tcW w:w="1040" w:type="dxa"/>
            <w:vAlign w:val="bottom"/>
          </w:tcPr>
          <w:p>
            <w:pPr>
              <w:jc w:val="right"/>
              <w:spacing w:after="0" w:line="171" w:lineRule="exact"/>
              <w:rPr>
                <w:sz w:val="20"/>
                <w:szCs w:val="20"/>
                <w:color w:val="auto"/>
              </w:rPr>
            </w:pPr>
            <w:r>
              <w:rPr>
                <w:rFonts w:ascii="Arial" w:cs="Arial" w:eastAsia="Arial" w:hAnsi="Arial"/>
                <w:sz w:val="18"/>
                <w:szCs w:val="18"/>
                <w:color w:val="auto"/>
              </w:rPr>
              <w:t>$75,842</w:t>
            </w:r>
          </w:p>
        </w:tc>
        <w:tc>
          <w:tcPr>
            <w:tcW w:w="20" w:type="dxa"/>
            <w:vAlign w:val="bottom"/>
          </w:tcPr>
          <w:p>
            <w:pPr>
              <w:spacing w:after="0"/>
              <w:rPr>
                <w:sz w:val="14"/>
                <w:szCs w:val="14"/>
                <w:color w:val="auto"/>
              </w:rPr>
            </w:pPr>
          </w:p>
        </w:tc>
      </w:tr>
      <w:tr>
        <w:trPr>
          <w:trHeight w:val="203"/>
        </w:trPr>
        <w:tc>
          <w:tcPr>
            <w:tcW w:w="464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26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(1,825)</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(369)</w:t>
            </w:r>
          </w:p>
        </w:tc>
        <w:tc>
          <w:tcPr>
            <w:tcW w:w="17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(3,888)</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(340)</w:t>
            </w:r>
          </w:p>
        </w:tc>
      </w:tr>
      <w:tr>
        <w:trPr>
          <w:trHeight w:val="203"/>
        </w:trPr>
        <w:tc>
          <w:tcPr>
            <w:tcW w:w="4640" w:type="dxa"/>
            <w:vAlign w:val="bottom"/>
          </w:tcPr>
          <w:p>
            <w:pPr>
              <w:ind w:left="40"/>
              <w:spacing w:after="0" w:line="202" w:lineRule="exact"/>
              <w:rPr>
                <w:sz w:val="20"/>
                <w:szCs w:val="20"/>
                <w:color w:val="auto"/>
              </w:rPr>
            </w:pPr>
            <w:r>
              <w:rPr>
                <w:rFonts w:ascii="Arial" w:cs="Arial" w:eastAsia="Arial" w:hAnsi="Arial"/>
                <w:sz w:val="18"/>
                <w:szCs w:val="18"/>
                <w:color w:val="auto"/>
              </w:rPr>
              <w:t>Research expense</w:t>
            </w:r>
          </w:p>
        </w:tc>
        <w:tc>
          <w:tcPr>
            <w:tcW w:w="26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(7,673)</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(7,253)</w:t>
            </w:r>
          </w:p>
        </w:tc>
        <w:tc>
          <w:tcPr>
            <w:tcW w:w="17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(14,664)</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(13,318)</w:t>
            </w:r>
          </w:p>
        </w:tc>
      </w:tr>
      <w:tr>
        <w:trPr>
          <w:trHeight w:val="203"/>
        </w:trPr>
        <w:tc>
          <w:tcPr>
            <w:tcW w:w="4640" w:type="dxa"/>
            <w:vAlign w:val="bottom"/>
          </w:tcPr>
          <w:p>
            <w:pPr>
              <w:ind w:left="40"/>
              <w:spacing w:after="0" w:line="202" w:lineRule="exact"/>
              <w:rPr>
                <w:sz w:val="20"/>
                <w:szCs w:val="20"/>
                <w:color w:val="auto"/>
              </w:rPr>
            </w:pPr>
            <w:r>
              <w:rPr>
                <w:rFonts w:ascii="Arial" w:cs="Arial" w:eastAsia="Arial" w:hAnsi="Arial"/>
                <w:sz w:val="18"/>
                <w:szCs w:val="18"/>
                <w:color w:val="auto"/>
              </w:rPr>
              <w:t>Unallocated expenses - pension settlement</w:t>
            </w:r>
          </w:p>
        </w:tc>
        <w:tc>
          <w:tcPr>
            <w:tcW w:w="260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(110,560)</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(119,735)</w:t>
            </w:r>
          </w:p>
        </w:tc>
      </w:tr>
      <w:tr>
        <w:trPr>
          <w:trHeight w:val="227"/>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Unallocated expenses - other</w:t>
            </w:r>
          </w:p>
        </w:tc>
        <w:tc>
          <w:tcPr>
            <w:tcW w:w="2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(14,714)</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(12,819)</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(26,050)</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(29,362)</w:t>
            </w:r>
          </w:p>
        </w:tc>
      </w:tr>
      <w:tr>
        <w:trPr>
          <w:trHeight w:val="196"/>
        </w:trPr>
        <w:tc>
          <w:tcPr>
            <w:tcW w:w="46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($3,513)</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($86,004)</w:t>
            </w:r>
          </w:p>
        </w:tc>
        <w:tc>
          <w:tcPr>
            <w:tcW w:w="17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$19,005</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($86,913)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Pension Settlement Expense</w:t>
      </w:r>
    </w:p>
    <w:p>
      <w:pPr>
        <w:spacing w:after="0" w:line="200"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In 2012, we took actions to settle certain pension plan liabilities in the U.S., Canada, and Sweden leading to charges totaling $119.7 million, which were included in Unallocated Expenses. In the first quarter of 2012, we recorded a settlement charge of $9.2 million related to the extinguishment of our pension plan liability in Sweden. In the second quarter of 2012, we recorded settlement charges totaling $110.6 million related to settling a majority of the defined benefit pension plan liabilities in the United States and Canada. No similar charges were incurred during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0" w:lineRule="exact"/>
        <w:rPr>
          <w:sz w:val="20"/>
          <w:szCs w:val="20"/>
          <w:color w:val="auto"/>
        </w:rPr>
      </w:pPr>
    </w:p>
    <w:p>
      <w:pPr>
        <w:ind w:right="680" w:firstLine="648"/>
        <w:spacing w:after="0" w:line="27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 was affected by restructuring costs of $24.3 million in the second quarter of 2013 and $3.2 million in the second quarter of 2012.</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Borders>
              <w:top w:val="single" w:sz="8" w:color="auto"/>
            </w:tcBorders>
          </w:tcPr>
          <w:p>
            <w:pPr>
              <w:spacing w:after="0"/>
              <w:rPr>
                <w:sz w:val="16"/>
                <w:szCs w:val="16"/>
                <w:color w:val="auto"/>
              </w:rPr>
            </w:pPr>
          </w:p>
        </w:tc>
        <w:tc>
          <w:tcPr>
            <w:tcW w:w="4740" w:type="dxa"/>
            <w:vAlign w:val="bottom"/>
            <w:tcBorders>
              <w:top w:val="single" w:sz="8" w:color="auto"/>
            </w:tcBorders>
            <w:gridSpan w:val="2"/>
          </w:tcPr>
          <w:p>
            <w:pPr>
              <w:jc w:val="right"/>
              <w:ind w:right="1030"/>
              <w:spacing w:after="0" w:line="194" w:lineRule="exact"/>
              <w:rPr>
                <w:sz w:val="20"/>
                <w:szCs w:val="20"/>
                <w:color w:val="auto"/>
              </w:rPr>
            </w:pPr>
            <w:r>
              <w:rPr>
                <w:rFonts w:ascii="Arial" w:cs="Arial" w:eastAsia="Arial" w:hAnsi="Arial"/>
                <w:sz w:val="18"/>
                <w:szCs w:val="18"/>
                <w:color w:val="auto"/>
              </w:rPr>
              <w:t>Three months ended</w:t>
            </w:r>
          </w:p>
        </w:tc>
        <w:tc>
          <w:tcPr>
            <w:tcW w:w="2860" w:type="dxa"/>
            <w:vAlign w:val="bottom"/>
            <w:tcBorders>
              <w:top w:val="single" w:sz="8" w:color="auto"/>
            </w:tcBorders>
            <w:gridSpan w:val="2"/>
          </w:tcPr>
          <w:p>
            <w:pPr>
              <w:jc w:val="right"/>
              <w:ind w:right="69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3820" w:type="dxa"/>
            <w:vAlign w:val="bottom"/>
          </w:tcPr>
          <w:p>
            <w:pPr>
              <w:spacing w:after="0"/>
              <w:rPr>
                <w:sz w:val="17"/>
                <w:szCs w:val="17"/>
                <w:color w:val="auto"/>
              </w:rPr>
            </w:pPr>
          </w:p>
        </w:tc>
        <w:tc>
          <w:tcPr>
            <w:tcW w:w="32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June 30,</w:t>
            </w:r>
          </w:p>
        </w:tc>
        <w:tc>
          <w:tcPr>
            <w:tcW w:w="1480" w:type="dxa"/>
            <w:vAlign w:val="bottom"/>
          </w:tcPr>
          <w:p>
            <w:pPr>
              <w:spacing w:after="0"/>
              <w:rPr>
                <w:sz w:val="17"/>
                <w:szCs w:val="17"/>
                <w:color w:val="auto"/>
              </w:rPr>
            </w:pP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r>
      <w:tr>
        <w:trPr>
          <w:trHeight w:val="227"/>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2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14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r>
      <w:tr>
        <w:trPr>
          <w:trHeight w:val="171"/>
        </w:trPr>
        <w:tc>
          <w:tcPr>
            <w:tcW w:w="3820" w:type="dxa"/>
            <w:vAlign w:val="bottom"/>
          </w:tcPr>
          <w:p>
            <w:pPr>
              <w:ind w:left="40"/>
              <w:spacing w:after="0" w:line="171" w:lineRule="exact"/>
              <w:rPr>
                <w:sz w:val="20"/>
                <w:szCs w:val="20"/>
                <w:color w:val="auto"/>
              </w:rPr>
            </w:pPr>
            <w:r>
              <w:rPr>
                <w:rFonts w:ascii="Arial" w:cs="Arial" w:eastAsia="Arial" w:hAnsi="Arial"/>
                <w:sz w:val="18"/>
                <w:szCs w:val="18"/>
                <w:color w:val="auto"/>
              </w:rPr>
              <w:t>Machine Clothing</w:t>
            </w:r>
          </w:p>
        </w:tc>
        <w:tc>
          <w:tcPr>
            <w:tcW w:w="3260" w:type="dxa"/>
            <w:vAlign w:val="bottom"/>
          </w:tcPr>
          <w:p>
            <w:pPr>
              <w:jc w:val="right"/>
              <w:ind w:right="370"/>
              <w:spacing w:after="0" w:line="171" w:lineRule="exact"/>
              <w:rPr>
                <w:sz w:val="20"/>
                <w:szCs w:val="20"/>
                <w:color w:val="auto"/>
              </w:rPr>
            </w:pPr>
            <w:r>
              <w:rPr>
                <w:rFonts w:ascii="Arial" w:cs="Arial" w:eastAsia="Arial" w:hAnsi="Arial"/>
                <w:sz w:val="18"/>
                <w:szCs w:val="18"/>
                <w:b w:val="1"/>
                <w:bCs w:val="1"/>
                <w:color w:val="auto"/>
              </w:rPr>
              <w:t>$24,230</w:t>
            </w:r>
          </w:p>
        </w:tc>
        <w:tc>
          <w:tcPr>
            <w:tcW w:w="1480" w:type="dxa"/>
            <w:vAlign w:val="bottom"/>
          </w:tcPr>
          <w:p>
            <w:pPr>
              <w:jc w:val="right"/>
              <w:ind w:right="370"/>
              <w:spacing w:after="0" w:line="171" w:lineRule="exact"/>
              <w:rPr>
                <w:sz w:val="20"/>
                <w:szCs w:val="20"/>
                <w:color w:val="auto"/>
              </w:rPr>
            </w:pPr>
            <w:r>
              <w:rPr>
                <w:rFonts w:ascii="Arial" w:cs="Arial" w:eastAsia="Arial" w:hAnsi="Arial"/>
                <w:sz w:val="18"/>
                <w:szCs w:val="18"/>
                <w:color w:val="auto"/>
              </w:rPr>
              <w:t>$2,903</w:t>
            </w:r>
          </w:p>
        </w:tc>
        <w:tc>
          <w:tcPr>
            <w:tcW w:w="1820" w:type="dxa"/>
            <w:vAlign w:val="bottom"/>
          </w:tcPr>
          <w:p>
            <w:pPr>
              <w:jc w:val="right"/>
              <w:ind w:right="370"/>
              <w:spacing w:after="0" w:line="171" w:lineRule="exact"/>
              <w:rPr>
                <w:sz w:val="20"/>
                <w:szCs w:val="20"/>
                <w:color w:val="auto"/>
              </w:rPr>
            </w:pPr>
            <w:r>
              <w:rPr>
                <w:rFonts w:ascii="Arial" w:cs="Arial" w:eastAsia="Arial" w:hAnsi="Arial"/>
                <w:sz w:val="18"/>
                <w:szCs w:val="18"/>
                <w:b w:val="1"/>
                <w:bCs w:val="1"/>
                <w:color w:val="auto"/>
              </w:rPr>
              <w:t>$24,423</w:t>
            </w:r>
          </w:p>
        </w:tc>
        <w:tc>
          <w:tcPr>
            <w:tcW w:w="1040" w:type="dxa"/>
            <w:vAlign w:val="bottom"/>
          </w:tcPr>
          <w:p>
            <w:pPr>
              <w:jc w:val="right"/>
              <w:spacing w:after="0" w:line="171" w:lineRule="exact"/>
              <w:rPr>
                <w:sz w:val="20"/>
                <w:szCs w:val="20"/>
                <w:color w:val="auto"/>
              </w:rPr>
            </w:pPr>
            <w:r>
              <w:rPr>
                <w:rFonts w:ascii="Arial" w:cs="Arial" w:eastAsia="Arial" w:hAnsi="Arial"/>
                <w:sz w:val="18"/>
                <w:szCs w:val="18"/>
                <w:color w:val="auto"/>
              </w:rPr>
              <w:t>$3,576</w:t>
            </w: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Engineered Composites</w:t>
            </w:r>
          </w:p>
        </w:tc>
        <w:tc>
          <w:tcPr>
            <w:tcW w:w="32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91</w:t>
            </w: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534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27"/>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Unallocated expenses</w:t>
            </w:r>
          </w:p>
        </w:tc>
        <w:tc>
          <w:tcPr>
            <w:tcW w:w="3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249</w:t>
            </w:r>
          </w:p>
        </w:tc>
        <w:tc>
          <w:tcPr>
            <w:tcW w:w="1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196"/>
        </w:trPr>
        <w:tc>
          <w:tcPr>
            <w:tcW w:w="38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$24,321</w:t>
            </w:r>
          </w:p>
        </w:tc>
        <w:tc>
          <w:tcPr>
            <w:tcW w:w="14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$3,152</w:t>
            </w:r>
          </w:p>
        </w:tc>
        <w:tc>
          <w:tcPr>
            <w:tcW w:w="18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$24,957</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$3,410</w:t>
            </w:r>
          </w:p>
        </w:tc>
      </w:tr>
    </w:tbl>
    <w:p>
      <w:pPr>
        <w:spacing w:after="0" w:line="18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Substantially all of the restructuring charges recorded in the second quarter of 2013 relate to the completion of consultations with employee works councils in Sélestat and St. Junien, France, which will result in the reduction of approximately 200 employees, most of which will leave the Company during the third quarter of 2013. The restructuring program was driven by the Company’s need to balance manufacturing capacity and demand. The restructuring charges recorded primarily related to severance and social costs. Under the terms of the restructuring plan, the Company will also provide training, outplacement and other programs. The costs for those benefits will be recorded as restructuring in future quarters when they are incurred and are expected to total $6 to $8 million. The Company expects to record a pension curtailment gain the second half of 2013 related to this restructuring activity, but the amount has not yet been determined. Whereas most of the affected employees were involved in the production process, the full effect of cost savings associated with the restructuring, estimated to be $10 million per year, will not be fully realized until the second half of 2014. The effects of the cost reduction will principally affect cost of goods sold.</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Through the first six months of 2013, the Company incurred some restructuring costs in the Engineered Composites segment that were related to organizational changes and exiting certain aerospace programs.</w:t>
      </w:r>
    </w:p>
    <w:p>
      <w:pPr>
        <w:spacing w:after="0" w:line="132"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The 2012 restructuring expense was principally due to a reduction in workforce in Sweden and curtailment of manufacturing in New York and Wisconsin which was related to the lower demand for paper machine clothing. Those costs were partially offset by a reduction in accruals related to the Company’s headquarters.</w:t>
      </w:r>
    </w:p>
    <w:p>
      <w:pPr>
        <w:spacing w:after="0" w:line="124" w:lineRule="exact"/>
        <w:rPr>
          <w:sz w:val="20"/>
          <w:szCs w:val="20"/>
          <w:color w:val="auto"/>
        </w:rPr>
      </w:pPr>
    </w:p>
    <w:p>
      <w:pPr>
        <w:ind w:right="1000" w:firstLine="648"/>
        <w:spacing w:after="0" w:line="27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 Earnings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2"/>
          </w:tcPr>
          <w:p>
            <w:pPr>
              <w:jc w:val="right"/>
              <w:ind w:right="1010"/>
              <w:spacing w:after="0" w:line="194" w:lineRule="exact"/>
              <w:rPr>
                <w:sz w:val="20"/>
                <w:szCs w:val="20"/>
                <w:color w:val="auto"/>
              </w:rPr>
            </w:pPr>
            <w:r>
              <w:rPr>
                <w:rFonts w:ascii="Arial" w:cs="Arial" w:eastAsia="Arial" w:hAnsi="Arial"/>
                <w:sz w:val="18"/>
                <w:szCs w:val="18"/>
                <w:color w:val="auto"/>
              </w:rPr>
              <w:t>Three months ended</w:t>
            </w:r>
          </w:p>
        </w:tc>
        <w:tc>
          <w:tcPr>
            <w:tcW w:w="2840" w:type="dxa"/>
            <w:vAlign w:val="bottom"/>
            <w:tcBorders>
              <w:top w:val="single" w:sz="8" w:color="auto"/>
            </w:tcBorders>
            <w:gridSpan w:val="2"/>
          </w:tcPr>
          <w:p>
            <w:pPr>
              <w:jc w:val="right"/>
              <w:ind w:right="690"/>
              <w:spacing w:after="0" w:line="194" w:lineRule="exact"/>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6"/>
                <w:szCs w:val="16"/>
                <w:color w:val="auto"/>
              </w:rPr>
            </w:pPr>
          </w:p>
        </w:tc>
      </w:tr>
      <w:tr>
        <w:trPr>
          <w:trHeight w:val="201"/>
        </w:trPr>
        <w:tc>
          <w:tcPr>
            <w:tcW w:w="5040" w:type="dxa"/>
            <w:vAlign w:val="bottom"/>
          </w:tcPr>
          <w:p>
            <w:pPr>
              <w:spacing w:after="0"/>
              <w:rPr>
                <w:sz w:val="17"/>
                <w:szCs w:val="17"/>
                <w:color w:val="auto"/>
              </w:rPr>
            </w:pPr>
          </w:p>
        </w:tc>
        <w:tc>
          <w:tcPr>
            <w:tcW w:w="2060" w:type="dxa"/>
            <w:vAlign w:val="bottom"/>
          </w:tcPr>
          <w:p>
            <w:pPr>
              <w:jc w:val="right"/>
              <w:spacing w:after="0" w:line="201" w:lineRule="exact"/>
              <w:rPr>
                <w:sz w:val="20"/>
                <w:szCs w:val="20"/>
                <w:color w:val="auto"/>
              </w:rPr>
            </w:pPr>
            <w:r>
              <w:rPr>
                <w:rFonts w:ascii="Arial" w:cs="Arial" w:eastAsia="Arial" w:hAnsi="Arial"/>
                <w:sz w:val="18"/>
                <w:szCs w:val="18"/>
                <w:color w:val="auto"/>
              </w:rPr>
              <w:t>June 30,</w:t>
            </w:r>
          </w:p>
        </w:tc>
        <w:tc>
          <w:tcPr>
            <w:tcW w:w="1480" w:type="dxa"/>
            <w:vAlign w:val="bottom"/>
          </w:tcPr>
          <w:p>
            <w:pPr>
              <w:spacing w:after="0"/>
              <w:rPr>
                <w:sz w:val="17"/>
                <w:szCs w:val="17"/>
                <w:color w:val="auto"/>
              </w:rPr>
            </w:pPr>
          </w:p>
        </w:tc>
        <w:tc>
          <w:tcPr>
            <w:tcW w:w="1800" w:type="dxa"/>
            <w:vAlign w:val="bottom"/>
          </w:tcPr>
          <w:p>
            <w:pPr>
              <w:jc w:val="right"/>
              <w:spacing w:after="0" w:line="20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4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2012</w:t>
            </w:r>
          </w:p>
        </w:tc>
        <w:tc>
          <w:tcPr>
            <w:tcW w:w="1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171"/>
        </w:trPr>
        <w:tc>
          <w:tcPr>
            <w:tcW w:w="5040" w:type="dxa"/>
            <w:vAlign w:val="bottom"/>
          </w:tcPr>
          <w:p>
            <w:pPr>
              <w:ind w:left="40"/>
              <w:spacing w:after="0" w:line="171" w:lineRule="exact"/>
              <w:rPr>
                <w:sz w:val="20"/>
                <w:szCs w:val="20"/>
                <w:color w:val="auto"/>
              </w:rPr>
            </w:pPr>
            <w:r>
              <w:rPr>
                <w:rFonts w:ascii="Arial" w:cs="Arial" w:eastAsia="Arial" w:hAnsi="Arial"/>
                <w:sz w:val="18"/>
                <w:szCs w:val="18"/>
                <w:color w:val="auto"/>
              </w:rPr>
              <w:t>Interest expense, net</w:t>
            </w:r>
          </w:p>
        </w:tc>
        <w:tc>
          <w:tcPr>
            <w:tcW w:w="2060" w:type="dxa"/>
            <w:vAlign w:val="bottom"/>
          </w:tcPr>
          <w:p>
            <w:pPr>
              <w:jc w:val="right"/>
              <w:ind w:right="390"/>
              <w:spacing w:after="0" w:line="171" w:lineRule="exact"/>
              <w:rPr>
                <w:sz w:val="20"/>
                <w:szCs w:val="20"/>
                <w:color w:val="auto"/>
              </w:rPr>
            </w:pPr>
            <w:r>
              <w:rPr>
                <w:rFonts w:ascii="Arial" w:cs="Arial" w:eastAsia="Arial" w:hAnsi="Arial"/>
                <w:sz w:val="18"/>
                <w:szCs w:val="18"/>
                <w:b w:val="1"/>
                <w:bCs w:val="1"/>
                <w:color w:val="auto"/>
              </w:rPr>
              <w:t>$3,547</w:t>
            </w:r>
          </w:p>
        </w:tc>
        <w:tc>
          <w:tcPr>
            <w:tcW w:w="1480" w:type="dxa"/>
            <w:vAlign w:val="bottom"/>
          </w:tcPr>
          <w:p>
            <w:pPr>
              <w:jc w:val="right"/>
              <w:ind w:right="410"/>
              <w:spacing w:after="0" w:line="171" w:lineRule="exact"/>
              <w:rPr>
                <w:sz w:val="20"/>
                <w:szCs w:val="20"/>
                <w:color w:val="auto"/>
              </w:rPr>
            </w:pPr>
            <w:r>
              <w:rPr>
                <w:rFonts w:ascii="Arial" w:cs="Arial" w:eastAsia="Arial" w:hAnsi="Arial"/>
                <w:sz w:val="18"/>
                <w:szCs w:val="18"/>
                <w:color w:val="auto"/>
              </w:rPr>
              <w:t>$3,969</w:t>
            </w:r>
          </w:p>
        </w:tc>
        <w:tc>
          <w:tcPr>
            <w:tcW w:w="1800" w:type="dxa"/>
            <w:vAlign w:val="bottom"/>
          </w:tcPr>
          <w:p>
            <w:pPr>
              <w:jc w:val="right"/>
              <w:ind w:right="390"/>
              <w:spacing w:after="0" w:line="171" w:lineRule="exact"/>
              <w:rPr>
                <w:sz w:val="20"/>
                <w:szCs w:val="20"/>
                <w:color w:val="auto"/>
              </w:rPr>
            </w:pPr>
            <w:r>
              <w:rPr>
                <w:rFonts w:ascii="Arial" w:cs="Arial" w:eastAsia="Arial" w:hAnsi="Arial"/>
                <w:sz w:val="18"/>
                <w:szCs w:val="18"/>
                <w:b w:val="1"/>
                <w:bCs w:val="1"/>
                <w:color w:val="auto"/>
              </w:rPr>
              <w:t>$7,572</w:t>
            </w:r>
          </w:p>
        </w:tc>
        <w:tc>
          <w:tcPr>
            <w:tcW w:w="1040" w:type="dxa"/>
            <w:vAlign w:val="bottom"/>
          </w:tcPr>
          <w:p>
            <w:pPr>
              <w:jc w:val="right"/>
              <w:spacing w:after="0" w:line="171" w:lineRule="exact"/>
              <w:rPr>
                <w:sz w:val="20"/>
                <w:szCs w:val="20"/>
                <w:color w:val="auto"/>
              </w:rPr>
            </w:pPr>
            <w:r>
              <w:rPr>
                <w:rFonts w:ascii="Arial" w:cs="Arial" w:eastAsia="Arial" w:hAnsi="Arial"/>
                <w:sz w:val="18"/>
                <w:szCs w:val="18"/>
                <w:color w:val="auto"/>
              </w:rPr>
              <w:t>$8,613</w:t>
            </w:r>
          </w:p>
        </w:tc>
        <w:tc>
          <w:tcPr>
            <w:tcW w:w="20" w:type="dxa"/>
            <w:vAlign w:val="bottom"/>
          </w:tcPr>
          <w:p>
            <w:pPr>
              <w:spacing w:after="0"/>
              <w:rPr>
                <w:sz w:val="14"/>
                <w:szCs w:val="14"/>
                <w:color w:val="auto"/>
              </w:rPr>
            </w:pPr>
          </w:p>
        </w:tc>
      </w:tr>
      <w:tr>
        <w:trPr>
          <w:trHeight w:val="203"/>
        </w:trPr>
        <w:tc>
          <w:tcPr>
            <w:tcW w:w="5040" w:type="dxa"/>
            <w:vAlign w:val="bottom"/>
          </w:tcPr>
          <w:p>
            <w:pPr>
              <w:ind w:left="40"/>
              <w:spacing w:after="0" w:line="202" w:lineRule="exact"/>
              <w:rPr>
                <w:sz w:val="20"/>
                <w:szCs w:val="20"/>
                <w:color w:val="auto"/>
              </w:rPr>
            </w:pPr>
            <w:r>
              <w:rPr>
                <w:rFonts w:ascii="Arial" w:cs="Arial" w:eastAsia="Arial" w:hAnsi="Arial"/>
                <w:sz w:val="18"/>
                <w:szCs w:val="18"/>
                <w:color w:val="auto"/>
              </w:rPr>
              <w:t>Other expense/(income), net</w:t>
            </w:r>
          </w:p>
        </w:tc>
        <w:tc>
          <w:tcPr>
            <w:tcW w:w="206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2,211</w:t>
            </w: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(2,555)</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2,945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1,993</w:t>
            </w:r>
          </w:p>
        </w:tc>
        <w:tc>
          <w:tcPr>
            <w:tcW w:w="20" w:type="dxa"/>
            <w:vAlign w:val="bottom"/>
          </w:tcPr>
          <w:p>
            <w:pPr>
              <w:spacing w:after="0"/>
              <w:rPr>
                <w:sz w:val="17"/>
                <w:szCs w:val="17"/>
                <w:color w:val="auto"/>
              </w:rPr>
            </w:pPr>
          </w:p>
        </w:tc>
      </w:tr>
      <w:tr>
        <w:trPr>
          <w:trHeight w:val="203"/>
        </w:trPr>
        <w:tc>
          <w:tcPr>
            <w:tcW w:w="5040" w:type="dxa"/>
            <w:vAlign w:val="bottom"/>
          </w:tcPr>
          <w:p>
            <w:pPr>
              <w:ind w:left="40"/>
              <w:spacing w:after="0" w:line="202" w:lineRule="exact"/>
              <w:rPr>
                <w:sz w:val="20"/>
                <w:szCs w:val="20"/>
                <w:color w:val="auto"/>
              </w:rPr>
            </w:pPr>
            <w:r>
              <w:rPr>
                <w:rFonts w:ascii="Arial" w:cs="Arial" w:eastAsia="Arial" w:hAnsi="Arial"/>
                <w:sz w:val="18"/>
                <w:szCs w:val="18"/>
                <w:color w:val="auto"/>
              </w:rPr>
              <w:t>Income tax expense/(benefit)</w:t>
            </w:r>
          </w:p>
        </w:tc>
        <w:tc>
          <w:tcPr>
            <w:tcW w:w="20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(2,243)</w:t>
            </w: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(29,643)</w:t>
            </w:r>
          </w:p>
        </w:tc>
        <w:tc>
          <w:tcPr>
            <w:tcW w:w="18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4,005</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(39,615)</w:t>
            </w:r>
          </w:p>
        </w:tc>
      </w:tr>
      <w:tr>
        <w:trPr>
          <w:trHeight w:val="203"/>
        </w:trPr>
        <w:tc>
          <w:tcPr>
            <w:tcW w:w="5040" w:type="dxa"/>
            <w:vAlign w:val="bottom"/>
          </w:tcPr>
          <w:p>
            <w:pPr>
              <w:ind w:left="40"/>
              <w:spacing w:after="0" w:line="202" w:lineRule="exact"/>
              <w:rPr>
                <w:sz w:val="20"/>
                <w:szCs w:val="20"/>
                <w:color w:val="auto"/>
              </w:rPr>
            </w:pPr>
            <w:r>
              <w:rPr>
                <w:rFonts w:ascii="Arial" w:cs="Arial" w:eastAsia="Arial" w:hAnsi="Arial"/>
                <w:sz w:val="18"/>
                <w:szCs w:val="18"/>
                <w:color w:val="auto"/>
              </w:rPr>
              <w:t>(Loss)/income from discontinued operations, net of tax</w:t>
            </w:r>
          </w:p>
        </w:tc>
        <w:tc>
          <w:tcPr>
            <w:tcW w:w="20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(351)</w:t>
            </w:r>
          </w:p>
        </w:tc>
        <w:tc>
          <w:tcPr>
            <w:tcW w:w="1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24,030</w:t>
            </w: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(351)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71,200</w:t>
            </w:r>
          </w:p>
        </w:tc>
        <w:tc>
          <w:tcPr>
            <w:tcW w:w="20" w:type="dxa"/>
            <w:vAlign w:val="bottom"/>
          </w:tcPr>
          <w:p>
            <w:pPr>
              <w:spacing w:after="0"/>
              <w:rPr>
                <w:sz w:val="17"/>
                <w:szCs w:val="17"/>
                <w:color w:val="auto"/>
              </w:rPr>
            </w:pPr>
          </w:p>
        </w:tc>
      </w:tr>
      <w:tr>
        <w:trPr>
          <w:trHeight w:val="253"/>
        </w:trPr>
        <w:tc>
          <w:tcPr>
            <w:tcW w:w="5040" w:type="dxa"/>
            <w:vAlign w:val="bottom"/>
          </w:tcPr>
          <w:p>
            <w:pPr>
              <w:ind w:left="40"/>
              <w:spacing w:after="0"/>
              <w:rPr>
                <w:sz w:val="20"/>
                <w:szCs w:val="20"/>
                <w:color w:val="auto"/>
              </w:rPr>
            </w:pPr>
            <w:r>
              <w:rPr>
                <w:rFonts w:ascii="Arial" w:cs="Arial" w:eastAsia="Arial" w:hAnsi="Arial"/>
                <w:sz w:val="18"/>
                <w:szCs w:val="18"/>
                <w:color w:val="auto"/>
              </w:rPr>
              <w:t>Net income/(loss)</w:t>
            </w: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(7,379)</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(33,745)</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4,132</w:t>
            </w:r>
          </w:p>
        </w:tc>
        <w:tc>
          <w:tcPr>
            <w:tcW w:w="1040" w:type="dxa"/>
            <w:vAlign w:val="bottom"/>
          </w:tcPr>
          <w:p>
            <w:pPr>
              <w:jc w:val="right"/>
              <w:spacing w:after="0"/>
              <w:rPr>
                <w:sz w:val="20"/>
                <w:szCs w:val="20"/>
                <w:color w:val="auto"/>
              </w:rPr>
            </w:pPr>
            <w:r>
              <w:rPr>
                <w:rFonts w:ascii="Arial" w:cs="Arial" w:eastAsia="Arial" w:hAnsi="Arial"/>
                <w:sz w:val="18"/>
                <w:szCs w:val="18"/>
                <w:color w:val="auto"/>
              </w:rPr>
              <w:t>13,296</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00"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Year to date interest expense, net, decreased $1.0 million compared to the first six months of 2012 and $ 0.5 million in the second quarter as compared to prior year principally due to a reduction in interest rates under our Credit agreement. The average balance outstanding under our revolving credit agreement for the first six months of 2013 and 2012 was $155.4 million and $158.8 million, respectively. For more information on borrowings and interest rates, see Note 13 to the Consolidated Financial Statements in Item 1 which is incorporated herein by reference.</w:t>
      </w:r>
    </w:p>
    <w:p>
      <w:pPr>
        <w:spacing w:after="0" w:line="159"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In March 2013, the Company amended and extended its Credit agreement and also amended its Prudential agreement to substantially conform financial and other covenants to the Credit agreement. The total cost for the amendments was $1.6 million. At March 2013 debt levels, the annual savings in interest and associated fees resulting from improved terms of the Credit agreement would be approximately $1.9 million. See the Capital Resources section below for further discussion of borrowings and interest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expense/(income), net included the following:</w:t>
      </w:r>
    </w:p>
    <w:p>
      <w:pPr>
        <w:spacing w:after="0" w:line="176" w:lineRule="exact"/>
        <w:rPr>
          <w:sz w:val="20"/>
          <w:szCs w:val="20"/>
          <w:color w:val="auto"/>
        </w:rPr>
      </w:pPr>
    </w:p>
    <w:p>
      <w:pPr>
        <w:ind w:left="1300" w:right="160" w:hanging="320"/>
        <w:spacing w:after="0" w:line="255" w:lineRule="auto"/>
        <w:tabs>
          <w:tab w:leader="none" w:pos="13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revaluations of intercompany balances resulted in losses of $1.9 million in the second-quarter 2013 income, but resulted in gains of $3.1 million in the same quarter in 2012. The revaluation effects were principally due to the euro’s relative strength against the U.S. dollar, Canadian dollar, Australian dollar, and Japanese yen.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jc w:val="both"/>
        <w:ind w:left="1300" w:right="580" w:hanging="320"/>
        <w:spacing w:after="0" w:line="242" w:lineRule="auto"/>
        <w:tabs>
          <w:tab w:leader="none" w:pos="13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revaluations of intercompany balances resulted in losses of $1.9 million for the first six months of 2013 income and losses of $0.7 million for the same period in 2012. The revaluation effects were principally due to the euro’s relative strength against the U.S. dollar, Canadian dollar, Australian dollar, and Japanese yen.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00"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The Company has operations which constitute a taxable presence in 16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Company’s effective tax rates for the second quarters of 2013 and 2012 were 24.2% and 33.9%,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Significant items that impacted the tax rate in the second quarter of 2013 included the following (percentages reflect the effect of each item as a percentage of income before income taxes):</w:t>
      </w:r>
    </w:p>
    <w:p>
      <w:pPr>
        <w:spacing w:after="0" w:line="105" w:lineRule="exact"/>
        <w:rPr>
          <w:sz w:val="20"/>
          <w:szCs w:val="20"/>
          <w:color w:val="auto"/>
        </w:rPr>
      </w:pPr>
    </w:p>
    <w:p>
      <w:pPr>
        <w:ind w:left="380" w:hanging="138"/>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$1.4 million (14.8%) net charge related to discrete items and the effect of a change in the estimated tax rate for the year.</w:t>
      </w:r>
    </w:p>
    <w:p>
      <w:pPr>
        <w:spacing w:after="0" w:line="103" w:lineRule="exact"/>
        <w:rPr>
          <w:rFonts w:ascii="Arial" w:cs="Arial" w:eastAsia="Arial" w:hAnsi="Arial"/>
          <w:sz w:val="18"/>
          <w:szCs w:val="18"/>
          <w:color w:val="auto"/>
        </w:rPr>
      </w:pPr>
    </w:p>
    <w:p>
      <w:pPr>
        <w:ind w:left="380" w:hanging="138"/>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the items above, was 39.0%.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second-quarter 2012 tax rate included the following:</w:t>
      </w:r>
    </w:p>
    <w:p>
      <w:pPr>
        <w:spacing w:after="0" w:line="104" w:lineRule="exact"/>
        <w:rPr>
          <w:sz w:val="20"/>
          <w:szCs w:val="20"/>
          <w:color w:val="auto"/>
        </w:rPr>
      </w:pPr>
    </w:p>
    <w:p>
      <w:pPr>
        <w:ind w:left="380" w:hanging="13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(0.4%) net charge related to discrete items and the effect of a change in the estimated tax rate for the year.</w:t>
      </w:r>
    </w:p>
    <w:p>
      <w:pPr>
        <w:spacing w:after="0" w:line="103" w:lineRule="exact"/>
        <w:rPr>
          <w:rFonts w:ascii="Arial" w:cs="Arial" w:eastAsia="Arial" w:hAnsi="Arial"/>
          <w:sz w:val="18"/>
          <w:szCs w:val="18"/>
          <w:color w:val="auto"/>
        </w:rPr>
      </w:pPr>
    </w:p>
    <w:p>
      <w:pPr>
        <w:ind w:left="380" w:hanging="13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$36.2 million (41.4%) discrete income tax benefit related to pension settlements in Sweden and the U.S.</w:t>
      </w:r>
    </w:p>
    <w:p>
      <w:pPr>
        <w:spacing w:after="0" w:line="103" w:lineRule="exact"/>
        <w:rPr>
          <w:rFonts w:ascii="Arial" w:cs="Arial" w:eastAsia="Arial" w:hAnsi="Arial"/>
          <w:sz w:val="18"/>
          <w:szCs w:val="18"/>
          <w:color w:val="auto"/>
        </w:rPr>
      </w:pPr>
    </w:p>
    <w:p>
      <w:pPr>
        <w:ind w:left="380" w:hanging="13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the items above, was 26.5%.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7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 Company’s effective tax rate for the first six-month periods of 2013 and 2012 was 47.2% and 40.6%,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4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Significant items that impacted the 2013 tax rate included the following (percentages reflect the effect of each item as a percentage of Income before income taxes):</w:t>
      </w:r>
    </w:p>
    <w:p>
      <w:pPr>
        <w:spacing w:after="0" w:line="105" w:lineRule="exact"/>
        <w:rPr>
          <w:sz w:val="20"/>
          <w:szCs w:val="20"/>
          <w:color w:val="auto"/>
        </w:rPr>
      </w:pPr>
    </w:p>
    <w:p>
      <w:pPr>
        <w:ind w:left="380" w:hanging="13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$0.7 million (8.2%) net tax expense related to discrete items.</w:t>
      </w:r>
    </w:p>
    <w:p>
      <w:pPr>
        <w:spacing w:after="0" w:line="103" w:lineRule="exact"/>
        <w:rPr>
          <w:rFonts w:ascii="Arial" w:cs="Arial" w:eastAsia="Arial" w:hAnsi="Arial"/>
          <w:sz w:val="18"/>
          <w:szCs w:val="18"/>
          <w:color w:val="auto"/>
        </w:rPr>
      </w:pPr>
    </w:p>
    <w:p>
      <w:pPr>
        <w:ind w:right="4380" w:firstLine="242"/>
        <w:spacing w:after="0" w:line="360" w:lineRule="auto"/>
        <w:tabs>
          <w:tab w:leader="none" w:pos="3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39.0%. Significant items that impacted the 2012 tax rate included the following:</w:t>
      </w:r>
    </w:p>
    <w:p>
      <w:pPr>
        <w:ind w:left="380" w:hanging="13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$39.5 million (40.5%) discrete income tax benefit related to pension settlements in Sweden and the U.S.</w:t>
      </w:r>
    </w:p>
    <w:p>
      <w:pPr>
        <w:spacing w:after="0" w:line="103" w:lineRule="exact"/>
        <w:rPr>
          <w:rFonts w:ascii="Arial" w:cs="Arial" w:eastAsia="Arial" w:hAnsi="Arial"/>
          <w:sz w:val="18"/>
          <w:szCs w:val="18"/>
          <w:color w:val="auto"/>
        </w:rPr>
      </w:pPr>
    </w:p>
    <w:p>
      <w:pPr>
        <w:ind w:left="380" w:hanging="13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discrete tax benefit of $6.1 million (6.2%) primarily related to the settlement of a tax audit in Canada.</w:t>
      </w:r>
    </w:p>
    <w:p>
      <w:pPr>
        <w:spacing w:after="0" w:line="103" w:lineRule="exact"/>
        <w:rPr>
          <w:rFonts w:ascii="Arial" w:cs="Arial" w:eastAsia="Arial" w:hAnsi="Arial"/>
          <w:sz w:val="18"/>
          <w:szCs w:val="18"/>
          <w:color w:val="auto"/>
        </w:rPr>
      </w:pPr>
    </w:p>
    <w:p>
      <w:pPr>
        <w:ind w:left="380" w:hanging="13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26.5%.</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00" w:lineRule="exact"/>
        <w:rPr>
          <w:sz w:val="20"/>
          <w:szCs w:val="20"/>
          <w:color w:val="auto"/>
        </w:rPr>
      </w:pPr>
    </w:p>
    <w:p>
      <w:pPr>
        <w:ind w:right="60" w:firstLine="648"/>
        <w:spacing w:after="0" w:line="221" w:lineRule="auto"/>
        <w:rPr>
          <w:sz w:val="20"/>
          <w:szCs w:val="20"/>
          <w:color w:val="auto"/>
        </w:rPr>
      </w:pPr>
      <w:r>
        <w:rPr>
          <w:rFonts w:ascii="Arial" w:cs="Arial" w:eastAsia="Arial" w:hAnsi="Arial"/>
          <w:sz w:val="18"/>
          <w:szCs w:val="18"/>
          <w:color w:val="auto"/>
        </w:rPr>
        <w:t>In the first quarter of 2012, the Company completed the sale of its Albany Door Systems business and, in the second quarter 2012, the Company completed the sale of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resulting in a pre-tax gain of $92.7 million. Including operations of the discontinued business, recognition of pre-closing liabilities and related income taxes, six-month period loss from discontinued operations was $0.4 million in 2013 and a gain of $71.2 million in 2012.</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7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Machine Clothing is our primary business segment and has accounted for nearly 92% of our consolidated revenues during the first six months of 2013. Machine clothing is purchased primarily by manufacturers of paper and paperboard.</w:t>
      </w:r>
    </w:p>
    <w:p>
      <w:pPr>
        <w:spacing w:after="0" w:line="132" w:lineRule="exact"/>
        <w:rPr>
          <w:sz w:val="20"/>
          <w:szCs w:val="20"/>
          <w:color w:val="auto"/>
        </w:rPr>
      </w:pPr>
    </w:p>
    <w:p>
      <w:pPr>
        <w:jc w:val="both"/>
        <w:ind w:right="380" w:firstLine="648"/>
        <w:spacing w:after="0" w:line="255" w:lineRule="auto"/>
        <w:rPr>
          <w:sz w:val="20"/>
          <w:szCs w:val="20"/>
          <w:color w:val="auto"/>
        </w:rPr>
      </w:pPr>
      <w:r>
        <w:rPr>
          <w:rFonts w:ascii="Arial" w:cs="Arial" w:eastAsia="Arial" w:hAnsi="Arial"/>
          <w:sz w:val="18"/>
          <w:szCs w:val="18"/>
          <w:color w:val="auto"/>
        </w:rPr>
        <w:t>According to RISI, Inc., global production of paper and paperboard is expected to grow at an annual rate of 2-3% over the next five years, driven primarily by secular demand increases in the Asia and South America, with stabilization in the mature markets of Europe and North America.</w:t>
      </w:r>
    </w:p>
    <w:p>
      <w:pPr>
        <w:spacing w:after="0" w:line="151"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16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5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4780" w:type="dxa"/>
            <w:vAlign w:val="bottom"/>
          </w:tcPr>
          <w:p>
            <w:pPr>
              <w:spacing w:after="0"/>
              <w:rPr>
                <w:sz w:val="17"/>
                <w:szCs w:val="17"/>
                <w:color w:val="auto"/>
              </w:rPr>
            </w:pPr>
          </w:p>
        </w:tc>
        <w:tc>
          <w:tcPr>
            <w:tcW w:w="4160" w:type="dxa"/>
            <w:vAlign w:val="bottom"/>
            <w:gridSpan w:val="2"/>
          </w:tcPr>
          <w:p>
            <w:pPr>
              <w:jc w:val="right"/>
              <w:ind w:right="1010"/>
              <w:spacing w:after="0" w:line="201" w:lineRule="exact"/>
              <w:rPr>
                <w:sz w:val="20"/>
                <w:szCs w:val="20"/>
                <w:color w:val="auto"/>
              </w:rPr>
            </w:pPr>
            <w:r>
              <w:rPr>
                <w:rFonts w:ascii="Arial" w:cs="Arial" w:eastAsia="Arial" w:hAnsi="Arial"/>
                <w:sz w:val="18"/>
                <w:szCs w:val="18"/>
                <w:color w:val="auto"/>
              </w:rPr>
              <w:t>June 30,</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7"/>
                <w:szCs w:val="17"/>
                <w:color w:val="auto"/>
              </w:rPr>
            </w:pPr>
          </w:p>
        </w:tc>
      </w:tr>
      <w:tr>
        <w:trPr>
          <w:trHeight w:val="22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percentages)</w:t>
            </w:r>
          </w:p>
        </w:tc>
        <w:tc>
          <w:tcPr>
            <w:tcW w:w="2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2012</w:t>
            </w: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r>
      <w:tr>
        <w:trPr>
          <w:trHeight w:val="171"/>
        </w:trPr>
        <w:tc>
          <w:tcPr>
            <w:tcW w:w="4780" w:type="dxa"/>
            <w:vAlign w:val="bottom"/>
          </w:tcPr>
          <w:p>
            <w:pPr>
              <w:ind w:left="40"/>
              <w:spacing w:after="0" w:line="171" w:lineRule="exact"/>
              <w:rPr>
                <w:sz w:val="20"/>
                <w:szCs w:val="20"/>
                <w:color w:val="auto"/>
              </w:rPr>
            </w:pPr>
            <w:r>
              <w:rPr>
                <w:rFonts w:ascii="Arial" w:cs="Arial" w:eastAsia="Arial" w:hAnsi="Arial"/>
                <w:sz w:val="18"/>
                <w:szCs w:val="18"/>
                <w:color w:val="auto"/>
              </w:rPr>
              <w:t>Net sales</w:t>
            </w:r>
          </w:p>
        </w:tc>
        <w:tc>
          <w:tcPr>
            <w:tcW w:w="2740" w:type="dxa"/>
            <w:vAlign w:val="bottom"/>
          </w:tcPr>
          <w:p>
            <w:pPr>
              <w:jc w:val="right"/>
              <w:ind w:right="150"/>
              <w:spacing w:after="0" w:line="171" w:lineRule="exact"/>
              <w:rPr>
                <w:sz w:val="20"/>
                <w:szCs w:val="20"/>
                <w:color w:val="auto"/>
              </w:rPr>
            </w:pPr>
            <w:r>
              <w:rPr>
                <w:rFonts w:ascii="Arial" w:cs="Arial" w:eastAsia="Arial" w:hAnsi="Arial"/>
                <w:sz w:val="18"/>
                <w:szCs w:val="18"/>
                <w:b w:val="1"/>
                <w:bCs w:val="1"/>
                <w:color w:val="auto"/>
              </w:rPr>
              <w:t>$177,536</w:t>
            </w:r>
          </w:p>
        </w:tc>
        <w:tc>
          <w:tcPr>
            <w:tcW w:w="1420" w:type="dxa"/>
            <w:vAlign w:val="bottom"/>
          </w:tcPr>
          <w:p>
            <w:pPr>
              <w:jc w:val="right"/>
              <w:ind w:right="310"/>
              <w:spacing w:after="0" w:line="171" w:lineRule="exact"/>
              <w:rPr>
                <w:sz w:val="20"/>
                <w:szCs w:val="20"/>
                <w:color w:val="auto"/>
              </w:rPr>
            </w:pPr>
            <w:r>
              <w:rPr>
                <w:rFonts w:ascii="Arial" w:cs="Arial" w:eastAsia="Arial" w:hAnsi="Arial"/>
                <w:sz w:val="18"/>
                <w:szCs w:val="18"/>
                <w:color w:val="auto"/>
              </w:rPr>
              <w:t>$177,122</w:t>
            </w:r>
          </w:p>
        </w:tc>
        <w:tc>
          <w:tcPr>
            <w:tcW w:w="1620" w:type="dxa"/>
            <w:vAlign w:val="bottom"/>
          </w:tcPr>
          <w:p>
            <w:pPr>
              <w:jc w:val="right"/>
              <w:ind w:right="310"/>
              <w:spacing w:after="0" w:line="171" w:lineRule="exact"/>
              <w:rPr>
                <w:sz w:val="20"/>
                <w:szCs w:val="20"/>
                <w:color w:val="auto"/>
              </w:rPr>
            </w:pPr>
            <w:r>
              <w:rPr>
                <w:rFonts w:ascii="Arial" w:cs="Arial" w:eastAsia="Arial" w:hAnsi="Arial"/>
                <w:sz w:val="18"/>
                <w:szCs w:val="18"/>
                <w:b w:val="1"/>
                <w:bCs w:val="1"/>
                <w:color w:val="auto"/>
              </w:rPr>
              <w:t>$344,946</w:t>
            </w:r>
          </w:p>
        </w:tc>
        <w:tc>
          <w:tcPr>
            <w:tcW w:w="860" w:type="dxa"/>
            <w:vAlign w:val="bottom"/>
          </w:tcPr>
          <w:p>
            <w:pPr>
              <w:jc w:val="right"/>
              <w:spacing w:after="0" w:line="171" w:lineRule="exact"/>
              <w:rPr>
                <w:sz w:val="20"/>
                <w:szCs w:val="20"/>
                <w:color w:val="auto"/>
              </w:rPr>
            </w:pPr>
            <w:r>
              <w:rPr>
                <w:rFonts w:ascii="Arial" w:cs="Arial" w:eastAsia="Arial" w:hAnsi="Arial"/>
                <w:sz w:val="18"/>
                <w:szCs w:val="18"/>
                <w:color w:val="auto"/>
              </w:rPr>
              <w:t>$341,410</w:t>
            </w:r>
          </w:p>
        </w:tc>
      </w:tr>
      <w:tr>
        <w:trPr>
          <w:trHeight w:val="203"/>
        </w:trPr>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Gross profit</w:t>
            </w:r>
          </w:p>
        </w:tc>
        <w:tc>
          <w:tcPr>
            <w:tcW w:w="2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77,797</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78,245</w:t>
            </w:r>
          </w:p>
        </w:tc>
        <w:tc>
          <w:tcPr>
            <w:tcW w:w="16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151,786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146,243</w:t>
            </w:r>
          </w:p>
        </w:tc>
      </w:tr>
      <w:tr>
        <w:trPr>
          <w:trHeight w:val="203"/>
        </w:trPr>
        <w:tc>
          <w:tcPr>
            <w:tcW w:w="4780" w:type="dxa"/>
            <w:vAlign w:val="bottom"/>
          </w:tcPr>
          <w:p>
            <w:pPr>
              <w:ind w:left="40"/>
              <w:spacing w:after="0" w:line="202" w:lineRule="exact"/>
              <w:rPr>
                <w:sz w:val="20"/>
                <w:szCs w:val="20"/>
                <w:color w:val="auto"/>
              </w:rPr>
            </w:pPr>
            <w:r>
              <w:rPr>
                <w:rFonts w:ascii="Arial" w:cs="Arial" w:eastAsia="Arial" w:hAnsi="Arial"/>
                <w:sz w:val="18"/>
                <w:szCs w:val="18"/>
                <w:color w:val="auto"/>
              </w:rPr>
              <w:t>% of net sales</w:t>
            </w:r>
          </w:p>
        </w:tc>
        <w:tc>
          <w:tcPr>
            <w:tcW w:w="2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43.8%</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44.2%</w:t>
            </w:r>
          </w:p>
        </w:tc>
        <w:tc>
          <w:tcPr>
            <w:tcW w:w="16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44.0%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r>
      <w:tr>
        <w:trPr>
          <w:trHeight w:val="22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20,699</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44,997</w:t>
            </w:r>
          </w:p>
        </w:tc>
        <w:tc>
          <w:tcPr>
            <w:tcW w:w="1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63,607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75,842</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increasing 2013 sales by $0.1 million.</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sales increased 0.2% compared to the same period in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flat level of sales reflects stability in most of the geographic regions in which the Company competes.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2013 sales by $0.3 million.</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sales increased 1.1% compared to the same period in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Sales remained stable in Europe and Asia; compared to 2012 sales in Asia were 10% lower.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76"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$0.6 million decrease due to a lower gross profit margin in MC.</w:t>
      </w:r>
    </w:p>
    <w:p>
      <w:pPr>
        <w:spacing w:after="0" w:line="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$0.2 million increase due to a higher sales in MC.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was principally due to the net effect of the following:</w:t>
      </w:r>
    </w:p>
    <w:p>
      <w:pPr>
        <w:spacing w:after="0" w:line="176"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$4.0 million increase due to a higher gross profit margin in MC.</w:t>
      </w:r>
    </w:p>
    <w:p>
      <w:pPr>
        <w:spacing w:after="0" w:line="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increase due to a higher sales in MC.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operating income was principally due to the net effect of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charges of $24.2 million in second-quarter 2013 compared to $2.9 million in the comparable period 2012.</w:t>
      </w:r>
    </w:p>
    <w:p>
      <w:pPr>
        <w:spacing w:after="0" w:line="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Lower gross profit, as described above.</w:t>
      </w:r>
    </w:p>
    <w:p>
      <w:pPr>
        <w:spacing w:after="0" w:line="8" w:lineRule="exact"/>
        <w:rPr>
          <w:rFonts w:ascii="Times New Roman" w:cs="Times New Roman" w:eastAsia="Times New Roman" w:hAnsi="Times New Roman"/>
          <w:sz w:val="18"/>
          <w:szCs w:val="18"/>
          <w:color w:val="auto"/>
        </w:rPr>
      </w:pPr>
    </w:p>
    <w:p>
      <w:pPr>
        <w:ind w:left="1300" w:right="100" w:hanging="320"/>
        <w:spacing w:after="0" w:line="250"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second-quarter gains of $0.5 million in 2013 and gains of $2.7 million in the comparable period in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Higher gross profit, as described above.</w:t>
      </w:r>
    </w:p>
    <w:p>
      <w:pPr>
        <w:spacing w:after="0" w:line="8"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gains of $1.2 million in 2013 and gains of $1.0 million in the comparable period in 2012.</w:t>
      </w: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charges of $24.4 million in 2013 compared to $3.6 million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76" w:lineRule="exact"/>
        <w:rPr>
          <w:sz w:val="20"/>
          <w:szCs w:val="20"/>
          <w:color w:val="auto"/>
        </w:rPr>
      </w:pPr>
    </w:p>
    <w:p>
      <w:pPr>
        <w:ind w:right="320" w:firstLine="648"/>
        <w:spacing w:after="0" w:line="245"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2012, approximately 25% of this segment’s sales were related to U.S. government contracts or programs.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4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Review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3"/>
          </w:tcPr>
          <w:p>
            <w:pPr>
              <w:jc w:val="right"/>
              <w:ind w:right="830"/>
              <w:spacing w:after="0" w:line="194" w:lineRule="exact"/>
              <w:rPr>
                <w:sz w:val="20"/>
                <w:szCs w:val="20"/>
                <w:color w:val="auto"/>
              </w:rPr>
            </w:pPr>
            <w:r>
              <w:rPr>
                <w:rFonts w:ascii="Arial" w:cs="Arial" w:eastAsia="Arial" w:hAnsi="Arial"/>
                <w:sz w:val="18"/>
                <w:szCs w:val="18"/>
                <w:color w:val="auto"/>
              </w:rPr>
              <w:t>Three months ended</w:t>
            </w:r>
          </w:p>
        </w:tc>
        <w:tc>
          <w:tcPr>
            <w:tcW w:w="48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right"/>
              <w:ind w:right="790"/>
              <w:spacing w:after="0" w:line="194" w:lineRule="exact"/>
              <w:rPr>
                <w:sz w:val="20"/>
                <w:szCs w:val="20"/>
                <w:color w:val="auto"/>
              </w:rPr>
            </w:pPr>
            <w:r>
              <w:rPr>
                <w:rFonts w:ascii="Arial" w:cs="Arial" w:eastAsia="Arial" w:hAnsi="Arial"/>
                <w:sz w:val="18"/>
                <w:szCs w:val="18"/>
                <w:color w:val="auto"/>
              </w:rPr>
              <w:t>Six months ended</w:t>
            </w:r>
          </w:p>
        </w:tc>
      </w:tr>
      <w:tr>
        <w:trPr>
          <w:trHeight w:val="201"/>
        </w:trPr>
        <w:tc>
          <w:tcPr>
            <w:tcW w:w="3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6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17"/>
                <w:szCs w:val="17"/>
                <w:color w:val="auto"/>
              </w:rPr>
            </w:pPr>
          </w:p>
        </w:tc>
      </w:tr>
      <w:tr>
        <w:trPr>
          <w:trHeight w:val="227"/>
        </w:trPr>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 except percentages)</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2012</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r>
      <w:tr>
        <w:trPr>
          <w:trHeight w:val="171"/>
        </w:trPr>
        <w:tc>
          <w:tcPr>
            <w:tcW w:w="3980" w:type="dxa"/>
            <w:vAlign w:val="bottom"/>
          </w:tcPr>
          <w:p>
            <w:pPr>
              <w:ind w:left="100"/>
              <w:spacing w:after="0" w:line="171" w:lineRule="exact"/>
              <w:rPr>
                <w:sz w:val="20"/>
                <w:szCs w:val="20"/>
                <w:color w:val="auto"/>
              </w:rPr>
            </w:pPr>
            <w:r>
              <w:rPr>
                <w:rFonts w:ascii="Arial" w:cs="Arial" w:eastAsia="Arial" w:hAnsi="Arial"/>
                <w:sz w:val="18"/>
                <w:szCs w:val="18"/>
                <w:color w:val="auto"/>
              </w:rPr>
              <w:t>Net sales</w:t>
            </w:r>
          </w:p>
        </w:tc>
        <w:tc>
          <w:tcPr>
            <w:tcW w:w="114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50"/>
              <w:spacing w:after="0" w:line="171" w:lineRule="exact"/>
              <w:rPr>
                <w:sz w:val="20"/>
                <w:szCs w:val="20"/>
                <w:color w:val="auto"/>
              </w:rPr>
            </w:pPr>
            <w:r>
              <w:rPr>
                <w:rFonts w:ascii="Arial" w:cs="Arial" w:eastAsia="Arial" w:hAnsi="Arial"/>
                <w:sz w:val="18"/>
                <w:szCs w:val="18"/>
                <w:b w:val="1"/>
                <w:bCs w:val="1"/>
                <w:color w:val="auto"/>
              </w:rPr>
              <w:t>20,438</w:t>
            </w:r>
          </w:p>
        </w:tc>
        <w:tc>
          <w:tcPr>
            <w:tcW w:w="500" w:type="dxa"/>
            <w:vAlign w:val="bottom"/>
          </w:tcPr>
          <w:p>
            <w:pPr>
              <w:jc w:val="right"/>
              <w:ind w:right="150"/>
              <w:spacing w:after="0" w:line="17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30"/>
              <w:spacing w:after="0" w:line="171" w:lineRule="exact"/>
              <w:rPr>
                <w:sz w:val="20"/>
                <w:szCs w:val="20"/>
                <w:color w:val="auto"/>
              </w:rPr>
            </w:pPr>
            <w:r>
              <w:rPr>
                <w:rFonts w:ascii="Arial" w:cs="Arial" w:eastAsia="Arial" w:hAnsi="Arial"/>
                <w:sz w:val="18"/>
                <w:szCs w:val="18"/>
                <w:color w:val="auto"/>
              </w:rPr>
              <w:t>14,818</w:t>
            </w:r>
          </w:p>
        </w:tc>
        <w:tc>
          <w:tcPr>
            <w:tcW w:w="480" w:type="dxa"/>
            <w:vAlign w:val="bottom"/>
          </w:tcPr>
          <w:p>
            <w:pPr>
              <w:jc w:val="right"/>
              <w:ind w:right="110"/>
              <w:spacing w:after="0" w:line="171"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30"/>
              <w:spacing w:after="0" w:line="171" w:lineRule="exact"/>
              <w:rPr>
                <w:sz w:val="20"/>
                <w:szCs w:val="20"/>
                <w:color w:val="auto"/>
              </w:rPr>
            </w:pPr>
            <w:r>
              <w:rPr>
                <w:rFonts w:ascii="Arial" w:cs="Arial" w:eastAsia="Arial" w:hAnsi="Arial"/>
                <w:sz w:val="18"/>
                <w:szCs w:val="18"/>
                <w:b w:val="1"/>
                <w:bCs w:val="1"/>
                <w:color w:val="auto"/>
              </w:rPr>
              <w:t>39,682</w:t>
            </w:r>
          </w:p>
        </w:tc>
        <w:tc>
          <w:tcPr>
            <w:tcW w:w="520" w:type="dxa"/>
            <w:vAlign w:val="bottom"/>
          </w:tcPr>
          <w:p>
            <w:pPr>
              <w:jc w:val="right"/>
              <w:ind w:right="150"/>
              <w:spacing w:after="0" w:line="17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171" w:lineRule="exact"/>
              <w:rPr>
                <w:sz w:val="20"/>
                <w:szCs w:val="20"/>
                <w:color w:val="auto"/>
              </w:rPr>
            </w:pPr>
            <w:r>
              <w:rPr>
                <w:rFonts w:ascii="Arial" w:cs="Arial" w:eastAsia="Arial" w:hAnsi="Arial"/>
                <w:sz w:val="18"/>
                <w:szCs w:val="18"/>
                <w:color w:val="auto"/>
              </w:rPr>
              <w:t>30,607</w:t>
            </w:r>
          </w:p>
        </w:tc>
      </w:tr>
      <w:tr>
        <w:trPr>
          <w:trHeight w:val="203"/>
        </w:trPr>
        <w:tc>
          <w:tcPr>
            <w:tcW w:w="398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17"/>
                <w:szCs w:val="17"/>
                <w:color w:val="auto"/>
              </w:rPr>
            </w:pP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667</w:t>
            </w:r>
          </w:p>
        </w:tc>
        <w:tc>
          <w:tcPr>
            <w:tcW w:w="500" w:type="dxa"/>
            <w:vAlign w:val="bottom"/>
          </w:tcPr>
          <w:p>
            <w:pPr>
              <w:spacing w:after="0"/>
              <w:rPr>
                <w:sz w:val="17"/>
                <w:szCs w:val="17"/>
                <w:color w:val="auto"/>
              </w:rPr>
            </w:pPr>
          </w:p>
        </w:tc>
        <w:tc>
          <w:tcPr>
            <w:tcW w:w="12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1,311</w:t>
            </w:r>
          </w:p>
        </w:tc>
        <w:tc>
          <w:tcPr>
            <w:tcW w:w="480" w:type="dxa"/>
            <w:vAlign w:val="bottom"/>
          </w:tcPr>
          <w:p>
            <w:pPr>
              <w:spacing w:after="0"/>
              <w:rPr>
                <w:sz w:val="17"/>
                <w:szCs w:val="17"/>
                <w:color w:val="auto"/>
              </w:rPr>
            </w:pPr>
          </w:p>
        </w:tc>
        <w:tc>
          <w:tcPr>
            <w:tcW w:w="12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481</w:t>
            </w:r>
          </w:p>
        </w:tc>
        <w:tc>
          <w:tcPr>
            <w:tcW w:w="52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2,704</w:t>
            </w:r>
          </w:p>
        </w:tc>
      </w:tr>
      <w:tr>
        <w:trPr>
          <w:trHeight w:val="203"/>
        </w:trPr>
        <w:tc>
          <w:tcPr>
            <w:tcW w:w="398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114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3.3%</w:t>
            </w:r>
          </w:p>
        </w:tc>
        <w:tc>
          <w:tcPr>
            <w:tcW w:w="500" w:type="dxa"/>
            <w:vAlign w:val="bottom"/>
          </w:tcPr>
          <w:p>
            <w:pPr>
              <w:spacing w:after="0"/>
              <w:rPr>
                <w:sz w:val="17"/>
                <w:szCs w:val="17"/>
                <w:color w:val="auto"/>
              </w:rPr>
            </w:pPr>
          </w:p>
        </w:tc>
        <w:tc>
          <w:tcPr>
            <w:tcW w:w="12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8.8%</w:t>
            </w:r>
          </w:p>
        </w:tc>
        <w:tc>
          <w:tcPr>
            <w:tcW w:w="480" w:type="dxa"/>
            <w:vAlign w:val="bottom"/>
          </w:tcPr>
          <w:p>
            <w:pPr>
              <w:spacing w:after="0"/>
              <w:rPr>
                <w:sz w:val="17"/>
                <w:szCs w:val="17"/>
                <w:color w:val="auto"/>
              </w:rPr>
            </w:pP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1.2%</w:t>
            </w:r>
          </w:p>
        </w:tc>
        <w:tc>
          <w:tcPr>
            <w:tcW w:w="5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27"/>
        </w:trPr>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income/(loss)</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(1,825)</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(369)</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(3,888)</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w:t>
      </w:r>
    </w:p>
    <w:p>
      <w:pPr>
        <w:spacing w:after="0" w:line="18" w:lineRule="exact"/>
        <w:rPr>
          <w:sz w:val="20"/>
          <w:szCs w:val="20"/>
          <w:color w:val="auto"/>
        </w:rPr>
      </w:pPr>
    </w:p>
    <w:p>
      <w:pPr>
        <w:ind w:left="380" w:hanging="120"/>
        <w:spacing w:after="0"/>
        <w:tabs>
          <w:tab w:leader="none" w:pos="38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 in sales was principally due to LEAP program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gross profit included the following:</w:t>
      </w:r>
    </w:p>
    <w:p>
      <w:pPr>
        <w:spacing w:after="0" w:line="176" w:lineRule="exact"/>
        <w:rPr>
          <w:sz w:val="20"/>
          <w:szCs w:val="20"/>
          <w:color w:val="auto"/>
        </w:rPr>
      </w:pPr>
    </w:p>
    <w:p>
      <w:pPr>
        <w:ind w:left="380" w:right="440" w:hanging="120"/>
        <w:spacing w:after="0" w:line="275" w:lineRule="auto"/>
        <w:tabs>
          <w:tab w:leader="none" w:pos="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AEC gross margin was negatively affected by inventory write-offs associated with a legacy program at the Company’s Boerne, Texas, facility that amounted to $0.9 million in the second quarter and $1.1 million for the first six months of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Second-quarter 2013 operating income decreased principally due to the decrease in gross profit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Borders>
              <w:top w:val="single" w:sz="8" w:color="auto"/>
            </w:tcBorders>
          </w:tcPr>
          <w:p>
            <w:pPr>
              <w:spacing w:after="0"/>
              <w:rPr>
                <w:sz w:val="16"/>
                <w:szCs w:val="16"/>
                <w:color w:val="auto"/>
              </w:rPr>
            </w:pPr>
          </w:p>
        </w:tc>
        <w:tc>
          <w:tcPr>
            <w:tcW w:w="4760" w:type="dxa"/>
            <w:vAlign w:val="bottom"/>
            <w:tcBorders>
              <w:top w:val="single" w:sz="8" w:color="auto"/>
            </w:tcBorders>
          </w:tcPr>
          <w:p>
            <w:pPr>
              <w:jc w:val="right"/>
              <w:ind w:right="90"/>
              <w:spacing w:after="0" w:line="194" w:lineRule="exact"/>
              <w:rPr>
                <w:sz w:val="20"/>
                <w:szCs w:val="20"/>
                <w:color w:val="auto"/>
              </w:rPr>
            </w:pPr>
            <w:r>
              <w:rPr>
                <w:rFonts w:ascii="Arial" w:cs="Arial" w:eastAsia="Arial" w:hAnsi="Arial"/>
                <w:sz w:val="18"/>
                <w:szCs w:val="18"/>
                <w:color w:val="auto"/>
              </w:rPr>
              <w:t>Six months ended</w:t>
            </w:r>
          </w:p>
        </w:tc>
        <w:tc>
          <w:tcPr>
            <w:tcW w:w="1180" w:type="dxa"/>
            <w:vAlign w:val="bottom"/>
            <w:tcBorders>
              <w:top w:val="single" w:sz="8" w:color="auto"/>
            </w:tcBorders>
          </w:tcPr>
          <w:p>
            <w:pPr>
              <w:spacing w:after="0"/>
              <w:rPr>
                <w:sz w:val="16"/>
                <w:szCs w:val="16"/>
                <w:color w:val="auto"/>
              </w:rPr>
            </w:pPr>
          </w:p>
        </w:tc>
      </w:tr>
      <w:tr>
        <w:trPr>
          <w:trHeight w:val="201"/>
        </w:trPr>
        <w:tc>
          <w:tcPr>
            <w:tcW w:w="5480" w:type="dxa"/>
            <w:vAlign w:val="bottom"/>
          </w:tcPr>
          <w:p>
            <w:pPr>
              <w:spacing w:after="0"/>
              <w:rPr>
                <w:sz w:val="17"/>
                <w:szCs w:val="17"/>
                <w:color w:val="auto"/>
              </w:rPr>
            </w:pPr>
          </w:p>
        </w:tc>
        <w:tc>
          <w:tcPr>
            <w:tcW w:w="476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June 30,</w:t>
            </w:r>
          </w:p>
        </w:tc>
        <w:tc>
          <w:tcPr>
            <w:tcW w:w="1180" w:type="dxa"/>
            <w:vAlign w:val="bottom"/>
          </w:tcPr>
          <w:p>
            <w:pPr>
              <w:spacing w:after="0"/>
              <w:rPr>
                <w:sz w:val="17"/>
                <w:szCs w:val="17"/>
                <w:color w:val="auto"/>
              </w:rPr>
            </w:pPr>
          </w:p>
        </w:tc>
      </w:tr>
      <w:tr>
        <w:trPr>
          <w:trHeight w:val="227"/>
        </w:trPr>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 thousands)</w:t>
            </w:r>
          </w:p>
        </w:tc>
        <w:tc>
          <w:tcPr>
            <w:tcW w:w="476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b w:val="1"/>
                <w:bCs w:val="1"/>
                <w:color w:val="auto"/>
              </w:rPr>
              <w:t>2013</w:t>
            </w: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r>
      <w:tr>
        <w:trPr>
          <w:trHeight w:val="171"/>
        </w:trPr>
        <w:tc>
          <w:tcPr>
            <w:tcW w:w="5480" w:type="dxa"/>
            <w:vAlign w:val="bottom"/>
          </w:tcPr>
          <w:p>
            <w:pPr>
              <w:ind w:left="100"/>
              <w:spacing w:after="0" w:line="171" w:lineRule="exact"/>
              <w:rPr>
                <w:sz w:val="20"/>
                <w:szCs w:val="20"/>
                <w:color w:val="auto"/>
              </w:rPr>
            </w:pPr>
            <w:r>
              <w:rPr>
                <w:rFonts w:ascii="Arial" w:cs="Arial" w:eastAsia="Arial" w:hAnsi="Arial"/>
                <w:sz w:val="18"/>
                <w:szCs w:val="18"/>
                <w:color w:val="auto"/>
              </w:rPr>
              <w:t>Net income</w:t>
            </w:r>
          </w:p>
        </w:tc>
        <w:tc>
          <w:tcPr>
            <w:tcW w:w="4760" w:type="dxa"/>
            <w:vAlign w:val="bottom"/>
          </w:tcPr>
          <w:p>
            <w:pPr>
              <w:jc w:val="right"/>
              <w:ind w:right="1330"/>
              <w:spacing w:after="0" w:line="171" w:lineRule="exact"/>
              <w:rPr>
                <w:sz w:val="20"/>
                <w:szCs w:val="20"/>
                <w:color w:val="auto"/>
              </w:rPr>
            </w:pPr>
            <w:r>
              <w:rPr>
                <w:rFonts w:ascii="Arial" w:cs="Arial" w:eastAsia="Arial" w:hAnsi="Arial"/>
                <w:sz w:val="18"/>
                <w:szCs w:val="18"/>
                <w:b w:val="1"/>
                <w:bCs w:val="1"/>
                <w:color w:val="auto"/>
              </w:rPr>
              <w:t>$4,132</w:t>
            </w:r>
          </w:p>
        </w:tc>
        <w:tc>
          <w:tcPr>
            <w:tcW w:w="1180" w:type="dxa"/>
            <w:vAlign w:val="bottom"/>
          </w:tcPr>
          <w:p>
            <w:pPr>
              <w:jc w:val="right"/>
              <w:ind w:right="10"/>
              <w:spacing w:after="0" w:line="171" w:lineRule="exact"/>
              <w:rPr>
                <w:sz w:val="20"/>
                <w:szCs w:val="20"/>
                <w:color w:val="auto"/>
              </w:rPr>
            </w:pPr>
            <w:r>
              <w:rPr>
                <w:rFonts w:ascii="Arial" w:cs="Arial" w:eastAsia="Arial" w:hAnsi="Arial"/>
                <w:sz w:val="18"/>
                <w:szCs w:val="18"/>
                <w:color w:val="auto"/>
              </w:rPr>
              <w:t>$13,296</w:t>
            </w:r>
          </w:p>
        </w:tc>
      </w:tr>
      <w:tr>
        <w:trPr>
          <w:trHeight w:val="203"/>
        </w:trPr>
        <w:tc>
          <w:tcPr>
            <w:tcW w:w="548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w:t>
            </w:r>
          </w:p>
        </w:tc>
        <w:tc>
          <w:tcPr>
            <w:tcW w:w="4760" w:type="dxa"/>
            <w:vAlign w:val="bottom"/>
          </w:tcPr>
          <w:p>
            <w:pPr>
              <w:jc w:val="right"/>
              <w:ind w:right="1330"/>
              <w:spacing w:after="0" w:line="202" w:lineRule="exact"/>
              <w:rPr>
                <w:sz w:val="20"/>
                <w:szCs w:val="20"/>
                <w:color w:val="auto"/>
              </w:rPr>
            </w:pPr>
            <w:r>
              <w:rPr>
                <w:rFonts w:ascii="Arial" w:cs="Arial" w:eastAsia="Arial" w:hAnsi="Arial"/>
                <w:sz w:val="18"/>
                <w:szCs w:val="18"/>
                <w:b w:val="1"/>
                <w:bCs w:val="1"/>
                <w:color w:val="auto"/>
              </w:rPr>
              <w:t>31,955</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32,238</w:t>
            </w:r>
          </w:p>
        </w:tc>
      </w:tr>
      <w:tr>
        <w:trPr>
          <w:trHeight w:val="203"/>
        </w:trPr>
        <w:tc>
          <w:tcPr>
            <w:tcW w:w="5480" w:type="dxa"/>
            <w:vAlign w:val="bottom"/>
          </w:tcPr>
          <w:p>
            <w:pPr>
              <w:ind w:left="260"/>
              <w:spacing w:after="0" w:line="202" w:lineRule="exact"/>
              <w:rPr>
                <w:sz w:val="20"/>
                <w:szCs w:val="20"/>
                <w:color w:val="auto"/>
              </w:rPr>
            </w:pPr>
            <w:r>
              <w:rPr>
                <w:rFonts w:ascii="Arial" w:cs="Arial" w:eastAsia="Arial" w:hAnsi="Arial"/>
                <w:sz w:val="18"/>
                <w:szCs w:val="18"/>
                <w:color w:val="auto"/>
              </w:rPr>
              <w:t>Changes in working capital</w:t>
            </w:r>
          </w:p>
        </w:tc>
        <w:tc>
          <w:tcPr>
            <w:tcW w:w="4760" w:type="dxa"/>
            <w:vAlign w:val="bottom"/>
          </w:tcPr>
          <w:p>
            <w:pPr>
              <w:jc w:val="right"/>
              <w:ind w:right="1330"/>
              <w:spacing w:after="0" w:line="202" w:lineRule="exact"/>
              <w:rPr>
                <w:sz w:val="20"/>
                <w:szCs w:val="20"/>
                <w:color w:val="auto"/>
              </w:rPr>
            </w:pPr>
            <w:r>
              <w:rPr>
                <w:rFonts w:ascii="Arial" w:cs="Arial" w:eastAsia="Arial" w:hAnsi="Arial"/>
                <w:sz w:val="18"/>
                <w:szCs w:val="18"/>
                <w:b w:val="1"/>
                <w:bCs w:val="1"/>
                <w:color w:val="auto"/>
              </w:rPr>
              <w:t>5,608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(1,617)</w:t>
            </w:r>
          </w:p>
        </w:tc>
      </w:tr>
      <w:tr>
        <w:trPr>
          <w:trHeight w:val="203"/>
        </w:trPr>
        <w:tc>
          <w:tcPr>
            <w:tcW w:w="5480" w:type="dxa"/>
            <w:vAlign w:val="bottom"/>
          </w:tcPr>
          <w:p>
            <w:pPr>
              <w:ind w:left="260"/>
              <w:spacing w:after="0" w:line="202" w:lineRule="exact"/>
              <w:rPr>
                <w:sz w:val="20"/>
                <w:szCs w:val="20"/>
                <w:color w:val="auto"/>
              </w:rPr>
            </w:pPr>
            <w:r>
              <w:rPr>
                <w:rFonts w:ascii="Arial" w:cs="Arial" w:eastAsia="Arial" w:hAnsi="Arial"/>
                <w:sz w:val="18"/>
                <w:szCs w:val="18"/>
                <w:color w:val="auto"/>
              </w:rPr>
              <w:t>Gain on disposition of assets</w:t>
            </w:r>
          </w:p>
        </w:tc>
        <w:tc>
          <w:tcPr>
            <w:tcW w:w="4760" w:type="dxa"/>
            <w:vAlign w:val="bottom"/>
          </w:tcPr>
          <w:p>
            <w:pPr>
              <w:jc w:val="right"/>
              <w:ind w:right="1270"/>
              <w:spacing w:after="0" w:line="202" w:lineRule="exact"/>
              <w:rPr>
                <w:sz w:val="20"/>
                <w:szCs w:val="20"/>
                <w:color w:val="auto"/>
              </w:rPr>
            </w:pPr>
            <w:r>
              <w:rPr>
                <w:rFonts w:ascii="Arial" w:cs="Arial" w:eastAsia="Arial" w:hAnsi="Arial"/>
                <w:sz w:val="18"/>
                <w:szCs w:val="18"/>
                <w:b w:val="1"/>
                <w:bCs w:val="1"/>
                <w:color w:val="auto"/>
              </w:rPr>
              <w:t>(3,763)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(92,677)</w:t>
            </w:r>
          </w:p>
        </w:tc>
      </w:tr>
      <w:tr>
        <w:trPr>
          <w:trHeight w:val="203"/>
        </w:trPr>
        <w:tc>
          <w:tcPr>
            <w:tcW w:w="5480" w:type="dxa"/>
            <w:vAlign w:val="bottom"/>
          </w:tcPr>
          <w:p>
            <w:pPr>
              <w:ind w:left="2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4760" w:type="dxa"/>
            <w:vAlign w:val="bottom"/>
          </w:tcPr>
          <w:p>
            <w:pPr>
              <w:jc w:val="right"/>
              <w:ind w:right="1270"/>
              <w:spacing w:after="0" w:line="202" w:lineRule="exact"/>
              <w:rPr>
                <w:sz w:val="20"/>
                <w:szCs w:val="20"/>
                <w:color w:val="auto"/>
              </w:rPr>
            </w:pPr>
            <w:r>
              <w:rPr>
                <w:rFonts w:ascii="Arial" w:cs="Arial" w:eastAsia="Arial" w:hAnsi="Arial"/>
                <w:sz w:val="18"/>
                <w:szCs w:val="18"/>
                <w:b w:val="1"/>
                <w:bCs w:val="1"/>
                <w:color w:val="auto"/>
              </w:rPr>
              <w:t>(3,991)</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(125,244)</w:t>
            </w:r>
          </w:p>
        </w:tc>
      </w:tr>
      <w:tr>
        <w:trPr>
          <w:trHeight w:val="203"/>
        </w:trPr>
        <w:tc>
          <w:tcPr>
            <w:tcW w:w="5480" w:type="dxa"/>
            <w:vAlign w:val="bottom"/>
          </w:tcPr>
          <w:p>
            <w:pPr>
              <w:ind w:left="260"/>
              <w:spacing w:after="0" w:line="202" w:lineRule="exact"/>
              <w:rPr>
                <w:sz w:val="20"/>
                <w:szCs w:val="20"/>
                <w:color w:val="auto"/>
              </w:rPr>
            </w:pPr>
            <w:r>
              <w:rPr>
                <w:rFonts w:ascii="Arial" w:cs="Arial" w:eastAsia="Arial" w:hAnsi="Arial"/>
                <w:sz w:val="18"/>
                <w:szCs w:val="18"/>
                <w:color w:val="auto"/>
              </w:rPr>
              <w:t>Write-off of pension liability adjustment</w:t>
            </w:r>
          </w:p>
        </w:tc>
        <w:tc>
          <w:tcPr>
            <w:tcW w:w="4760" w:type="dxa"/>
            <w:vAlign w:val="bottom"/>
          </w:tcPr>
          <w:p>
            <w:pPr>
              <w:jc w:val="right"/>
              <w:ind w:right="133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118,350</w:t>
            </w:r>
          </w:p>
        </w:tc>
      </w:tr>
      <w:tr>
        <w:trPr>
          <w:trHeight w:val="227"/>
        </w:trPr>
        <w:tc>
          <w:tcPr>
            <w:tcW w:w="5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operating items</w:t>
            </w:r>
          </w:p>
        </w:tc>
        <w:tc>
          <w:tcPr>
            <w:tcW w:w="476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(1,633)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w:t>
            </w:r>
          </w:p>
        </w:tc>
      </w:tr>
      <w:tr>
        <w:trPr>
          <w:trHeight w:val="171"/>
        </w:trPr>
        <w:tc>
          <w:tcPr>
            <w:tcW w:w="5480" w:type="dxa"/>
            <w:vAlign w:val="bottom"/>
          </w:tcPr>
          <w:p>
            <w:pPr>
              <w:ind w:left="100"/>
              <w:spacing w:after="0" w:line="171" w:lineRule="exact"/>
              <w:rPr>
                <w:sz w:val="20"/>
                <w:szCs w:val="20"/>
                <w:color w:val="auto"/>
              </w:rPr>
            </w:pPr>
            <w:r>
              <w:rPr>
                <w:rFonts w:ascii="Arial" w:cs="Arial" w:eastAsia="Arial" w:hAnsi="Arial"/>
                <w:sz w:val="18"/>
                <w:szCs w:val="18"/>
                <w:color w:val="auto"/>
              </w:rPr>
              <w:t>Net cash provided by/(used in) operating activities</w:t>
            </w:r>
          </w:p>
        </w:tc>
        <w:tc>
          <w:tcPr>
            <w:tcW w:w="4760" w:type="dxa"/>
            <w:vAlign w:val="bottom"/>
          </w:tcPr>
          <w:p>
            <w:pPr>
              <w:jc w:val="right"/>
              <w:ind w:right="1330"/>
              <w:spacing w:after="0" w:line="171" w:lineRule="exact"/>
              <w:rPr>
                <w:sz w:val="20"/>
                <w:szCs w:val="20"/>
                <w:color w:val="auto"/>
              </w:rPr>
            </w:pPr>
            <w:r>
              <w:rPr>
                <w:rFonts w:ascii="Arial" w:cs="Arial" w:eastAsia="Arial" w:hAnsi="Arial"/>
                <w:sz w:val="18"/>
                <w:szCs w:val="18"/>
                <w:b w:val="1"/>
                <w:bCs w:val="1"/>
                <w:color w:val="auto"/>
              </w:rPr>
              <w:t>32,308</w:t>
            </w:r>
          </w:p>
        </w:tc>
        <w:tc>
          <w:tcPr>
            <w:tcW w:w="1180" w:type="dxa"/>
            <w:vAlign w:val="bottom"/>
          </w:tcPr>
          <w:p>
            <w:pPr>
              <w:jc w:val="right"/>
              <w:spacing w:after="0" w:line="171" w:lineRule="exact"/>
              <w:rPr>
                <w:sz w:val="20"/>
                <w:szCs w:val="20"/>
                <w:color w:val="auto"/>
              </w:rPr>
            </w:pPr>
            <w:r>
              <w:rPr>
                <w:rFonts w:ascii="Arial" w:cs="Arial" w:eastAsia="Arial" w:hAnsi="Arial"/>
                <w:sz w:val="18"/>
                <w:szCs w:val="18"/>
                <w:color w:val="auto"/>
              </w:rPr>
              <w:t>(53,448)</w:t>
            </w:r>
          </w:p>
        </w:tc>
      </w:tr>
      <w:tr>
        <w:trPr>
          <w:trHeight w:val="203"/>
        </w:trPr>
        <w:tc>
          <w:tcPr>
            <w:tcW w:w="548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4760" w:type="dxa"/>
            <w:vAlign w:val="bottom"/>
          </w:tcPr>
          <w:p>
            <w:pPr>
              <w:jc w:val="right"/>
              <w:ind w:right="1270"/>
              <w:spacing w:after="0" w:line="202" w:lineRule="exact"/>
              <w:rPr>
                <w:sz w:val="20"/>
                <w:szCs w:val="20"/>
                <w:color w:val="auto"/>
              </w:rPr>
            </w:pPr>
            <w:r>
              <w:rPr>
                <w:rFonts w:ascii="Arial" w:cs="Arial" w:eastAsia="Arial" w:hAnsi="Arial"/>
                <w:sz w:val="18"/>
                <w:szCs w:val="18"/>
                <w:b w:val="1"/>
                <w:bCs w:val="1"/>
                <w:color w:val="auto"/>
              </w:rPr>
              <w:t>(22,188)</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136,456</w:t>
            </w:r>
          </w:p>
        </w:tc>
      </w:tr>
      <w:tr>
        <w:trPr>
          <w:trHeight w:val="203"/>
        </w:trPr>
        <w:tc>
          <w:tcPr>
            <w:tcW w:w="548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financing activities</w:t>
            </w:r>
          </w:p>
        </w:tc>
        <w:tc>
          <w:tcPr>
            <w:tcW w:w="4760" w:type="dxa"/>
            <w:vAlign w:val="bottom"/>
          </w:tcPr>
          <w:p>
            <w:pPr>
              <w:jc w:val="right"/>
              <w:ind w:right="1270"/>
              <w:spacing w:after="0" w:line="202" w:lineRule="exact"/>
              <w:rPr>
                <w:sz w:val="20"/>
                <w:szCs w:val="20"/>
                <w:color w:val="auto"/>
              </w:rPr>
            </w:pPr>
            <w:r>
              <w:rPr>
                <w:rFonts w:ascii="Arial" w:cs="Arial" w:eastAsia="Arial" w:hAnsi="Arial"/>
                <w:sz w:val="18"/>
                <w:szCs w:val="18"/>
                <w:b w:val="1"/>
                <w:bCs w:val="1"/>
                <w:color w:val="auto"/>
              </w:rPr>
              <w:t>(1,324)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(38,918)</w:t>
            </w:r>
          </w:p>
        </w:tc>
      </w:tr>
      <w:tr>
        <w:trPr>
          <w:trHeight w:val="227"/>
        </w:trPr>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476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(2,193)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w:t>
            </w:r>
          </w:p>
        </w:tc>
      </w:tr>
      <w:tr>
        <w:trPr>
          <w:trHeight w:val="171"/>
        </w:trPr>
        <w:tc>
          <w:tcPr>
            <w:tcW w:w="5480" w:type="dxa"/>
            <w:vAlign w:val="bottom"/>
          </w:tcPr>
          <w:p>
            <w:pPr>
              <w:ind w:left="100"/>
              <w:spacing w:after="0" w:line="171" w:lineRule="exact"/>
              <w:rPr>
                <w:sz w:val="20"/>
                <w:szCs w:val="20"/>
                <w:color w:val="auto"/>
              </w:rPr>
            </w:pPr>
            <w:r>
              <w:rPr>
                <w:rFonts w:ascii="Arial" w:cs="Arial" w:eastAsia="Arial" w:hAnsi="Arial"/>
                <w:sz w:val="18"/>
                <w:szCs w:val="18"/>
                <w:color w:val="auto"/>
              </w:rPr>
              <w:t>Increase in cash and cash equivalents</w:t>
            </w:r>
          </w:p>
        </w:tc>
        <w:tc>
          <w:tcPr>
            <w:tcW w:w="4760" w:type="dxa"/>
            <w:vAlign w:val="bottom"/>
          </w:tcPr>
          <w:p>
            <w:pPr>
              <w:jc w:val="right"/>
              <w:ind w:right="1330"/>
              <w:spacing w:after="0" w:line="171" w:lineRule="exact"/>
              <w:rPr>
                <w:sz w:val="20"/>
                <w:szCs w:val="20"/>
                <w:color w:val="auto"/>
              </w:rPr>
            </w:pPr>
            <w:r>
              <w:rPr>
                <w:rFonts w:ascii="Arial" w:cs="Arial" w:eastAsia="Arial" w:hAnsi="Arial"/>
                <w:sz w:val="18"/>
                <w:szCs w:val="18"/>
                <w:b w:val="1"/>
                <w:bCs w:val="1"/>
                <w:color w:val="auto"/>
              </w:rPr>
              <w:t>6,603</w:t>
            </w:r>
          </w:p>
        </w:tc>
        <w:tc>
          <w:tcPr>
            <w:tcW w:w="1180" w:type="dxa"/>
            <w:vAlign w:val="bottom"/>
          </w:tcPr>
          <w:p>
            <w:pPr>
              <w:jc w:val="right"/>
              <w:ind w:right="10"/>
              <w:spacing w:after="0" w:line="171" w:lineRule="exact"/>
              <w:rPr>
                <w:sz w:val="20"/>
                <w:szCs w:val="20"/>
                <w:color w:val="auto"/>
              </w:rPr>
            </w:pPr>
            <w:r>
              <w:rPr>
                <w:rFonts w:ascii="Arial" w:cs="Arial" w:eastAsia="Arial" w:hAnsi="Arial"/>
                <w:sz w:val="18"/>
                <w:szCs w:val="18"/>
                <w:color w:val="auto"/>
              </w:rPr>
              <w:t>45,683</w:t>
            </w:r>
          </w:p>
        </w:tc>
      </w:tr>
      <w:tr>
        <w:trPr>
          <w:trHeight w:val="227"/>
        </w:trPr>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47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190,718</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118,909</w:t>
            </w:r>
          </w:p>
        </w:tc>
      </w:tr>
      <w:tr>
        <w:trPr>
          <w:trHeight w:val="196"/>
        </w:trPr>
        <w:tc>
          <w:tcPr>
            <w:tcW w:w="54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4760" w:type="dxa"/>
            <w:vAlign w:val="bottom"/>
            <w:tcBorders>
              <w:bottom w:val="single" w:sz="8" w:color="auto"/>
            </w:tcBorders>
          </w:tcPr>
          <w:p>
            <w:pPr>
              <w:jc w:val="right"/>
              <w:ind w:right="1330"/>
              <w:spacing w:after="0" w:line="196" w:lineRule="exact"/>
              <w:rPr>
                <w:sz w:val="20"/>
                <w:szCs w:val="20"/>
                <w:color w:val="auto"/>
              </w:rPr>
            </w:pPr>
            <w:r>
              <w:rPr>
                <w:rFonts w:ascii="Arial" w:cs="Arial" w:eastAsia="Arial" w:hAnsi="Arial"/>
                <w:sz w:val="18"/>
                <w:szCs w:val="18"/>
                <w:b w:val="1"/>
                <w:bCs w:val="1"/>
                <w:color w:val="auto"/>
              </w:rPr>
              <w:t>$197,321</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$164,592</w:t>
            </w:r>
          </w:p>
        </w:tc>
      </w:tr>
      <w:tr>
        <w:trPr>
          <w:trHeight w:val="520"/>
        </w:trPr>
        <w:tc>
          <w:tcPr>
            <w:tcW w:w="5480" w:type="dxa"/>
            <w:vAlign w:val="bottom"/>
          </w:tcPr>
          <w:p>
            <w:pPr>
              <w:spacing w:after="0"/>
              <w:rPr>
                <w:sz w:val="24"/>
                <w:szCs w:val="24"/>
                <w:color w:val="auto"/>
              </w:rPr>
            </w:pPr>
          </w:p>
        </w:tc>
        <w:tc>
          <w:tcPr>
            <w:tcW w:w="476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tcPr>
          <w:p>
            <w:pPr>
              <w:spacing w:after="0"/>
              <w:rPr>
                <w:sz w:val="24"/>
                <w:szCs w:val="24"/>
                <w:color w:val="auto"/>
              </w:rPr>
            </w:pPr>
          </w:p>
        </w:tc>
      </w:tr>
      <w:tr>
        <w:trPr>
          <w:trHeight w:val="108"/>
        </w:trPr>
        <w:tc>
          <w:tcPr>
            <w:tcW w:w="54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8"/>
        </w:trPr>
        <w:tc>
          <w:tcPr>
            <w:tcW w:w="5480" w:type="dxa"/>
            <w:vAlign w:val="bottom"/>
            <w:shd w:val="clear" w:color="auto" w:fill="000000"/>
          </w:tcPr>
          <w:p>
            <w:pPr>
              <w:spacing w:after="0"/>
              <w:rPr>
                <w:sz w:val="5"/>
                <w:szCs w:val="5"/>
                <w:color w:val="auto"/>
              </w:rPr>
            </w:pPr>
          </w:p>
        </w:tc>
        <w:tc>
          <w:tcPr>
            <w:tcW w:w="47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Operating activities</w:t>
      </w:r>
    </w:p>
    <w:p>
      <w:pPr>
        <w:spacing w:after="0" w:line="200"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Cash provided by operating activities was $32.3 million in 2013, compared to a use of $53.4 million for the same period last year. Cash flow in 2012 was heavily influenced by contributions to pension plans, which is included in Changes in long-term liabilities, deferred taxes and other credits in the above table. As part of the Company’s plan to fund or settle part of our pension liabilities in the U.S., Canada, and Sweden, $30 million of cash was used to settle Swedish pension liabilities in Q1 2012, we contributed $30 million in Q1 and $20 million in Q2 to the U.S. pension plan, and subsequently settled two-thirds of our U.S. pension obligations, and $18 million was contributed in Q2 to the plan in Canada to fully fund the plan and settle about half of the plan obligation. As a result of the settlement activities, the Company recorded total settlement expense of $119.7 million in 2012, which included the write-off of $118.4 million of deferred pension charges.</w:t>
      </w:r>
    </w:p>
    <w:p>
      <w:pPr>
        <w:spacing w:after="0" w:line="166"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Changes in working capital provided cash flow of $ 5.6 million in 2013, principally resulting from a $6.7 million use of cash for Accounts receivable and Inventory, offset by a $24.3 Accrued liability provision associated with the French restructuring as described in Note 5 to the Consolidated Financial statements. We expect substantially all of the France restructuring accrual will be paid in the second half of 2013. For the first six months of 2012, changes in working capital resulted in a use of cash of $1.7 million that resulted primarily from an increase in Accounts receivable of $10.5 million offset by decrease of $7.4 million in Accrued liabilities in 2012. Including the utilization of net operating loss carry-forwards and other deferred tax assets, and payments related to tax audits cash paid for income taxes through the first two quarters of 2013 was $14.6 million and is expected to total about $25 million for the full year.</w:t>
      </w:r>
    </w:p>
    <w:p>
      <w:pPr>
        <w:spacing w:after="0" w:line="16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At June 30, 2013, the Company had $197.3 million of cash and cash equivalents, of which $183.1 million was held by subsidiaries outside of the United States. As disclosed in the Notes to Consolidated Financial Statements, we determined that all but $12.4 million of this amount (which represents the amount of earnings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0"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Capital spending for equipment and software was $28.5 million for 2013, including $16.8 million for the Engineered Composites segment and its expansion associated with the LEAP program. Depreciation and amortization was $32.0 million for 2013, compared to $32.2 million for 2012. We continue to expect that average capital spending, for the entire Company, during the five-year period 2012 to 2016 will be approximately $70 million per year. During 2013, the Company completed the sale of its production facility in Gosford, Australia, resulting in net proceeds of $6.3 million.</w:t>
      </w:r>
    </w:p>
    <w:p>
      <w:pPr>
        <w:spacing w:after="0" w:line="159"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In January 2012, the Company completed the sale of Albany Door Systems, and in March 2012, we finalized certain postclosing adjustments that increased the sale price by $5 million. As of December 31, 2012, $122 million of the total $135 million sale price had been</w:t>
      </w:r>
    </w:p>
    <w:p>
      <w:pPr>
        <w:spacing w:after="0" w:line="1" w:lineRule="exact"/>
        <w:rPr>
          <w:sz w:val="20"/>
          <w:szCs w:val="20"/>
          <w:color w:val="auto"/>
        </w:rPr>
      </w:pPr>
    </w:p>
    <w:p>
      <w:pPr>
        <w:ind w:right="440"/>
        <w:spacing w:after="0" w:line="201" w:lineRule="auto"/>
        <w:rPr>
          <w:sz w:val="20"/>
          <w:szCs w:val="20"/>
          <w:color w:val="auto"/>
        </w:rPr>
      </w:pPr>
      <w:r>
        <w:rPr>
          <w:rFonts w:ascii="Arial" w:cs="Arial" w:eastAsia="Arial" w:hAnsi="Arial"/>
          <w:sz w:val="18"/>
          <w:szCs w:val="18"/>
          <w:color w:val="auto"/>
        </w:rPr>
        <w:t>received, with the remainder received in July 2013. During Q2 2012, the Company completed the sale of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Of the $38 million sale price, $34 million was received in June, with the remainder expected to be received in December 2013.</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66"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Financing Activities</w:t>
      </w:r>
    </w:p>
    <w:p>
      <w:pPr>
        <w:spacing w:after="0" w:line="200"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0" w:lineRule="exact"/>
        <w:rPr>
          <w:sz w:val="20"/>
          <w:szCs w:val="20"/>
          <w:color w:val="auto"/>
        </w:rPr>
      </w:pPr>
    </w:p>
    <w:p>
      <w:pPr>
        <w:ind w:right="200" w:firstLine="648"/>
        <w:spacing w:after="0" w:line="245"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2013 was held by non-U.S. subsidiaries. Based on cash on hand and credit facilities, we anticipate that the Company has sufficient capital resources to operate for the foreseeable future. We were in compliance with all debt covenants as of June 30, 2013.</w:t>
      </w:r>
    </w:p>
    <w:p>
      <w:pPr>
        <w:spacing w:after="0" w:line="13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March 26, 2013, we entered into a $330 million, unsecured Five-Year Revolving Credit Facility Agreement (the "Credit agreement"), under which $164 million of borrowings were outstanding as of June 30, 2013. The Credit agreement replaces the previous $390 million five-year facility agreement entered into in 2010. The applicable interest rate for borrowings under the Credit agreement, as well as under the former agreement, is LIBOR plus a spread, based on our leverage ratio at the time of borrowing. The Company also amended its note agreement with Prudential to substantially conform the financial and other covenants with the Credit agreement. The total cost for the amendments was $1.6 million. At March 2013 debt levels, the annual savings in interest and associated fees resulting from improved terms of the Credit agreement would be approximately $1.9 million. For more information on our borrowings, see Note 13 to the Consolidated Financial Statements in Item 1, which is incorporated herein by reference.</w:t>
      </w:r>
    </w:p>
    <w:p>
      <w:pPr>
        <w:spacing w:after="0" w:line="18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2010 agreement at the rate of 2.04% for a period of five years. Under the terms of these transactions, we pay the fixed rate of 2.04% and the counterparties pay a floating rate based on the three-month LIBOR rate at each quarterly calculation date, which on April 16, 2013 was 0.28%. The net effect is to fix the effective interest rate on $105 million of indebtedness at 2.04%, plus the applicable spread, until these swap agreements expire on July 16, 2015. As of June 30, 2013, the all-in rate on this $105 million of debt was 3.415%. This interest rate swap is accounted for as a hedge of future cash flows. For more information on our interest rate swaps, see Note 14 to the Consolidated Financial Statements in Item 1, which is incorporated herein by reference.</w:t>
      </w:r>
    </w:p>
    <w:p>
      <w:pPr>
        <w:spacing w:after="0" w:line="181"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the indebtedness drawn under the Credit agreement at the rate of 1.414% during this period. Under the terms of these transactions, we pay the fixed rate of 1.414% and the counterparties pay a floating rate based on the one-month LIBOR rate at each monthly calculation date, which on June 28, 2013 was 0.19%. The net effect is to fix the effective interest rate on $110 million of indebtedness at 1.414%, plus the applicable spread, during the swap period. As of June 30, 2013, our leverage ratio was 1.75 to 1.00 and our interest coverage ratio was 8.57 to 1.00. We may purchase our Common Stock or pay dividends to the extent</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6" w:right="259" w:bottom="1440" w:gutter="0" w:footer="0" w:header="0"/>
        </w:sectPr>
      </w:pPr>
    </w:p>
    <w:bookmarkStart w:id="38" w:name="page39"/>
    <w:bookmarkEnd w:id="38"/>
    <w:p>
      <w:pPr>
        <w:spacing w:after="0" w:line="276" w:lineRule="auto"/>
        <w:rPr>
          <w:sz w:val="20"/>
          <w:szCs w:val="20"/>
          <w:color w:val="auto"/>
        </w:rPr>
      </w:pPr>
      <w:r>
        <w:rPr>
          <w:rFonts w:ascii="Arial" w:cs="Arial" w:eastAsia="Arial" w:hAnsi="Arial"/>
          <w:sz w:val="18"/>
          <w:szCs w:val="18"/>
          <w:color w:val="auto"/>
        </w:rPr>
        <w:t>our leverage ratio remains at or below 3.50 to 1.00, and may make acquisitions with cash provided our leverage ratio would not exceed 3.50 to 1.00 after giving pro forma effect to the acquisition.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2013, we have no off-balance sheet arrangements required to be disclosed pursuant to Item 303(a)(4) of Regulation 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right="520" w:firstLine="648"/>
        <w:spacing w:after="0" w:line="276" w:lineRule="auto"/>
        <w:rPr>
          <w:sz w:val="20"/>
          <w:szCs w:val="20"/>
          <w:color w:val="auto"/>
        </w:rPr>
      </w:pPr>
      <w:r>
        <w:rPr>
          <w:rFonts w:ascii="Arial" w:cs="Arial" w:eastAsia="Arial" w:hAnsi="Arial"/>
          <w:sz w:val="18"/>
          <w:szCs w:val="18"/>
          <w:color w:val="auto"/>
        </w:rPr>
        <w:t>The information set forth under Note 17 contained in the “Notes to Consolidated Financial Statements”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EBITDA, Adjusted EBITDA, sales excluding currency effects,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quarter of specific restructuring costs, or other gains and losses, on operating income or EBITDA can give management and investors additional insight into quarterly performance, especially when compared to quarters in which such items had a greater or lesser effect, or no effect. All non-GAAP financial measures in this release relate to the Company’s continuing operations.</w:t>
      </w:r>
    </w:p>
    <w:p>
      <w:pPr>
        <w:spacing w:after="0" w:line="136"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tax. The Company calculates EBITDA by adding Interest expense net, Income taxes, and Depreciation and Amortization to Income from Continuing Operations. Adjusted EBITDA is calculated by adding to EBITDA, costs associated with restructuring and pension settlement charges, and then adding or subtracting revaluation losses or gains and subtracting building share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68" w:right="31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June 30, 2013</w:t>
            </w:r>
          </w:p>
        </w:tc>
        <w:tc>
          <w:tcPr>
            <w:tcW w:w="24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Research and</w:t>
            </w:r>
          </w:p>
        </w:tc>
        <w:tc>
          <w:tcPr>
            <w:tcW w:w="1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Machine Clothing</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AEC</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Unallocated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Income/(loss) from continuing operations</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$20,699</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($1,825)</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($25,902)</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3,547</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(benefit)/expense</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(2,243)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11,479</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1,874</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2,728</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32,178</w:t>
            </w:r>
          </w:p>
        </w:tc>
        <w:tc>
          <w:tcPr>
            <w:tcW w:w="150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49</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(21,870)</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24,230</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91</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24,321</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Foreign currency revaluation losses/(gains)</w:t>
            </w:r>
          </w:p>
        </w:tc>
        <w:tc>
          <w:tcPr>
            <w:tcW w:w="2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(452)</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1,896</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$55,956</w:t>
            </w:r>
          </w:p>
        </w:tc>
        <w:tc>
          <w:tcPr>
            <w:tcW w:w="1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$140</w:t>
            </w:r>
          </w:p>
        </w:tc>
        <w:tc>
          <w:tcPr>
            <w:tcW w:w="1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($19,974)</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$36,122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Six months ended June 30, 2013</w:t>
            </w:r>
          </w:p>
        </w:tc>
        <w:tc>
          <w:tcPr>
            <w:tcW w:w="2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vMerge w:val="restart"/>
          </w:tcPr>
          <w:p>
            <w:pPr>
              <w:jc w:val="right"/>
              <w:ind w:right="150"/>
              <w:spacing w:after="0"/>
              <w:rPr>
                <w:sz w:val="20"/>
                <w:szCs w:val="20"/>
                <w:color w:val="auto"/>
              </w:rPr>
            </w:pPr>
            <w:r>
              <w:rPr>
                <w:rFonts w:ascii="Arial" w:cs="Arial" w:eastAsia="Arial" w:hAnsi="Arial"/>
                <w:sz w:val="18"/>
                <w:szCs w:val="18"/>
                <w:color w:val="auto"/>
              </w:rPr>
              <w:t>Research and</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Machine Clothing</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AEC</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Unallocated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Income/(loss) from continuing operations</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$63,607</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($3,888)</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($55,236)</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7,572</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expense/(benefit)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4,005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23,039</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3,576</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5,340</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31,955</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86,646</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(312)</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(38,319)</w:t>
            </w:r>
          </w:p>
        </w:tc>
        <w:tc>
          <w:tcPr>
            <w:tcW w:w="14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48,015</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24,423</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534</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24,957</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(1,195)</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1,907</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sale of former manufacturing facilities</w:t>
            </w:r>
          </w:p>
        </w:tc>
        <w:tc>
          <w:tcPr>
            <w:tcW w:w="2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(3,763)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$109,874</w:t>
            </w:r>
          </w:p>
        </w:tc>
        <w:tc>
          <w:tcPr>
            <w:tcW w:w="1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$222</w:t>
            </w:r>
          </w:p>
        </w:tc>
        <w:tc>
          <w:tcPr>
            <w:tcW w:w="1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($40,175)</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$69,921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Three months ended June 30, 2012</w:t>
            </w:r>
          </w:p>
        </w:tc>
        <w:tc>
          <w:tcPr>
            <w:tcW w:w="2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vMerge w:val="restart"/>
          </w:tcPr>
          <w:p>
            <w:pPr>
              <w:jc w:val="right"/>
              <w:ind w:right="150"/>
              <w:spacing w:after="0"/>
              <w:rPr>
                <w:sz w:val="20"/>
                <w:szCs w:val="20"/>
                <w:color w:val="auto"/>
              </w:rPr>
            </w:pPr>
            <w:r>
              <w:rPr>
                <w:rFonts w:ascii="Arial" w:cs="Arial" w:eastAsia="Arial" w:hAnsi="Arial"/>
                <w:sz w:val="18"/>
                <w:szCs w:val="18"/>
                <w:color w:val="auto"/>
              </w:rPr>
              <w:t>Research and</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Machine Clothing</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AEC</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Unallocated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Income/(loss) from continuing operations</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$44,997</w:t>
            </w:r>
          </w:p>
        </w:tc>
        <w:tc>
          <w:tcPr>
            <w:tcW w:w="15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($369)</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($102,403)</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($57,775)</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3,969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(benefit)/expense</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(29,643)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(29,643)</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11,745</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1,448</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2,849</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46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56,742</w:t>
            </w:r>
          </w:p>
        </w:tc>
        <w:tc>
          <w:tcPr>
            <w:tcW w:w="150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1,079</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(125,228)</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(67,407)</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4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2,903</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249</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(2,721)</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(3,126)</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Pension plan settlement charges</w:t>
            </w:r>
          </w:p>
        </w:tc>
        <w:tc>
          <w:tcPr>
            <w:tcW w:w="2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110,560</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110,560</w:t>
            </w:r>
          </w:p>
        </w:tc>
        <w:tc>
          <w:tcPr>
            <w:tcW w:w="0" w:type="dxa"/>
            <w:vAlign w:val="bottom"/>
          </w:tcPr>
          <w:p>
            <w:pPr>
              <w:spacing w:after="0"/>
              <w:rPr>
                <w:sz w:val="1"/>
                <w:szCs w:val="1"/>
                <w:color w:val="auto"/>
              </w:rPr>
            </w:pPr>
          </w:p>
        </w:tc>
      </w:tr>
      <w:tr>
        <w:trPr>
          <w:trHeight w:val="196"/>
        </w:trPr>
        <w:tc>
          <w:tcPr>
            <w:tcW w:w="436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6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$56,924</w:t>
            </w:r>
          </w:p>
        </w:tc>
        <w:tc>
          <w:tcPr>
            <w:tcW w:w="15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$1,079</w:t>
            </w:r>
          </w:p>
        </w:tc>
        <w:tc>
          <w:tcPr>
            <w:tcW w:w="16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($17,545)</w:t>
            </w:r>
          </w:p>
        </w:tc>
        <w:tc>
          <w:tcPr>
            <w:tcW w:w="14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$40,458</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40</w:t>
            </w:r>
          </w:p>
        </w:tc>
        <w:tc>
          <w:tcPr>
            <w:tcW w:w="15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246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Six months ended June 30, 2012</w:t>
            </w:r>
          </w:p>
        </w:tc>
        <w:tc>
          <w:tcPr>
            <w:tcW w:w="26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Research and</w:t>
            </w:r>
          </w:p>
        </w:tc>
        <w:tc>
          <w:tcPr>
            <w:tcW w:w="1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Machine Clothing</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AEC</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Unallocated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73"/>
        </w:trPr>
        <w:tc>
          <w:tcPr>
            <w:tcW w:w="4200" w:type="dxa"/>
            <w:vAlign w:val="bottom"/>
          </w:tcPr>
          <w:p>
            <w:pPr>
              <w:spacing w:after="0" w:line="173" w:lineRule="exact"/>
              <w:rPr>
                <w:sz w:val="20"/>
                <w:szCs w:val="20"/>
                <w:color w:val="auto"/>
              </w:rPr>
            </w:pPr>
            <w:r>
              <w:rPr>
                <w:rFonts w:ascii="Arial" w:cs="Arial" w:eastAsia="Arial" w:hAnsi="Arial"/>
                <w:sz w:val="18"/>
                <w:szCs w:val="18"/>
                <w:color w:val="auto"/>
              </w:rPr>
              <w:t>Income/(loss) from continuing operations</w:t>
            </w:r>
          </w:p>
        </w:tc>
        <w:tc>
          <w:tcPr>
            <w:tcW w:w="2660" w:type="dxa"/>
            <w:vAlign w:val="bottom"/>
          </w:tcPr>
          <w:p>
            <w:pPr>
              <w:jc w:val="right"/>
              <w:ind w:right="570"/>
              <w:spacing w:after="0" w:line="173" w:lineRule="exact"/>
              <w:rPr>
                <w:sz w:val="20"/>
                <w:szCs w:val="20"/>
                <w:color w:val="auto"/>
              </w:rPr>
            </w:pPr>
            <w:r>
              <w:rPr>
                <w:rFonts w:ascii="Arial" w:cs="Arial" w:eastAsia="Arial" w:hAnsi="Arial"/>
                <w:sz w:val="18"/>
                <w:szCs w:val="18"/>
                <w:color w:val="auto"/>
              </w:rPr>
              <w:t>$75,842</w:t>
            </w:r>
          </w:p>
        </w:tc>
        <w:tc>
          <w:tcPr>
            <w:tcW w:w="146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($340)</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($133,406)</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($57,904)</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8,613</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Income tax (benefit)/expense</w:t>
            </w:r>
          </w:p>
        </w:tc>
        <w:tc>
          <w:tcPr>
            <w:tcW w:w="2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(39,615)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(39,615)</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23,798</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2,853</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5,418</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173"/>
        </w:trPr>
        <w:tc>
          <w:tcPr>
            <w:tcW w:w="4200" w:type="dxa"/>
            <w:vAlign w:val="bottom"/>
          </w:tcPr>
          <w:p>
            <w:pPr>
              <w:spacing w:after="0" w:line="173" w:lineRule="exact"/>
              <w:rPr>
                <w:sz w:val="20"/>
                <w:szCs w:val="20"/>
                <w:color w:val="auto"/>
              </w:rPr>
            </w:pPr>
            <w:r>
              <w:rPr>
                <w:rFonts w:ascii="Arial" w:cs="Arial" w:eastAsia="Arial" w:hAnsi="Arial"/>
                <w:sz w:val="18"/>
                <w:szCs w:val="18"/>
                <w:color w:val="auto"/>
              </w:rPr>
              <w:t>EBITDA</w:t>
            </w:r>
          </w:p>
        </w:tc>
        <w:tc>
          <w:tcPr>
            <w:tcW w:w="2660" w:type="dxa"/>
            <w:vAlign w:val="bottom"/>
          </w:tcPr>
          <w:p>
            <w:pPr>
              <w:jc w:val="right"/>
              <w:ind w:right="570"/>
              <w:spacing w:after="0" w:line="173" w:lineRule="exact"/>
              <w:rPr>
                <w:sz w:val="20"/>
                <w:szCs w:val="20"/>
                <w:color w:val="auto"/>
              </w:rPr>
            </w:pPr>
            <w:r>
              <w:rPr>
                <w:rFonts w:ascii="Arial" w:cs="Arial" w:eastAsia="Arial" w:hAnsi="Arial"/>
                <w:sz w:val="18"/>
                <w:szCs w:val="18"/>
                <w:color w:val="auto"/>
              </w:rPr>
              <w:t>99,640</w:t>
            </w:r>
          </w:p>
        </w:tc>
        <w:tc>
          <w:tcPr>
            <w:tcW w:w="146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2,513</w:t>
            </w:r>
          </w:p>
        </w:tc>
        <w:tc>
          <w:tcPr>
            <w:tcW w:w="16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(158,990)</w:t>
            </w:r>
          </w:p>
        </w:tc>
        <w:tc>
          <w:tcPr>
            <w:tcW w:w="1440" w:type="dxa"/>
            <w:vAlign w:val="bottom"/>
          </w:tcPr>
          <w:p>
            <w:pPr>
              <w:jc w:val="right"/>
              <w:spacing w:after="0" w:line="173" w:lineRule="exact"/>
              <w:rPr>
                <w:sz w:val="20"/>
                <w:szCs w:val="20"/>
                <w:color w:val="auto"/>
              </w:rPr>
            </w:pPr>
            <w:r>
              <w:rPr>
                <w:rFonts w:ascii="Arial" w:cs="Arial" w:eastAsia="Arial" w:hAnsi="Arial"/>
                <w:sz w:val="18"/>
                <w:szCs w:val="18"/>
                <w:color w:val="auto"/>
              </w:rPr>
              <w:t>(56,837)</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3,576</w:t>
            </w: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6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(955)</w:t>
            </w: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708</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Pension plan settlement charges</w:t>
            </w:r>
          </w:p>
        </w:tc>
        <w:tc>
          <w:tcPr>
            <w:tcW w:w="2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119,735</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119,735</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6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$102,261</w:t>
            </w:r>
          </w:p>
        </w:tc>
        <w:tc>
          <w:tcPr>
            <w:tcW w:w="14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$2,513</w:t>
            </w:r>
          </w:p>
        </w:tc>
        <w:tc>
          <w:tcPr>
            <w:tcW w:w="16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($38,713)</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bl>
    <w:p>
      <w:pPr>
        <w:spacing w:after="0" w:line="382"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The Company calculates its income tax rate excluding tax adjustments by removing from tax expense any tax adjustments, and then dividing that result by income before income tax. Tax adjustments includes any discrete tax provisions, the effect on tax expense resulting from a change in the estimated tax rate that occurred since the last reporting period, and the income tax associated with unusual pre-tax events, such as pension settlements or the sale of discontinued businesses.</w:t>
      </w:r>
    </w:p>
    <w:p>
      <w:pPr>
        <w:spacing w:after="0" w:line="130"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quarterly earnings and are financial performance metrics commonly used by investors. We calculate the per share amount for items included in continuing operations by using the effective tax rate for the most recent quarterly period, the full year tax rate for the comparable quarter of the prior year, and the weighted average number of shares outstanding for each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8"/>
                <w:szCs w:val="18"/>
                <w:color w:val="auto"/>
              </w:rPr>
              <w:t>Three months ended June 30, 2013</w:t>
            </w:r>
          </w:p>
        </w:tc>
        <w:tc>
          <w:tcPr>
            <w:tcW w:w="178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color w:val="auto"/>
                <w:w w:val="98"/>
              </w:rPr>
              <w:t>Pre tax</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70"/>
              <w:spacing w:after="0" w:line="194" w:lineRule="exact"/>
              <w:rPr>
                <w:sz w:val="20"/>
                <w:szCs w:val="20"/>
                <w:color w:val="auto"/>
              </w:rPr>
            </w:pPr>
            <w:r>
              <w:rPr>
                <w:rFonts w:ascii="Arial" w:cs="Arial" w:eastAsia="Arial" w:hAnsi="Arial"/>
                <w:sz w:val="18"/>
                <w:szCs w:val="18"/>
                <w:color w:val="auto"/>
                <w:w w:val="93"/>
              </w:rPr>
              <w:t>Tax</w:t>
            </w:r>
          </w:p>
        </w:tc>
        <w:tc>
          <w:tcPr>
            <w:tcW w:w="1320" w:type="dxa"/>
            <w:vAlign w:val="bottom"/>
            <w:tcBorders>
              <w:top w:val="single" w:sz="8" w:color="auto"/>
            </w:tcBorders>
            <w:gridSpan w:val="2"/>
          </w:tcPr>
          <w:p>
            <w:pPr>
              <w:jc w:val="center"/>
              <w:ind w:right="10"/>
              <w:spacing w:after="0" w:line="194" w:lineRule="exact"/>
              <w:rPr>
                <w:sz w:val="20"/>
                <w:szCs w:val="20"/>
                <w:color w:val="auto"/>
              </w:rPr>
            </w:pPr>
            <w:r>
              <w:rPr>
                <w:rFonts w:ascii="Arial" w:cs="Arial" w:eastAsia="Arial" w:hAnsi="Arial"/>
                <w:sz w:val="18"/>
                <w:szCs w:val="18"/>
                <w:color w:val="auto"/>
                <w:w w:val="98"/>
              </w:rPr>
              <w:t>After tax</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310"/>
              <w:spacing w:after="0" w:line="194" w:lineRule="exact"/>
              <w:rPr>
                <w:sz w:val="20"/>
                <w:szCs w:val="20"/>
                <w:color w:val="auto"/>
              </w:rPr>
            </w:pPr>
            <w:r>
              <w:rPr>
                <w:rFonts w:ascii="Arial" w:cs="Arial" w:eastAsia="Arial" w:hAnsi="Arial"/>
                <w:sz w:val="18"/>
                <w:szCs w:val="18"/>
                <w:color w:val="auto"/>
              </w:rPr>
              <w:t>Shares</w:t>
            </w:r>
          </w:p>
        </w:tc>
        <w:tc>
          <w:tcPr>
            <w:tcW w:w="1100" w:type="dxa"/>
            <w:vAlign w:val="bottom"/>
            <w:tcBorders>
              <w:top w:val="single" w:sz="8" w:color="auto"/>
            </w:tcBorders>
          </w:tcPr>
          <w:p>
            <w:pPr>
              <w:jc w:val="center"/>
              <w:ind w:right="50"/>
              <w:spacing w:after="0" w:line="194" w:lineRule="exact"/>
              <w:rPr>
                <w:sz w:val="20"/>
                <w:szCs w:val="20"/>
                <w:color w:val="auto"/>
              </w:rPr>
            </w:pPr>
            <w:r>
              <w:rPr>
                <w:rFonts w:ascii="Arial" w:cs="Arial" w:eastAsia="Arial" w:hAnsi="Arial"/>
                <w:sz w:val="18"/>
                <w:szCs w:val="18"/>
                <w:color w:val="auto"/>
                <w:w w:val="98"/>
              </w:rPr>
              <w:t>Per Share</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except per share amounts)</w:t>
            </w: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Amounts</w:t>
            </w:r>
          </w:p>
        </w:tc>
        <w:tc>
          <w:tcPr>
            <w:tcW w:w="9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Effect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Effect</w:t>
            </w:r>
          </w:p>
        </w:tc>
        <w:tc>
          <w:tcPr>
            <w:tcW w:w="13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Outstanding</w:t>
            </w: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Effect</w:t>
            </w:r>
          </w:p>
        </w:tc>
      </w:tr>
      <w:tr>
        <w:trPr>
          <w:trHeight w:val="173"/>
        </w:trPr>
        <w:tc>
          <w:tcPr>
            <w:tcW w:w="4940" w:type="dxa"/>
            <w:vAlign w:val="bottom"/>
          </w:tcPr>
          <w:p>
            <w:pPr>
              <w:ind w:left="40"/>
              <w:spacing w:after="0" w:line="173" w:lineRule="exact"/>
              <w:rPr>
                <w:sz w:val="20"/>
                <w:szCs w:val="20"/>
                <w:color w:val="auto"/>
              </w:rPr>
            </w:pPr>
            <w:r>
              <w:rPr>
                <w:rFonts w:ascii="Arial" w:cs="Arial" w:eastAsia="Arial" w:hAnsi="Arial"/>
                <w:sz w:val="18"/>
                <w:szCs w:val="18"/>
                <w:color w:val="auto"/>
              </w:rPr>
              <w:t>Restructuring and other, net</w:t>
            </w:r>
          </w:p>
        </w:tc>
        <w:tc>
          <w:tcPr>
            <w:tcW w:w="17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$24,321</w:t>
            </w:r>
          </w:p>
        </w:tc>
        <w:tc>
          <w:tcPr>
            <w:tcW w:w="14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8"/>
                <w:szCs w:val="18"/>
                <w:color w:val="auto"/>
              </w:rPr>
              <w:t>$9,485</w:t>
            </w:r>
          </w:p>
        </w:tc>
        <w:tc>
          <w:tcPr>
            <w:tcW w:w="340" w:type="dxa"/>
            <w:vAlign w:val="bottom"/>
          </w:tcPr>
          <w:p>
            <w:pPr>
              <w:spacing w:after="0"/>
              <w:rPr>
                <w:sz w:val="15"/>
                <w:szCs w:val="15"/>
                <w:color w:val="auto"/>
              </w:rPr>
            </w:pPr>
          </w:p>
        </w:tc>
        <w:tc>
          <w:tcPr>
            <w:tcW w:w="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$14,836</w:t>
            </w:r>
          </w:p>
        </w:tc>
        <w:tc>
          <w:tcPr>
            <w:tcW w:w="180" w:type="dxa"/>
            <w:vAlign w:val="bottom"/>
          </w:tcPr>
          <w:p>
            <w:pPr>
              <w:spacing w:after="0"/>
              <w:rPr>
                <w:sz w:val="15"/>
                <w:szCs w:val="15"/>
                <w:color w:val="auto"/>
              </w:rPr>
            </w:pPr>
          </w:p>
        </w:tc>
        <w:tc>
          <w:tcPr>
            <w:tcW w:w="11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31,628</w:t>
            </w:r>
          </w:p>
        </w:tc>
        <w:tc>
          <w:tcPr>
            <w:tcW w:w="1100" w:type="dxa"/>
            <w:vAlign w:val="bottom"/>
          </w:tcPr>
          <w:p>
            <w:pPr>
              <w:jc w:val="right"/>
              <w:spacing w:after="0" w:line="173" w:lineRule="exact"/>
              <w:rPr>
                <w:sz w:val="20"/>
                <w:szCs w:val="20"/>
                <w:color w:val="auto"/>
              </w:rPr>
            </w:pPr>
            <w:r>
              <w:rPr>
                <w:rFonts w:ascii="Arial" w:cs="Arial" w:eastAsia="Arial" w:hAnsi="Arial"/>
                <w:sz w:val="18"/>
                <w:szCs w:val="18"/>
                <w:color w:val="auto"/>
              </w:rPr>
              <w:t>$0.47</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losses</w:t>
            </w: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1,444</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881</w:t>
            </w:r>
          </w:p>
        </w:tc>
        <w:tc>
          <w:tcPr>
            <w:tcW w:w="18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31,628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Negative effect of change in estmated income tax rate</w:t>
            </w: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888</w:t>
            </w:r>
          </w:p>
        </w:tc>
        <w:tc>
          <w:tcPr>
            <w:tcW w:w="18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31,628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discrete tax charges</w:t>
            </w: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31,628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399"/>
        </w:trPr>
        <w:tc>
          <w:tcPr>
            <w:tcW w:w="4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3"/>
        </w:trPr>
        <w:tc>
          <w:tcPr>
            <w:tcW w:w="4940" w:type="dxa"/>
            <w:vAlign w:val="bottom"/>
          </w:tcPr>
          <w:p>
            <w:pPr>
              <w:ind w:left="40"/>
              <w:spacing w:after="0" w:line="173" w:lineRule="exact"/>
              <w:rPr>
                <w:sz w:val="20"/>
                <w:szCs w:val="20"/>
                <w:color w:val="auto"/>
              </w:rPr>
            </w:pPr>
            <w:r>
              <w:rPr>
                <w:rFonts w:ascii="Arial" w:cs="Arial" w:eastAsia="Arial" w:hAnsi="Arial"/>
                <w:sz w:val="18"/>
                <w:szCs w:val="18"/>
                <w:color w:val="auto"/>
              </w:rPr>
              <w:t>Six months ended June 30, 2013</w:t>
            </w:r>
          </w:p>
        </w:tc>
        <w:tc>
          <w:tcPr>
            <w:tcW w:w="1780" w:type="dxa"/>
            <w:vAlign w:val="bottom"/>
          </w:tcPr>
          <w:p>
            <w:pPr>
              <w:jc w:val="center"/>
              <w:ind w:right="10"/>
              <w:spacing w:after="0" w:line="173" w:lineRule="exact"/>
              <w:rPr>
                <w:sz w:val="20"/>
                <w:szCs w:val="20"/>
                <w:color w:val="auto"/>
              </w:rPr>
            </w:pPr>
            <w:r>
              <w:rPr>
                <w:rFonts w:ascii="Arial" w:cs="Arial" w:eastAsia="Arial" w:hAnsi="Arial"/>
                <w:sz w:val="18"/>
                <w:szCs w:val="18"/>
                <w:color w:val="auto"/>
                <w:w w:val="98"/>
              </w:rPr>
              <w:t>Pre tax</w:t>
            </w:r>
          </w:p>
        </w:tc>
        <w:tc>
          <w:tcPr>
            <w:tcW w:w="140" w:type="dxa"/>
            <w:vAlign w:val="bottom"/>
          </w:tcPr>
          <w:p>
            <w:pPr>
              <w:spacing w:after="0"/>
              <w:rPr>
                <w:sz w:val="15"/>
                <w:szCs w:val="15"/>
                <w:color w:val="auto"/>
              </w:rPr>
            </w:pPr>
          </w:p>
        </w:tc>
        <w:tc>
          <w:tcPr>
            <w:tcW w:w="820" w:type="dxa"/>
            <w:vAlign w:val="bottom"/>
          </w:tcPr>
          <w:p>
            <w:pPr>
              <w:jc w:val="center"/>
              <w:ind w:right="370"/>
              <w:spacing w:after="0" w:line="173" w:lineRule="exact"/>
              <w:rPr>
                <w:sz w:val="20"/>
                <w:szCs w:val="20"/>
                <w:color w:val="auto"/>
              </w:rPr>
            </w:pPr>
            <w:r>
              <w:rPr>
                <w:rFonts w:ascii="Arial" w:cs="Arial" w:eastAsia="Arial" w:hAnsi="Arial"/>
                <w:sz w:val="18"/>
                <w:szCs w:val="18"/>
                <w:color w:val="auto"/>
                <w:w w:val="93"/>
              </w:rPr>
              <w:t>Tax</w:t>
            </w:r>
          </w:p>
        </w:tc>
        <w:tc>
          <w:tcPr>
            <w:tcW w:w="1320" w:type="dxa"/>
            <w:vAlign w:val="bottom"/>
            <w:gridSpan w:val="2"/>
          </w:tcPr>
          <w:p>
            <w:pPr>
              <w:jc w:val="center"/>
              <w:ind w:right="10"/>
              <w:spacing w:after="0" w:line="173" w:lineRule="exact"/>
              <w:rPr>
                <w:sz w:val="20"/>
                <w:szCs w:val="20"/>
                <w:color w:val="auto"/>
              </w:rPr>
            </w:pPr>
            <w:r>
              <w:rPr>
                <w:rFonts w:ascii="Arial" w:cs="Arial" w:eastAsia="Arial" w:hAnsi="Arial"/>
                <w:sz w:val="18"/>
                <w:szCs w:val="18"/>
                <w:color w:val="auto"/>
                <w:w w:val="98"/>
              </w:rPr>
              <w:t>After tax</w:t>
            </w:r>
          </w:p>
        </w:tc>
        <w:tc>
          <w:tcPr>
            <w:tcW w:w="180" w:type="dxa"/>
            <w:vAlign w:val="bottom"/>
          </w:tcPr>
          <w:p>
            <w:pPr>
              <w:spacing w:after="0"/>
              <w:rPr>
                <w:sz w:val="15"/>
                <w:szCs w:val="15"/>
                <w:color w:val="auto"/>
              </w:rPr>
            </w:pPr>
          </w:p>
        </w:tc>
        <w:tc>
          <w:tcPr>
            <w:tcW w:w="1140" w:type="dxa"/>
            <w:vAlign w:val="bottom"/>
          </w:tcPr>
          <w:p>
            <w:pPr>
              <w:jc w:val="center"/>
              <w:ind w:right="310"/>
              <w:spacing w:after="0" w:line="173" w:lineRule="exact"/>
              <w:rPr>
                <w:sz w:val="20"/>
                <w:szCs w:val="20"/>
                <w:color w:val="auto"/>
              </w:rPr>
            </w:pPr>
            <w:r>
              <w:rPr>
                <w:rFonts w:ascii="Arial" w:cs="Arial" w:eastAsia="Arial" w:hAnsi="Arial"/>
                <w:sz w:val="18"/>
                <w:szCs w:val="18"/>
                <w:color w:val="auto"/>
              </w:rPr>
              <w:t>Shares</w:t>
            </w:r>
          </w:p>
        </w:tc>
        <w:tc>
          <w:tcPr>
            <w:tcW w:w="1100" w:type="dxa"/>
            <w:vAlign w:val="bottom"/>
          </w:tcPr>
          <w:p>
            <w:pPr>
              <w:jc w:val="center"/>
              <w:ind w:right="50"/>
              <w:spacing w:after="0" w:line="173" w:lineRule="exact"/>
              <w:rPr>
                <w:sz w:val="20"/>
                <w:szCs w:val="20"/>
                <w:color w:val="auto"/>
              </w:rPr>
            </w:pPr>
            <w:r>
              <w:rPr>
                <w:rFonts w:ascii="Arial" w:cs="Arial" w:eastAsia="Arial" w:hAnsi="Arial"/>
                <w:sz w:val="18"/>
                <w:szCs w:val="18"/>
                <w:color w:val="auto"/>
                <w:w w:val="98"/>
              </w:rPr>
              <w:t>Per Share</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except per share amounts)</w:t>
            </w: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Amounts</w:t>
            </w:r>
          </w:p>
        </w:tc>
        <w:tc>
          <w:tcPr>
            <w:tcW w:w="9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Effect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9"/>
              </w:rPr>
              <w:t>Effect</w:t>
            </w:r>
          </w:p>
        </w:tc>
        <w:tc>
          <w:tcPr>
            <w:tcW w:w="13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Outstanding</w:t>
            </w: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Effect</w:t>
            </w:r>
          </w:p>
        </w:tc>
      </w:tr>
      <w:tr>
        <w:trPr>
          <w:trHeight w:val="173"/>
        </w:trPr>
        <w:tc>
          <w:tcPr>
            <w:tcW w:w="4940" w:type="dxa"/>
            <w:vAlign w:val="bottom"/>
          </w:tcPr>
          <w:p>
            <w:pPr>
              <w:ind w:left="40"/>
              <w:spacing w:after="0" w:line="173" w:lineRule="exact"/>
              <w:rPr>
                <w:sz w:val="20"/>
                <w:szCs w:val="20"/>
                <w:color w:val="auto"/>
              </w:rPr>
            </w:pPr>
            <w:r>
              <w:rPr>
                <w:rFonts w:ascii="Arial" w:cs="Arial" w:eastAsia="Arial" w:hAnsi="Arial"/>
                <w:sz w:val="18"/>
                <w:szCs w:val="18"/>
                <w:color w:val="auto"/>
              </w:rPr>
              <w:t>Restructuring and other, net</w:t>
            </w:r>
          </w:p>
        </w:tc>
        <w:tc>
          <w:tcPr>
            <w:tcW w:w="17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$24,957</w:t>
            </w:r>
          </w:p>
        </w:tc>
        <w:tc>
          <w:tcPr>
            <w:tcW w:w="14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8"/>
                <w:szCs w:val="18"/>
                <w:color w:val="auto"/>
              </w:rPr>
              <w:t>$9,733</w:t>
            </w:r>
          </w:p>
        </w:tc>
        <w:tc>
          <w:tcPr>
            <w:tcW w:w="340" w:type="dxa"/>
            <w:vAlign w:val="bottom"/>
          </w:tcPr>
          <w:p>
            <w:pPr>
              <w:spacing w:after="0"/>
              <w:rPr>
                <w:sz w:val="15"/>
                <w:szCs w:val="15"/>
                <w:color w:val="auto"/>
              </w:rPr>
            </w:pPr>
          </w:p>
        </w:tc>
        <w:tc>
          <w:tcPr>
            <w:tcW w:w="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$15,224</w:t>
            </w:r>
          </w:p>
        </w:tc>
        <w:tc>
          <w:tcPr>
            <w:tcW w:w="180" w:type="dxa"/>
            <w:vAlign w:val="bottom"/>
          </w:tcPr>
          <w:p>
            <w:pPr>
              <w:spacing w:after="0"/>
              <w:rPr>
                <w:sz w:val="15"/>
                <w:szCs w:val="15"/>
                <w:color w:val="auto"/>
              </w:rPr>
            </w:pPr>
          </w:p>
        </w:tc>
        <w:tc>
          <w:tcPr>
            <w:tcW w:w="11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31,562</w:t>
            </w:r>
          </w:p>
        </w:tc>
        <w:tc>
          <w:tcPr>
            <w:tcW w:w="1100" w:type="dxa"/>
            <w:vAlign w:val="bottom"/>
          </w:tcPr>
          <w:p>
            <w:pPr>
              <w:jc w:val="right"/>
              <w:spacing w:after="0" w:line="173" w:lineRule="exact"/>
              <w:rPr>
                <w:sz w:val="20"/>
                <w:szCs w:val="20"/>
                <w:color w:val="auto"/>
              </w:rPr>
            </w:pPr>
            <w:r>
              <w:rPr>
                <w:rFonts w:ascii="Arial" w:cs="Arial" w:eastAsia="Arial" w:hAnsi="Arial"/>
                <w:sz w:val="18"/>
                <w:szCs w:val="18"/>
                <w:color w:val="auto"/>
              </w:rPr>
              <w:t>$0.48</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w:t>
            </w: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712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18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31,562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3,763</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2,295</w:t>
            </w:r>
          </w:p>
        </w:tc>
        <w:tc>
          <w:tcPr>
            <w:tcW w:w="180" w:type="dxa"/>
            <w:vAlign w:val="bottom"/>
          </w:tcPr>
          <w:p>
            <w:pPr>
              <w:spacing w:after="0"/>
              <w:rPr>
                <w:sz w:val="17"/>
                <w:szCs w:val="17"/>
                <w:color w:val="auto"/>
              </w:rPr>
            </w:pPr>
          </w:p>
        </w:tc>
        <w:tc>
          <w:tcPr>
            <w:tcW w:w="11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31,562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discrete tax charges</w:t>
            </w: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31,562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399"/>
        </w:trPr>
        <w:tc>
          <w:tcPr>
            <w:tcW w:w="4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3"/>
        </w:trPr>
        <w:tc>
          <w:tcPr>
            <w:tcW w:w="4940" w:type="dxa"/>
            <w:vAlign w:val="bottom"/>
          </w:tcPr>
          <w:p>
            <w:pPr>
              <w:ind w:left="40"/>
              <w:spacing w:after="0" w:line="173" w:lineRule="exact"/>
              <w:rPr>
                <w:sz w:val="20"/>
                <w:szCs w:val="20"/>
                <w:color w:val="auto"/>
              </w:rPr>
            </w:pPr>
            <w:r>
              <w:rPr>
                <w:rFonts w:ascii="Arial" w:cs="Arial" w:eastAsia="Arial" w:hAnsi="Arial"/>
                <w:sz w:val="18"/>
                <w:szCs w:val="18"/>
                <w:color w:val="auto"/>
              </w:rPr>
              <w:t>Three months ended June 30, 2012</w:t>
            </w:r>
          </w:p>
        </w:tc>
        <w:tc>
          <w:tcPr>
            <w:tcW w:w="1780" w:type="dxa"/>
            <w:vAlign w:val="bottom"/>
          </w:tcPr>
          <w:p>
            <w:pPr>
              <w:jc w:val="right"/>
              <w:ind w:right="50"/>
              <w:spacing w:after="0" w:line="173" w:lineRule="exact"/>
              <w:rPr>
                <w:sz w:val="20"/>
                <w:szCs w:val="20"/>
                <w:color w:val="auto"/>
              </w:rPr>
            </w:pPr>
            <w:r>
              <w:rPr>
                <w:rFonts w:ascii="Arial" w:cs="Arial" w:eastAsia="Arial" w:hAnsi="Arial"/>
                <w:sz w:val="18"/>
                <w:szCs w:val="18"/>
                <w:color w:val="auto"/>
              </w:rPr>
              <w:t>Pre tax</w:t>
            </w:r>
          </w:p>
        </w:tc>
        <w:tc>
          <w:tcPr>
            <w:tcW w:w="140" w:type="dxa"/>
            <w:vAlign w:val="bottom"/>
          </w:tcPr>
          <w:p>
            <w:pPr>
              <w:spacing w:after="0"/>
              <w:rPr>
                <w:sz w:val="15"/>
                <w:szCs w:val="15"/>
                <w:color w:val="auto"/>
              </w:rPr>
            </w:pPr>
          </w:p>
        </w:tc>
        <w:tc>
          <w:tcPr>
            <w:tcW w:w="8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Tax</w:t>
            </w:r>
          </w:p>
        </w:tc>
        <w:tc>
          <w:tcPr>
            <w:tcW w:w="34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After tax</w:t>
            </w:r>
          </w:p>
        </w:tc>
        <w:tc>
          <w:tcPr>
            <w:tcW w:w="180" w:type="dxa"/>
            <w:vAlign w:val="bottom"/>
          </w:tcPr>
          <w:p>
            <w:pPr>
              <w:spacing w:after="0"/>
              <w:rPr>
                <w:sz w:val="15"/>
                <w:szCs w:val="15"/>
                <w:color w:val="auto"/>
              </w:rPr>
            </w:pPr>
          </w:p>
        </w:tc>
        <w:tc>
          <w:tcPr>
            <w:tcW w:w="114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Shares</w:t>
            </w:r>
          </w:p>
        </w:tc>
        <w:tc>
          <w:tcPr>
            <w:tcW w:w="11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Per Share</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except per share amounts)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Effect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Effect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Outstanding</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Effect</w:t>
            </w:r>
          </w:p>
        </w:tc>
      </w:tr>
      <w:tr>
        <w:trPr>
          <w:trHeight w:val="173"/>
        </w:trPr>
        <w:tc>
          <w:tcPr>
            <w:tcW w:w="4940" w:type="dxa"/>
            <w:vAlign w:val="bottom"/>
          </w:tcPr>
          <w:p>
            <w:pPr>
              <w:ind w:left="40"/>
              <w:spacing w:after="0" w:line="173" w:lineRule="exact"/>
              <w:rPr>
                <w:sz w:val="20"/>
                <w:szCs w:val="20"/>
                <w:color w:val="auto"/>
              </w:rPr>
            </w:pPr>
            <w:r>
              <w:rPr>
                <w:rFonts w:ascii="Arial" w:cs="Arial" w:eastAsia="Arial" w:hAnsi="Arial"/>
                <w:sz w:val="18"/>
                <w:szCs w:val="18"/>
                <w:color w:val="auto"/>
              </w:rPr>
              <w:t>Restructuring and other, net</w:t>
            </w:r>
          </w:p>
        </w:tc>
        <w:tc>
          <w:tcPr>
            <w:tcW w:w="192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$3,152</w:t>
            </w:r>
          </w:p>
        </w:tc>
        <w:tc>
          <w:tcPr>
            <w:tcW w:w="116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$1,214</w:t>
            </w:r>
          </w:p>
        </w:tc>
        <w:tc>
          <w:tcPr>
            <w:tcW w:w="116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$1,938</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31,349</w:t>
            </w:r>
          </w:p>
        </w:tc>
        <w:tc>
          <w:tcPr>
            <w:tcW w:w="1100" w:type="dxa"/>
            <w:vAlign w:val="bottom"/>
          </w:tcPr>
          <w:p>
            <w:pPr>
              <w:jc w:val="right"/>
              <w:spacing w:after="0" w:line="173" w:lineRule="exact"/>
              <w:rPr>
                <w:sz w:val="20"/>
                <w:szCs w:val="20"/>
                <w:color w:val="auto"/>
              </w:rPr>
            </w:pPr>
            <w:r>
              <w:rPr>
                <w:rFonts w:ascii="Arial" w:cs="Arial" w:eastAsia="Arial" w:hAnsi="Arial"/>
                <w:sz w:val="18"/>
                <w:szCs w:val="18"/>
                <w:color w:val="auto"/>
              </w:rPr>
              <w:t>$0.06</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5,847</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31,349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Pension plan settlement charges</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110,560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36,161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74,399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31,349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Net favorable discrete tax adjustments</w:t>
            </w:r>
          </w:p>
        </w:tc>
        <w:tc>
          <w:tcPr>
            <w:tcW w:w="17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3"/>
              </w:rPr>
              <w:t>297</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31,349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25"/>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Favorable effect of change in estimated income tax rate</w:t>
            </w:r>
          </w:p>
        </w:tc>
        <w:tc>
          <w:tcPr>
            <w:tcW w:w="1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682</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520"/>
        </w:trPr>
        <w:tc>
          <w:tcPr>
            <w:tcW w:w="4940" w:type="dxa"/>
            <w:vAlign w:val="bottom"/>
          </w:tcPr>
          <w:p>
            <w:pPr>
              <w:spacing w:after="0"/>
              <w:rPr>
                <w:sz w:val="24"/>
                <w:szCs w:val="24"/>
                <w:color w:val="auto"/>
              </w:rPr>
            </w:pP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2"/>
        </w:trPr>
        <w:tc>
          <w:tcPr>
            <w:tcW w:w="49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68"/>
        </w:trPr>
        <w:tc>
          <w:tcPr>
            <w:tcW w:w="494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3"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Borders>
              <w:top w:val="single" w:sz="8" w:color="auto"/>
            </w:tcBorders>
          </w:tcPr>
          <w:p>
            <w:pPr>
              <w:ind w:left="40"/>
              <w:spacing w:after="0" w:line="194" w:lineRule="exact"/>
              <w:rPr>
                <w:sz w:val="20"/>
                <w:szCs w:val="20"/>
                <w:color w:val="auto"/>
              </w:rPr>
            </w:pPr>
            <w:r>
              <w:rPr>
                <w:rFonts w:ascii="Arial" w:cs="Arial" w:eastAsia="Arial" w:hAnsi="Arial"/>
                <w:sz w:val="18"/>
                <w:szCs w:val="18"/>
                <w:color w:val="auto"/>
              </w:rPr>
              <w:t>Six months ended June 30, 2012</w:t>
            </w:r>
          </w:p>
        </w:tc>
        <w:tc>
          <w:tcPr>
            <w:tcW w:w="220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color w:val="auto"/>
              </w:rPr>
              <w:t>Pre tax</w:t>
            </w:r>
          </w:p>
        </w:tc>
        <w:tc>
          <w:tcPr>
            <w:tcW w:w="1200" w:type="dxa"/>
            <w:vAlign w:val="bottom"/>
            <w:tcBorders>
              <w:top w:val="single" w:sz="8" w:color="auto"/>
            </w:tcBorders>
          </w:tcPr>
          <w:p>
            <w:pPr>
              <w:jc w:val="right"/>
              <w:ind w:right="530"/>
              <w:spacing w:after="0" w:line="194" w:lineRule="exact"/>
              <w:rPr>
                <w:sz w:val="20"/>
                <w:szCs w:val="20"/>
                <w:color w:val="auto"/>
              </w:rPr>
            </w:pPr>
            <w:r>
              <w:rPr>
                <w:rFonts w:ascii="Arial" w:cs="Arial" w:eastAsia="Arial" w:hAnsi="Arial"/>
                <w:sz w:val="18"/>
                <w:szCs w:val="18"/>
                <w:color w:val="auto"/>
              </w:rPr>
              <w:t>Tax</w:t>
            </w:r>
          </w:p>
        </w:tc>
        <w:tc>
          <w:tcPr>
            <w:tcW w:w="118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color w:val="auto"/>
              </w:rPr>
              <w:t>After tax</w:t>
            </w:r>
          </w:p>
        </w:tc>
        <w:tc>
          <w:tcPr>
            <w:tcW w:w="1300" w:type="dxa"/>
            <w:vAlign w:val="bottom"/>
            <w:tcBorders>
              <w:top w:val="single" w:sz="8" w:color="auto"/>
            </w:tcBorders>
          </w:tcPr>
          <w:p>
            <w:pPr>
              <w:jc w:val="right"/>
              <w:ind w:right="350"/>
              <w:spacing w:after="0" w:line="194" w:lineRule="exact"/>
              <w:rPr>
                <w:sz w:val="20"/>
                <w:szCs w:val="20"/>
                <w:color w:val="auto"/>
              </w:rPr>
            </w:pPr>
            <w:r>
              <w:rPr>
                <w:rFonts w:ascii="Arial" w:cs="Arial" w:eastAsia="Arial" w:hAnsi="Arial"/>
                <w:sz w:val="18"/>
                <w:szCs w:val="18"/>
                <w:color w:val="auto"/>
              </w:rPr>
              <w:t>Shares</w:t>
            </w:r>
          </w:p>
        </w:tc>
        <w:tc>
          <w:tcPr>
            <w:tcW w:w="1140" w:type="dxa"/>
            <w:vAlign w:val="bottom"/>
            <w:tcBorders>
              <w:top w:val="single" w:sz="8" w:color="auto"/>
            </w:tcBorders>
          </w:tcPr>
          <w:p>
            <w:pPr>
              <w:jc w:val="right"/>
              <w:ind w:right="130"/>
              <w:spacing w:after="0" w:line="194" w:lineRule="exact"/>
              <w:rPr>
                <w:sz w:val="20"/>
                <w:szCs w:val="20"/>
                <w:color w:val="auto"/>
              </w:rPr>
            </w:pPr>
            <w:r>
              <w:rPr>
                <w:rFonts w:ascii="Arial" w:cs="Arial" w:eastAsia="Arial" w:hAnsi="Arial"/>
                <w:sz w:val="18"/>
                <w:szCs w:val="18"/>
                <w:color w:val="auto"/>
              </w:rPr>
              <w:t>Per Share</w:t>
            </w:r>
          </w:p>
        </w:tc>
      </w:tr>
      <w:tr>
        <w:trPr>
          <w:trHeight w:val="225"/>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except per share amounts)</w:t>
            </w:r>
          </w:p>
        </w:tc>
        <w:tc>
          <w:tcPr>
            <w:tcW w:w="2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Amounts</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Effect</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Effect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Outstanding</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Effect</w:t>
            </w:r>
          </w:p>
        </w:tc>
      </w:tr>
      <w:tr>
        <w:trPr>
          <w:trHeight w:val="173"/>
        </w:trPr>
        <w:tc>
          <w:tcPr>
            <w:tcW w:w="4400" w:type="dxa"/>
            <w:vAlign w:val="bottom"/>
          </w:tcPr>
          <w:p>
            <w:pPr>
              <w:ind w:left="40"/>
              <w:spacing w:after="0" w:line="173" w:lineRule="exact"/>
              <w:rPr>
                <w:sz w:val="20"/>
                <w:szCs w:val="20"/>
                <w:color w:val="auto"/>
              </w:rPr>
            </w:pPr>
            <w:r>
              <w:rPr>
                <w:rFonts w:ascii="Arial" w:cs="Arial" w:eastAsia="Arial" w:hAnsi="Arial"/>
                <w:sz w:val="18"/>
                <w:szCs w:val="18"/>
                <w:color w:val="auto"/>
              </w:rPr>
              <w:t>Restructuring and other, net</w:t>
            </w:r>
          </w:p>
        </w:tc>
        <w:tc>
          <w:tcPr>
            <w:tcW w:w="220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$3,410</w:t>
            </w:r>
          </w:p>
        </w:tc>
        <w:tc>
          <w:tcPr>
            <w:tcW w:w="12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$1,313</w:t>
            </w:r>
          </w:p>
        </w:tc>
        <w:tc>
          <w:tcPr>
            <w:tcW w:w="1180" w:type="dxa"/>
            <w:vAlign w:val="bottom"/>
          </w:tcPr>
          <w:p>
            <w:pPr>
              <w:jc w:val="right"/>
              <w:spacing w:after="0" w:line="173" w:lineRule="exact"/>
              <w:rPr>
                <w:sz w:val="20"/>
                <w:szCs w:val="20"/>
                <w:color w:val="auto"/>
              </w:rPr>
            </w:pPr>
            <w:r>
              <w:rPr>
                <w:rFonts w:ascii="Arial" w:cs="Arial" w:eastAsia="Arial" w:hAnsi="Arial"/>
                <w:sz w:val="18"/>
                <w:szCs w:val="18"/>
                <w:color w:val="auto"/>
              </w:rPr>
              <w:t>$2,097</w:t>
            </w:r>
          </w:p>
        </w:tc>
        <w:tc>
          <w:tcPr>
            <w:tcW w:w="1300" w:type="dxa"/>
            <w:vAlign w:val="bottom"/>
          </w:tcPr>
          <w:p>
            <w:pPr>
              <w:jc w:val="right"/>
              <w:ind w:right="30"/>
              <w:spacing w:after="0" w:line="173" w:lineRule="exact"/>
              <w:rPr>
                <w:sz w:val="20"/>
                <w:szCs w:val="20"/>
                <w:color w:val="auto"/>
              </w:rPr>
            </w:pPr>
            <w:r>
              <w:rPr>
                <w:rFonts w:ascii="Arial" w:cs="Arial" w:eastAsia="Arial" w:hAnsi="Arial"/>
                <w:sz w:val="18"/>
                <w:szCs w:val="18"/>
                <w:color w:val="auto"/>
              </w:rPr>
              <w:t>31,329</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$0.07</w:t>
            </w:r>
          </w:p>
        </w:tc>
      </w:tr>
      <w:tr>
        <w:trPr>
          <w:trHeight w:val="203"/>
        </w:trPr>
        <w:tc>
          <w:tcPr>
            <w:tcW w:w="44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revaluation gains</w:t>
            </w:r>
          </w:p>
        </w:tc>
        <w:tc>
          <w:tcPr>
            <w:tcW w:w="2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247</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$95</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31,329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r>
      <w:tr>
        <w:trPr>
          <w:trHeight w:val="203"/>
        </w:trPr>
        <w:tc>
          <w:tcPr>
            <w:tcW w:w="4400" w:type="dxa"/>
            <w:vAlign w:val="bottom"/>
          </w:tcPr>
          <w:p>
            <w:pPr>
              <w:ind w:left="40"/>
              <w:spacing w:after="0" w:line="202" w:lineRule="exact"/>
              <w:rPr>
                <w:sz w:val="20"/>
                <w:szCs w:val="20"/>
                <w:color w:val="auto"/>
              </w:rPr>
            </w:pPr>
            <w:r>
              <w:rPr>
                <w:rFonts w:ascii="Arial" w:cs="Arial" w:eastAsia="Arial" w:hAnsi="Arial"/>
                <w:sz w:val="18"/>
                <w:szCs w:val="18"/>
                <w:color w:val="auto"/>
              </w:rPr>
              <w:t>Pension plan settlement charges</w:t>
            </w:r>
          </w:p>
        </w:tc>
        <w:tc>
          <w:tcPr>
            <w:tcW w:w="22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119,735</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39,460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80,275</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31,329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discrete tax benefit</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6,051</w:t>
            </w:r>
          </w:p>
        </w:tc>
        <w:tc>
          <w:tcPr>
            <w:tcW w:w="1180" w:type="dxa"/>
            <w:vAlign w:val="bottom"/>
          </w:tcPr>
          <w:p>
            <w:pPr>
              <w:jc w:val="right"/>
              <w:spacing w:after="0"/>
              <w:rPr>
                <w:sz w:val="20"/>
                <w:szCs w:val="20"/>
                <w:color w:val="auto"/>
              </w:rPr>
            </w:pPr>
            <w:r>
              <w:rPr>
                <w:rFonts w:ascii="Arial" w:cs="Arial" w:eastAsia="Arial" w:hAnsi="Arial"/>
                <w:sz w:val="18"/>
                <w:szCs w:val="18"/>
                <w:color w:val="auto"/>
              </w:rPr>
              <w:t>6,051</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31,329</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r>
    </w:tbl>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right w:val="single" w:sz="8" w:color="auto"/>
            </w:tcBorders>
          </w:tcPr>
          <w:p>
            <w:pPr>
              <w:spacing w:after="0"/>
              <w:rPr>
                <w:sz w:val="17"/>
                <w:szCs w:val="17"/>
                <w:color w:val="auto"/>
              </w:rPr>
            </w:pPr>
          </w:p>
        </w:tc>
      </w:tr>
      <w:tr>
        <w:trPr>
          <w:trHeight w:val="183"/>
        </w:trPr>
        <w:tc>
          <w:tcPr>
            <w:tcW w:w="562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(in thousands)</w:t>
            </w:r>
          </w:p>
        </w:tc>
        <w:tc>
          <w:tcPr>
            <w:tcW w:w="1940" w:type="dxa"/>
            <w:vAlign w:val="bottom"/>
            <w:tcBorders>
              <w:bottom w:val="single" w:sz="8" w:color="auto"/>
              <w:right w:val="single" w:sz="8" w:color="auto"/>
            </w:tcBorders>
            <w:gridSpan w:val="2"/>
          </w:tcPr>
          <w:p>
            <w:pPr>
              <w:jc w:val="right"/>
              <w:ind w:right="370"/>
              <w:spacing w:after="0" w:line="183" w:lineRule="exact"/>
              <w:rPr>
                <w:sz w:val="20"/>
                <w:szCs w:val="20"/>
                <w:color w:val="auto"/>
              </w:rPr>
            </w:pPr>
            <w:r>
              <w:rPr>
                <w:rFonts w:ascii="Arial" w:cs="Arial" w:eastAsia="Arial" w:hAnsi="Arial"/>
                <w:sz w:val="16"/>
                <w:szCs w:val="16"/>
                <w:color w:val="auto"/>
              </w:rPr>
              <w:t>June 30, 2013</w:t>
            </w:r>
          </w:p>
        </w:tc>
        <w:tc>
          <w:tcPr>
            <w:tcW w:w="1940" w:type="dxa"/>
            <w:vAlign w:val="bottom"/>
            <w:tcBorders>
              <w:bottom w:val="single" w:sz="8" w:color="auto"/>
              <w:right w:val="single" w:sz="8" w:color="auto"/>
            </w:tcBorders>
            <w:gridSpan w:val="2"/>
          </w:tcPr>
          <w:p>
            <w:pPr>
              <w:jc w:val="right"/>
              <w:ind w:right="330"/>
              <w:spacing w:after="0" w:line="183" w:lineRule="exact"/>
              <w:rPr>
                <w:sz w:val="20"/>
                <w:szCs w:val="20"/>
                <w:color w:val="auto"/>
              </w:rPr>
            </w:pPr>
            <w:r>
              <w:rPr>
                <w:rFonts w:ascii="Arial" w:cs="Arial" w:eastAsia="Arial" w:hAnsi="Arial"/>
                <w:sz w:val="16"/>
                <w:szCs w:val="16"/>
                <w:color w:val="auto"/>
              </w:rPr>
              <w:t>March 31, 2013</w:t>
            </w:r>
          </w:p>
        </w:tc>
        <w:tc>
          <w:tcPr>
            <w:tcW w:w="1920" w:type="dxa"/>
            <w:vAlign w:val="bottom"/>
            <w:tcBorders>
              <w:bottom w:val="single" w:sz="8" w:color="auto"/>
              <w:right w:val="single" w:sz="8" w:color="auto"/>
            </w:tcBorders>
            <w:gridSpan w:val="2"/>
          </w:tcPr>
          <w:p>
            <w:pPr>
              <w:jc w:val="right"/>
              <w:ind w:right="170"/>
              <w:spacing w:after="0" w:line="183" w:lineRule="exact"/>
              <w:rPr>
                <w:sz w:val="20"/>
                <w:szCs w:val="20"/>
                <w:color w:val="auto"/>
              </w:rPr>
            </w:pPr>
            <w:r>
              <w:rPr>
                <w:rFonts w:ascii="Arial" w:cs="Arial" w:eastAsia="Arial" w:hAnsi="Arial"/>
                <w:sz w:val="16"/>
                <w:szCs w:val="16"/>
                <w:color w:val="auto"/>
              </w:rPr>
              <w:t>December 31, 2012</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Notes and loans payable</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610</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780</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Current maturities of long-term debt</w:t>
            </w:r>
          </w:p>
        </w:tc>
        <w:tc>
          <w:tcPr>
            <w:tcW w:w="12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55,014</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55,014</w:t>
            </w: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83,276</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Long-term debt</w:t>
            </w:r>
          </w:p>
        </w:tc>
        <w:tc>
          <w:tcPr>
            <w:tcW w:w="12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265,368</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278,622</w:t>
            </w: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235,877</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Total debt</w:t>
            </w:r>
          </w:p>
        </w:tc>
        <w:tc>
          <w:tcPr>
            <w:tcW w:w="12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320,992</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334,416</w:t>
            </w: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Cash</w:t>
            </w:r>
          </w:p>
        </w:tc>
        <w:tc>
          <w:tcPr>
            <w:tcW w:w="12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197,321</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199,833</w:t>
            </w: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562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Net debt</w:t>
            </w:r>
          </w:p>
        </w:tc>
        <w:tc>
          <w:tcPr>
            <w:tcW w:w="12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123,671</w:t>
            </w:r>
          </w:p>
        </w:tc>
        <w:tc>
          <w:tcPr>
            <w:tcW w:w="11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134,583</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129,021</w:t>
            </w:r>
          </w:p>
        </w:tc>
      </w:tr>
    </w:tbl>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44" w:lineRule="exact"/>
        <w:rPr>
          <w:sz w:val="20"/>
          <w:szCs w:val="20"/>
          <w:color w:val="auto"/>
        </w:rPr>
      </w:pPr>
    </w:p>
    <w:p>
      <w:pPr>
        <w:ind w:left="660" w:right="120" w:firstLine="648"/>
        <w:spacing w:after="0"/>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208" w:lineRule="exact"/>
        <w:rPr>
          <w:sz w:val="20"/>
          <w:szCs w:val="20"/>
          <w:color w:val="auto"/>
        </w:rPr>
      </w:pPr>
    </w:p>
    <w:p>
      <w:pPr>
        <w:ind w:left="700" w:hanging="69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44" w:lineRule="exact"/>
        <w:rPr>
          <w:sz w:val="20"/>
          <w:szCs w:val="20"/>
          <w:color w:val="auto"/>
        </w:rPr>
      </w:pPr>
    </w:p>
    <w:p>
      <w:pPr>
        <w:ind w:left="660" w:right="320" w:firstLine="648"/>
        <w:spacing w:after="0" w:line="306"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42" w:name="page43"/>
    <w:bookmarkEnd w:id="42"/>
    <w:p>
      <w:pPr>
        <w:jc w:val="center"/>
        <w:ind w:right="-379"/>
        <w:spacing w:after="0"/>
        <w:rPr>
          <w:sz w:val="20"/>
          <w:szCs w:val="20"/>
          <w:color w:val="auto"/>
        </w:rPr>
      </w:pPr>
      <w:r>
        <w:rPr>
          <w:rFonts w:ascii="Arial" w:cs="Arial" w:eastAsia="Arial" w:hAnsi="Arial"/>
          <w:sz w:val="18"/>
          <w:szCs w:val="18"/>
          <w:b w:val="1"/>
          <w:bCs w:val="1"/>
          <w:color w:val="auto"/>
        </w:rPr>
        <w:t>PART II – OTHER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set forth above under Note 15 in “Notes to Consolidated Financial Statements” is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right="60" w:firstLine="396"/>
        <w:spacing w:after="0" w:line="276" w:lineRule="auto"/>
        <w:rPr>
          <w:sz w:val="20"/>
          <w:szCs w:val="20"/>
          <w:color w:val="auto"/>
        </w:rPr>
      </w:pPr>
      <w:r>
        <w:rPr>
          <w:rFonts w:ascii="Arial" w:cs="Arial" w:eastAsia="Arial" w:hAnsi="Arial"/>
          <w:sz w:val="18"/>
          <w:szCs w:val="18"/>
          <w:color w:val="auto"/>
        </w:rPr>
        <w:t>There have been no material changes in risks since December 31, 2012. For discussion of risk factors, refer to Item 1A of our Annual Report on Form 10-K for the year ended December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4" w:lineRule="exact"/>
        <w:rPr>
          <w:sz w:val="20"/>
          <w:szCs w:val="20"/>
          <w:color w:val="auto"/>
        </w:rPr>
      </w:pPr>
    </w:p>
    <w:p>
      <w:pPr>
        <w:ind w:firstLine="396"/>
        <w:spacing w:after="0" w:line="276" w:lineRule="auto"/>
        <w:rPr>
          <w:sz w:val="20"/>
          <w:szCs w:val="20"/>
          <w:color w:val="auto"/>
        </w:rPr>
      </w:pPr>
      <w:r>
        <w:rPr>
          <w:rFonts w:ascii="Arial" w:cs="Arial" w:eastAsia="Arial" w:hAnsi="Arial"/>
          <w:sz w:val="18"/>
          <w:szCs w:val="18"/>
          <w:color w:val="auto"/>
        </w:rPr>
        <w:t>We made no share purchases during the second quarter of 2013. We remain authorized by the Board of Directors to purchase up to 2 million shares of our Class A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40"/>
          </w:cols>
          <w:pgMar w:left="240" w:top="1101" w:right="61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color w:val="auto"/>
        </w:rPr>
        <w:t>Item 6. Exhibits</w:t>
      </w:r>
    </w:p>
    <w:p>
      <w:pPr>
        <w:spacing w:after="0" w:line="28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13a-14(a)/15d-14(a) of the Exchange Act.</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Rule 13a-14(a)/15d-14(a) of the Exchange Act.</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Certification pursuant to Section 906 of the Sarbanes-Oxley Act of 2002 (Subsections (a) and (b) of Section 1350, Chapter 63 of Title</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18, United States Code).</w:t>
      </w:r>
    </w:p>
    <w:p>
      <w:pPr>
        <w:spacing w:after="0" w:line="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Quantitative and qualitative disclosures about market risks as reported at June 30, 2013.</w:t>
      </w:r>
    </w:p>
    <w:p>
      <w:pPr>
        <w:spacing w:after="0" w:line="347" w:lineRule="exact"/>
        <w:rPr>
          <w:sz w:val="20"/>
          <w:szCs w:val="20"/>
          <w:color w:val="auto"/>
        </w:rPr>
      </w:pPr>
    </w:p>
    <w:p>
      <w:pPr>
        <w:ind w:left="720" w:right="620" w:hanging="712"/>
        <w:spacing w:after="0" w:line="27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2013, formatted in eXtensible Business Reporting Language (XBRL), filed herewith:</w:t>
      </w:r>
    </w:p>
    <w:p>
      <w:pPr>
        <w:spacing w:after="0" w:line="37" w:lineRule="exact"/>
        <w:rPr>
          <w:rFonts w:ascii="Arial" w:cs="Arial" w:eastAsia="Arial" w:hAnsi="Arial"/>
          <w:sz w:val="18"/>
          <w:szCs w:val="18"/>
          <w:color w:val="auto"/>
        </w:rPr>
      </w:pPr>
    </w:p>
    <w:p>
      <w:pPr>
        <w:ind w:left="1440" w:hanging="716"/>
        <w:spacing w:after="0"/>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Operations for the three and six months ended June 30, 2013 and 2012.</w:t>
      </w:r>
    </w:p>
    <w:p>
      <w:pPr>
        <w:spacing w:after="0" w:line="103" w:lineRule="exact"/>
        <w:rPr>
          <w:rFonts w:ascii="Arial" w:cs="Arial" w:eastAsia="Arial" w:hAnsi="Arial"/>
          <w:sz w:val="18"/>
          <w:szCs w:val="18"/>
          <w:color w:val="auto"/>
        </w:rPr>
      </w:pPr>
    </w:p>
    <w:p>
      <w:pPr>
        <w:ind w:left="1440" w:hanging="716"/>
        <w:spacing w:after="0"/>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and six months ended June 30, 2013 and 2012.</w:t>
      </w:r>
    </w:p>
    <w:p>
      <w:pPr>
        <w:spacing w:after="0" w:line="103" w:lineRule="exact"/>
        <w:rPr>
          <w:rFonts w:ascii="Arial" w:cs="Arial" w:eastAsia="Arial" w:hAnsi="Arial"/>
          <w:sz w:val="18"/>
          <w:szCs w:val="18"/>
          <w:color w:val="auto"/>
        </w:rPr>
      </w:pPr>
    </w:p>
    <w:p>
      <w:pPr>
        <w:ind w:left="1440" w:hanging="716"/>
        <w:spacing w:after="0"/>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Balance Sheets at June 30, 2013 and December 31, 2012.</w:t>
      </w:r>
    </w:p>
    <w:p>
      <w:pPr>
        <w:spacing w:after="0" w:line="103" w:lineRule="exact"/>
        <w:rPr>
          <w:rFonts w:ascii="Arial" w:cs="Arial" w:eastAsia="Arial" w:hAnsi="Arial"/>
          <w:sz w:val="18"/>
          <w:szCs w:val="18"/>
          <w:color w:val="auto"/>
        </w:rPr>
      </w:pPr>
    </w:p>
    <w:p>
      <w:pPr>
        <w:ind w:left="1440" w:hanging="716"/>
        <w:spacing w:after="0"/>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six months ended June 30, 2013 and 2012.</w:t>
      </w:r>
    </w:p>
    <w:p>
      <w:pPr>
        <w:spacing w:after="0" w:line="103" w:lineRule="exact"/>
        <w:rPr>
          <w:rFonts w:ascii="Arial" w:cs="Arial" w:eastAsia="Arial" w:hAnsi="Arial"/>
          <w:sz w:val="18"/>
          <w:szCs w:val="18"/>
          <w:color w:val="auto"/>
        </w:rPr>
      </w:pPr>
    </w:p>
    <w:p>
      <w:pPr>
        <w:ind w:left="1440" w:hanging="716"/>
        <w:spacing w:after="0"/>
        <w:tabs>
          <w:tab w:leader="none" w:pos="1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720" w:right="280"/>
        <w:spacing w:after="0" w:line="27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2" w:right="379" w:bottom="1440" w:gutter="0" w:footer="0" w:header="0"/>
        </w:sectPr>
      </w:pPr>
    </w:p>
    <w:bookmarkStart w:id="44" w:name="page45"/>
    <w:bookmarkEnd w:id="44"/>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jc w:val="center"/>
        <w:ind w:left="240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spacing w:after="0" w:line="18" w:lineRule="exact"/>
        <w:rPr>
          <w:sz w:val="20"/>
          <w:szCs w:val="20"/>
          <w:color w:val="auto"/>
        </w:rPr>
      </w:pPr>
    </w:p>
    <w:p>
      <w:pPr>
        <w:jc w:val="center"/>
        <w:ind w:left="2400"/>
        <w:spacing w:after="0"/>
        <w:rPr>
          <w:sz w:val="20"/>
          <w:szCs w:val="20"/>
          <w:color w:val="auto"/>
        </w:rPr>
      </w:pPr>
      <w:r>
        <w:rPr>
          <w:rFonts w:ascii="Arial" w:cs="Arial" w:eastAsia="Arial" w:hAnsi="Arial"/>
          <w:sz w:val="18"/>
          <w:szCs w:val="18"/>
          <w:color w:val="auto"/>
        </w:rPr>
        <w:t>(Registrant)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2013</w:t>
      </w:r>
    </w:p>
    <w:p>
      <w:pPr>
        <w:spacing w:after="0" w:line="212"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19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Cozzolino</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 and Treasurer</w:t>
      </w:r>
    </w:p>
    <w:p>
      <w:pPr>
        <w:ind w:left="6380"/>
        <w:spacing w:after="0"/>
        <w:rPr>
          <w:sz w:val="20"/>
          <w:szCs w:val="20"/>
          <w:color w:val="auto"/>
        </w:rPr>
      </w:pPr>
      <w:r>
        <w:rPr>
          <w:rFonts w:ascii="Arial" w:cs="Arial" w:eastAsia="Arial" w:hAnsi="Arial"/>
          <w:sz w:val="18"/>
          <w:szCs w:val="18"/>
          <w:color w:val="auto"/>
        </w:rPr>
        <w:t>(Principal Financial Officer)</w:t>
      </w:r>
    </w:p>
    <w:p>
      <w:pPr>
        <w:spacing w:after="0" w:line="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00"/>
          </w:cols>
          <w:pgMar w:left="240" w:top="682" w:right="6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Joseph G. Morone, certify that:</w:t>
      </w:r>
    </w:p>
    <w:p>
      <w:pPr>
        <w:spacing w:after="0" w:line="181"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report on Form 10-Q of Albany International Corp.;</w:t>
      </w:r>
    </w:p>
    <w:p>
      <w:pPr>
        <w:spacing w:after="0" w:line="194" w:lineRule="exact"/>
        <w:rPr>
          <w:rFonts w:ascii="Arial" w:cs="Arial" w:eastAsia="Arial" w:hAnsi="Arial"/>
          <w:sz w:val="16"/>
          <w:szCs w:val="16"/>
          <w:color w:val="auto"/>
        </w:rPr>
      </w:pPr>
    </w:p>
    <w:p>
      <w:pPr>
        <w:ind w:left="1300" w:right="80" w:hanging="320"/>
        <w:spacing w:after="0" w:line="26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1300" w:right="20" w:hanging="320"/>
        <w:spacing w:after="0" w:line="29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6"/>
          <w:szCs w:val="16"/>
          <w:color w:val="auto"/>
        </w:rPr>
      </w:pPr>
    </w:p>
    <w:p>
      <w:pPr>
        <w:ind w:left="1300" w:right="320" w:hanging="320"/>
        <w:spacing w:after="0" w:line="26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1300" w:right="400" w:firstLine="5"/>
        <w:spacing w:after="0" w:line="269" w:lineRule="auto"/>
        <w:tabs>
          <w:tab w:leader="none" w:pos="15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160" w:firstLine="5"/>
        <w:spacing w:after="0" w:line="269" w:lineRule="auto"/>
        <w:tabs>
          <w:tab w:leader="none" w:pos="15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1300" w:right="140" w:firstLine="5"/>
        <w:spacing w:after="0" w:line="291" w:lineRule="auto"/>
        <w:tabs>
          <w:tab w:leader="none" w:pos="153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firstLine="5"/>
        <w:spacing w:after="0" w:line="269" w:lineRule="auto"/>
        <w:tabs>
          <w:tab w:leader="none" w:pos="15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1300" w:right="400" w:hanging="320"/>
        <w:spacing w:after="0" w:line="26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300" w:right="560" w:firstLine="5"/>
        <w:spacing w:after="0" w:line="291" w:lineRule="auto"/>
        <w:tabs>
          <w:tab w:leader="none" w:pos="15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200" w:firstLine="5"/>
        <w:spacing w:after="0" w:line="291" w:lineRule="auto"/>
        <w:tabs>
          <w:tab w:leader="none" w:pos="154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Date: August 2, 2013</w:t>
      </w:r>
    </w:p>
    <w:p>
      <w:pPr>
        <w:spacing w:after="0" w:line="181" w:lineRule="exact"/>
        <w:rPr>
          <w:sz w:val="20"/>
          <w:szCs w:val="20"/>
          <w:color w:val="auto"/>
        </w:rPr>
      </w:pPr>
    </w:p>
    <w:p>
      <w:pPr>
        <w:jc w:val="center"/>
        <w:ind w:left="76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Joseph G. Morone</w:t>
      </w:r>
    </w:p>
    <w:p>
      <w:pPr>
        <w:spacing w:after="0" w:line="25" w:lineRule="exact"/>
        <w:rPr>
          <w:sz w:val="20"/>
          <w:szCs w:val="20"/>
          <w:color w:val="auto"/>
        </w:rPr>
      </w:pPr>
    </w:p>
    <w:p>
      <w:pPr>
        <w:jc w:val="center"/>
        <w:ind w:left="7700"/>
        <w:spacing w:after="0"/>
        <w:rPr>
          <w:sz w:val="20"/>
          <w:szCs w:val="20"/>
          <w:color w:val="auto"/>
        </w:rPr>
      </w:pPr>
      <w:r>
        <w:rPr>
          <w:rFonts w:ascii="Arial" w:cs="Arial" w:eastAsia="Arial" w:hAnsi="Arial"/>
          <w:sz w:val="16"/>
          <w:szCs w:val="16"/>
          <w:color w:val="auto"/>
        </w:rPr>
        <w:t>Joseph G. Morone</w:t>
      </w:r>
    </w:p>
    <w:p>
      <w:pPr>
        <w:spacing w:after="0" w:line="5" w:lineRule="exact"/>
        <w:rPr>
          <w:sz w:val="20"/>
          <w:szCs w:val="20"/>
          <w:color w:val="auto"/>
        </w:rPr>
      </w:pPr>
    </w:p>
    <w:p>
      <w:pPr>
        <w:jc w:val="center"/>
        <w:ind w:left="766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jc w:val="center"/>
        <w:ind w:left="76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rPr>
          <w:sz w:val="20"/>
          <w:szCs w:val="20"/>
          <w:color w:val="auto"/>
        </w:rPr>
      </w:pPr>
      <w:r>
        <w:rPr>
          <w:rFonts w:ascii="Arial" w:cs="Arial" w:eastAsia="Arial" w:hAnsi="Arial"/>
          <w:sz w:val="16"/>
          <w:szCs w:val="16"/>
          <w:color w:val="auto"/>
        </w:rPr>
        <w:t>I, John B. Cozzolino, certify that:</w:t>
      </w:r>
    </w:p>
    <w:p>
      <w:pPr>
        <w:spacing w:after="0" w:line="161"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report on Form 10-Q of Albany International Corp.;</w:t>
      </w:r>
    </w:p>
    <w:p>
      <w:pPr>
        <w:spacing w:after="0" w:line="194" w:lineRule="exact"/>
        <w:rPr>
          <w:rFonts w:ascii="Arial" w:cs="Arial" w:eastAsia="Arial" w:hAnsi="Arial"/>
          <w:sz w:val="16"/>
          <w:szCs w:val="16"/>
          <w:color w:val="auto"/>
        </w:rPr>
      </w:pPr>
    </w:p>
    <w:p>
      <w:pPr>
        <w:ind w:left="1300" w:right="80" w:hanging="320"/>
        <w:spacing w:after="0" w:line="26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1300" w:right="20" w:hanging="320"/>
        <w:spacing w:after="0" w:line="291"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6"/>
          <w:szCs w:val="16"/>
          <w:color w:val="auto"/>
        </w:rPr>
      </w:pPr>
    </w:p>
    <w:p>
      <w:pPr>
        <w:ind w:left="1300" w:right="320" w:hanging="320"/>
        <w:spacing w:after="0" w:line="26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1300" w:right="400" w:firstLine="5"/>
        <w:spacing w:after="0" w:line="269" w:lineRule="auto"/>
        <w:tabs>
          <w:tab w:leader="none" w:pos="15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160" w:firstLine="5"/>
        <w:spacing w:after="0" w:line="269" w:lineRule="auto"/>
        <w:tabs>
          <w:tab w:leader="none" w:pos="15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1300" w:right="140" w:firstLine="5"/>
        <w:spacing w:after="0" w:line="291" w:lineRule="auto"/>
        <w:tabs>
          <w:tab w:leader="none" w:pos="153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firstLine="5"/>
        <w:spacing w:after="0" w:line="269" w:lineRule="auto"/>
        <w:tabs>
          <w:tab w:leader="none" w:pos="15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1300" w:right="400" w:hanging="320"/>
        <w:spacing w:after="0" w:line="26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300" w:right="560" w:firstLine="5"/>
        <w:spacing w:after="0" w:line="291" w:lineRule="auto"/>
        <w:tabs>
          <w:tab w:leader="none" w:pos="15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200" w:firstLine="5"/>
        <w:spacing w:after="0" w:line="291" w:lineRule="auto"/>
        <w:tabs>
          <w:tab w:leader="none" w:pos="15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2013</w:t>
      </w:r>
    </w:p>
    <w:p>
      <w:pPr>
        <w:spacing w:after="0" w:line="181" w:lineRule="exact"/>
        <w:rPr>
          <w:sz w:val="20"/>
          <w:szCs w:val="20"/>
          <w:color w:val="auto"/>
        </w:rPr>
      </w:pPr>
    </w:p>
    <w:p>
      <w:pPr>
        <w:ind w:left="7380"/>
        <w:spacing w:after="0"/>
        <w:tabs>
          <w:tab w:leader="none" w:pos="7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John B. Cozzolino</w:t>
      </w:r>
    </w:p>
    <w:p>
      <w:pPr>
        <w:spacing w:after="0" w:line="25"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John B. Cozzolino</w:t>
      </w:r>
    </w:p>
    <w:p>
      <w:pPr>
        <w:spacing w:after="0" w:line="5"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 and Treasurer</w:t>
      </w:r>
    </w:p>
    <w:p>
      <w:pPr>
        <w:spacing w:after="0" w:line="5"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7" w:name="page48"/>
    <w:bookmarkEnd w:id="47"/>
    <w:p>
      <w:pPr>
        <w:jc w:val="center"/>
        <w:ind w:right="-111"/>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CERTIFICATION PURSUANT TO</w:t>
      </w:r>
    </w:p>
    <w:p>
      <w:pPr>
        <w:jc w:val="center"/>
        <w:ind w:right="-111"/>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1"/>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ind w:left="652"/>
        <w:spacing w:after="0" w:line="24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2013,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373"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452" w:right="260" w:hanging="452"/>
        <w:spacing w:after="0" w:line="276"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Dated: August 2, 2013</w:t>
      </w:r>
    </w:p>
    <w:p>
      <w:pPr>
        <w:spacing w:after="0" w:line="185" w:lineRule="exact"/>
        <w:rPr>
          <w:sz w:val="20"/>
          <w:szCs w:val="20"/>
          <w:color w:val="auto"/>
        </w:rPr>
      </w:pPr>
    </w:p>
    <w:p>
      <w:pPr>
        <w:ind w:left="5812"/>
        <w:spacing w:after="0"/>
        <w:rPr>
          <w:sz w:val="20"/>
          <w:szCs w:val="20"/>
          <w:color w:val="auto"/>
        </w:rPr>
      </w:pPr>
      <w:r>
        <w:rPr>
          <w:rFonts w:ascii="Arial" w:cs="Arial" w:eastAsia="Arial" w:hAnsi="Arial"/>
          <w:sz w:val="18"/>
          <w:szCs w:val="18"/>
          <w:u w:val="single" w:color="auto"/>
          <w:color w:val="auto"/>
        </w:rPr>
        <w:t>/s/ Joseph G. Morone</w:t>
      </w:r>
    </w:p>
    <w:p>
      <w:pPr>
        <w:spacing w:after="0" w:line="13" w:lineRule="exact"/>
        <w:rPr>
          <w:sz w:val="20"/>
          <w:szCs w:val="20"/>
          <w:color w:val="auto"/>
        </w:rPr>
      </w:pPr>
    </w:p>
    <w:p>
      <w:pPr>
        <w:ind w:left="5812"/>
        <w:spacing w:after="0"/>
        <w:rPr>
          <w:sz w:val="20"/>
          <w:szCs w:val="20"/>
          <w:color w:val="auto"/>
        </w:rPr>
      </w:pPr>
      <w:r>
        <w:rPr>
          <w:rFonts w:ascii="Arial" w:cs="Arial" w:eastAsia="Arial" w:hAnsi="Arial"/>
          <w:sz w:val="18"/>
          <w:szCs w:val="18"/>
          <w:color w:val="auto"/>
        </w:rPr>
        <w:t>Joseph G. Morone</w:t>
      </w:r>
    </w:p>
    <w:p>
      <w:pPr>
        <w:ind w:left="5812"/>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812"/>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ind w:left="5812"/>
        <w:spacing w:after="0"/>
        <w:rPr>
          <w:sz w:val="20"/>
          <w:szCs w:val="20"/>
          <w:color w:val="auto"/>
        </w:rPr>
      </w:pPr>
      <w:r>
        <w:rPr>
          <w:rFonts w:ascii="Arial" w:cs="Arial" w:eastAsia="Arial" w:hAnsi="Arial"/>
          <w:sz w:val="18"/>
          <w:szCs w:val="18"/>
          <w:u w:val="single" w:color="auto"/>
          <w:color w:val="auto"/>
        </w:rPr>
        <w:t>/s/ John B. Cozzolino</w:t>
      </w:r>
    </w:p>
    <w:p>
      <w:pPr>
        <w:spacing w:after="0" w:line="13" w:lineRule="exact"/>
        <w:rPr>
          <w:sz w:val="20"/>
          <w:szCs w:val="20"/>
          <w:color w:val="auto"/>
        </w:rPr>
      </w:pPr>
    </w:p>
    <w:p>
      <w:pPr>
        <w:ind w:left="5812"/>
        <w:spacing w:after="0"/>
        <w:rPr>
          <w:sz w:val="20"/>
          <w:szCs w:val="20"/>
          <w:color w:val="auto"/>
        </w:rPr>
      </w:pPr>
      <w:r>
        <w:rPr>
          <w:rFonts w:ascii="Arial" w:cs="Arial" w:eastAsia="Arial" w:hAnsi="Arial"/>
          <w:sz w:val="18"/>
          <w:szCs w:val="18"/>
          <w:color w:val="auto"/>
        </w:rPr>
        <w:t>John B. Cozzolino</w:t>
      </w:r>
    </w:p>
    <w:p>
      <w:pPr>
        <w:ind w:left="5812"/>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812"/>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92"/>
          </w:cols>
          <w:pgMar w:left="248" w:top="114"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2013</w:t>
      </w:r>
    </w:p>
    <w:p>
      <w:pPr>
        <w:spacing w:after="0" w:line="338" w:lineRule="exact"/>
        <w:rPr>
          <w:sz w:val="20"/>
          <w:szCs w:val="20"/>
          <w:color w:val="auto"/>
        </w:rPr>
      </w:pPr>
    </w:p>
    <w:p>
      <w:pPr>
        <w:ind w:right="360" w:firstLine="648"/>
        <w:spacing w:after="0" w:line="27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3"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$584.1 million. The potential loss in fair value resulting from a hypothetical 10% adverse change in quoted foreign currency exchange rates amounts to $58.4 million. Furthermore, related to foreign currency transactions, we have exposure to various nonfunctional currency balances totaling $132.8 million. This amount includes, on an absolute basis, exposures to assets and liabilities held in currencies other than our local entity’s functional currency. On a net basis, we had $66.8 million of foreign currency liabilities as of June 30, 2013. As currency rates change, these nonfunctional currency balances are revalued, and the corresponding adjustment is recorded in the income statement. A hypothetical change of 10% in currency rates could result in an adjustment to the income statement of approximately $6.8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2013,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20" w:type="dxa"/>
            <w:vAlign w:val="bottom"/>
            <w:tcBorders>
              <w:top w:val="single" w:sz="8" w:color="auto"/>
            </w:tcBorders>
          </w:tcPr>
          <w:p>
            <w:pPr>
              <w:ind w:left="40"/>
              <w:spacing w:after="0" w:line="173" w:lineRule="exact"/>
              <w:rPr>
                <w:sz w:val="20"/>
                <w:szCs w:val="20"/>
                <w:color w:val="auto"/>
              </w:rPr>
            </w:pPr>
            <w:r>
              <w:rPr>
                <w:rFonts w:ascii="Arial" w:cs="Arial" w:eastAsia="Arial" w:hAnsi="Arial"/>
                <w:sz w:val="18"/>
                <w:szCs w:val="18"/>
                <w:b w:val="1"/>
                <w:bCs w:val="1"/>
                <w:color w:val="auto"/>
              </w:rPr>
              <w:t>Short-term debt</w:t>
            </w:r>
          </w:p>
        </w:tc>
        <w:tc>
          <w:tcPr>
            <w:tcW w:w="1400" w:type="dxa"/>
            <w:vAlign w:val="bottom"/>
            <w:tcBorders>
              <w:top w:val="single" w:sz="8" w:color="auto"/>
            </w:tcBorders>
          </w:tcPr>
          <w:p>
            <w:pPr>
              <w:spacing w:after="0"/>
              <w:rPr>
                <w:sz w:val="15"/>
                <w:szCs w:val="15"/>
                <w:color w:val="auto"/>
              </w:rPr>
            </w:pPr>
          </w:p>
        </w:tc>
      </w:tr>
      <w:tr>
        <w:trPr>
          <w:trHeight w:val="201"/>
        </w:trPr>
        <w:tc>
          <w:tcPr>
            <w:tcW w:w="10020" w:type="dxa"/>
            <w:vAlign w:val="bottom"/>
          </w:tcPr>
          <w:p>
            <w:pPr>
              <w:ind w:left="40"/>
              <w:spacing w:after="0" w:line="201" w:lineRule="exact"/>
              <w:rPr>
                <w:sz w:val="20"/>
                <w:szCs w:val="20"/>
                <w:color w:val="auto"/>
              </w:rPr>
            </w:pPr>
            <w:r>
              <w:rPr>
                <w:rFonts w:ascii="Arial" w:cs="Arial" w:eastAsia="Arial" w:hAnsi="Arial"/>
                <w:sz w:val="18"/>
                <w:szCs w:val="18"/>
                <w:color w:val="auto"/>
              </w:rPr>
              <w:t>Notes payable, end of period interest rate of 1.40%</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$610</w:t>
            </w:r>
          </w:p>
        </w:tc>
      </w:tr>
      <w:tr>
        <w:trPr>
          <w:trHeight w:val="205"/>
        </w:trPr>
        <w:tc>
          <w:tcPr>
            <w:tcW w:w="100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Long-term debt</w:t>
            </w:r>
          </w:p>
        </w:tc>
        <w:tc>
          <w:tcPr>
            <w:tcW w:w="1400" w:type="dxa"/>
            <w:vAlign w:val="bottom"/>
          </w:tcPr>
          <w:p>
            <w:pPr>
              <w:spacing w:after="0"/>
              <w:rPr>
                <w:sz w:val="17"/>
                <w:szCs w:val="17"/>
                <w:color w:val="auto"/>
              </w:rPr>
            </w:pPr>
          </w:p>
        </w:tc>
      </w:tr>
      <w:tr>
        <w:trPr>
          <w:trHeight w:val="203"/>
        </w:trPr>
        <w:tc>
          <w:tcPr>
            <w:tcW w:w="10020" w:type="dxa"/>
            <w:vAlign w:val="bottom"/>
          </w:tcPr>
          <w:p>
            <w:pPr>
              <w:ind w:left="40"/>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 portion, at an end of period interest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59,000</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rate of 1.58% in 2013, due in 2018</w:t>
            </w:r>
          </w:p>
        </w:tc>
        <w:tc>
          <w:tcPr>
            <w:tcW w:w="1400" w:type="dxa"/>
            <w:vAlign w:val="bottom"/>
          </w:tcPr>
          <w:p>
            <w:pPr>
              <w:spacing w:after="0"/>
              <w:rPr>
                <w:sz w:val="21"/>
                <w:szCs w:val="21"/>
                <w:color w:val="auto"/>
              </w:rPr>
            </w:pPr>
          </w:p>
        </w:tc>
      </w:tr>
      <w:tr>
        <w:trPr>
          <w:trHeight w:val="365"/>
        </w:trPr>
        <w:tc>
          <w:tcPr>
            <w:tcW w:w="10020" w:type="dxa"/>
            <w:vAlign w:val="bottom"/>
          </w:tcPr>
          <w:p>
            <w:pPr>
              <w:ind w:left="40"/>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 period</w:t>
            </w:r>
          </w:p>
        </w:tc>
        <w:tc>
          <w:tcPr>
            <w:tcW w:w="1400" w:type="dxa"/>
            <w:vAlign w:val="bottom"/>
          </w:tcPr>
          <w:p>
            <w:pPr>
              <w:jc w:val="right"/>
              <w:spacing w:after="0"/>
              <w:rPr>
                <w:sz w:val="20"/>
                <w:szCs w:val="20"/>
                <w:color w:val="auto"/>
              </w:rPr>
            </w:pPr>
            <w:r>
              <w:rPr>
                <w:rFonts w:ascii="Arial" w:cs="Arial" w:eastAsia="Arial" w:hAnsi="Arial"/>
                <w:sz w:val="18"/>
                <w:szCs w:val="18"/>
                <w:color w:val="auto"/>
              </w:rPr>
              <w:t>6,250</w:t>
            </w:r>
          </w:p>
        </w:tc>
      </w:tr>
      <w:tr>
        <w:trPr>
          <w:trHeight w:val="225"/>
        </w:trPr>
        <w:tc>
          <w:tcPr>
            <w:tcW w:w="10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rate of 3.02% in 2013, due in varying amounts through 2014</w:t>
            </w:r>
          </w:p>
        </w:tc>
        <w:tc>
          <w:tcPr>
            <w:tcW w:w="1400" w:type="dxa"/>
            <w:vAlign w:val="bottom"/>
            <w:tcBorders>
              <w:bottom w:val="single" w:sz="8" w:color="auto"/>
            </w:tcBorders>
          </w:tcPr>
          <w:p>
            <w:pPr>
              <w:spacing w:after="0"/>
              <w:rPr>
                <w:sz w:val="19"/>
                <w:szCs w:val="19"/>
                <w:color w:val="auto"/>
              </w:rPr>
            </w:pPr>
          </w:p>
        </w:tc>
      </w:tr>
      <w:tr>
        <w:trPr>
          <w:trHeight w:val="399"/>
        </w:trPr>
        <w:tc>
          <w:tcPr>
            <w:tcW w:w="10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$65,860</w:t>
            </w:r>
          </w:p>
        </w:tc>
      </w:tr>
    </w:tbl>
    <w:p>
      <w:pPr>
        <w:spacing w:after="0" w:line="36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$0.7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1"/>
      <w:numFmt w:val="decimal"/>
      <w:start w:val="101"/>
    </w:lvl>
    <w:lvl w:ilvl="1">
      <w:lvlJc w:val="left"/>
      <w:lvlText w:val="(%2)"/>
      <w:numFmt w:val="lowerRoman"/>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2019-12-06T01:07:33Z</dcterms:created>
  <dcterms:modified xsi:type="dcterms:W3CDTF">2019-12-06T01:07:33Z</dcterms:modified>
</cp:coreProperties>
</file>