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256540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4"/>
          <w:szCs w:val="24"/>
          <w:color w:val="auto"/>
        </w:rPr>
      </w:pPr>
    </w:p>
    <w:p>
      <w:pPr>
        <w:ind w:left="1040" w:right="1140" w:hanging="1032"/>
        <w:spacing w:after="0" w:line="247" w:lineRule="auto"/>
        <w:tabs>
          <w:tab w:leader="none" w:pos="10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2019</w:t>
      </w:r>
    </w:p>
    <w:p>
      <w:pPr>
        <w:jc w:val="center"/>
        <w:spacing w:after="0" w:line="231" w:lineRule="auto"/>
        <w:rPr>
          <w:sz w:val="20"/>
          <w:szCs w:val="20"/>
          <w:color w:val="auto"/>
        </w:rPr>
      </w:pPr>
      <w:r>
        <w:rPr>
          <w:rFonts w:ascii="Arial" w:cs="Arial" w:eastAsia="Arial" w:hAnsi="Arial"/>
          <w:sz w:val="18"/>
          <w:szCs w:val="18"/>
          <w:color w:val="auto"/>
        </w:rPr>
        <w:t>OR</w:t>
      </w:r>
    </w:p>
    <w:p>
      <w:pPr>
        <w:ind w:left="1040" w:right="1140" w:hanging="1032"/>
        <w:spacing w:after="0" w:line="251" w:lineRule="auto"/>
        <w:tabs>
          <w:tab w:leader="none" w:pos="10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 to __________</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1-10026</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ALBANY INTERNATIONAL CORP.</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87" w:lineRule="exact"/>
        <w:rPr>
          <w:sz w:val="24"/>
          <w:szCs w:val="24"/>
          <w:color w:val="auto"/>
        </w:rPr>
      </w:pPr>
    </w:p>
    <w:tbl>
      <w:tblPr>
        <w:tblLayout w:type="fixed"/>
        <w:tblInd w:w="720" w:type="dxa"/>
        <w:tblCellMar>
          <w:top w:w="0" w:type="dxa"/>
          <w:left w:w="0" w:type="dxa"/>
          <w:bottom w:w="0" w:type="dxa"/>
          <w:right w:w="0" w:type="dxa"/>
        </w:tblCellMar>
      </w:tblPr>
      <w:tr>
        <w:trPr>
          <w:trHeight w:val="225"/>
        </w:trPr>
        <w:tc>
          <w:tcPr>
            <w:tcW w:w="4640" w:type="dxa"/>
            <w:vAlign w:val="bottom"/>
          </w:tcPr>
          <w:p>
            <w:pPr>
              <w:jc w:val="center"/>
              <w:spacing w:after="0"/>
              <w:rPr>
                <w:sz w:val="20"/>
                <w:szCs w:val="20"/>
                <w:color w:val="auto"/>
              </w:rPr>
            </w:pPr>
            <w:r>
              <w:rPr>
                <w:rFonts w:ascii="Arial" w:cs="Arial" w:eastAsia="Arial" w:hAnsi="Arial"/>
                <w:sz w:val="18"/>
                <w:szCs w:val="18"/>
                <w:b w:val="1"/>
                <w:bCs w:val="1"/>
                <w:color w:val="auto"/>
              </w:rPr>
              <w:t>Delaware</w:t>
            </w:r>
          </w:p>
        </w:tc>
        <w:tc>
          <w:tcPr>
            <w:tcW w:w="5340" w:type="dxa"/>
            <w:vAlign w:val="bottom"/>
            <w:gridSpan w:val="2"/>
          </w:tcPr>
          <w:p>
            <w:pPr>
              <w:jc w:val="right"/>
              <w:ind w:right="1750"/>
              <w:spacing w:after="0"/>
              <w:rPr>
                <w:sz w:val="20"/>
                <w:szCs w:val="20"/>
                <w:color w:val="auto"/>
              </w:rPr>
            </w:pPr>
            <w:r>
              <w:rPr>
                <w:rFonts w:ascii="Arial" w:cs="Arial" w:eastAsia="Arial" w:hAnsi="Arial"/>
                <w:sz w:val="18"/>
                <w:szCs w:val="18"/>
                <w:b w:val="1"/>
                <w:bCs w:val="1"/>
                <w:color w:val="auto"/>
              </w:rPr>
              <w:t>14-0462060</w:t>
            </w:r>
          </w:p>
        </w:tc>
      </w:tr>
      <w:tr>
        <w:trPr>
          <w:trHeight w:val="263"/>
        </w:trPr>
        <w:tc>
          <w:tcPr>
            <w:tcW w:w="4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(State or other jurisdiction of incorporation or</w:t>
            </w:r>
          </w:p>
        </w:tc>
        <w:tc>
          <w:tcPr>
            <w:tcW w:w="720" w:type="dxa"/>
            <w:vAlign w:val="bottom"/>
          </w:tcPr>
          <w:p>
            <w:pPr>
              <w:spacing w:after="0"/>
              <w:rPr>
                <w:sz w:val="22"/>
                <w:szCs w:val="22"/>
                <w:color w:val="auto"/>
              </w:rPr>
            </w:pPr>
          </w:p>
        </w:tc>
        <w:tc>
          <w:tcPr>
            <w:tcW w:w="4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(IRS Employer Identification No.)</w:t>
            </w:r>
          </w:p>
        </w:tc>
      </w:tr>
      <w:tr>
        <w:trPr>
          <w:trHeight w:val="217"/>
        </w:trPr>
        <w:tc>
          <w:tcPr>
            <w:tcW w:w="4640" w:type="dxa"/>
            <w:vAlign w:val="bottom"/>
          </w:tcPr>
          <w:p>
            <w:pPr>
              <w:jc w:val="center"/>
              <w:spacing w:after="0"/>
              <w:rPr>
                <w:sz w:val="20"/>
                <w:szCs w:val="20"/>
                <w:color w:val="auto"/>
              </w:rPr>
            </w:pPr>
            <w:r>
              <w:rPr>
                <w:rFonts w:ascii="Arial" w:cs="Arial" w:eastAsia="Arial" w:hAnsi="Arial"/>
                <w:sz w:val="18"/>
                <w:szCs w:val="18"/>
                <w:color w:val="auto"/>
                <w:w w:val="99"/>
              </w:rPr>
              <w:t>organization)</w:t>
            </w:r>
          </w:p>
        </w:tc>
        <w:tc>
          <w:tcPr>
            <w:tcW w:w="72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513"/>
        </w:trPr>
        <w:tc>
          <w:tcPr>
            <w:tcW w:w="4640" w:type="dxa"/>
            <w:vAlign w:val="bottom"/>
          </w:tcPr>
          <w:p>
            <w:pPr>
              <w:jc w:val="center"/>
              <w:spacing w:after="0"/>
              <w:rPr>
                <w:sz w:val="20"/>
                <w:szCs w:val="20"/>
                <w:color w:val="auto"/>
              </w:rPr>
            </w:pPr>
            <w:r>
              <w:rPr>
                <w:rFonts w:ascii="Arial" w:cs="Arial" w:eastAsia="Arial" w:hAnsi="Arial"/>
                <w:sz w:val="18"/>
                <w:szCs w:val="18"/>
                <w:b w:val="1"/>
                <w:bCs w:val="1"/>
                <w:color w:val="auto"/>
                <w:w w:val="99"/>
              </w:rPr>
              <w:t>216 Airport Drive, Rochester, New Hampshire</w:t>
            </w:r>
          </w:p>
        </w:tc>
        <w:tc>
          <w:tcPr>
            <w:tcW w:w="5340" w:type="dxa"/>
            <w:vAlign w:val="bottom"/>
            <w:gridSpan w:val="2"/>
          </w:tcPr>
          <w:p>
            <w:pPr>
              <w:jc w:val="right"/>
              <w:ind w:right="1970"/>
              <w:spacing w:after="0"/>
              <w:rPr>
                <w:sz w:val="20"/>
                <w:szCs w:val="20"/>
                <w:color w:val="auto"/>
              </w:rPr>
            </w:pPr>
            <w:r>
              <w:rPr>
                <w:rFonts w:ascii="Arial" w:cs="Arial" w:eastAsia="Arial" w:hAnsi="Arial"/>
                <w:sz w:val="18"/>
                <w:szCs w:val="18"/>
                <w:b w:val="1"/>
                <w:bCs w:val="1"/>
                <w:color w:val="auto"/>
              </w:rPr>
              <w:t>03867</w:t>
            </w:r>
          </w:p>
        </w:tc>
      </w:tr>
      <w:tr>
        <w:trPr>
          <w:trHeight w:val="277"/>
        </w:trPr>
        <w:tc>
          <w:tcPr>
            <w:tcW w:w="4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720" w:type="dxa"/>
            <w:vAlign w:val="bottom"/>
          </w:tcPr>
          <w:p>
            <w:pPr>
              <w:spacing w:after="0"/>
              <w:rPr>
                <w:sz w:val="24"/>
                <w:szCs w:val="24"/>
                <w:color w:val="auto"/>
              </w:rPr>
            </w:pPr>
          </w:p>
        </w:tc>
        <w:tc>
          <w:tcPr>
            <w:tcW w:w="4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(Zip Code)</w:t>
            </w:r>
          </w:p>
        </w:tc>
      </w:tr>
    </w:tbl>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603-330-5850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2286000</wp:posOffset>
            </wp:positionH>
            <wp:positionV relativeFrom="paragraph">
              <wp:posOffset>-5080</wp:posOffset>
            </wp:positionV>
            <wp:extent cx="2684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Securities registered pursuant to Section 12(b) of the Act:</w:t>
      </w:r>
    </w:p>
    <w:p>
      <w:pPr>
        <w:spacing w:after="0" w:line="139" w:lineRule="exact"/>
        <w:rPr>
          <w:sz w:val="24"/>
          <w:szCs w:val="24"/>
          <w:color w:val="auto"/>
        </w:rPr>
      </w:pPr>
    </w:p>
    <w:tbl>
      <w:tblPr>
        <w:tblLayout w:type="fixed"/>
        <w:tblInd w:w="10" w:type="dxa"/>
        <w:tblCellMar>
          <w:top w:w="0" w:type="dxa"/>
          <w:left w:w="0" w:type="dxa"/>
          <w:bottom w:w="0" w:type="dxa"/>
          <w:right w:w="0" w:type="dxa"/>
        </w:tblCellMar>
      </w:tblPr>
      <w:tr>
        <w:trPr>
          <w:trHeight w:val="270"/>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Title of each class</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4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50"/>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$0.001 par value per share</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AIN</w:t>
            </w:r>
          </w:p>
        </w:tc>
        <w:tc>
          <w:tcPr>
            <w:tcW w:w="4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New York Stock Exchange (NYSE)</w:t>
            </w:r>
          </w:p>
        </w:tc>
      </w:tr>
      <w:tr>
        <w:trPr>
          <w:trHeight w:val="250"/>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B Common Stock, $0.001 par value per share</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AIN</w:t>
            </w:r>
          </w:p>
        </w:tc>
        <w:tc>
          <w:tcPr>
            <w:tcW w:w="4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New York Stock Exchange (NYSE)</w:t>
            </w:r>
          </w:p>
        </w:tc>
      </w:tr>
    </w:tbl>
    <w:p>
      <w:pPr>
        <w:spacing w:after="0" w:line="283" w:lineRule="exact"/>
        <w:rPr>
          <w:sz w:val="24"/>
          <w:szCs w:val="24"/>
          <w:color w:val="auto"/>
        </w:rPr>
      </w:pPr>
    </w:p>
    <w:p>
      <w:pPr>
        <w:jc w:val="both"/>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jc w:val="both"/>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5"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tc>
        <w:tc>
          <w:tcPr>
            <w:tcW w:w="6700" w:type="dxa"/>
            <w:vAlign w:val="bottom"/>
          </w:tcPr>
          <w:p>
            <w:pPr>
              <w:ind w:left="292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tc>
        <w:tc>
          <w:tcPr>
            <w:tcW w:w="20" w:type="dxa"/>
            <w:vAlign w:val="bottom"/>
          </w:tcPr>
          <w:p>
            <w:pPr>
              <w:spacing w:after="0"/>
              <w:rPr>
                <w:sz w:val="16"/>
                <w:szCs w:val="16"/>
                <w:color w:val="auto"/>
              </w:rPr>
            </w:pPr>
          </w:p>
        </w:tc>
      </w:tr>
      <w:tr>
        <w:trPr>
          <w:trHeight w:val="189"/>
        </w:trPr>
        <w:tc>
          <w:tcPr>
            <w:tcW w:w="4700" w:type="dxa"/>
            <w:vAlign w:val="bottom"/>
          </w:tcPr>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tc>
        <w:tc>
          <w:tcPr>
            <w:tcW w:w="6700" w:type="dxa"/>
            <w:vAlign w:val="bottom"/>
          </w:tcPr>
          <w:p>
            <w:pPr>
              <w:ind w:left="292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tc>
        <w:tc>
          <w:tcPr>
            <w:tcW w:w="20" w:type="dxa"/>
            <w:vAlign w:val="bottom"/>
          </w:tcPr>
          <w:p>
            <w:pPr>
              <w:spacing w:after="0"/>
              <w:rPr>
                <w:sz w:val="16"/>
                <w:szCs w:val="16"/>
                <w:color w:val="auto"/>
              </w:rPr>
            </w:pPr>
          </w:p>
        </w:tc>
      </w:tr>
      <w:tr>
        <w:trPr>
          <w:trHeight w:val="254"/>
        </w:trPr>
        <w:tc>
          <w:tcPr>
            <w:tcW w:w="4700" w:type="dxa"/>
            <w:vAlign w:val="bottom"/>
          </w:tcPr>
          <w:p>
            <w:pPr>
              <w:spacing w:after="0"/>
              <w:rPr>
                <w:sz w:val="22"/>
                <w:szCs w:val="22"/>
                <w:color w:val="auto"/>
              </w:rPr>
            </w:pPr>
          </w:p>
        </w:tc>
        <w:tc>
          <w:tcPr>
            <w:tcW w:w="6700" w:type="dxa"/>
            <w:vAlign w:val="bottom"/>
          </w:tcPr>
          <w:p>
            <w:pPr>
              <w:ind w:left="29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tc>
        <w:tc>
          <w:tcPr>
            <w:tcW w:w="20" w:type="dxa"/>
            <w:vAlign w:val="bottom"/>
          </w:tcPr>
          <w:p>
            <w:pPr>
              <w:spacing w:after="0"/>
              <w:rPr>
                <w:sz w:val="22"/>
                <w:szCs w:val="22"/>
                <w:color w:val="auto"/>
              </w:rPr>
            </w:pPr>
          </w:p>
        </w:tc>
      </w:tr>
      <w:tr>
        <w:trPr>
          <w:trHeight w:val="218"/>
        </w:trPr>
        <w:tc>
          <w:tcPr>
            <w:tcW w:w="4700" w:type="dxa"/>
            <w:vAlign w:val="bottom"/>
            <w:tcBorders>
              <w:bottom w:val="single" w:sz="8" w:color="EEEEEE"/>
            </w:tcBorders>
          </w:tcPr>
          <w:p>
            <w:pPr>
              <w:spacing w:after="0"/>
              <w:rPr>
                <w:sz w:val="18"/>
                <w:szCs w:val="18"/>
                <w:color w:val="auto"/>
              </w:rPr>
            </w:pPr>
          </w:p>
        </w:tc>
        <w:tc>
          <w:tcPr>
            <w:tcW w:w="670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4700" w:type="dxa"/>
            <w:vAlign w:val="bottom"/>
            <w:tcBorders>
              <w:bottom w:val="single" w:sz="8" w:color="EEEEEE"/>
            </w:tcBorders>
          </w:tcPr>
          <w:p>
            <w:pPr>
              <w:spacing w:after="0"/>
              <w:rPr>
                <w:sz w:val="13"/>
                <w:szCs w:val="13"/>
                <w:color w:val="auto"/>
              </w:rPr>
            </w:pPr>
          </w:p>
        </w:tc>
        <w:tc>
          <w:tcPr>
            <w:tcW w:w="670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-55245</wp:posOffset>
            </wp:positionV>
            <wp:extent cx="727202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6858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1" w:name="page2"/>
    <w:bookmarkEnd w:id="1"/>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registrant had 30.7 million shares of Class A Common Stock and 1.6 million shares of Class B Common Stock outstanding as of October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27202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gridSpan w:val="6"/>
          </w:tcPr>
          <w:p>
            <w:pPr>
              <w:ind w:left="160"/>
              <w:spacing w:after="0"/>
              <w:rPr>
                <w:sz w:val="20"/>
                <w:szCs w:val="20"/>
                <w:color w:val="auto"/>
              </w:rPr>
            </w:pPr>
            <w:r>
              <w:rPr>
                <w:rFonts w:ascii="Arial" w:cs="Arial" w:eastAsia="Arial" w:hAnsi="Arial"/>
                <w:sz w:val="14"/>
                <w:szCs w:val="14"/>
                <w:b w:val="1"/>
                <w:bCs w:val="1"/>
                <w:color w:val="auto"/>
              </w:rPr>
              <w:t>Page</w:t>
            </w:r>
          </w:p>
        </w:tc>
      </w:tr>
      <w:tr>
        <w:trPr>
          <w:trHeight w:val="175"/>
        </w:trPr>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00" w:type="dxa"/>
            <w:vAlign w:val="bottom"/>
            <w:gridSpan w:val="7"/>
          </w:tcPr>
          <w:p>
            <w:pPr>
              <w:ind w:left="1080"/>
              <w:spacing w:after="0"/>
              <w:rPr>
                <w:sz w:val="20"/>
                <w:szCs w:val="20"/>
                <w:color w:val="auto"/>
              </w:rPr>
            </w:pPr>
            <w:r>
              <w:rPr>
                <w:rFonts w:ascii="Arial" w:cs="Arial" w:eastAsia="Arial" w:hAnsi="Arial"/>
                <w:sz w:val="14"/>
                <w:szCs w:val="14"/>
                <w:b w:val="1"/>
                <w:bCs w:val="1"/>
                <w:color w:val="auto"/>
              </w:rPr>
              <w:t>Number</w:t>
            </w:r>
          </w:p>
        </w:tc>
      </w:tr>
      <w:tr>
        <w:trPr>
          <w:trHeight w:val="385"/>
        </w:trPr>
        <w:tc>
          <w:tcPr>
            <w:tcW w:w="9720" w:type="dxa"/>
            <w:vAlign w:val="bottom"/>
            <w:tcBorders>
              <w:top w:val="single" w:sz="8" w:color="BFBFBF"/>
            </w:tcBorders>
            <w:gridSpan w:val="21"/>
            <w:shd w:val="clear" w:color="auto" w:fill="BFBFBF"/>
          </w:tcPr>
          <w:p>
            <w:pPr>
              <w:spacing w:after="0"/>
              <w:rPr>
                <w:sz w:val="20"/>
                <w:szCs w:val="20"/>
                <w:color w:val="auto"/>
              </w:rPr>
            </w:pPr>
            <w:r>
              <w:rPr>
                <w:rFonts w:ascii="Arial" w:cs="Arial" w:eastAsia="Arial" w:hAnsi="Arial"/>
                <w:sz w:val="16"/>
                <w:szCs w:val="16"/>
                <w:b w:val="1"/>
                <w:bCs w:val="1"/>
                <w:color w:val="auto"/>
              </w:rPr>
              <w:t>Part I Financial information</w:t>
            </w:r>
          </w:p>
        </w:tc>
        <w:tc>
          <w:tcPr>
            <w:tcW w:w="1080" w:type="dxa"/>
            <w:vAlign w:val="bottom"/>
            <w:tcBorders>
              <w:top w:val="single" w:sz="8" w:color="BFBFBF"/>
            </w:tcBorders>
            <w:shd w:val="clear" w:color="auto" w:fill="BFBFBF"/>
          </w:tcPr>
          <w:p>
            <w:pPr>
              <w:spacing w:after="0"/>
              <w:rPr>
                <w:sz w:val="24"/>
                <w:szCs w:val="24"/>
                <w:color w:val="auto"/>
              </w:rPr>
            </w:pPr>
          </w:p>
        </w:tc>
        <w:tc>
          <w:tcPr>
            <w:tcW w:w="180" w:type="dxa"/>
            <w:vAlign w:val="bottom"/>
            <w:tcBorders>
              <w:top w:val="single" w:sz="8" w:color="auto"/>
            </w:tcBorders>
            <w:shd w:val="clear" w:color="auto" w:fill="BFBFBF"/>
          </w:tcPr>
          <w:p>
            <w:pPr>
              <w:spacing w:after="0"/>
              <w:rPr>
                <w:sz w:val="24"/>
                <w:szCs w:val="24"/>
                <w:color w:val="auto"/>
              </w:rPr>
            </w:pPr>
          </w:p>
        </w:tc>
        <w:tc>
          <w:tcPr>
            <w:tcW w:w="80" w:type="dxa"/>
            <w:vAlign w:val="bottom"/>
            <w:tcBorders>
              <w:top w:val="single" w:sz="8" w:color="auto"/>
            </w:tcBorders>
            <w:shd w:val="clear" w:color="auto" w:fill="BFBFBF"/>
          </w:tcPr>
          <w:p>
            <w:pPr>
              <w:spacing w:after="0"/>
              <w:rPr>
                <w:sz w:val="24"/>
                <w:szCs w:val="24"/>
                <w:color w:val="auto"/>
              </w:rPr>
            </w:pPr>
          </w:p>
        </w:tc>
        <w:tc>
          <w:tcPr>
            <w:tcW w:w="100" w:type="dxa"/>
            <w:vAlign w:val="bottom"/>
            <w:tcBorders>
              <w:top w:val="single" w:sz="8" w:color="auto"/>
            </w:tcBorders>
            <w:shd w:val="clear" w:color="auto" w:fill="BFBFBF"/>
          </w:tcPr>
          <w:p>
            <w:pPr>
              <w:spacing w:after="0"/>
              <w:rPr>
                <w:sz w:val="24"/>
                <w:szCs w:val="24"/>
                <w:color w:val="auto"/>
              </w:rPr>
            </w:pPr>
          </w:p>
        </w:tc>
        <w:tc>
          <w:tcPr>
            <w:tcW w:w="180" w:type="dxa"/>
            <w:vAlign w:val="bottom"/>
            <w:tcBorders>
              <w:top w:val="single" w:sz="8" w:color="auto"/>
            </w:tcBorders>
            <w:shd w:val="clear" w:color="auto" w:fill="BFBFBF"/>
          </w:tcPr>
          <w:p>
            <w:pPr>
              <w:spacing w:after="0"/>
              <w:rPr>
                <w:sz w:val="24"/>
                <w:szCs w:val="24"/>
                <w:color w:val="auto"/>
              </w:rPr>
            </w:pPr>
          </w:p>
        </w:tc>
        <w:tc>
          <w:tcPr>
            <w:tcW w:w="60" w:type="dxa"/>
            <w:vAlign w:val="bottom"/>
            <w:tcBorders>
              <w:top w:val="single" w:sz="8" w:color="BFBFBF"/>
            </w:tcBorders>
            <w:shd w:val="clear" w:color="auto" w:fill="BFBFBF"/>
          </w:tcPr>
          <w:p>
            <w:pPr>
              <w:spacing w:after="0"/>
              <w:rPr>
                <w:sz w:val="24"/>
                <w:szCs w:val="24"/>
                <w:color w:val="auto"/>
              </w:rPr>
            </w:pPr>
          </w:p>
        </w:tc>
        <w:tc>
          <w:tcPr>
            <w:tcW w:w="20" w:type="dxa"/>
            <w:vAlign w:val="bottom"/>
            <w:tcBorders>
              <w:top w:val="single" w:sz="8" w:color="BFBFBF"/>
            </w:tcBorders>
            <w:shd w:val="clear" w:color="auto" w:fill="BFBFBF"/>
          </w:tcPr>
          <w:p>
            <w:pPr>
              <w:spacing w:after="0"/>
              <w:rPr>
                <w:sz w:val="24"/>
                <w:szCs w:val="24"/>
                <w:color w:val="auto"/>
              </w:rPr>
            </w:pPr>
          </w:p>
        </w:tc>
      </w:tr>
      <w:tr>
        <w:trPr>
          <w:trHeight w:val="169"/>
        </w:trPr>
        <w:tc>
          <w:tcPr>
            <w:tcW w:w="280" w:type="dxa"/>
            <w:vAlign w:val="bottom"/>
          </w:tcPr>
          <w:p>
            <w:pPr>
              <w:spacing w:after="0"/>
              <w:rPr>
                <w:sz w:val="14"/>
                <w:szCs w:val="14"/>
                <w:color w:val="auto"/>
              </w:rPr>
            </w:pPr>
          </w:p>
        </w:tc>
        <w:tc>
          <w:tcPr>
            <w:tcW w:w="500" w:type="dxa"/>
            <w:vAlign w:val="bottom"/>
            <w:tcBorders>
              <w:bottom w:val="single" w:sz="8" w:color="0000EE"/>
            </w:tcBorders>
          </w:tcPr>
          <w:p>
            <w:pPr>
              <w:spacing w:after="0" w:line="162" w:lineRule="exact"/>
              <w:rPr>
                <w:rFonts w:ascii="Arial" w:cs="Arial" w:eastAsia="Arial" w:hAnsi="Arial"/>
                <w:sz w:val="16"/>
                <w:szCs w:val="16"/>
                <w:color w:val="0000EE"/>
                <w:w w:val="98"/>
              </w:rPr>
            </w:pPr>
            <w:hyperlink w:anchor="page4">
              <w:r>
                <w:rPr>
                  <w:rFonts w:ascii="Arial" w:cs="Arial" w:eastAsia="Arial" w:hAnsi="Arial"/>
                  <w:sz w:val="16"/>
                  <w:szCs w:val="16"/>
                  <w:color w:val="0000EE"/>
                  <w:w w:val="98"/>
                </w:rPr>
                <w:t>Item 1.</w:t>
              </w:r>
            </w:hyperlink>
          </w:p>
        </w:tc>
        <w:tc>
          <w:tcPr>
            <w:tcW w:w="2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Borders>
              <w:bottom w:val="single" w:sz="8" w:color="0000EE"/>
            </w:tcBorders>
            <w:gridSpan w:val="5"/>
          </w:tcPr>
          <w:p>
            <w:pPr>
              <w:spacing w:after="0" w:line="162" w:lineRule="exact"/>
              <w:rPr>
                <w:rFonts w:ascii="Arial" w:cs="Arial" w:eastAsia="Arial" w:hAnsi="Arial"/>
                <w:sz w:val="16"/>
                <w:szCs w:val="16"/>
                <w:color w:val="0000EE"/>
              </w:rPr>
            </w:pPr>
            <w:hyperlink w:anchor="page4">
              <w:r>
                <w:rPr>
                  <w:rFonts w:ascii="Arial" w:cs="Arial" w:eastAsia="Arial" w:hAnsi="Arial"/>
                  <w:sz w:val="16"/>
                  <w:szCs w:val="16"/>
                  <w:color w:val="0000EE"/>
                </w:rPr>
                <w:t>Financial Statements</w:t>
              </w:r>
            </w:hyperlink>
          </w:p>
        </w:tc>
        <w:tc>
          <w:tcPr>
            <w:tcW w:w="7120" w:type="dxa"/>
            <w:vAlign w:val="bottom"/>
            <w:gridSpan w:val="11"/>
          </w:tcPr>
          <w:p>
            <w:pPr>
              <w:spacing w:after="0"/>
              <w:rPr>
                <w:sz w:val="14"/>
                <w:szCs w:val="14"/>
                <w:color w:val="auto"/>
              </w:rPr>
            </w:pPr>
          </w:p>
        </w:tc>
        <w:tc>
          <w:tcPr>
            <w:tcW w:w="1340" w:type="dxa"/>
            <w:vAlign w:val="bottom"/>
            <w:gridSpan w:val="3"/>
          </w:tcPr>
          <w:p>
            <w:pPr>
              <w:spacing w:after="0"/>
              <w:rPr>
                <w:sz w:val="14"/>
                <w:szCs w:val="14"/>
                <w:color w:val="auto"/>
              </w:rPr>
            </w:pPr>
          </w:p>
        </w:tc>
        <w:tc>
          <w:tcPr>
            <w:tcW w:w="100" w:type="dxa"/>
            <w:vAlign w:val="bottom"/>
            <w:tcBorders>
              <w:bottom w:val="single" w:sz="8" w:color="0000EE"/>
            </w:tcBorders>
          </w:tcPr>
          <w:p>
            <w:pPr>
              <w:jc w:val="right"/>
              <w:spacing w:after="0" w:line="162" w:lineRule="exact"/>
              <w:rPr>
                <w:rFonts w:ascii="Arial" w:cs="Arial" w:eastAsia="Arial" w:hAnsi="Arial"/>
                <w:sz w:val="16"/>
                <w:szCs w:val="16"/>
                <w:color w:val="0000EE"/>
                <w:w w:val="89"/>
              </w:rPr>
            </w:pPr>
            <w:hyperlink w:anchor="page4">
              <w:r>
                <w:rPr>
                  <w:rFonts w:ascii="Arial" w:cs="Arial" w:eastAsia="Arial" w:hAnsi="Arial"/>
                  <w:sz w:val="16"/>
                  <w:szCs w:val="16"/>
                  <w:color w:val="0000EE"/>
                  <w:w w:val="89"/>
                </w:rPr>
                <w:t>3</w:t>
              </w:r>
            </w:hyperlink>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80" w:type="dxa"/>
            <w:vAlign w:val="bottom"/>
            <w:shd w:val="clear" w:color="auto" w:fill="BFBFBF"/>
          </w:tcPr>
          <w:p>
            <w:pPr>
              <w:spacing w:after="0"/>
              <w:rPr>
                <w:sz w:val="14"/>
                <w:szCs w:val="14"/>
                <w:color w:val="auto"/>
              </w:rPr>
            </w:pPr>
          </w:p>
        </w:tc>
        <w:tc>
          <w:tcPr>
            <w:tcW w:w="500" w:type="dxa"/>
            <w:vAlign w:val="bottom"/>
            <w:shd w:val="clear" w:color="auto" w:fill="BFBFBF"/>
          </w:tcPr>
          <w:p>
            <w:pPr>
              <w:spacing w:after="0"/>
              <w:rPr>
                <w:sz w:val="14"/>
                <w:szCs w:val="14"/>
                <w:color w:val="auto"/>
              </w:rPr>
            </w:pPr>
          </w:p>
        </w:tc>
        <w:tc>
          <w:tcPr>
            <w:tcW w:w="100" w:type="dxa"/>
            <w:vAlign w:val="bottom"/>
            <w:shd w:val="clear" w:color="auto" w:fill="BFBFBF"/>
          </w:tcPr>
          <w:p>
            <w:pPr>
              <w:spacing w:after="0"/>
              <w:rPr>
                <w:sz w:val="14"/>
                <w:szCs w:val="14"/>
                <w:color w:val="auto"/>
              </w:rPr>
            </w:pPr>
          </w:p>
        </w:tc>
        <w:tc>
          <w:tcPr>
            <w:tcW w:w="100" w:type="dxa"/>
            <w:vAlign w:val="bottom"/>
            <w:shd w:val="clear" w:color="auto" w:fill="BFBFBF"/>
          </w:tcPr>
          <w:p>
            <w:pPr>
              <w:spacing w:after="0"/>
              <w:rPr>
                <w:sz w:val="14"/>
                <w:szCs w:val="14"/>
                <w:color w:val="auto"/>
              </w:rPr>
            </w:pPr>
          </w:p>
        </w:tc>
        <w:tc>
          <w:tcPr>
            <w:tcW w:w="100" w:type="dxa"/>
            <w:vAlign w:val="bottom"/>
            <w:shd w:val="clear" w:color="auto" w:fill="BFBFBF"/>
          </w:tcPr>
          <w:p>
            <w:pPr>
              <w:spacing w:after="0"/>
              <w:rPr>
                <w:sz w:val="14"/>
                <w:szCs w:val="14"/>
                <w:color w:val="auto"/>
              </w:rPr>
            </w:pPr>
          </w:p>
        </w:tc>
        <w:tc>
          <w:tcPr>
            <w:tcW w:w="8640" w:type="dxa"/>
            <w:vAlign w:val="bottom"/>
            <w:gridSpan w:val="16"/>
            <w:shd w:val="clear" w:color="auto" w:fill="BFBFBF"/>
          </w:tcPr>
          <w:p>
            <w:pPr>
              <w:spacing w:after="0" w:line="162" w:lineRule="exact"/>
              <w:rPr>
                <w:rFonts w:ascii="Arial" w:cs="Arial" w:eastAsia="Arial" w:hAnsi="Arial"/>
                <w:sz w:val="16"/>
                <w:szCs w:val="16"/>
                <w:color w:val="0000EE"/>
              </w:rPr>
            </w:pPr>
            <w:hyperlink w:anchor="page4">
              <w:r>
                <w:rPr>
                  <w:rFonts w:ascii="Arial" w:cs="Arial" w:eastAsia="Arial" w:hAnsi="Arial"/>
                  <w:sz w:val="16"/>
                  <w:szCs w:val="16"/>
                  <w:color w:val="0000EE"/>
                </w:rPr>
                <w:t>Consolidated statements of income – three and nine months ended September 30, 2019 and 2018</w:t>
              </w:r>
            </w:hyperlink>
          </w:p>
        </w:tc>
        <w:tc>
          <w:tcPr>
            <w:tcW w:w="1440" w:type="dxa"/>
            <w:vAlign w:val="bottom"/>
            <w:gridSpan w:val="4"/>
            <w:shd w:val="clear" w:color="auto" w:fill="BFBFBF"/>
          </w:tcPr>
          <w:p>
            <w:pPr>
              <w:jc w:val="right"/>
              <w:spacing w:after="0" w:line="162" w:lineRule="exact"/>
              <w:rPr>
                <w:rFonts w:ascii="Arial" w:cs="Arial" w:eastAsia="Arial" w:hAnsi="Arial"/>
                <w:sz w:val="16"/>
                <w:szCs w:val="16"/>
                <w:color w:val="0000EE"/>
              </w:rPr>
            </w:pPr>
            <w:hyperlink w:anchor="page4">
              <w:r>
                <w:rPr>
                  <w:rFonts w:ascii="Arial" w:cs="Arial" w:eastAsia="Arial" w:hAnsi="Arial"/>
                  <w:sz w:val="16"/>
                  <w:szCs w:val="16"/>
                  <w:color w:val="0000EE"/>
                </w:rPr>
                <w:t>3</w:t>
              </w:r>
            </w:hyperlink>
          </w:p>
        </w:tc>
        <w:tc>
          <w:tcPr>
            <w:tcW w:w="180" w:type="dxa"/>
            <w:vAlign w:val="bottom"/>
            <w:shd w:val="clear" w:color="auto" w:fill="BFBFBF"/>
          </w:tcPr>
          <w:p>
            <w:pPr>
              <w:spacing w:after="0"/>
              <w:rPr>
                <w:sz w:val="14"/>
                <w:szCs w:val="14"/>
                <w:color w:val="auto"/>
              </w:rPr>
            </w:pPr>
          </w:p>
        </w:tc>
        <w:tc>
          <w:tcPr>
            <w:tcW w:w="60" w:type="dxa"/>
            <w:vAlign w:val="bottom"/>
            <w:shd w:val="clear" w:color="auto" w:fill="BFBFBF"/>
          </w:tcPr>
          <w:p>
            <w:pPr>
              <w:spacing w:after="0"/>
              <w:rPr>
                <w:sz w:val="14"/>
                <w:szCs w:val="14"/>
                <w:color w:val="auto"/>
              </w:rPr>
            </w:pPr>
          </w:p>
        </w:tc>
        <w:tc>
          <w:tcPr>
            <w:tcW w:w="20" w:type="dxa"/>
            <w:vAlign w:val="bottom"/>
            <w:shd w:val="clear" w:color="auto" w:fill="BFBFBF"/>
          </w:tcPr>
          <w:p>
            <w:pPr>
              <w:spacing w:after="0"/>
              <w:rPr>
                <w:sz w:val="14"/>
                <w:szCs w:val="14"/>
                <w:color w:val="auto"/>
              </w:rPr>
            </w:pPr>
          </w:p>
        </w:tc>
      </w:tr>
      <w:tr>
        <w:trPr>
          <w:trHeight w:val="27"/>
        </w:trPr>
        <w:tc>
          <w:tcPr>
            <w:tcW w:w="280" w:type="dxa"/>
            <w:vAlign w:val="bottom"/>
            <w:shd w:val="clear" w:color="auto" w:fill="BFBFBF"/>
          </w:tcPr>
          <w:p>
            <w:pPr>
              <w:spacing w:after="0"/>
              <w:rPr>
                <w:sz w:val="2"/>
                <w:szCs w:val="2"/>
                <w:color w:val="auto"/>
              </w:rPr>
            </w:pPr>
          </w:p>
        </w:tc>
        <w:tc>
          <w:tcPr>
            <w:tcW w:w="500" w:type="dxa"/>
            <w:vAlign w:val="bottom"/>
            <w:shd w:val="clear" w:color="auto" w:fill="BFBFBF"/>
          </w:tcPr>
          <w:p>
            <w:pPr>
              <w:spacing w:after="0"/>
              <w:rPr>
                <w:sz w:val="2"/>
                <w:szCs w:val="2"/>
                <w:color w:val="auto"/>
              </w:rPr>
            </w:pPr>
          </w:p>
        </w:tc>
        <w:tc>
          <w:tcPr>
            <w:tcW w:w="100" w:type="dxa"/>
            <w:vAlign w:val="bottom"/>
            <w:shd w:val="clear" w:color="auto" w:fill="BFBFBF"/>
          </w:tcPr>
          <w:p>
            <w:pPr>
              <w:spacing w:after="0"/>
              <w:rPr>
                <w:sz w:val="2"/>
                <w:szCs w:val="2"/>
                <w:color w:val="auto"/>
              </w:rPr>
            </w:pPr>
          </w:p>
        </w:tc>
        <w:tc>
          <w:tcPr>
            <w:tcW w:w="100" w:type="dxa"/>
            <w:vAlign w:val="bottom"/>
            <w:shd w:val="clear" w:color="auto" w:fill="BFBFBF"/>
          </w:tcPr>
          <w:p>
            <w:pPr>
              <w:spacing w:after="0"/>
              <w:rPr>
                <w:sz w:val="2"/>
                <w:szCs w:val="2"/>
                <w:color w:val="auto"/>
              </w:rPr>
            </w:pPr>
          </w:p>
        </w:tc>
        <w:tc>
          <w:tcPr>
            <w:tcW w:w="100" w:type="dxa"/>
            <w:vAlign w:val="bottom"/>
            <w:shd w:val="clear" w:color="auto" w:fill="BFBFBF"/>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1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240" w:type="dxa"/>
            <w:vAlign w:val="bottom"/>
            <w:shd w:val="clear" w:color="auto" w:fill="BFBFBF"/>
          </w:tcPr>
          <w:p>
            <w:pPr>
              <w:spacing w:after="0"/>
              <w:rPr>
                <w:sz w:val="2"/>
                <w:szCs w:val="2"/>
                <w:color w:val="auto"/>
              </w:rPr>
            </w:pPr>
          </w:p>
        </w:tc>
        <w:tc>
          <w:tcPr>
            <w:tcW w:w="1340" w:type="dxa"/>
            <w:vAlign w:val="bottom"/>
            <w:shd w:val="clear" w:color="auto" w:fill="BFBFBF"/>
          </w:tcPr>
          <w:p>
            <w:pPr>
              <w:spacing w:after="0"/>
              <w:rPr>
                <w:sz w:val="2"/>
                <w:szCs w:val="2"/>
                <w:color w:val="auto"/>
              </w:rPr>
            </w:pPr>
          </w:p>
        </w:tc>
        <w:tc>
          <w:tcPr>
            <w:tcW w:w="1080" w:type="dxa"/>
            <w:vAlign w:val="bottom"/>
            <w:shd w:val="clear" w:color="auto" w:fill="BFBFBF"/>
          </w:tcPr>
          <w:p>
            <w:pPr>
              <w:spacing w:after="0"/>
              <w:rPr>
                <w:sz w:val="2"/>
                <w:szCs w:val="2"/>
                <w:color w:val="auto"/>
              </w:rPr>
            </w:pPr>
          </w:p>
        </w:tc>
        <w:tc>
          <w:tcPr>
            <w:tcW w:w="180" w:type="dxa"/>
            <w:vAlign w:val="bottom"/>
            <w:shd w:val="clear" w:color="auto" w:fill="BFBFBF"/>
          </w:tcPr>
          <w:p>
            <w:pPr>
              <w:spacing w:after="0"/>
              <w:rPr>
                <w:sz w:val="2"/>
                <w:szCs w:val="2"/>
                <w:color w:val="auto"/>
              </w:rPr>
            </w:pPr>
          </w:p>
        </w:tc>
        <w:tc>
          <w:tcPr>
            <w:tcW w:w="80" w:type="dxa"/>
            <w:vAlign w:val="bottom"/>
            <w:shd w:val="clear" w:color="auto" w:fill="BFBFB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BFBFBF"/>
          </w:tcPr>
          <w:p>
            <w:pPr>
              <w:spacing w:after="0"/>
              <w:rPr>
                <w:sz w:val="2"/>
                <w:szCs w:val="2"/>
                <w:color w:val="auto"/>
              </w:rPr>
            </w:pPr>
          </w:p>
        </w:tc>
        <w:tc>
          <w:tcPr>
            <w:tcW w:w="60" w:type="dxa"/>
            <w:vAlign w:val="bottom"/>
            <w:shd w:val="clear" w:color="auto" w:fill="BFBFBF"/>
          </w:tcPr>
          <w:p>
            <w:pPr>
              <w:spacing w:after="0"/>
              <w:rPr>
                <w:sz w:val="2"/>
                <w:szCs w:val="2"/>
                <w:color w:val="auto"/>
              </w:rPr>
            </w:pPr>
          </w:p>
        </w:tc>
        <w:tc>
          <w:tcPr>
            <w:tcW w:w="20" w:type="dxa"/>
            <w:vAlign w:val="bottom"/>
            <w:shd w:val="clear" w:color="auto" w:fill="BFBFBF"/>
          </w:tcPr>
          <w:p>
            <w:pPr>
              <w:spacing w:after="0"/>
              <w:rPr>
                <w:sz w:val="2"/>
                <w:szCs w:val="2"/>
                <w:color w:val="auto"/>
              </w:rPr>
            </w:pPr>
          </w:p>
        </w:tc>
      </w:tr>
      <w:tr>
        <w:trPr>
          <w:trHeight w:val="169"/>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40" w:type="dxa"/>
            <w:vAlign w:val="bottom"/>
            <w:tcBorders>
              <w:bottom w:val="single" w:sz="8" w:color="0000EE"/>
            </w:tcBorders>
            <w:gridSpan w:val="16"/>
          </w:tcPr>
          <w:p>
            <w:pPr>
              <w:spacing w:after="0" w:line="162" w:lineRule="exact"/>
              <w:rPr>
                <w:rFonts w:ascii="Arial" w:cs="Arial" w:eastAsia="Arial" w:hAnsi="Arial"/>
                <w:sz w:val="16"/>
                <w:szCs w:val="16"/>
                <w:color w:val="0000EE"/>
              </w:rPr>
            </w:pPr>
            <w:hyperlink w:anchor="page5">
              <w:r>
                <w:rPr>
                  <w:rFonts w:ascii="Arial" w:cs="Arial" w:eastAsia="Arial" w:hAnsi="Arial"/>
                  <w:sz w:val="16"/>
                  <w:szCs w:val="16"/>
                  <w:color w:val="0000EE"/>
                </w:rPr>
                <w:t>Consolidated statements of comprehensive income/(loss) – three and nine months ended September 30, 2019 and 2018</w:t>
              </w:r>
            </w:hyperlink>
          </w:p>
        </w:tc>
        <w:tc>
          <w:tcPr>
            <w:tcW w:w="1340" w:type="dxa"/>
            <w:vAlign w:val="bottom"/>
            <w:gridSpan w:val="3"/>
          </w:tcPr>
          <w:p>
            <w:pPr>
              <w:spacing w:after="0"/>
              <w:rPr>
                <w:sz w:val="14"/>
                <w:szCs w:val="14"/>
                <w:color w:val="auto"/>
              </w:rPr>
            </w:pPr>
          </w:p>
        </w:tc>
        <w:tc>
          <w:tcPr>
            <w:tcW w:w="100" w:type="dxa"/>
            <w:vAlign w:val="bottom"/>
            <w:tcBorders>
              <w:bottom w:val="single" w:sz="8" w:color="0000EE"/>
            </w:tcBorders>
          </w:tcPr>
          <w:p>
            <w:pPr>
              <w:jc w:val="right"/>
              <w:spacing w:after="0" w:line="162" w:lineRule="exact"/>
              <w:rPr>
                <w:rFonts w:ascii="Arial" w:cs="Arial" w:eastAsia="Arial" w:hAnsi="Arial"/>
                <w:sz w:val="16"/>
                <w:szCs w:val="16"/>
                <w:color w:val="0000EE"/>
                <w:w w:val="89"/>
              </w:rPr>
            </w:pPr>
            <w:hyperlink w:anchor="page5">
              <w:r>
                <w:rPr>
                  <w:rFonts w:ascii="Arial" w:cs="Arial" w:eastAsia="Arial" w:hAnsi="Arial"/>
                  <w:sz w:val="16"/>
                  <w:szCs w:val="16"/>
                  <w:color w:val="0000EE"/>
                  <w:w w:val="89"/>
                </w:rPr>
                <w:t>4</w:t>
              </w:r>
            </w:hyperlink>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80" w:type="dxa"/>
            <w:vAlign w:val="bottom"/>
            <w:shd w:val="clear" w:color="auto" w:fill="BFBFBF"/>
          </w:tcPr>
          <w:p>
            <w:pPr>
              <w:spacing w:after="0"/>
              <w:rPr>
                <w:sz w:val="14"/>
                <w:szCs w:val="14"/>
                <w:color w:val="auto"/>
              </w:rPr>
            </w:pPr>
          </w:p>
        </w:tc>
        <w:tc>
          <w:tcPr>
            <w:tcW w:w="500" w:type="dxa"/>
            <w:vAlign w:val="bottom"/>
            <w:shd w:val="clear" w:color="auto" w:fill="BFBFBF"/>
          </w:tcPr>
          <w:p>
            <w:pPr>
              <w:spacing w:after="0"/>
              <w:rPr>
                <w:sz w:val="14"/>
                <w:szCs w:val="14"/>
                <w:color w:val="auto"/>
              </w:rPr>
            </w:pPr>
          </w:p>
        </w:tc>
        <w:tc>
          <w:tcPr>
            <w:tcW w:w="100" w:type="dxa"/>
            <w:vAlign w:val="bottom"/>
            <w:shd w:val="clear" w:color="auto" w:fill="BFBFBF"/>
          </w:tcPr>
          <w:p>
            <w:pPr>
              <w:spacing w:after="0"/>
              <w:rPr>
                <w:sz w:val="14"/>
                <w:szCs w:val="14"/>
                <w:color w:val="auto"/>
              </w:rPr>
            </w:pPr>
          </w:p>
        </w:tc>
        <w:tc>
          <w:tcPr>
            <w:tcW w:w="100" w:type="dxa"/>
            <w:vAlign w:val="bottom"/>
            <w:shd w:val="clear" w:color="auto" w:fill="BFBFBF"/>
          </w:tcPr>
          <w:p>
            <w:pPr>
              <w:spacing w:after="0"/>
              <w:rPr>
                <w:sz w:val="14"/>
                <w:szCs w:val="14"/>
                <w:color w:val="auto"/>
              </w:rPr>
            </w:pPr>
          </w:p>
        </w:tc>
        <w:tc>
          <w:tcPr>
            <w:tcW w:w="100" w:type="dxa"/>
            <w:vAlign w:val="bottom"/>
            <w:shd w:val="clear" w:color="auto" w:fill="BFBFBF"/>
          </w:tcPr>
          <w:p>
            <w:pPr>
              <w:spacing w:after="0"/>
              <w:rPr>
                <w:sz w:val="14"/>
                <w:szCs w:val="14"/>
                <w:color w:val="auto"/>
              </w:rPr>
            </w:pPr>
          </w:p>
        </w:tc>
        <w:tc>
          <w:tcPr>
            <w:tcW w:w="8640" w:type="dxa"/>
            <w:vAlign w:val="bottom"/>
            <w:gridSpan w:val="16"/>
            <w:shd w:val="clear" w:color="auto" w:fill="BFBFBF"/>
          </w:tcPr>
          <w:p>
            <w:pPr>
              <w:spacing w:after="0" w:line="162" w:lineRule="exact"/>
              <w:rPr>
                <w:rFonts w:ascii="Arial" w:cs="Arial" w:eastAsia="Arial" w:hAnsi="Arial"/>
                <w:sz w:val="16"/>
                <w:szCs w:val="16"/>
                <w:color w:val="0000EE"/>
              </w:rPr>
            </w:pPr>
            <w:hyperlink w:anchor="page6">
              <w:r>
                <w:rPr>
                  <w:rFonts w:ascii="Arial" w:cs="Arial" w:eastAsia="Arial" w:hAnsi="Arial"/>
                  <w:sz w:val="16"/>
                  <w:szCs w:val="16"/>
                  <w:color w:val="0000EE"/>
                </w:rPr>
                <w:t>Consolidated balance sheets as of September 30, 2019 and December 31, 2018</w:t>
              </w:r>
            </w:hyperlink>
          </w:p>
        </w:tc>
        <w:tc>
          <w:tcPr>
            <w:tcW w:w="1440" w:type="dxa"/>
            <w:vAlign w:val="bottom"/>
            <w:gridSpan w:val="4"/>
            <w:shd w:val="clear" w:color="auto" w:fill="BFBFBF"/>
          </w:tcPr>
          <w:p>
            <w:pPr>
              <w:jc w:val="right"/>
              <w:spacing w:after="0" w:line="162" w:lineRule="exact"/>
              <w:rPr>
                <w:rFonts w:ascii="Arial" w:cs="Arial" w:eastAsia="Arial" w:hAnsi="Arial"/>
                <w:sz w:val="16"/>
                <w:szCs w:val="16"/>
                <w:color w:val="0000EE"/>
              </w:rPr>
            </w:pPr>
            <w:hyperlink w:anchor="page6">
              <w:r>
                <w:rPr>
                  <w:rFonts w:ascii="Arial" w:cs="Arial" w:eastAsia="Arial" w:hAnsi="Arial"/>
                  <w:sz w:val="16"/>
                  <w:szCs w:val="16"/>
                  <w:color w:val="0000EE"/>
                </w:rPr>
                <w:t>5</w:t>
              </w:r>
            </w:hyperlink>
          </w:p>
        </w:tc>
        <w:tc>
          <w:tcPr>
            <w:tcW w:w="180" w:type="dxa"/>
            <w:vAlign w:val="bottom"/>
            <w:shd w:val="clear" w:color="auto" w:fill="BFBFBF"/>
          </w:tcPr>
          <w:p>
            <w:pPr>
              <w:spacing w:after="0"/>
              <w:rPr>
                <w:sz w:val="14"/>
                <w:szCs w:val="14"/>
                <w:color w:val="auto"/>
              </w:rPr>
            </w:pPr>
          </w:p>
        </w:tc>
        <w:tc>
          <w:tcPr>
            <w:tcW w:w="60" w:type="dxa"/>
            <w:vAlign w:val="bottom"/>
            <w:shd w:val="clear" w:color="auto" w:fill="BFBFBF"/>
          </w:tcPr>
          <w:p>
            <w:pPr>
              <w:spacing w:after="0"/>
              <w:rPr>
                <w:sz w:val="14"/>
                <w:szCs w:val="14"/>
                <w:color w:val="auto"/>
              </w:rPr>
            </w:pPr>
          </w:p>
        </w:tc>
        <w:tc>
          <w:tcPr>
            <w:tcW w:w="20" w:type="dxa"/>
            <w:vAlign w:val="bottom"/>
            <w:shd w:val="clear" w:color="auto" w:fill="BFBFBF"/>
          </w:tcPr>
          <w:p>
            <w:pPr>
              <w:spacing w:after="0"/>
              <w:rPr>
                <w:sz w:val="14"/>
                <w:szCs w:val="14"/>
                <w:color w:val="auto"/>
              </w:rPr>
            </w:pPr>
          </w:p>
        </w:tc>
      </w:tr>
      <w:tr>
        <w:trPr>
          <w:trHeight w:val="27"/>
        </w:trPr>
        <w:tc>
          <w:tcPr>
            <w:tcW w:w="280" w:type="dxa"/>
            <w:vAlign w:val="bottom"/>
            <w:shd w:val="clear" w:color="auto" w:fill="BFBFBF"/>
          </w:tcPr>
          <w:p>
            <w:pPr>
              <w:spacing w:after="0"/>
              <w:rPr>
                <w:sz w:val="2"/>
                <w:szCs w:val="2"/>
                <w:color w:val="auto"/>
              </w:rPr>
            </w:pPr>
          </w:p>
        </w:tc>
        <w:tc>
          <w:tcPr>
            <w:tcW w:w="500" w:type="dxa"/>
            <w:vAlign w:val="bottom"/>
            <w:shd w:val="clear" w:color="auto" w:fill="BFBFBF"/>
          </w:tcPr>
          <w:p>
            <w:pPr>
              <w:spacing w:after="0"/>
              <w:rPr>
                <w:sz w:val="2"/>
                <w:szCs w:val="2"/>
                <w:color w:val="auto"/>
              </w:rPr>
            </w:pPr>
          </w:p>
        </w:tc>
        <w:tc>
          <w:tcPr>
            <w:tcW w:w="100" w:type="dxa"/>
            <w:vAlign w:val="bottom"/>
            <w:shd w:val="clear" w:color="auto" w:fill="BFBFBF"/>
          </w:tcPr>
          <w:p>
            <w:pPr>
              <w:spacing w:after="0"/>
              <w:rPr>
                <w:sz w:val="2"/>
                <w:szCs w:val="2"/>
                <w:color w:val="auto"/>
              </w:rPr>
            </w:pPr>
          </w:p>
        </w:tc>
        <w:tc>
          <w:tcPr>
            <w:tcW w:w="100" w:type="dxa"/>
            <w:vAlign w:val="bottom"/>
            <w:shd w:val="clear" w:color="auto" w:fill="BFBFBF"/>
          </w:tcPr>
          <w:p>
            <w:pPr>
              <w:spacing w:after="0"/>
              <w:rPr>
                <w:sz w:val="2"/>
                <w:szCs w:val="2"/>
                <w:color w:val="auto"/>
              </w:rPr>
            </w:pPr>
          </w:p>
        </w:tc>
        <w:tc>
          <w:tcPr>
            <w:tcW w:w="100" w:type="dxa"/>
            <w:vAlign w:val="bottom"/>
            <w:shd w:val="clear" w:color="auto" w:fill="BFBFBF"/>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1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600" w:type="dxa"/>
            <w:vAlign w:val="bottom"/>
            <w:shd w:val="clear" w:color="auto" w:fill="BFBFBF"/>
          </w:tcPr>
          <w:p>
            <w:pPr>
              <w:spacing w:after="0"/>
              <w:rPr>
                <w:sz w:val="2"/>
                <w:szCs w:val="2"/>
                <w:color w:val="auto"/>
              </w:rPr>
            </w:pPr>
          </w:p>
        </w:tc>
        <w:tc>
          <w:tcPr>
            <w:tcW w:w="680" w:type="dxa"/>
            <w:vAlign w:val="bottom"/>
            <w:shd w:val="clear" w:color="auto" w:fill="BFBFBF"/>
          </w:tcPr>
          <w:p>
            <w:pPr>
              <w:spacing w:after="0"/>
              <w:rPr>
                <w:sz w:val="2"/>
                <w:szCs w:val="2"/>
                <w:color w:val="auto"/>
              </w:rPr>
            </w:pPr>
          </w:p>
        </w:tc>
        <w:tc>
          <w:tcPr>
            <w:tcW w:w="240" w:type="dxa"/>
            <w:vAlign w:val="bottom"/>
            <w:shd w:val="clear" w:color="auto" w:fill="BFBFBF"/>
          </w:tcPr>
          <w:p>
            <w:pPr>
              <w:spacing w:after="0"/>
              <w:rPr>
                <w:sz w:val="2"/>
                <w:szCs w:val="2"/>
                <w:color w:val="auto"/>
              </w:rPr>
            </w:pPr>
          </w:p>
        </w:tc>
        <w:tc>
          <w:tcPr>
            <w:tcW w:w="1340" w:type="dxa"/>
            <w:vAlign w:val="bottom"/>
            <w:shd w:val="clear" w:color="auto" w:fill="BFBFBF"/>
          </w:tcPr>
          <w:p>
            <w:pPr>
              <w:spacing w:after="0"/>
              <w:rPr>
                <w:sz w:val="2"/>
                <w:szCs w:val="2"/>
                <w:color w:val="auto"/>
              </w:rPr>
            </w:pPr>
          </w:p>
        </w:tc>
        <w:tc>
          <w:tcPr>
            <w:tcW w:w="1080" w:type="dxa"/>
            <w:vAlign w:val="bottom"/>
            <w:shd w:val="clear" w:color="auto" w:fill="BFBFBF"/>
          </w:tcPr>
          <w:p>
            <w:pPr>
              <w:spacing w:after="0"/>
              <w:rPr>
                <w:sz w:val="2"/>
                <w:szCs w:val="2"/>
                <w:color w:val="auto"/>
              </w:rPr>
            </w:pPr>
          </w:p>
        </w:tc>
        <w:tc>
          <w:tcPr>
            <w:tcW w:w="180" w:type="dxa"/>
            <w:vAlign w:val="bottom"/>
            <w:shd w:val="clear" w:color="auto" w:fill="BFBFBF"/>
          </w:tcPr>
          <w:p>
            <w:pPr>
              <w:spacing w:after="0"/>
              <w:rPr>
                <w:sz w:val="2"/>
                <w:szCs w:val="2"/>
                <w:color w:val="auto"/>
              </w:rPr>
            </w:pPr>
          </w:p>
        </w:tc>
        <w:tc>
          <w:tcPr>
            <w:tcW w:w="80" w:type="dxa"/>
            <w:vAlign w:val="bottom"/>
            <w:shd w:val="clear" w:color="auto" w:fill="BFBFB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BFBFBF"/>
          </w:tcPr>
          <w:p>
            <w:pPr>
              <w:spacing w:after="0"/>
              <w:rPr>
                <w:sz w:val="2"/>
                <w:szCs w:val="2"/>
                <w:color w:val="auto"/>
              </w:rPr>
            </w:pPr>
          </w:p>
        </w:tc>
        <w:tc>
          <w:tcPr>
            <w:tcW w:w="60" w:type="dxa"/>
            <w:vAlign w:val="bottom"/>
            <w:shd w:val="clear" w:color="auto" w:fill="BFBFBF"/>
          </w:tcPr>
          <w:p>
            <w:pPr>
              <w:spacing w:after="0"/>
              <w:rPr>
                <w:sz w:val="2"/>
                <w:szCs w:val="2"/>
                <w:color w:val="auto"/>
              </w:rPr>
            </w:pPr>
          </w:p>
        </w:tc>
        <w:tc>
          <w:tcPr>
            <w:tcW w:w="20" w:type="dxa"/>
            <w:vAlign w:val="bottom"/>
            <w:shd w:val="clear" w:color="auto" w:fill="BFBFBF"/>
          </w:tcPr>
          <w:p>
            <w:pPr>
              <w:spacing w:after="0"/>
              <w:rPr>
                <w:sz w:val="2"/>
                <w:szCs w:val="2"/>
                <w:color w:val="auto"/>
              </w:rPr>
            </w:pPr>
          </w:p>
        </w:tc>
      </w:tr>
      <w:tr>
        <w:trPr>
          <w:trHeight w:val="169"/>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300" w:type="dxa"/>
            <w:vAlign w:val="bottom"/>
            <w:tcBorders>
              <w:bottom w:val="single" w:sz="8" w:color="0000EE"/>
            </w:tcBorders>
            <w:gridSpan w:val="15"/>
          </w:tcPr>
          <w:p>
            <w:pPr>
              <w:spacing w:after="0" w:line="162" w:lineRule="exact"/>
              <w:rPr>
                <w:rFonts w:ascii="Arial" w:cs="Arial" w:eastAsia="Arial" w:hAnsi="Arial"/>
                <w:sz w:val="16"/>
                <w:szCs w:val="16"/>
                <w:color w:val="0000EE"/>
              </w:rPr>
            </w:pPr>
            <w:hyperlink w:anchor="page7">
              <w:r>
                <w:rPr>
                  <w:rFonts w:ascii="Arial" w:cs="Arial" w:eastAsia="Arial" w:hAnsi="Arial"/>
                  <w:sz w:val="16"/>
                  <w:szCs w:val="16"/>
                  <w:color w:val="0000EE"/>
                </w:rPr>
                <w:t>Consolidated statements of cash flows – three and nine months ended September 30, 2019 and 2018</w:t>
              </w:r>
            </w:hyperlink>
          </w:p>
        </w:tc>
        <w:tc>
          <w:tcPr>
            <w:tcW w:w="1340" w:type="dxa"/>
            <w:vAlign w:val="bottom"/>
          </w:tcPr>
          <w:p>
            <w:pPr>
              <w:spacing w:after="0"/>
              <w:rPr>
                <w:sz w:val="14"/>
                <w:szCs w:val="14"/>
                <w:color w:val="auto"/>
              </w:rPr>
            </w:pPr>
          </w:p>
        </w:tc>
        <w:tc>
          <w:tcPr>
            <w:tcW w:w="1340" w:type="dxa"/>
            <w:vAlign w:val="bottom"/>
            <w:gridSpan w:val="3"/>
          </w:tcPr>
          <w:p>
            <w:pPr>
              <w:spacing w:after="0"/>
              <w:rPr>
                <w:sz w:val="14"/>
                <w:szCs w:val="14"/>
                <w:color w:val="auto"/>
              </w:rPr>
            </w:pPr>
          </w:p>
        </w:tc>
        <w:tc>
          <w:tcPr>
            <w:tcW w:w="100" w:type="dxa"/>
            <w:vAlign w:val="bottom"/>
            <w:tcBorders>
              <w:bottom w:val="single" w:sz="8" w:color="0000EE"/>
            </w:tcBorders>
          </w:tcPr>
          <w:p>
            <w:pPr>
              <w:jc w:val="right"/>
              <w:spacing w:after="0" w:line="162" w:lineRule="exact"/>
              <w:rPr>
                <w:rFonts w:ascii="Arial" w:cs="Arial" w:eastAsia="Arial" w:hAnsi="Arial"/>
                <w:sz w:val="16"/>
                <w:szCs w:val="16"/>
                <w:color w:val="0000EE"/>
                <w:w w:val="89"/>
              </w:rPr>
            </w:pPr>
            <w:hyperlink w:anchor="page7">
              <w:r>
                <w:rPr>
                  <w:rFonts w:ascii="Arial" w:cs="Arial" w:eastAsia="Arial" w:hAnsi="Arial"/>
                  <w:sz w:val="16"/>
                  <w:szCs w:val="16"/>
                  <w:color w:val="0000EE"/>
                  <w:w w:val="89"/>
                </w:rPr>
                <w:t>6</w:t>
              </w:r>
            </w:hyperlink>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80" w:type="dxa"/>
            <w:vAlign w:val="bottom"/>
            <w:shd w:val="clear" w:color="auto" w:fill="BFBFBF"/>
          </w:tcPr>
          <w:p>
            <w:pPr>
              <w:spacing w:after="0"/>
              <w:rPr>
                <w:sz w:val="14"/>
                <w:szCs w:val="14"/>
                <w:color w:val="auto"/>
              </w:rPr>
            </w:pPr>
          </w:p>
        </w:tc>
        <w:tc>
          <w:tcPr>
            <w:tcW w:w="500" w:type="dxa"/>
            <w:vAlign w:val="bottom"/>
            <w:shd w:val="clear" w:color="auto" w:fill="BFBFBF"/>
          </w:tcPr>
          <w:p>
            <w:pPr>
              <w:spacing w:after="0"/>
              <w:rPr>
                <w:sz w:val="14"/>
                <w:szCs w:val="14"/>
                <w:color w:val="auto"/>
              </w:rPr>
            </w:pPr>
          </w:p>
        </w:tc>
        <w:tc>
          <w:tcPr>
            <w:tcW w:w="100" w:type="dxa"/>
            <w:vAlign w:val="bottom"/>
            <w:shd w:val="clear" w:color="auto" w:fill="BFBFBF"/>
          </w:tcPr>
          <w:p>
            <w:pPr>
              <w:spacing w:after="0"/>
              <w:rPr>
                <w:sz w:val="14"/>
                <w:szCs w:val="14"/>
                <w:color w:val="auto"/>
              </w:rPr>
            </w:pPr>
          </w:p>
        </w:tc>
        <w:tc>
          <w:tcPr>
            <w:tcW w:w="100" w:type="dxa"/>
            <w:vAlign w:val="bottom"/>
            <w:shd w:val="clear" w:color="auto" w:fill="BFBFBF"/>
          </w:tcPr>
          <w:p>
            <w:pPr>
              <w:spacing w:after="0"/>
              <w:rPr>
                <w:sz w:val="14"/>
                <w:szCs w:val="14"/>
                <w:color w:val="auto"/>
              </w:rPr>
            </w:pPr>
          </w:p>
        </w:tc>
        <w:tc>
          <w:tcPr>
            <w:tcW w:w="100" w:type="dxa"/>
            <w:vAlign w:val="bottom"/>
            <w:shd w:val="clear" w:color="auto" w:fill="BFBFBF"/>
          </w:tcPr>
          <w:p>
            <w:pPr>
              <w:spacing w:after="0"/>
              <w:rPr>
                <w:sz w:val="14"/>
                <w:szCs w:val="14"/>
                <w:color w:val="auto"/>
              </w:rPr>
            </w:pPr>
          </w:p>
        </w:tc>
        <w:tc>
          <w:tcPr>
            <w:tcW w:w="8640" w:type="dxa"/>
            <w:vAlign w:val="bottom"/>
            <w:gridSpan w:val="16"/>
            <w:shd w:val="clear" w:color="auto" w:fill="BFBFBF"/>
          </w:tcPr>
          <w:p>
            <w:pPr>
              <w:spacing w:after="0" w:line="162" w:lineRule="exact"/>
              <w:rPr>
                <w:rFonts w:ascii="Arial" w:cs="Arial" w:eastAsia="Arial" w:hAnsi="Arial"/>
                <w:sz w:val="16"/>
                <w:szCs w:val="16"/>
                <w:color w:val="0000EE"/>
              </w:rPr>
            </w:pPr>
            <w:hyperlink w:anchor="page8">
              <w:r>
                <w:rPr>
                  <w:rFonts w:ascii="Arial" w:cs="Arial" w:eastAsia="Arial" w:hAnsi="Arial"/>
                  <w:sz w:val="16"/>
                  <w:szCs w:val="16"/>
                  <w:color w:val="0000EE"/>
                </w:rPr>
                <w:t>Notes to consolidated financial statements</w:t>
              </w:r>
            </w:hyperlink>
          </w:p>
        </w:tc>
        <w:tc>
          <w:tcPr>
            <w:tcW w:w="1440" w:type="dxa"/>
            <w:vAlign w:val="bottom"/>
            <w:gridSpan w:val="4"/>
            <w:shd w:val="clear" w:color="auto" w:fill="BFBFBF"/>
          </w:tcPr>
          <w:p>
            <w:pPr>
              <w:jc w:val="right"/>
              <w:spacing w:after="0" w:line="162" w:lineRule="exact"/>
              <w:rPr>
                <w:rFonts w:ascii="Arial" w:cs="Arial" w:eastAsia="Arial" w:hAnsi="Arial"/>
                <w:sz w:val="16"/>
                <w:szCs w:val="16"/>
                <w:color w:val="0000EE"/>
              </w:rPr>
            </w:pPr>
            <w:hyperlink w:anchor="page8">
              <w:r>
                <w:rPr>
                  <w:rFonts w:ascii="Arial" w:cs="Arial" w:eastAsia="Arial" w:hAnsi="Arial"/>
                  <w:sz w:val="16"/>
                  <w:szCs w:val="16"/>
                  <w:color w:val="0000EE"/>
                </w:rPr>
                <w:t>7</w:t>
              </w:r>
            </w:hyperlink>
          </w:p>
        </w:tc>
        <w:tc>
          <w:tcPr>
            <w:tcW w:w="180" w:type="dxa"/>
            <w:vAlign w:val="bottom"/>
            <w:shd w:val="clear" w:color="auto" w:fill="BFBFBF"/>
          </w:tcPr>
          <w:p>
            <w:pPr>
              <w:spacing w:after="0"/>
              <w:rPr>
                <w:sz w:val="14"/>
                <w:szCs w:val="14"/>
                <w:color w:val="auto"/>
              </w:rPr>
            </w:pPr>
          </w:p>
        </w:tc>
        <w:tc>
          <w:tcPr>
            <w:tcW w:w="60" w:type="dxa"/>
            <w:vAlign w:val="bottom"/>
            <w:shd w:val="clear" w:color="auto" w:fill="BFBFBF"/>
          </w:tcPr>
          <w:p>
            <w:pPr>
              <w:spacing w:after="0"/>
              <w:rPr>
                <w:sz w:val="14"/>
                <w:szCs w:val="14"/>
                <w:color w:val="auto"/>
              </w:rPr>
            </w:pPr>
          </w:p>
        </w:tc>
        <w:tc>
          <w:tcPr>
            <w:tcW w:w="20" w:type="dxa"/>
            <w:vAlign w:val="bottom"/>
            <w:shd w:val="clear" w:color="auto" w:fill="BFBFBF"/>
          </w:tcPr>
          <w:p>
            <w:pPr>
              <w:spacing w:after="0"/>
              <w:rPr>
                <w:sz w:val="14"/>
                <w:szCs w:val="14"/>
                <w:color w:val="auto"/>
              </w:rPr>
            </w:pPr>
          </w:p>
        </w:tc>
      </w:tr>
      <w:tr>
        <w:trPr>
          <w:trHeight w:val="27"/>
        </w:trPr>
        <w:tc>
          <w:tcPr>
            <w:tcW w:w="280" w:type="dxa"/>
            <w:vAlign w:val="bottom"/>
            <w:shd w:val="clear" w:color="auto" w:fill="BFBFBF"/>
          </w:tcPr>
          <w:p>
            <w:pPr>
              <w:spacing w:after="0"/>
              <w:rPr>
                <w:sz w:val="2"/>
                <w:szCs w:val="2"/>
                <w:color w:val="auto"/>
              </w:rPr>
            </w:pPr>
          </w:p>
        </w:tc>
        <w:tc>
          <w:tcPr>
            <w:tcW w:w="500" w:type="dxa"/>
            <w:vAlign w:val="bottom"/>
            <w:shd w:val="clear" w:color="auto" w:fill="BFBFBF"/>
          </w:tcPr>
          <w:p>
            <w:pPr>
              <w:spacing w:after="0"/>
              <w:rPr>
                <w:sz w:val="2"/>
                <w:szCs w:val="2"/>
                <w:color w:val="auto"/>
              </w:rPr>
            </w:pPr>
          </w:p>
        </w:tc>
        <w:tc>
          <w:tcPr>
            <w:tcW w:w="100" w:type="dxa"/>
            <w:vAlign w:val="bottom"/>
            <w:shd w:val="clear" w:color="auto" w:fill="BFBFBF"/>
          </w:tcPr>
          <w:p>
            <w:pPr>
              <w:spacing w:after="0"/>
              <w:rPr>
                <w:sz w:val="2"/>
                <w:szCs w:val="2"/>
                <w:color w:val="auto"/>
              </w:rPr>
            </w:pPr>
          </w:p>
        </w:tc>
        <w:tc>
          <w:tcPr>
            <w:tcW w:w="100" w:type="dxa"/>
            <w:vAlign w:val="bottom"/>
            <w:shd w:val="clear" w:color="auto" w:fill="BFBFBF"/>
          </w:tcPr>
          <w:p>
            <w:pPr>
              <w:spacing w:after="0"/>
              <w:rPr>
                <w:sz w:val="2"/>
                <w:szCs w:val="2"/>
                <w:color w:val="auto"/>
              </w:rPr>
            </w:pPr>
          </w:p>
        </w:tc>
        <w:tc>
          <w:tcPr>
            <w:tcW w:w="100" w:type="dxa"/>
            <w:vAlign w:val="bottom"/>
            <w:shd w:val="clear" w:color="auto" w:fill="BFBFBF"/>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1180" w:type="dxa"/>
            <w:vAlign w:val="bottom"/>
            <w:shd w:val="clear" w:color="auto" w:fill="BFBFBF"/>
          </w:tcPr>
          <w:p>
            <w:pPr>
              <w:spacing w:after="0"/>
              <w:rPr>
                <w:sz w:val="2"/>
                <w:szCs w:val="2"/>
                <w:color w:val="auto"/>
              </w:rPr>
            </w:pPr>
          </w:p>
        </w:tc>
        <w:tc>
          <w:tcPr>
            <w:tcW w:w="160" w:type="dxa"/>
            <w:vAlign w:val="bottom"/>
            <w:shd w:val="clear" w:color="auto" w:fill="BFBFBF"/>
          </w:tcPr>
          <w:p>
            <w:pPr>
              <w:spacing w:after="0"/>
              <w:rPr>
                <w:sz w:val="2"/>
                <w:szCs w:val="2"/>
                <w:color w:val="auto"/>
              </w:rPr>
            </w:pPr>
          </w:p>
        </w:tc>
        <w:tc>
          <w:tcPr>
            <w:tcW w:w="1400" w:type="dxa"/>
            <w:vAlign w:val="bottom"/>
            <w:shd w:val="clear" w:color="auto" w:fill="BFBFBF"/>
          </w:tcPr>
          <w:p>
            <w:pPr>
              <w:spacing w:after="0"/>
              <w:rPr>
                <w:sz w:val="2"/>
                <w:szCs w:val="2"/>
                <w:color w:val="auto"/>
              </w:rPr>
            </w:pPr>
          </w:p>
        </w:tc>
        <w:tc>
          <w:tcPr>
            <w:tcW w:w="600" w:type="dxa"/>
            <w:vAlign w:val="bottom"/>
            <w:shd w:val="clear" w:color="auto" w:fill="BFBFBF"/>
          </w:tcPr>
          <w:p>
            <w:pPr>
              <w:spacing w:after="0"/>
              <w:rPr>
                <w:sz w:val="2"/>
                <w:szCs w:val="2"/>
                <w:color w:val="auto"/>
              </w:rPr>
            </w:pPr>
          </w:p>
        </w:tc>
        <w:tc>
          <w:tcPr>
            <w:tcW w:w="680" w:type="dxa"/>
            <w:vAlign w:val="bottom"/>
            <w:shd w:val="clear" w:color="auto" w:fill="BFBFBF"/>
          </w:tcPr>
          <w:p>
            <w:pPr>
              <w:spacing w:after="0"/>
              <w:rPr>
                <w:sz w:val="2"/>
                <w:szCs w:val="2"/>
                <w:color w:val="auto"/>
              </w:rPr>
            </w:pPr>
          </w:p>
        </w:tc>
        <w:tc>
          <w:tcPr>
            <w:tcW w:w="240" w:type="dxa"/>
            <w:vAlign w:val="bottom"/>
            <w:shd w:val="clear" w:color="auto" w:fill="BFBFBF"/>
          </w:tcPr>
          <w:p>
            <w:pPr>
              <w:spacing w:after="0"/>
              <w:rPr>
                <w:sz w:val="2"/>
                <w:szCs w:val="2"/>
                <w:color w:val="auto"/>
              </w:rPr>
            </w:pPr>
          </w:p>
        </w:tc>
        <w:tc>
          <w:tcPr>
            <w:tcW w:w="1340" w:type="dxa"/>
            <w:vAlign w:val="bottom"/>
            <w:shd w:val="clear" w:color="auto" w:fill="BFBFBF"/>
          </w:tcPr>
          <w:p>
            <w:pPr>
              <w:spacing w:after="0"/>
              <w:rPr>
                <w:sz w:val="2"/>
                <w:szCs w:val="2"/>
                <w:color w:val="auto"/>
              </w:rPr>
            </w:pPr>
          </w:p>
        </w:tc>
        <w:tc>
          <w:tcPr>
            <w:tcW w:w="1080" w:type="dxa"/>
            <w:vAlign w:val="bottom"/>
            <w:shd w:val="clear" w:color="auto" w:fill="BFBFBF"/>
          </w:tcPr>
          <w:p>
            <w:pPr>
              <w:spacing w:after="0"/>
              <w:rPr>
                <w:sz w:val="2"/>
                <w:szCs w:val="2"/>
                <w:color w:val="auto"/>
              </w:rPr>
            </w:pPr>
          </w:p>
        </w:tc>
        <w:tc>
          <w:tcPr>
            <w:tcW w:w="180" w:type="dxa"/>
            <w:vAlign w:val="bottom"/>
            <w:shd w:val="clear" w:color="auto" w:fill="BFBFBF"/>
          </w:tcPr>
          <w:p>
            <w:pPr>
              <w:spacing w:after="0"/>
              <w:rPr>
                <w:sz w:val="2"/>
                <w:szCs w:val="2"/>
                <w:color w:val="auto"/>
              </w:rPr>
            </w:pPr>
          </w:p>
        </w:tc>
        <w:tc>
          <w:tcPr>
            <w:tcW w:w="80" w:type="dxa"/>
            <w:vAlign w:val="bottom"/>
            <w:shd w:val="clear" w:color="auto" w:fill="BFBFB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BFBFBF"/>
          </w:tcPr>
          <w:p>
            <w:pPr>
              <w:spacing w:after="0"/>
              <w:rPr>
                <w:sz w:val="2"/>
                <w:szCs w:val="2"/>
                <w:color w:val="auto"/>
              </w:rPr>
            </w:pPr>
          </w:p>
        </w:tc>
        <w:tc>
          <w:tcPr>
            <w:tcW w:w="60" w:type="dxa"/>
            <w:vAlign w:val="bottom"/>
            <w:shd w:val="clear" w:color="auto" w:fill="BFBFBF"/>
          </w:tcPr>
          <w:p>
            <w:pPr>
              <w:spacing w:after="0"/>
              <w:rPr>
                <w:sz w:val="2"/>
                <w:szCs w:val="2"/>
                <w:color w:val="auto"/>
              </w:rPr>
            </w:pPr>
          </w:p>
        </w:tc>
        <w:tc>
          <w:tcPr>
            <w:tcW w:w="20" w:type="dxa"/>
            <w:vAlign w:val="bottom"/>
            <w:shd w:val="clear" w:color="auto" w:fill="BFBFBF"/>
          </w:tcPr>
          <w:p>
            <w:pPr>
              <w:spacing w:after="0"/>
              <w:rPr>
                <w:sz w:val="2"/>
                <w:szCs w:val="2"/>
                <w:color w:val="auto"/>
              </w:rPr>
            </w:pPr>
          </w:p>
        </w:tc>
      </w:tr>
      <w:tr>
        <w:trPr>
          <w:trHeight w:val="162"/>
        </w:trPr>
        <w:tc>
          <w:tcPr>
            <w:tcW w:w="280" w:type="dxa"/>
            <w:vAlign w:val="bottom"/>
          </w:tcPr>
          <w:p>
            <w:pPr>
              <w:spacing w:after="0"/>
              <w:rPr>
                <w:sz w:val="14"/>
                <w:szCs w:val="14"/>
                <w:color w:val="auto"/>
              </w:rPr>
            </w:pPr>
          </w:p>
        </w:tc>
        <w:tc>
          <w:tcPr>
            <w:tcW w:w="500" w:type="dxa"/>
            <w:vAlign w:val="bottom"/>
          </w:tcPr>
          <w:p>
            <w:pPr>
              <w:spacing w:after="0" w:line="162" w:lineRule="exact"/>
              <w:rPr>
                <w:rFonts w:ascii="Arial" w:cs="Arial" w:eastAsia="Arial" w:hAnsi="Arial"/>
                <w:sz w:val="16"/>
                <w:szCs w:val="16"/>
                <w:color w:val="0000EE"/>
                <w:w w:val="98"/>
              </w:rPr>
            </w:pPr>
            <w:hyperlink w:anchor="page31">
              <w:r>
                <w:rPr>
                  <w:rFonts w:ascii="Arial" w:cs="Arial" w:eastAsia="Arial" w:hAnsi="Arial"/>
                  <w:sz w:val="16"/>
                  <w:szCs w:val="16"/>
                  <w:color w:val="0000EE"/>
                  <w:w w:val="98"/>
                </w:rPr>
                <w:t>Item 2.</w:t>
              </w:r>
            </w:hyperlink>
          </w:p>
        </w:tc>
        <w:tc>
          <w:tcPr>
            <w:tcW w:w="2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gridSpan w:val="13"/>
          </w:tcPr>
          <w:p>
            <w:pPr>
              <w:spacing w:after="0" w:line="162" w:lineRule="exact"/>
              <w:rPr>
                <w:rFonts w:ascii="Arial" w:cs="Arial" w:eastAsia="Arial" w:hAnsi="Arial"/>
                <w:sz w:val="16"/>
                <w:szCs w:val="16"/>
                <w:color w:val="0000EE"/>
              </w:rPr>
            </w:pPr>
            <w:hyperlink w:anchor="page31">
              <w:r>
                <w:rPr>
                  <w:rFonts w:ascii="Arial" w:cs="Arial" w:eastAsia="Arial" w:hAnsi="Arial"/>
                  <w:sz w:val="16"/>
                  <w:szCs w:val="16"/>
                  <w:color w:val="0000EE"/>
                </w:rPr>
                <w:t>Management's Discussion and Analysis of Financial Condition and Results of Operations</w:t>
              </w:r>
            </w:hyperlink>
          </w:p>
        </w:tc>
        <w:tc>
          <w:tcPr>
            <w:tcW w:w="2260" w:type="dxa"/>
            <w:vAlign w:val="bottom"/>
            <w:gridSpan w:val="3"/>
          </w:tcPr>
          <w:p>
            <w:pPr>
              <w:spacing w:after="0"/>
              <w:rPr>
                <w:sz w:val="14"/>
                <w:szCs w:val="14"/>
                <w:color w:val="auto"/>
              </w:rPr>
            </w:pPr>
          </w:p>
        </w:tc>
        <w:tc>
          <w:tcPr>
            <w:tcW w:w="1620" w:type="dxa"/>
            <w:vAlign w:val="bottom"/>
            <w:gridSpan w:val="5"/>
          </w:tcPr>
          <w:p>
            <w:pPr>
              <w:jc w:val="right"/>
              <w:ind w:right="180"/>
              <w:spacing w:after="0" w:line="162" w:lineRule="exact"/>
              <w:rPr>
                <w:rFonts w:ascii="Arial" w:cs="Arial" w:eastAsia="Arial" w:hAnsi="Arial"/>
                <w:sz w:val="16"/>
                <w:szCs w:val="16"/>
                <w:color w:val="0000EE"/>
              </w:rPr>
            </w:pPr>
            <w:hyperlink w:anchor="page31">
              <w:r>
                <w:rPr>
                  <w:rFonts w:ascii="Arial" w:cs="Arial" w:eastAsia="Arial" w:hAnsi="Arial"/>
                  <w:sz w:val="16"/>
                  <w:szCs w:val="16"/>
                  <w:color w:val="0000EE"/>
                </w:rPr>
                <w:t>30</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
        </w:trPr>
        <w:tc>
          <w:tcPr>
            <w:tcW w:w="2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1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80" w:type="dxa"/>
            <w:vAlign w:val="bottom"/>
            <w:shd w:val="clear" w:color="auto" w:fill="BFBFBF"/>
          </w:tcPr>
          <w:p>
            <w:pPr>
              <w:spacing w:after="0"/>
              <w:rPr>
                <w:sz w:val="14"/>
                <w:szCs w:val="14"/>
                <w:color w:val="auto"/>
              </w:rPr>
            </w:pPr>
          </w:p>
        </w:tc>
        <w:tc>
          <w:tcPr>
            <w:tcW w:w="500" w:type="dxa"/>
            <w:vAlign w:val="bottom"/>
            <w:shd w:val="clear" w:color="auto" w:fill="BFBFBF"/>
          </w:tcPr>
          <w:p>
            <w:pPr>
              <w:spacing w:after="0"/>
              <w:rPr>
                <w:sz w:val="14"/>
                <w:szCs w:val="14"/>
                <w:color w:val="auto"/>
              </w:rPr>
            </w:pPr>
          </w:p>
        </w:tc>
        <w:tc>
          <w:tcPr>
            <w:tcW w:w="100" w:type="dxa"/>
            <w:vAlign w:val="bottom"/>
            <w:shd w:val="clear" w:color="auto" w:fill="BFBFBF"/>
          </w:tcPr>
          <w:p>
            <w:pPr>
              <w:spacing w:after="0"/>
              <w:rPr>
                <w:sz w:val="14"/>
                <w:szCs w:val="14"/>
                <w:color w:val="auto"/>
              </w:rPr>
            </w:pPr>
          </w:p>
        </w:tc>
        <w:tc>
          <w:tcPr>
            <w:tcW w:w="100" w:type="dxa"/>
            <w:vAlign w:val="bottom"/>
            <w:shd w:val="clear" w:color="auto" w:fill="BFBFBF"/>
          </w:tcPr>
          <w:p>
            <w:pPr>
              <w:spacing w:after="0"/>
              <w:rPr>
                <w:sz w:val="14"/>
                <w:szCs w:val="14"/>
                <w:color w:val="auto"/>
              </w:rPr>
            </w:pPr>
          </w:p>
        </w:tc>
        <w:tc>
          <w:tcPr>
            <w:tcW w:w="100" w:type="dxa"/>
            <w:vAlign w:val="bottom"/>
            <w:shd w:val="clear" w:color="auto" w:fill="BFBFBF"/>
          </w:tcPr>
          <w:p>
            <w:pPr>
              <w:spacing w:after="0"/>
              <w:rPr>
                <w:sz w:val="14"/>
                <w:szCs w:val="14"/>
                <w:color w:val="auto"/>
              </w:rPr>
            </w:pPr>
          </w:p>
        </w:tc>
        <w:tc>
          <w:tcPr>
            <w:tcW w:w="6380" w:type="dxa"/>
            <w:vAlign w:val="bottom"/>
            <w:gridSpan w:val="13"/>
            <w:shd w:val="clear" w:color="auto" w:fill="BFBFBF"/>
          </w:tcPr>
          <w:p>
            <w:pPr>
              <w:spacing w:after="0" w:line="162" w:lineRule="exact"/>
              <w:rPr>
                <w:rFonts w:ascii="Arial" w:cs="Arial" w:eastAsia="Arial" w:hAnsi="Arial"/>
                <w:sz w:val="16"/>
                <w:szCs w:val="16"/>
                <w:color w:val="0000EE"/>
              </w:rPr>
            </w:pPr>
            <w:hyperlink w:anchor="page31">
              <w:r>
                <w:rPr>
                  <w:rFonts w:ascii="Arial" w:cs="Arial" w:eastAsia="Arial" w:hAnsi="Arial"/>
                  <w:sz w:val="16"/>
                  <w:szCs w:val="16"/>
                  <w:color w:val="0000EE"/>
                </w:rPr>
                <w:t>Forward-looking statements</w:t>
              </w:r>
            </w:hyperlink>
          </w:p>
        </w:tc>
        <w:tc>
          <w:tcPr>
            <w:tcW w:w="2260" w:type="dxa"/>
            <w:vAlign w:val="bottom"/>
            <w:gridSpan w:val="3"/>
            <w:shd w:val="clear" w:color="auto" w:fill="BFBFBF"/>
          </w:tcPr>
          <w:p>
            <w:pPr>
              <w:spacing w:after="0"/>
              <w:rPr>
                <w:sz w:val="14"/>
                <w:szCs w:val="14"/>
                <w:color w:val="auto"/>
              </w:rPr>
            </w:pPr>
          </w:p>
        </w:tc>
        <w:tc>
          <w:tcPr>
            <w:tcW w:w="1620" w:type="dxa"/>
            <w:vAlign w:val="bottom"/>
            <w:gridSpan w:val="5"/>
            <w:shd w:val="clear" w:color="auto" w:fill="BFBFBF"/>
          </w:tcPr>
          <w:p>
            <w:pPr>
              <w:jc w:val="right"/>
              <w:ind w:right="180"/>
              <w:spacing w:after="0" w:line="162" w:lineRule="exact"/>
              <w:rPr>
                <w:rFonts w:ascii="Arial" w:cs="Arial" w:eastAsia="Arial" w:hAnsi="Arial"/>
                <w:sz w:val="16"/>
                <w:szCs w:val="16"/>
                <w:color w:val="0000EE"/>
              </w:rPr>
            </w:pPr>
            <w:hyperlink w:anchor="page31">
              <w:r>
                <w:rPr>
                  <w:rFonts w:ascii="Arial" w:cs="Arial" w:eastAsia="Arial" w:hAnsi="Arial"/>
                  <w:sz w:val="16"/>
                  <w:szCs w:val="16"/>
                  <w:color w:val="0000EE"/>
                </w:rPr>
                <w:t>30</w:t>
              </w:r>
            </w:hyperlink>
          </w:p>
        </w:tc>
        <w:tc>
          <w:tcPr>
            <w:tcW w:w="60" w:type="dxa"/>
            <w:vAlign w:val="bottom"/>
            <w:shd w:val="clear" w:color="auto" w:fill="BFBFBF"/>
          </w:tcPr>
          <w:p>
            <w:pPr>
              <w:spacing w:after="0"/>
              <w:rPr>
                <w:sz w:val="14"/>
                <w:szCs w:val="14"/>
                <w:color w:val="auto"/>
              </w:rPr>
            </w:pPr>
          </w:p>
        </w:tc>
        <w:tc>
          <w:tcPr>
            <w:tcW w:w="20" w:type="dxa"/>
            <w:vAlign w:val="bottom"/>
            <w:shd w:val="clear" w:color="auto" w:fill="BFBFBF"/>
          </w:tcPr>
          <w:p>
            <w:pPr>
              <w:spacing w:after="0"/>
              <w:rPr>
                <w:sz w:val="14"/>
                <w:szCs w:val="14"/>
                <w:color w:val="auto"/>
              </w:rPr>
            </w:pPr>
          </w:p>
        </w:tc>
      </w:tr>
      <w:tr>
        <w:trPr>
          <w:trHeight w:val="27"/>
        </w:trPr>
        <w:tc>
          <w:tcPr>
            <w:tcW w:w="280" w:type="dxa"/>
            <w:vAlign w:val="bottom"/>
            <w:shd w:val="clear" w:color="auto" w:fill="BFBFBF"/>
          </w:tcPr>
          <w:p>
            <w:pPr>
              <w:spacing w:after="0"/>
              <w:rPr>
                <w:sz w:val="2"/>
                <w:szCs w:val="2"/>
                <w:color w:val="auto"/>
              </w:rPr>
            </w:pPr>
          </w:p>
        </w:tc>
        <w:tc>
          <w:tcPr>
            <w:tcW w:w="500" w:type="dxa"/>
            <w:vAlign w:val="bottom"/>
            <w:shd w:val="clear" w:color="auto" w:fill="BFBFBF"/>
          </w:tcPr>
          <w:p>
            <w:pPr>
              <w:spacing w:after="0"/>
              <w:rPr>
                <w:sz w:val="2"/>
                <w:szCs w:val="2"/>
                <w:color w:val="auto"/>
              </w:rPr>
            </w:pPr>
          </w:p>
        </w:tc>
        <w:tc>
          <w:tcPr>
            <w:tcW w:w="100" w:type="dxa"/>
            <w:vAlign w:val="bottom"/>
            <w:shd w:val="clear" w:color="auto" w:fill="BFBFBF"/>
          </w:tcPr>
          <w:p>
            <w:pPr>
              <w:spacing w:after="0"/>
              <w:rPr>
                <w:sz w:val="2"/>
                <w:szCs w:val="2"/>
                <w:color w:val="auto"/>
              </w:rPr>
            </w:pPr>
          </w:p>
        </w:tc>
        <w:tc>
          <w:tcPr>
            <w:tcW w:w="100" w:type="dxa"/>
            <w:vAlign w:val="bottom"/>
            <w:shd w:val="clear" w:color="auto" w:fill="BFBFBF"/>
          </w:tcPr>
          <w:p>
            <w:pPr>
              <w:spacing w:after="0"/>
              <w:rPr>
                <w:sz w:val="2"/>
                <w:szCs w:val="2"/>
                <w:color w:val="auto"/>
              </w:rPr>
            </w:pPr>
          </w:p>
        </w:tc>
        <w:tc>
          <w:tcPr>
            <w:tcW w:w="100" w:type="dxa"/>
            <w:vAlign w:val="bottom"/>
            <w:shd w:val="clear" w:color="auto" w:fill="BFBFBF"/>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BFBFBF"/>
          </w:tcPr>
          <w:p>
            <w:pPr>
              <w:spacing w:after="0"/>
              <w:rPr>
                <w:sz w:val="2"/>
                <w:szCs w:val="2"/>
                <w:color w:val="auto"/>
              </w:rPr>
            </w:pPr>
          </w:p>
        </w:tc>
        <w:tc>
          <w:tcPr>
            <w:tcW w:w="760" w:type="dxa"/>
            <w:vAlign w:val="bottom"/>
            <w:shd w:val="clear" w:color="auto" w:fill="BFBFBF"/>
          </w:tcPr>
          <w:p>
            <w:pPr>
              <w:spacing w:after="0"/>
              <w:rPr>
                <w:sz w:val="2"/>
                <w:szCs w:val="2"/>
                <w:color w:val="auto"/>
              </w:rPr>
            </w:pPr>
          </w:p>
        </w:tc>
        <w:tc>
          <w:tcPr>
            <w:tcW w:w="1180" w:type="dxa"/>
            <w:vAlign w:val="bottom"/>
            <w:shd w:val="clear" w:color="auto" w:fill="BFBFBF"/>
          </w:tcPr>
          <w:p>
            <w:pPr>
              <w:spacing w:after="0"/>
              <w:rPr>
                <w:sz w:val="2"/>
                <w:szCs w:val="2"/>
                <w:color w:val="auto"/>
              </w:rPr>
            </w:pPr>
          </w:p>
        </w:tc>
        <w:tc>
          <w:tcPr>
            <w:tcW w:w="160" w:type="dxa"/>
            <w:vAlign w:val="bottom"/>
            <w:shd w:val="clear" w:color="auto" w:fill="BFBFBF"/>
          </w:tcPr>
          <w:p>
            <w:pPr>
              <w:spacing w:after="0"/>
              <w:rPr>
                <w:sz w:val="2"/>
                <w:szCs w:val="2"/>
                <w:color w:val="auto"/>
              </w:rPr>
            </w:pPr>
          </w:p>
        </w:tc>
        <w:tc>
          <w:tcPr>
            <w:tcW w:w="1400" w:type="dxa"/>
            <w:vAlign w:val="bottom"/>
            <w:shd w:val="clear" w:color="auto" w:fill="BFBFBF"/>
          </w:tcPr>
          <w:p>
            <w:pPr>
              <w:spacing w:after="0"/>
              <w:rPr>
                <w:sz w:val="2"/>
                <w:szCs w:val="2"/>
                <w:color w:val="auto"/>
              </w:rPr>
            </w:pPr>
          </w:p>
        </w:tc>
        <w:tc>
          <w:tcPr>
            <w:tcW w:w="600" w:type="dxa"/>
            <w:vAlign w:val="bottom"/>
            <w:shd w:val="clear" w:color="auto" w:fill="BFBFBF"/>
          </w:tcPr>
          <w:p>
            <w:pPr>
              <w:spacing w:after="0"/>
              <w:rPr>
                <w:sz w:val="2"/>
                <w:szCs w:val="2"/>
                <w:color w:val="auto"/>
              </w:rPr>
            </w:pPr>
          </w:p>
        </w:tc>
        <w:tc>
          <w:tcPr>
            <w:tcW w:w="680" w:type="dxa"/>
            <w:vAlign w:val="bottom"/>
            <w:shd w:val="clear" w:color="auto" w:fill="BFBFBF"/>
          </w:tcPr>
          <w:p>
            <w:pPr>
              <w:spacing w:after="0"/>
              <w:rPr>
                <w:sz w:val="2"/>
                <w:szCs w:val="2"/>
                <w:color w:val="auto"/>
              </w:rPr>
            </w:pPr>
          </w:p>
        </w:tc>
        <w:tc>
          <w:tcPr>
            <w:tcW w:w="240" w:type="dxa"/>
            <w:vAlign w:val="bottom"/>
            <w:shd w:val="clear" w:color="auto" w:fill="BFBFBF"/>
          </w:tcPr>
          <w:p>
            <w:pPr>
              <w:spacing w:after="0"/>
              <w:rPr>
                <w:sz w:val="2"/>
                <w:szCs w:val="2"/>
                <w:color w:val="auto"/>
              </w:rPr>
            </w:pPr>
          </w:p>
        </w:tc>
        <w:tc>
          <w:tcPr>
            <w:tcW w:w="1340" w:type="dxa"/>
            <w:vAlign w:val="bottom"/>
            <w:shd w:val="clear" w:color="auto" w:fill="BFBFBF"/>
          </w:tcPr>
          <w:p>
            <w:pPr>
              <w:spacing w:after="0"/>
              <w:rPr>
                <w:sz w:val="2"/>
                <w:szCs w:val="2"/>
                <w:color w:val="auto"/>
              </w:rPr>
            </w:pPr>
          </w:p>
        </w:tc>
        <w:tc>
          <w:tcPr>
            <w:tcW w:w="1080" w:type="dxa"/>
            <w:vAlign w:val="bottom"/>
            <w:shd w:val="clear" w:color="auto" w:fill="BFBFBF"/>
          </w:tcPr>
          <w:p>
            <w:pPr>
              <w:spacing w:after="0"/>
              <w:rPr>
                <w:sz w:val="2"/>
                <w:szCs w:val="2"/>
                <w:color w:val="auto"/>
              </w:rPr>
            </w:pPr>
          </w:p>
        </w:tc>
        <w:tc>
          <w:tcPr>
            <w:tcW w:w="180" w:type="dxa"/>
            <w:vAlign w:val="bottom"/>
            <w:shd w:val="clear" w:color="auto" w:fill="BFBFB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BFBFBF"/>
          </w:tcPr>
          <w:p>
            <w:pPr>
              <w:spacing w:after="0"/>
              <w:rPr>
                <w:sz w:val="2"/>
                <w:szCs w:val="2"/>
                <w:color w:val="auto"/>
              </w:rPr>
            </w:pPr>
          </w:p>
        </w:tc>
        <w:tc>
          <w:tcPr>
            <w:tcW w:w="60" w:type="dxa"/>
            <w:vAlign w:val="bottom"/>
            <w:shd w:val="clear" w:color="auto" w:fill="BFBFBF"/>
          </w:tcPr>
          <w:p>
            <w:pPr>
              <w:spacing w:after="0"/>
              <w:rPr>
                <w:sz w:val="2"/>
                <w:szCs w:val="2"/>
                <w:color w:val="auto"/>
              </w:rPr>
            </w:pPr>
          </w:p>
        </w:tc>
        <w:tc>
          <w:tcPr>
            <w:tcW w:w="20" w:type="dxa"/>
            <w:vAlign w:val="bottom"/>
            <w:shd w:val="clear" w:color="auto" w:fill="BFBFBF"/>
          </w:tcPr>
          <w:p>
            <w:pPr>
              <w:spacing w:after="0"/>
              <w:rPr>
                <w:sz w:val="2"/>
                <w:szCs w:val="2"/>
                <w:color w:val="auto"/>
              </w:rPr>
            </w:pPr>
          </w:p>
        </w:tc>
      </w:tr>
      <w:tr>
        <w:trPr>
          <w:trHeight w:val="162"/>
        </w:trPr>
        <w:tc>
          <w:tcPr>
            <w:tcW w:w="280" w:type="dxa"/>
            <w:vAlign w:val="bottom"/>
          </w:tcPr>
          <w:p>
            <w:pPr>
              <w:spacing w:after="0"/>
              <w:rPr>
                <w:sz w:val="14"/>
                <w:szCs w:val="14"/>
                <w:color w:val="auto"/>
              </w:rPr>
            </w:pPr>
          </w:p>
        </w:tc>
        <w:tc>
          <w:tcPr>
            <w:tcW w:w="500" w:type="dxa"/>
            <w:vAlign w:val="bottom"/>
          </w:tcPr>
          <w:p>
            <w:pPr>
              <w:spacing w:after="0" w:line="162" w:lineRule="exact"/>
              <w:rPr>
                <w:rFonts w:ascii="Arial" w:cs="Arial" w:eastAsia="Arial" w:hAnsi="Arial"/>
                <w:sz w:val="16"/>
                <w:szCs w:val="16"/>
                <w:color w:val="0000EE"/>
                <w:w w:val="98"/>
              </w:rPr>
            </w:pPr>
            <w:hyperlink w:anchor="page46">
              <w:r>
                <w:rPr>
                  <w:rFonts w:ascii="Arial" w:cs="Arial" w:eastAsia="Arial" w:hAnsi="Arial"/>
                  <w:sz w:val="16"/>
                  <w:szCs w:val="16"/>
                  <w:color w:val="0000EE"/>
                  <w:w w:val="98"/>
                </w:rPr>
                <w:t>Item 3.</w:t>
              </w:r>
            </w:hyperlink>
          </w:p>
        </w:tc>
        <w:tc>
          <w:tcPr>
            <w:tcW w:w="2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8640" w:type="dxa"/>
            <w:vAlign w:val="bottom"/>
            <w:gridSpan w:val="16"/>
          </w:tcPr>
          <w:p>
            <w:pPr>
              <w:spacing w:after="0" w:line="162" w:lineRule="exact"/>
              <w:rPr>
                <w:rFonts w:ascii="Arial" w:cs="Arial" w:eastAsia="Arial" w:hAnsi="Arial"/>
                <w:sz w:val="16"/>
                <w:szCs w:val="16"/>
                <w:color w:val="0000EE"/>
              </w:rPr>
            </w:pPr>
            <w:hyperlink w:anchor="page46">
              <w:r>
                <w:rPr>
                  <w:rFonts w:ascii="Arial" w:cs="Arial" w:eastAsia="Arial" w:hAnsi="Arial"/>
                  <w:sz w:val="16"/>
                  <w:szCs w:val="16"/>
                  <w:color w:val="0000EE"/>
                </w:rPr>
                <w:t>Quantitative and Qualitative Disclosures about Market Risk</w:t>
              </w:r>
            </w:hyperlink>
          </w:p>
        </w:tc>
        <w:tc>
          <w:tcPr>
            <w:tcW w:w="1620" w:type="dxa"/>
            <w:vAlign w:val="bottom"/>
            <w:gridSpan w:val="5"/>
          </w:tcPr>
          <w:p>
            <w:pPr>
              <w:jc w:val="right"/>
              <w:ind w:right="180"/>
              <w:spacing w:after="0" w:line="162" w:lineRule="exact"/>
              <w:rPr>
                <w:rFonts w:ascii="Arial" w:cs="Arial" w:eastAsia="Arial" w:hAnsi="Arial"/>
                <w:sz w:val="16"/>
                <w:szCs w:val="16"/>
                <w:color w:val="0000EE"/>
              </w:rPr>
            </w:pPr>
            <w:hyperlink w:anchor="page46">
              <w:r>
                <w:rPr>
                  <w:rFonts w:ascii="Arial" w:cs="Arial" w:eastAsia="Arial" w:hAnsi="Arial"/>
                  <w:sz w:val="16"/>
                  <w:szCs w:val="16"/>
                  <w:color w:val="0000EE"/>
                </w:rPr>
                <w:t>45</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
        </w:trPr>
        <w:tc>
          <w:tcPr>
            <w:tcW w:w="2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118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80" w:type="dxa"/>
            <w:vAlign w:val="bottom"/>
            <w:shd w:val="clear" w:color="auto" w:fill="BFBFBF"/>
          </w:tcPr>
          <w:p>
            <w:pPr>
              <w:spacing w:after="0"/>
              <w:rPr>
                <w:sz w:val="14"/>
                <w:szCs w:val="14"/>
                <w:color w:val="auto"/>
              </w:rPr>
            </w:pPr>
          </w:p>
        </w:tc>
        <w:tc>
          <w:tcPr>
            <w:tcW w:w="500" w:type="dxa"/>
            <w:vAlign w:val="bottom"/>
            <w:shd w:val="clear" w:color="auto" w:fill="BFBFBF"/>
          </w:tcPr>
          <w:p>
            <w:pPr>
              <w:spacing w:after="0" w:line="162" w:lineRule="exact"/>
              <w:rPr>
                <w:rFonts w:ascii="Arial" w:cs="Arial" w:eastAsia="Arial" w:hAnsi="Arial"/>
                <w:sz w:val="16"/>
                <w:szCs w:val="16"/>
                <w:color w:val="0000EE"/>
                <w:w w:val="98"/>
              </w:rPr>
            </w:pPr>
            <w:hyperlink w:anchor="page46">
              <w:r>
                <w:rPr>
                  <w:rFonts w:ascii="Arial" w:cs="Arial" w:eastAsia="Arial" w:hAnsi="Arial"/>
                  <w:sz w:val="16"/>
                  <w:szCs w:val="16"/>
                  <w:color w:val="0000EE"/>
                  <w:w w:val="98"/>
                </w:rPr>
                <w:t>Item 4.</w:t>
              </w:r>
            </w:hyperlink>
          </w:p>
        </w:tc>
        <w:tc>
          <w:tcPr>
            <w:tcW w:w="200" w:type="dxa"/>
            <w:vAlign w:val="bottom"/>
            <w:gridSpan w:val="2"/>
            <w:shd w:val="clear" w:color="auto" w:fill="BFBFBF"/>
          </w:tcPr>
          <w:p>
            <w:pPr>
              <w:spacing w:after="0"/>
              <w:rPr>
                <w:sz w:val="14"/>
                <w:szCs w:val="14"/>
                <w:color w:val="auto"/>
              </w:rPr>
            </w:pPr>
          </w:p>
        </w:tc>
        <w:tc>
          <w:tcPr>
            <w:tcW w:w="100" w:type="dxa"/>
            <w:vAlign w:val="bottom"/>
            <w:shd w:val="clear" w:color="auto" w:fill="BFBFBF"/>
          </w:tcPr>
          <w:p>
            <w:pPr>
              <w:spacing w:after="0"/>
              <w:rPr>
                <w:sz w:val="14"/>
                <w:szCs w:val="14"/>
                <w:color w:val="auto"/>
              </w:rPr>
            </w:pPr>
          </w:p>
        </w:tc>
        <w:tc>
          <w:tcPr>
            <w:tcW w:w="1800" w:type="dxa"/>
            <w:vAlign w:val="bottom"/>
            <w:tcBorders>
              <w:right w:val="single" w:sz="8" w:color="BFBFBF"/>
            </w:tcBorders>
            <w:gridSpan w:val="6"/>
            <w:shd w:val="clear" w:color="auto" w:fill="BFBFBF"/>
          </w:tcPr>
          <w:p>
            <w:pPr>
              <w:spacing w:after="0" w:line="162" w:lineRule="exact"/>
              <w:rPr>
                <w:rFonts w:ascii="Arial" w:cs="Arial" w:eastAsia="Arial" w:hAnsi="Arial"/>
                <w:sz w:val="16"/>
                <w:szCs w:val="16"/>
                <w:color w:val="0000EE"/>
                <w:w w:val="99"/>
              </w:rPr>
            </w:pPr>
            <w:hyperlink w:anchor="page46">
              <w:r>
                <w:rPr>
                  <w:rFonts w:ascii="Arial" w:cs="Arial" w:eastAsia="Arial" w:hAnsi="Arial"/>
                  <w:sz w:val="16"/>
                  <w:szCs w:val="16"/>
                  <w:color w:val="0000EE"/>
                  <w:w w:val="99"/>
                </w:rPr>
                <w:t>Controls and Procedures</w:t>
              </w:r>
            </w:hyperlink>
          </w:p>
        </w:tc>
        <w:tc>
          <w:tcPr>
            <w:tcW w:w="2420" w:type="dxa"/>
            <w:vAlign w:val="bottom"/>
            <w:gridSpan w:val="4"/>
            <w:shd w:val="clear" w:color="auto" w:fill="BFBFBF"/>
          </w:tcPr>
          <w:p>
            <w:pPr>
              <w:spacing w:after="0"/>
              <w:rPr>
                <w:sz w:val="14"/>
                <w:szCs w:val="14"/>
                <w:color w:val="auto"/>
              </w:rPr>
            </w:pPr>
          </w:p>
        </w:tc>
        <w:tc>
          <w:tcPr>
            <w:tcW w:w="4420" w:type="dxa"/>
            <w:vAlign w:val="bottom"/>
            <w:gridSpan w:val="6"/>
            <w:shd w:val="clear" w:color="auto" w:fill="BFBFBF"/>
          </w:tcPr>
          <w:p>
            <w:pPr>
              <w:spacing w:after="0"/>
              <w:rPr>
                <w:sz w:val="14"/>
                <w:szCs w:val="14"/>
                <w:color w:val="auto"/>
              </w:rPr>
            </w:pPr>
          </w:p>
        </w:tc>
        <w:tc>
          <w:tcPr>
            <w:tcW w:w="1620" w:type="dxa"/>
            <w:vAlign w:val="bottom"/>
            <w:gridSpan w:val="5"/>
            <w:shd w:val="clear" w:color="auto" w:fill="BFBFBF"/>
          </w:tcPr>
          <w:p>
            <w:pPr>
              <w:jc w:val="right"/>
              <w:ind w:right="180"/>
              <w:spacing w:after="0" w:line="162" w:lineRule="exact"/>
              <w:rPr>
                <w:rFonts w:ascii="Arial" w:cs="Arial" w:eastAsia="Arial" w:hAnsi="Arial"/>
                <w:sz w:val="16"/>
                <w:szCs w:val="16"/>
                <w:color w:val="0000EE"/>
              </w:rPr>
            </w:pPr>
            <w:hyperlink w:anchor="page46">
              <w:r>
                <w:rPr>
                  <w:rFonts w:ascii="Arial" w:cs="Arial" w:eastAsia="Arial" w:hAnsi="Arial"/>
                  <w:sz w:val="16"/>
                  <w:szCs w:val="16"/>
                  <w:color w:val="0000EE"/>
                </w:rPr>
                <w:t>45</w:t>
              </w:r>
            </w:hyperlink>
          </w:p>
        </w:tc>
        <w:tc>
          <w:tcPr>
            <w:tcW w:w="60" w:type="dxa"/>
            <w:vAlign w:val="bottom"/>
            <w:shd w:val="clear" w:color="auto" w:fill="BFBFBF"/>
          </w:tcPr>
          <w:p>
            <w:pPr>
              <w:spacing w:after="0"/>
              <w:rPr>
                <w:sz w:val="14"/>
                <w:szCs w:val="14"/>
                <w:color w:val="auto"/>
              </w:rPr>
            </w:pPr>
          </w:p>
        </w:tc>
        <w:tc>
          <w:tcPr>
            <w:tcW w:w="20" w:type="dxa"/>
            <w:vAlign w:val="bottom"/>
            <w:shd w:val="clear" w:color="auto" w:fill="BFBFBF"/>
          </w:tcPr>
          <w:p>
            <w:pPr>
              <w:spacing w:after="0"/>
              <w:rPr>
                <w:sz w:val="14"/>
                <w:szCs w:val="14"/>
                <w:color w:val="auto"/>
              </w:rPr>
            </w:pPr>
          </w:p>
        </w:tc>
      </w:tr>
      <w:tr>
        <w:trPr>
          <w:trHeight w:val="27"/>
        </w:trPr>
        <w:tc>
          <w:tcPr>
            <w:tcW w:w="280" w:type="dxa"/>
            <w:vAlign w:val="bottom"/>
            <w:shd w:val="clear" w:color="auto" w:fill="BFBFBF"/>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shd w:val="clear" w:color="auto" w:fill="BFBFBF"/>
          </w:tcPr>
          <w:p>
            <w:pPr>
              <w:spacing w:after="0"/>
              <w:rPr>
                <w:sz w:val="2"/>
                <w:szCs w:val="2"/>
                <w:color w:val="auto"/>
              </w:rPr>
            </w:pPr>
          </w:p>
        </w:tc>
        <w:tc>
          <w:tcPr>
            <w:tcW w:w="100" w:type="dxa"/>
            <w:vAlign w:val="bottom"/>
            <w:shd w:val="clear" w:color="auto" w:fill="BFBFBF"/>
          </w:tcPr>
          <w:p>
            <w:pPr>
              <w:spacing w:after="0"/>
              <w:rPr>
                <w:sz w:val="2"/>
                <w:szCs w:val="2"/>
                <w:color w:val="auto"/>
              </w:rPr>
            </w:pPr>
          </w:p>
        </w:tc>
        <w:tc>
          <w:tcPr>
            <w:tcW w:w="100" w:type="dxa"/>
            <w:vAlign w:val="bottom"/>
            <w:shd w:val="clear" w:color="auto" w:fill="BFBFBF"/>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BFBFBF"/>
          </w:tcPr>
          <w:p>
            <w:pPr>
              <w:spacing w:after="0"/>
              <w:rPr>
                <w:sz w:val="2"/>
                <w:szCs w:val="2"/>
                <w:color w:val="auto"/>
              </w:rPr>
            </w:pPr>
          </w:p>
        </w:tc>
        <w:tc>
          <w:tcPr>
            <w:tcW w:w="280" w:type="dxa"/>
            <w:vAlign w:val="bottom"/>
            <w:shd w:val="clear" w:color="auto" w:fill="BFBFBF"/>
          </w:tcPr>
          <w:p>
            <w:pPr>
              <w:spacing w:after="0"/>
              <w:rPr>
                <w:sz w:val="2"/>
                <w:szCs w:val="2"/>
                <w:color w:val="auto"/>
              </w:rPr>
            </w:pPr>
          </w:p>
        </w:tc>
        <w:tc>
          <w:tcPr>
            <w:tcW w:w="760" w:type="dxa"/>
            <w:vAlign w:val="bottom"/>
            <w:shd w:val="clear" w:color="auto" w:fill="BFBFBF"/>
          </w:tcPr>
          <w:p>
            <w:pPr>
              <w:spacing w:after="0"/>
              <w:rPr>
                <w:sz w:val="2"/>
                <w:szCs w:val="2"/>
                <w:color w:val="auto"/>
              </w:rPr>
            </w:pPr>
          </w:p>
        </w:tc>
        <w:tc>
          <w:tcPr>
            <w:tcW w:w="1180" w:type="dxa"/>
            <w:vAlign w:val="bottom"/>
            <w:shd w:val="clear" w:color="auto" w:fill="BFBFBF"/>
          </w:tcPr>
          <w:p>
            <w:pPr>
              <w:spacing w:after="0"/>
              <w:rPr>
                <w:sz w:val="2"/>
                <w:szCs w:val="2"/>
                <w:color w:val="auto"/>
              </w:rPr>
            </w:pPr>
          </w:p>
        </w:tc>
        <w:tc>
          <w:tcPr>
            <w:tcW w:w="160" w:type="dxa"/>
            <w:vAlign w:val="bottom"/>
            <w:shd w:val="clear" w:color="auto" w:fill="BFBFBF"/>
          </w:tcPr>
          <w:p>
            <w:pPr>
              <w:spacing w:after="0"/>
              <w:rPr>
                <w:sz w:val="2"/>
                <w:szCs w:val="2"/>
                <w:color w:val="auto"/>
              </w:rPr>
            </w:pPr>
          </w:p>
        </w:tc>
        <w:tc>
          <w:tcPr>
            <w:tcW w:w="1400" w:type="dxa"/>
            <w:vAlign w:val="bottom"/>
            <w:shd w:val="clear" w:color="auto" w:fill="BFBFBF"/>
          </w:tcPr>
          <w:p>
            <w:pPr>
              <w:spacing w:after="0"/>
              <w:rPr>
                <w:sz w:val="2"/>
                <w:szCs w:val="2"/>
                <w:color w:val="auto"/>
              </w:rPr>
            </w:pPr>
          </w:p>
        </w:tc>
        <w:tc>
          <w:tcPr>
            <w:tcW w:w="600" w:type="dxa"/>
            <w:vAlign w:val="bottom"/>
            <w:shd w:val="clear" w:color="auto" w:fill="BFBFBF"/>
          </w:tcPr>
          <w:p>
            <w:pPr>
              <w:spacing w:after="0"/>
              <w:rPr>
                <w:sz w:val="2"/>
                <w:szCs w:val="2"/>
                <w:color w:val="auto"/>
              </w:rPr>
            </w:pPr>
          </w:p>
        </w:tc>
        <w:tc>
          <w:tcPr>
            <w:tcW w:w="680" w:type="dxa"/>
            <w:vAlign w:val="bottom"/>
            <w:shd w:val="clear" w:color="auto" w:fill="BFBFBF"/>
          </w:tcPr>
          <w:p>
            <w:pPr>
              <w:spacing w:after="0"/>
              <w:rPr>
                <w:sz w:val="2"/>
                <w:szCs w:val="2"/>
                <w:color w:val="auto"/>
              </w:rPr>
            </w:pPr>
          </w:p>
        </w:tc>
        <w:tc>
          <w:tcPr>
            <w:tcW w:w="240" w:type="dxa"/>
            <w:vAlign w:val="bottom"/>
            <w:shd w:val="clear" w:color="auto" w:fill="BFBFBF"/>
          </w:tcPr>
          <w:p>
            <w:pPr>
              <w:spacing w:after="0"/>
              <w:rPr>
                <w:sz w:val="2"/>
                <w:szCs w:val="2"/>
                <w:color w:val="auto"/>
              </w:rPr>
            </w:pPr>
          </w:p>
        </w:tc>
        <w:tc>
          <w:tcPr>
            <w:tcW w:w="1340" w:type="dxa"/>
            <w:vAlign w:val="bottom"/>
            <w:shd w:val="clear" w:color="auto" w:fill="BFBFBF"/>
          </w:tcPr>
          <w:p>
            <w:pPr>
              <w:spacing w:after="0"/>
              <w:rPr>
                <w:sz w:val="2"/>
                <w:szCs w:val="2"/>
                <w:color w:val="auto"/>
              </w:rPr>
            </w:pPr>
          </w:p>
        </w:tc>
        <w:tc>
          <w:tcPr>
            <w:tcW w:w="1080" w:type="dxa"/>
            <w:vAlign w:val="bottom"/>
            <w:shd w:val="clear" w:color="auto" w:fill="BFBFBF"/>
          </w:tcPr>
          <w:p>
            <w:pPr>
              <w:spacing w:after="0"/>
              <w:rPr>
                <w:sz w:val="2"/>
                <w:szCs w:val="2"/>
                <w:color w:val="auto"/>
              </w:rPr>
            </w:pPr>
          </w:p>
        </w:tc>
        <w:tc>
          <w:tcPr>
            <w:tcW w:w="180" w:type="dxa"/>
            <w:vAlign w:val="bottom"/>
            <w:shd w:val="clear" w:color="auto" w:fill="BFBFB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BFBFBF"/>
          </w:tcPr>
          <w:p>
            <w:pPr>
              <w:spacing w:after="0"/>
              <w:rPr>
                <w:sz w:val="2"/>
                <w:szCs w:val="2"/>
                <w:color w:val="auto"/>
              </w:rPr>
            </w:pPr>
          </w:p>
        </w:tc>
        <w:tc>
          <w:tcPr>
            <w:tcW w:w="60" w:type="dxa"/>
            <w:vAlign w:val="bottom"/>
            <w:shd w:val="clear" w:color="auto" w:fill="BFBFBF"/>
          </w:tcPr>
          <w:p>
            <w:pPr>
              <w:spacing w:after="0"/>
              <w:rPr>
                <w:sz w:val="2"/>
                <w:szCs w:val="2"/>
                <w:color w:val="auto"/>
              </w:rPr>
            </w:pPr>
          </w:p>
        </w:tc>
        <w:tc>
          <w:tcPr>
            <w:tcW w:w="20" w:type="dxa"/>
            <w:vAlign w:val="bottom"/>
            <w:shd w:val="clear" w:color="auto" w:fill="BFBFBF"/>
          </w:tcPr>
          <w:p>
            <w:pPr>
              <w:spacing w:after="0"/>
              <w:rPr>
                <w:sz w:val="2"/>
                <w:szCs w:val="2"/>
                <w:color w:val="auto"/>
              </w:rPr>
            </w:pPr>
          </w:p>
        </w:tc>
      </w:tr>
      <w:tr>
        <w:trPr>
          <w:trHeight w:val="405"/>
        </w:trPr>
        <w:tc>
          <w:tcPr>
            <w:tcW w:w="9720" w:type="dxa"/>
            <w:vAlign w:val="bottom"/>
            <w:gridSpan w:val="21"/>
          </w:tcPr>
          <w:p>
            <w:pPr>
              <w:spacing w:after="0"/>
              <w:rPr>
                <w:sz w:val="20"/>
                <w:szCs w:val="20"/>
                <w:color w:val="auto"/>
              </w:rPr>
            </w:pPr>
            <w:r>
              <w:rPr>
                <w:rFonts w:ascii="Arial" w:cs="Arial" w:eastAsia="Arial" w:hAnsi="Arial"/>
                <w:sz w:val="16"/>
                <w:szCs w:val="16"/>
                <w:b w:val="1"/>
                <w:bCs w:val="1"/>
                <w:color w:val="auto"/>
              </w:rPr>
              <w:t>Part II Other Information</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280" w:type="dxa"/>
            <w:vAlign w:val="bottom"/>
            <w:shd w:val="clear" w:color="auto" w:fill="BFBFBF"/>
          </w:tcPr>
          <w:p>
            <w:pPr>
              <w:spacing w:after="0"/>
              <w:rPr>
                <w:sz w:val="14"/>
                <w:szCs w:val="14"/>
                <w:color w:val="auto"/>
              </w:rPr>
            </w:pPr>
          </w:p>
        </w:tc>
        <w:tc>
          <w:tcPr>
            <w:tcW w:w="500" w:type="dxa"/>
            <w:vAlign w:val="bottom"/>
            <w:shd w:val="clear" w:color="auto" w:fill="BFBFBF"/>
          </w:tcPr>
          <w:p>
            <w:pPr>
              <w:spacing w:after="0" w:line="162" w:lineRule="exact"/>
              <w:rPr>
                <w:rFonts w:ascii="Arial" w:cs="Arial" w:eastAsia="Arial" w:hAnsi="Arial"/>
                <w:sz w:val="16"/>
                <w:szCs w:val="16"/>
                <w:color w:val="0000EE"/>
                <w:w w:val="98"/>
              </w:rPr>
            </w:pPr>
            <w:hyperlink w:anchor="page48">
              <w:r>
                <w:rPr>
                  <w:rFonts w:ascii="Arial" w:cs="Arial" w:eastAsia="Arial" w:hAnsi="Arial"/>
                  <w:sz w:val="16"/>
                  <w:szCs w:val="16"/>
                  <w:color w:val="0000EE"/>
                  <w:w w:val="98"/>
                </w:rPr>
                <w:t>Item 1.</w:t>
              </w:r>
            </w:hyperlink>
          </w:p>
        </w:tc>
        <w:tc>
          <w:tcPr>
            <w:tcW w:w="200" w:type="dxa"/>
            <w:vAlign w:val="bottom"/>
            <w:gridSpan w:val="2"/>
            <w:shd w:val="clear" w:color="auto" w:fill="BFBFBF"/>
          </w:tcPr>
          <w:p>
            <w:pPr>
              <w:spacing w:after="0"/>
              <w:rPr>
                <w:sz w:val="14"/>
                <w:szCs w:val="14"/>
                <w:color w:val="auto"/>
              </w:rPr>
            </w:pPr>
          </w:p>
        </w:tc>
        <w:tc>
          <w:tcPr>
            <w:tcW w:w="100" w:type="dxa"/>
            <w:vAlign w:val="bottom"/>
            <w:shd w:val="clear" w:color="auto" w:fill="BFBFBF"/>
          </w:tcPr>
          <w:p>
            <w:pPr>
              <w:spacing w:after="0"/>
              <w:rPr>
                <w:sz w:val="14"/>
                <w:szCs w:val="14"/>
                <w:color w:val="auto"/>
              </w:rPr>
            </w:pPr>
          </w:p>
        </w:tc>
        <w:tc>
          <w:tcPr>
            <w:tcW w:w="8640" w:type="dxa"/>
            <w:vAlign w:val="bottom"/>
            <w:gridSpan w:val="16"/>
            <w:shd w:val="clear" w:color="auto" w:fill="BFBFBF"/>
          </w:tcPr>
          <w:p>
            <w:pPr>
              <w:spacing w:after="0" w:line="162" w:lineRule="exact"/>
              <w:rPr>
                <w:rFonts w:ascii="Arial" w:cs="Arial" w:eastAsia="Arial" w:hAnsi="Arial"/>
                <w:sz w:val="16"/>
                <w:szCs w:val="16"/>
                <w:color w:val="0000EE"/>
              </w:rPr>
            </w:pPr>
            <w:hyperlink w:anchor="page48">
              <w:r>
                <w:rPr>
                  <w:rFonts w:ascii="Arial" w:cs="Arial" w:eastAsia="Arial" w:hAnsi="Arial"/>
                  <w:sz w:val="16"/>
                  <w:szCs w:val="16"/>
                  <w:color w:val="0000EE"/>
                </w:rPr>
                <w:t>Legal Proceedings</w:t>
              </w:r>
            </w:hyperlink>
          </w:p>
        </w:tc>
        <w:tc>
          <w:tcPr>
            <w:tcW w:w="1620" w:type="dxa"/>
            <w:vAlign w:val="bottom"/>
            <w:gridSpan w:val="5"/>
            <w:shd w:val="clear" w:color="auto" w:fill="BFBFBF"/>
          </w:tcPr>
          <w:p>
            <w:pPr>
              <w:jc w:val="right"/>
              <w:ind w:right="180"/>
              <w:spacing w:after="0" w:line="162" w:lineRule="exact"/>
              <w:rPr>
                <w:rFonts w:ascii="Arial" w:cs="Arial" w:eastAsia="Arial" w:hAnsi="Arial"/>
                <w:sz w:val="16"/>
                <w:szCs w:val="16"/>
                <w:color w:val="0000EE"/>
              </w:rPr>
            </w:pPr>
            <w:hyperlink w:anchor="page48">
              <w:r>
                <w:rPr>
                  <w:rFonts w:ascii="Arial" w:cs="Arial" w:eastAsia="Arial" w:hAnsi="Arial"/>
                  <w:sz w:val="16"/>
                  <w:szCs w:val="16"/>
                  <w:color w:val="0000EE"/>
                </w:rPr>
                <w:t>47</w:t>
              </w:r>
            </w:hyperlink>
          </w:p>
        </w:tc>
        <w:tc>
          <w:tcPr>
            <w:tcW w:w="60" w:type="dxa"/>
            <w:vAlign w:val="bottom"/>
            <w:shd w:val="clear" w:color="auto" w:fill="BFBFBF"/>
          </w:tcPr>
          <w:p>
            <w:pPr>
              <w:spacing w:after="0"/>
              <w:rPr>
                <w:sz w:val="14"/>
                <w:szCs w:val="14"/>
                <w:color w:val="auto"/>
              </w:rPr>
            </w:pPr>
          </w:p>
        </w:tc>
        <w:tc>
          <w:tcPr>
            <w:tcW w:w="20" w:type="dxa"/>
            <w:vAlign w:val="bottom"/>
            <w:shd w:val="clear" w:color="auto" w:fill="BFBFBF"/>
          </w:tcPr>
          <w:p>
            <w:pPr>
              <w:spacing w:after="0"/>
              <w:rPr>
                <w:sz w:val="14"/>
                <w:szCs w:val="14"/>
                <w:color w:val="auto"/>
              </w:rPr>
            </w:pPr>
          </w:p>
        </w:tc>
      </w:tr>
      <w:tr>
        <w:trPr>
          <w:trHeight w:val="27"/>
        </w:trPr>
        <w:tc>
          <w:tcPr>
            <w:tcW w:w="280" w:type="dxa"/>
            <w:vAlign w:val="bottom"/>
            <w:shd w:val="clear" w:color="auto" w:fill="BFBFBF"/>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shd w:val="clear" w:color="auto" w:fill="BFBFBF"/>
          </w:tcPr>
          <w:p>
            <w:pPr>
              <w:spacing w:after="0"/>
              <w:rPr>
                <w:sz w:val="2"/>
                <w:szCs w:val="2"/>
                <w:color w:val="auto"/>
              </w:rPr>
            </w:pPr>
          </w:p>
        </w:tc>
        <w:tc>
          <w:tcPr>
            <w:tcW w:w="100" w:type="dxa"/>
            <w:vAlign w:val="bottom"/>
            <w:shd w:val="clear" w:color="auto" w:fill="BFBFBF"/>
          </w:tcPr>
          <w:p>
            <w:pPr>
              <w:spacing w:after="0"/>
              <w:rPr>
                <w:sz w:val="2"/>
                <w:szCs w:val="2"/>
                <w:color w:val="auto"/>
              </w:rPr>
            </w:pPr>
          </w:p>
        </w:tc>
        <w:tc>
          <w:tcPr>
            <w:tcW w:w="100" w:type="dxa"/>
            <w:vAlign w:val="bottom"/>
            <w:shd w:val="clear" w:color="auto" w:fill="BFBFBF"/>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BFBFBF"/>
          </w:tcPr>
          <w:p>
            <w:pPr>
              <w:spacing w:after="0"/>
              <w:rPr>
                <w:sz w:val="2"/>
                <w:szCs w:val="2"/>
                <w:color w:val="auto"/>
              </w:rPr>
            </w:pPr>
          </w:p>
        </w:tc>
        <w:tc>
          <w:tcPr>
            <w:tcW w:w="280" w:type="dxa"/>
            <w:vAlign w:val="bottom"/>
            <w:tcBorders>
              <w:right w:val="single" w:sz="8" w:color="BFBFBF"/>
            </w:tcBorders>
            <w:shd w:val="clear" w:color="auto" w:fill="BFBFBF"/>
          </w:tcPr>
          <w:p>
            <w:pPr>
              <w:spacing w:after="0"/>
              <w:rPr>
                <w:sz w:val="2"/>
                <w:szCs w:val="2"/>
                <w:color w:val="auto"/>
              </w:rPr>
            </w:pPr>
          </w:p>
        </w:tc>
        <w:tc>
          <w:tcPr>
            <w:tcW w:w="200" w:type="dxa"/>
            <w:vAlign w:val="bottom"/>
            <w:shd w:val="clear" w:color="auto" w:fill="BFBFBF"/>
          </w:tcPr>
          <w:p>
            <w:pPr>
              <w:spacing w:after="0"/>
              <w:rPr>
                <w:sz w:val="2"/>
                <w:szCs w:val="2"/>
                <w:color w:val="auto"/>
              </w:rPr>
            </w:pPr>
          </w:p>
        </w:tc>
        <w:tc>
          <w:tcPr>
            <w:tcW w:w="280" w:type="dxa"/>
            <w:vAlign w:val="bottom"/>
            <w:shd w:val="clear" w:color="auto" w:fill="BFBFBF"/>
          </w:tcPr>
          <w:p>
            <w:pPr>
              <w:spacing w:after="0"/>
              <w:rPr>
                <w:sz w:val="2"/>
                <w:szCs w:val="2"/>
                <w:color w:val="auto"/>
              </w:rPr>
            </w:pPr>
          </w:p>
        </w:tc>
        <w:tc>
          <w:tcPr>
            <w:tcW w:w="760" w:type="dxa"/>
            <w:vAlign w:val="bottom"/>
            <w:shd w:val="clear" w:color="auto" w:fill="BFBFBF"/>
          </w:tcPr>
          <w:p>
            <w:pPr>
              <w:spacing w:after="0"/>
              <w:rPr>
                <w:sz w:val="2"/>
                <w:szCs w:val="2"/>
                <w:color w:val="auto"/>
              </w:rPr>
            </w:pPr>
          </w:p>
        </w:tc>
        <w:tc>
          <w:tcPr>
            <w:tcW w:w="1180" w:type="dxa"/>
            <w:vAlign w:val="bottom"/>
            <w:shd w:val="clear" w:color="auto" w:fill="BFBFBF"/>
          </w:tcPr>
          <w:p>
            <w:pPr>
              <w:spacing w:after="0"/>
              <w:rPr>
                <w:sz w:val="2"/>
                <w:szCs w:val="2"/>
                <w:color w:val="auto"/>
              </w:rPr>
            </w:pPr>
          </w:p>
        </w:tc>
        <w:tc>
          <w:tcPr>
            <w:tcW w:w="160" w:type="dxa"/>
            <w:vAlign w:val="bottom"/>
            <w:shd w:val="clear" w:color="auto" w:fill="BFBFBF"/>
          </w:tcPr>
          <w:p>
            <w:pPr>
              <w:spacing w:after="0"/>
              <w:rPr>
                <w:sz w:val="2"/>
                <w:szCs w:val="2"/>
                <w:color w:val="auto"/>
              </w:rPr>
            </w:pPr>
          </w:p>
        </w:tc>
        <w:tc>
          <w:tcPr>
            <w:tcW w:w="1400" w:type="dxa"/>
            <w:vAlign w:val="bottom"/>
            <w:shd w:val="clear" w:color="auto" w:fill="BFBFBF"/>
          </w:tcPr>
          <w:p>
            <w:pPr>
              <w:spacing w:after="0"/>
              <w:rPr>
                <w:sz w:val="2"/>
                <w:szCs w:val="2"/>
                <w:color w:val="auto"/>
              </w:rPr>
            </w:pPr>
          </w:p>
        </w:tc>
        <w:tc>
          <w:tcPr>
            <w:tcW w:w="600" w:type="dxa"/>
            <w:vAlign w:val="bottom"/>
            <w:shd w:val="clear" w:color="auto" w:fill="BFBFBF"/>
          </w:tcPr>
          <w:p>
            <w:pPr>
              <w:spacing w:after="0"/>
              <w:rPr>
                <w:sz w:val="2"/>
                <w:szCs w:val="2"/>
                <w:color w:val="auto"/>
              </w:rPr>
            </w:pPr>
          </w:p>
        </w:tc>
        <w:tc>
          <w:tcPr>
            <w:tcW w:w="680" w:type="dxa"/>
            <w:vAlign w:val="bottom"/>
            <w:shd w:val="clear" w:color="auto" w:fill="BFBFBF"/>
          </w:tcPr>
          <w:p>
            <w:pPr>
              <w:spacing w:after="0"/>
              <w:rPr>
                <w:sz w:val="2"/>
                <w:szCs w:val="2"/>
                <w:color w:val="auto"/>
              </w:rPr>
            </w:pPr>
          </w:p>
        </w:tc>
        <w:tc>
          <w:tcPr>
            <w:tcW w:w="240" w:type="dxa"/>
            <w:vAlign w:val="bottom"/>
            <w:shd w:val="clear" w:color="auto" w:fill="BFBFBF"/>
          </w:tcPr>
          <w:p>
            <w:pPr>
              <w:spacing w:after="0"/>
              <w:rPr>
                <w:sz w:val="2"/>
                <w:szCs w:val="2"/>
                <w:color w:val="auto"/>
              </w:rPr>
            </w:pPr>
          </w:p>
        </w:tc>
        <w:tc>
          <w:tcPr>
            <w:tcW w:w="1340" w:type="dxa"/>
            <w:vAlign w:val="bottom"/>
            <w:shd w:val="clear" w:color="auto" w:fill="BFBFBF"/>
          </w:tcPr>
          <w:p>
            <w:pPr>
              <w:spacing w:after="0"/>
              <w:rPr>
                <w:sz w:val="2"/>
                <w:szCs w:val="2"/>
                <w:color w:val="auto"/>
              </w:rPr>
            </w:pPr>
          </w:p>
        </w:tc>
        <w:tc>
          <w:tcPr>
            <w:tcW w:w="1080" w:type="dxa"/>
            <w:vAlign w:val="bottom"/>
            <w:shd w:val="clear" w:color="auto" w:fill="BFBFBF"/>
          </w:tcPr>
          <w:p>
            <w:pPr>
              <w:spacing w:after="0"/>
              <w:rPr>
                <w:sz w:val="2"/>
                <w:szCs w:val="2"/>
                <w:color w:val="auto"/>
              </w:rPr>
            </w:pPr>
          </w:p>
        </w:tc>
        <w:tc>
          <w:tcPr>
            <w:tcW w:w="180" w:type="dxa"/>
            <w:vAlign w:val="bottom"/>
            <w:shd w:val="clear" w:color="auto" w:fill="BFBFB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BFBFBF"/>
          </w:tcPr>
          <w:p>
            <w:pPr>
              <w:spacing w:after="0"/>
              <w:rPr>
                <w:sz w:val="2"/>
                <w:szCs w:val="2"/>
                <w:color w:val="auto"/>
              </w:rPr>
            </w:pPr>
          </w:p>
        </w:tc>
        <w:tc>
          <w:tcPr>
            <w:tcW w:w="60" w:type="dxa"/>
            <w:vAlign w:val="bottom"/>
            <w:shd w:val="clear" w:color="auto" w:fill="BFBFBF"/>
          </w:tcPr>
          <w:p>
            <w:pPr>
              <w:spacing w:after="0"/>
              <w:rPr>
                <w:sz w:val="2"/>
                <w:szCs w:val="2"/>
                <w:color w:val="auto"/>
              </w:rPr>
            </w:pPr>
          </w:p>
        </w:tc>
        <w:tc>
          <w:tcPr>
            <w:tcW w:w="20" w:type="dxa"/>
            <w:vAlign w:val="bottom"/>
            <w:shd w:val="clear" w:color="auto" w:fill="BFBFBF"/>
          </w:tcPr>
          <w:p>
            <w:pPr>
              <w:spacing w:after="0"/>
              <w:rPr>
                <w:sz w:val="2"/>
                <w:szCs w:val="2"/>
                <w:color w:val="auto"/>
              </w:rPr>
            </w:pPr>
          </w:p>
        </w:tc>
      </w:tr>
      <w:tr>
        <w:trPr>
          <w:trHeight w:val="162"/>
        </w:trPr>
        <w:tc>
          <w:tcPr>
            <w:tcW w:w="280" w:type="dxa"/>
            <w:vAlign w:val="bottom"/>
          </w:tcPr>
          <w:p>
            <w:pPr>
              <w:spacing w:after="0"/>
              <w:rPr>
                <w:sz w:val="14"/>
                <w:szCs w:val="14"/>
                <w:color w:val="auto"/>
              </w:rPr>
            </w:pPr>
          </w:p>
        </w:tc>
        <w:tc>
          <w:tcPr>
            <w:tcW w:w="700" w:type="dxa"/>
            <w:vAlign w:val="bottom"/>
            <w:gridSpan w:val="3"/>
          </w:tcPr>
          <w:p>
            <w:pPr>
              <w:spacing w:after="0" w:line="162" w:lineRule="exact"/>
              <w:rPr>
                <w:rFonts w:ascii="Arial" w:cs="Arial" w:eastAsia="Arial" w:hAnsi="Arial"/>
                <w:sz w:val="16"/>
                <w:szCs w:val="16"/>
                <w:color w:val="0000EE"/>
              </w:rPr>
            </w:pPr>
            <w:hyperlink w:anchor="page48">
              <w:r>
                <w:rPr>
                  <w:rFonts w:ascii="Arial" w:cs="Arial" w:eastAsia="Arial" w:hAnsi="Arial"/>
                  <w:sz w:val="16"/>
                  <w:szCs w:val="16"/>
                  <w:color w:val="0000EE"/>
                </w:rPr>
                <w:t>Item 1A.</w:t>
              </w:r>
            </w:hyperlink>
          </w:p>
        </w:tc>
        <w:tc>
          <w:tcPr>
            <w:tcW w:w="8740" w:type="dxa"/>
            <w:vAlign w:val="bottom"/>
            <w:gridSpan w:val="17"/>
          </w:tcPr>
          <w:p>
            <w:pPr>
              <w:ind w:left="100"/>
              <w:spacing w:after="0" w:line="162" w:lineRule="exact"/>
              <w:rPr>
                <w:rFonts w:ascii="Arial" w:cs="Arial" w:eastAsia="Arial" w:hAnsi="Arial"/>
                <w:sz w:val="16"/>
                <w:szCs w:val="16"/>
                <w:color w:val="0000EE"/>
              </w:rPr>
            </w:pPr>
            <w:hyperlink w:anchor="page48">
              <w:r>
                <w:rPr>
                  <w:rFonts w:ascii="Arial" w:cs="Arial" w:eastAsia="Arial" w:hAnsi="Arial"/>
                  <w:sz w:val="16"/>
                  <w:szCs w:val="16"/>
                  <w:color w:val="0000EE"/>
                </w:rPr>
                <w:t>Risk Factors</w:t>
              </w:r>
            </w:hyperlink>
          </w:p>
        </w:tc>
        <w:tc>
          <w:tcPr>
            <w:tcW w:w="1620" w:type="dxa"/>
            <w:vAlign w:val="bottom"/>
            <w:gridSpan w:val="5"/>
          </w:tcPr>
          <w:p>
            <w:pPr>
              <w:jc w:val="right"/>
              <w:ind w:right="180"/>
              <w:spacing w:after="0" w:line="162" w:lineRule="exact"/>
              <w:rPr>
                <w:rFonts w:ascii="Arial" w:cs="Arial" w:eastAsia="Arial" w:hAnsi="Arial"/>
                <w:sz w:val="16"/>
                <w:szCs w:val="16"/>
                <w:color w:val="0000EE"/>
              </w:rPr>
            </w:pPr>
            <w:hyperlink w:anchor="page48">
              <w:r>
                <w:rPr>
                  <w:rFonts w:ascii="Arial" w:cs="Arial" w:eastAsia="Arial" w:hAnsi="Arial"/>
                  <w:sz w:val="16"/>
                  <w:szCs w:val="16"/>
                  <w:color w:val="0000EE"/>
                </w:rPr>
                <w:t>47</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
        </w:trPr>
        <w:tc>
          <w:tcPr>
            <w:tcW w:w="2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80" w:type="dxa"/>
            <w:vAlign w:val="bottom"/>
            <w:shd w:val="clear" w:color="auto" w:fill="BFBFBF"/>
          </w:tcPr>
          <w:p>
            <w:pPr>
              <w:spacing w:after="0"/>
              <w:rPr>
                <w:sz w:val="14"/>
                <w:szCs w:val="14"/>
                <w:color w:val="auto"/>
              </w:rPr>
            </w:pPr>
          </w:p>
        </w:tc>
        <w:tc>
          <w:tcPr>
            <w:tcW w:w="500" w:type="dxa"/>
            <w:vAlign w:val="bottom"/>
            <w:shd w:val="clear" w:color="auto" w:fill="BFBFBF"/>
          </w:tcPr>
          <w:p>
            <w:pPr>
              <w:spacing w:after="0" w:line="162" w:lineRule="exact"/>
              <w:rPr>
                <w:rFonts w:ascii="Arial" w:cs="Arial" w:eastAsia="Arial" w:hAnsi="Arial"/>
                <w:sz w:val="16"/>
                <w:szCs w:val="16"/>
                <w:color w:val="0000EE"/>
                <w:w w:val="98"/>
              </w:rPr>
            </w:pPr>
            <w:hyperlink w:anchor="page49">
              <w:r>
                <w:rPr>
                  <w:rFonts w:ascii="Arial" w:cs="Arial" w:eastAsia="Arial" w:hAnsi="Arial"/>
                  <w:sz w:val="16"/>
                  <w:szCs w:val="16"/>
                  <w:color w:val="0000EE"/>
                  <w:w w:val="98"/>
                </w:rPr>
                <w:t>Item 2.</w:t>
              </w:r>
            </w:hyperlink>
          </w:p>
        </w:tc>
        <w:tc>
          <w:tcPr>
            <w:tcW w:w="100" w:type="dxa"/>
            <w:vAlign w:val="bottom"/>
            <w:shd w:val="clear" w:color="auto" w:fill="BFBFBF"/>
          </w:tcPr>
          <w:p>
            <w:pPr>
              <w:spacing w:after="0"/>
              <w:rPr>
                <w:sz w:val="14"/>
                <w:szCs w:val="14"/>
                <w:color w:val="auto"/>
              </w:rPr>
            </w:pPr>
          </w:p>
        </w:tc>
        <w:tc>
          <w:tcPr>
            <w:tcW w:w="100" w:type="dxa"/>
            <w:vAlign w:val="bottom"/>
            <w:shd w:val="clear" w:color="auto" w:fill="BFBFBF"/>
          </w:tcPr>
          <w:p>
            <w:pPr>
              <w:spacing w:after="0"/>
              <w:rPr>
                <w:sz w:val="14"/>
                <w:szCs w:val="14"/>
                <w:color w:val="auto"/>
              </w:rPr>
            </w:pPr>
          </w:p>
        </w:tc>
        <w:tc>
          <w:tcPr>
            <w:tcW w:w="100" w:type="dxa"/>
            <w:vAlign w:val="bottom"/>
            <w:shd w:val="clear" w:color="auto" w:fill="BFBFBF"/>
          </w:tcPr>
          <w:p>
            <w:pPr>
              <w:spacing w:after="0"/>
              <w:rPr>
                <w:sz w:val="14"/>
                <w:szCs w:val="14"/>
                <w:color w:val="auto"/>
              </w:rPr>
            </w:pPr>
          </w:p>
        </w:tc>
        <w:tc>
          <w:tcPr>
            <w:tcW w:w="4380" w:type="dxa"/>
            <w:vAlign w:val="bottom"/>
            <w:gridSpan w:val="11"/>
            <w:shd w:val="clear" w:color="auto" w:fill="BFBFBF"/>
          </w:tcPr>
          <w:p>
            <w:pPr>
              <w:spacing w:after="0" w:line="162" w:lineRule="exact"/>
              <w:rPr>
                <w:rFonts w:ascii="Arial" w:cs="Arial" w:eastAsia="Arial" w:hAnsi="Arial"/>
                <w:sz w:val="16"/>
                <w:szCs w:val="16"/>
                <w:color w:val="0000EE"/>
              </w:rPr>
            </w:pPr>
            <w:hyperlink w:anchor="page49">
              <w:r>
                <w:rPr>
                  <w:rFonts w:ascii="Arial" w:cs="Arial" w:eastAsia="Arial" w:hAnsi="Arial"/>
                  <w:sz w:val="16"/>
                  <w:szCs w:val="16"/>
                  <w:color w:val="0000EE"/>
                </w:rPr>
                <w:t>Unregistered Sales of Equity Securities and Use of Proceeds</w:t>
              </w:r>
            </w:hyperlink>
          </w:p>
        </w:tc>
        <w:tc>
          <w:tcPr>
            <w:tcW w:w="4260" w:type="dxa"/>
            <w:vAlign w:val="bottom"/>
            <w:gridSpan w:val="5"/>
            <w:shd w:val="clear" w:color="auto" w:fill="BFBFBF"/>
          </w:tcPr>
          <w:p>
            <w:pPr>
              <w:spacing w:after="0"/>
              <w:rPr>
                <w:sz w:val="14"/>
                <w:szCs w:val="14"/>
                <w:color w:val="auto"/>
              </w:rPr>
            </w:pPr>
          </w:p>
        </w:tc>
        <w:tc>
          <w:tcPr>
            <w:tcW w:w="1620" w:type="dxa"/>
            <w:vAlign w:val="bottom"/>
            <w:gridSpan w:val="5"/>
            <w:shd w:val="clear" w:color="auto" w:fill="BFBFBF"/>
          </w:tcPr>
          <w:p>
            <w:pPr>
              <w:jc w:val="right"/>
              <w:ind w:right="180"/>
              <w:spacing w:after="0" w:line="162" w:lineRule="exact"/>
              <w:rPr>
                <w:rFonts w:ascii="Arial" w:cs="Arial" w:eastAsia="Arial" w:hAnsi="Arial"/>
                <w:sz w:val="16"/>
                <w:szCs w:val="16"/>
                <w:color w:val="0000EE"/>
              </w:rPr>
            </w:pPr>
            <w:hyperlink w:anchor="page49">
              <w:r>
                <w:rPr>
                  <w:rFonts w:ascii="Arial" w:cs="Arial" w:eastAsia="Arial" w:hAnsi="Arial"/>
                  <w:sz w:val="16"/>
                  <w:szCs w:val="16"/>
                  <w:color w:val="0000EE"/>
                </w:rPr>
                <w:t>48</w:t>
              </w:r>
            </w:hyperlink>
          </w:p>
        </w:tc>
        <w:tc>
          <w:tcPr>
            <w:tcW w:w="60" w:type="dxa"/>
            <w:vAlign w:val="bottom"/>
            <w:shd w:val="clear" w:color="auto" w:fill="BFBFBF"/>
          </w:tcPr>
          <w:p>
            <w:pPr>
              <w:spacing w:after="0"/>
              <w:rPr>
                <w:sz w:val="14"/>
                <w:szCs w:val="14"/>
                <w:color w:val="auto"/>
              </w:rPr>
            </w:pPr>
          </w:p>
        </w:tc>
        <w:tc>
          <w:tcPr>
            <w:tcW w:w="20" w:type="dxa"/>
            <w:vAlign w:val="bottom"/>
            <w:shd w:val="clear" w:color="auto" w:fill="BFBFBF"/>
          </w:tcPr>
          <w:p>
            <w:pPr>
              <w:spacing w:after="0"/>
              <w:rPr>
                <w:sz w:val="14"/>
                <w:szCs w:val="14"/>
                <w:color w:val="auto"/>
              </w:rPr>
            </w:pPr>
          </w:p>
        </w:tc>
      </w:tr>
      <w:tr>
        <w:trPr>
          <w:trHeight w:val="27"/>
        </w:trPr>
        <w:tc>
          <w:tcPr>
            <w:tcW w:w="280" w:type="dxa"/>
            <w:vAlign w:val="bottom"/>
            <w:shd w:val="clear" w:color="auto" w:fill="BFBFBF"/>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shd w:val="clear" w:color="auto" w:fill="BFBFBF"/>
          </w:tcPr>
          <w:p>
            <w:pPr>
              <w:spacing w:after="0"/>
              <w:rPr>
                <w:sz w:val="2"/>
                <w:szCs w:val="2"/>
                <w:color w:val="auto"/>
              </w:rPr>
            </w:pPr>
          </w:p>
        </w:tc>
        <w:tc>
          <w:tcPr>
            <w:tcW w:w="100" w:type="dxa"/>
            <w:vAlign w:val="bottom"/>
            <w:shd w:val="clear" w:color="auto" w:fill="BFBFBF"/>
          </w:tcPr>
          <w:p>
            <w:pPr>
              <w:spacing w:after="0"/>
              <w:rPr>
                <w:sz w:val="2"/>
                <w:szCs w:val="2"/>
                <w:color w:val="auto"/>
              </w:rPr>
            </w:pPr>
          </w:p>
        </w:tc>
        <w:tc>
          <w:tcPr>
            <w:tcW w:w="100" w:type="dxa"/>
            <w:vAlign w:val="bottom"/>
            <w:shd w:val="clear" w:color="auto" w:fill="BFBFBF"/>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1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0" w:type="dxa"/>
            <w:vAlign w:val="bottom"/>
            <w:shd w:val="clear" w:color="auto" w:fill="BFBFBF"/>
          </w:tcPr>
          <w:p>
            <w:pPr>
              <w:spacing w:after="0"/>
              <w:rPr>
                <w:sz w:val="2"/>
                <w:szCs w:val="2"/>
                <w:color w:val="auto"/>
              </w:rPr>
            </w:pPr>
          </w:p>
        </w:tc>
        <w:tc>
          <w:tcPr>
            <w:tcW w:w="600" w:type="dxa"/>
            <w:vAlign w:val="bottom"/>
            <w:shd w:val="clear" w:color="auto" w:fill="BFBFBF"/>
          </w:tcPr>
          <w:p>
            <w:pPr>
              <w:spacing w:after="0"/>
              <w:rPr>
                <w:sz w:val="2"/>
                <w:szCs w:val="2"/>
                <w:color w:val="auto"/>
              </w:rPr>
            </w:pPr>
          </w:p>
        </w:tc>
        <w:tc>
          <w:tcPr>
            <w:tcW w:w="680" w:type="dxa"/>
            <w:vAlign w:val="bottom"/>
            <w:shd w:val="clear" w:color="auto" w:fill="BFBFBF"/>
          </w:tcPr>
          <w:p>
            <w:pPr>
              <w:spacing w:after="0"/>
              <w:rPr>
                <w:sz w:val="2"/>
                <w:szCs w:val="2"/>
                <w:color w:val="auto"/>
              </w:rPr>
            </w:pPr>
          </w:p>
        </w:tc>
        <w:tc>
          <w:tcPr>
            <w:tcW w:w="240" w:type="dxa"/>
            <w:vAlign w:val="bottom"/>
            <w:shd w:val="clear" w:color="auto" w:fill="BFBFBF"/>
          </w:tcPr>
          <w:p>
            <w:pPr>
              <w:spacing w:after="0"/>
              <w:rPr>
                <w:sz w:val="2"/>
                <w:szCs w:val="2"/>
                <w:color w:val="auto"/>
              </w:rPr>
            </w:pPr>
          </w:p>
        </w:tc>
        <w:tc>
          <w:tcPr>
            <w:tcW w:w="1340" w:type="dxa"/>
            <w:vAlign w:val="bottom"/>
            <w:shd w:val="clear" w:color="auto" w:fill="BFBFBF"/>
          </w:tcPr>
          <w:p>
            <w:pPr>
              <w:spacing w:after="0"/>
              <w:rPr>
                <w:sz w:val="2"/>
                <w:szCs w:val="2"/>
                <w:color w:val="auto"/>
              </w:rPr>
            </w:pPr>
          </w:p>
        </w:tc>
        <w:tc>
          <w:tcPr>
            <w:tcW w:w="1080" w:type="dxa"/>
            <w:vAlign w:val="bottom"/>
            <w:shd w:val="clear" w:color="auto" w:fill="BFBFBF"/>
          </w:tcPr>
          <w:p>
            <w:pPr>
              <w:spacing w:after="0"/>
              <w:rPr>
                <w:sz w:val="2"/>
                <w:szCs w:val="2"/>
                <w:color w:val="auto"/>
              </w:rPr>
            </w:pPr>
          </w:p>
        </w:tc>
        <w:tc>
          <w:tcPr>
            <w:tcW w:w="180" w:type="dxa"/>
            <w:vAlign w:val="bottom"/>
            <w:shd w:val="clear" w:color="auto" w:fill="BFBFB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BFBFBF"/>
          </w:tcPr>
          <w:p>
            <w:pPr>
              <w:spacing w:after="0"/>
              <w:rPr>
                <w:sz w:val="2"/>
                <w:szCs w:val="2"/>
                <w:color w:val="auto"/>
              </w:rPr>
            </w:pPr>
          </w:p>
        </w:tc>
        <w:tc>
          <w:tcPr>
            <w:tcW w:w="60" w:type="dxa"/>
            <w:vAlign w:val="bottom"/>
            <w:shd w:val="clear" w:color="auto" w:fill="BFBFBF"/>
          </w:tcPr>
          <w:p>
            <w:pPr>
              <w:spacing w:after="0"/>
              <w:rPr>
                <w:sz w:val="2"/>
                <w:szCs w:val="2"/>
                <w:color w:val="auto"/>
              </w:rPr>
            </w:pPr>
          </w:p>
        </w:tc>
        <w:tc>
          <w:tcPr>
            <w:tcW w:w="20" w:type="dxa"/>
            <w:vAlign w:val="bottom"/>
            <w:shd w:val="clear" w:color="auto" w:fill="BFBFBF"/>
          </w:tcPr>
          <w:p>
            <w:pPr>
              <w:spacing w:after="0"/>
              <w:rPr>
                <w:sz w:val="2"/>
                <w:szCs w:val="2"/>
                <w:color w:val="auto"/>
              </w:rPr>
            </w:pPr>
          </w:p>
        </w:tc>
      </w:tr>
      <w:tr>
        <w:trPr>
          <w:trHeight w:val="162"/>
        </w:trPr>
        <w:tc>
          <w:tcPr>
            <w:tcW w:w="280" w:type="dxa"/>
            <w:vAlign w:val="bottom"/>
          </w:tcPr>
          <w:p>
            <w:pPr>
              <w:spacing w:after="0"/>
              <w:rPr>
                <w:sz w:val="14"/>
                <w:szCs w:val="14"/>
                <w:color w:val="auto"/>
              </w:rPr>
            </w:pPr>
          </w:p>
        </w:tc>
        <w:tc>
          <w:tcPr>
            <w:tcW w:w="500" w:type="dxa"/>
            <w:vAlign w:val="bottom"/>
          </w:tcPr>
          <w:p>
            <w:pPr>
              <w:spacing w:after="0" w:line="162" w:lineRule="exact"/>
              <w:rPr>
                <w:rFonts w:ascii="Arial" w:cs="Arial" w:eastAsia="Arial" w:hAnsi="Arial"/>
                <w:sz w:val="16"/>
                <w:szCs w:val="16"/>
                <w:color w:val="0000EE"/>
                <w:w w:val="98"/>
              </w:rPr>
            </w:pPr>
            <w:hyperlink w:anchor="page49">
              <w:r>
                <w:rPr>
                  <w:rFonts w:ascii="Arial" w:cs="Arial" w:eastAsia="Arial" w:hAnsi="Arial"/>
                  <w:sz w:val="16"/>
                  <w:szCs w:val="16"/>
                  <w:color w:val="0000EE"/>
                  <w:w w:val="98"/>
                </w:rPr>
                <w:t>Item 3.</w:t>
              </w:r>
            </w:hyperlink>
          </w:p>
        </w:tc>
        <w:tc>
          <w:tcPr>
            <w:tcW w:w="2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8"/>
          </w:tcPr>
          <w:p>
            <w:pPr>
              <w:spacing w:after="0" w:line="162" w:lineRule="exact"/>
              <w:rPr>
                <w:rFonts w:ascii="Arial" w:cs="Arial" w:eastAsia="Arial" w:hAnsi="Arial"/>
                <w:sz w:val="16"/>
                <w:szCs w:val="16"/>
                <w:color w:val="0000EE"/>
              </w:rPr>
            </w:pPr>
            <w:hyperlink w:anchor="page49">
              <w:r>
                <w:rPr>
                  <w:rFonts w:ascii="Arial" w:cs="Arial" w:eastAsia="Arial" w:hAnsi="Arial"/>
                  <w:sz w:val="16"/>
                  <w:szCs w:val="16"/>
                  <w:color w:val="0000EE"/>
                </w:rPr>
                <w:t>Defaults upon Senior Securities</w:t>
              </w:r>
            </w:hyperlink>
          </w:p>
        </w:tc>
        <w:tc>
          <w:tcPr>
            <w:tcW w:w="2100" w:type="dxa"/>
            <w:vAlign w:val="bottom"/>
            <w:gridSpan w:val="3"/>
          </w:tcPr>
          <w:p>
            <w:pPr>
              <w:spacing w:after="0"/>
              <w:rPr>
                <w:sz w:val="14"/>
                <w:szCs w:val="14"/>
                <w:color w:val="auto"/>
              </w:rPr>
            </w:pPr>
          </w:p>
        </w:tc>
        <w:tc>
          <w:tcPr>
            <w:tcW w:w="4260" w:type="dxa"/>
            <w:vAlign w:val="bottom"/>
            <w:gridSpan w:val="5"/>
          </w:tcPr>
          <w:p>
            <w:pPr>
              <w:spacing w:after="0"/>
              <w:rPr>
                <w:sz w:val="14"/>
                <w:szCs w:val="14"/>
                <w:color w:val="auto"/>
              </w:rPr>
            </w:pPr>
          </w:p>
        </w:tc>
        <w:tc>
          <w:tcPr>
            <w:tcW w:w="1620" w:type="dxa"/>
            <w:vAlign w:val="bottom"/>
            <w:gridSpan w:val="5"/>
          </w:tcPr>
          <w:p>
            <w:pPr>
              <w:jc w:val="right"/>
              <w:ind w:right="180"/>
              <w:spacing w:after="0" w:line="162" w:lineRule="exact"/>
              <w:rPr>
                <w:rFonts w:ascii="Arial" w:cs="Arial" w:eastAsia="Arial" w:hAnsi="Arial"/>
                <w:sz w:val="16"/>
                <w:szCs w:val="16"/>
                <w:color w:val="0000EE"/>
              </w:rPr>
            </w:pPr>
            <w:hyperlink w:anchor="page49">
              <w:r>
                <w:rPr>
                  <w:rFonts w:ascii="Arial" w:cs="Arial" w:eastAsia="Arial" w:hAnsi="Arial"/>
                  <w:sz w:val="16"/>
                  <w:szCs w:val="16"/>
                  <w:color w:val="0000EE"/>
                </w:rPr>
                <w:t>48</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
        </w:trPr>
        <w:tc>
          <w:tcPr>
            <w:tcW w:w="2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80" w:type="dxa"/>
            <w:vAlign w:val="bottom"/>
            <w:shd w:val="clear" w:color="auto" w:fill="BFBFBF"/>
          </w:tcPr>
          <w:p>
            <w:pPr>
              <w:spacing w:after="0"/>
              <w:rPr>
                <w:sz w:val="14"/>
                <w:szCs w:val="14"/>
                <w:color w:val="auto"/>
              </w:rPr>
            </w:pPr>
          </w:p>
        </w:tc>
        <w:tc>
          <w:tcPr>
            <w:tcW w:w="500" w:type="dxa"/>
            <w:vAlign w:val="bottom"/>
            <w:shd w:val="clear" w:color="auto" w:fill="BFBFBF"/>
          </w:tcPr>
          <w:p>
            <w:pPr>
              <w:spacing w:after="0" w:line="162" w:lineRule="exact"/>
              <w:rPr>
                <w:rFonts w:ascii="Arial" w:cs="Arial" w:eastAsia="Arial" w:hAnsi="Arial"/>
                <w:sz w:val="16"/>
                <w:szCs w:val="16"/>
                <w:color w:val="0000EE"/>
                <w:w w:val="98"/>
              </w:rPr>
            </w:pPr>
            <w:hyperlink w:anchor="page49">
              <w:r>
                <w:rPr>
                  <w:rFonts w:ascii="Arial" w:cs="Arial" w:eastAsia="Arial" w:hAnsi="Arial"/>
                  <w:sz w:val="16"/>
                  <w:szCs w:val="16"/>
                  <w:color w:val="0000EE"/>
                  <w:w w:val="98"/>
                </w:rPr>
                <w:t>Item 4.</w:t>
              </w:r>
            </w:hyperlink>
          </w:p>
        </w:tc>
        <w:tc>
          <w:tcPr>
            <w:tcW w:w="200" w:type="dxa"/>
            <w:vAlign w:val="bottom"/>
            <w:gridSpan w:val="2"/>
            <w:shd w:val="clear" w:color="auto" w:fill="BFBFBF"/>
          </w:tcPr>
          <w:p>
            <w:pPr>
              <w:spacing w:after="0"/>
              <w:rPr>
                <w:sz w:val="14"/>
                <w:szCs w:val="14"/>
                <w:color w:val="auto"/>
              </w:rPr>
            </w:pPr>
          </w:p>
        </w:tc>
        <w:tc>
          <w:tcPr>
            <w:tcW w:w="100" w:type="dxa"/>
            <w:vAlign w:val="bottom"/>
            <w:shd w:val="clear" w:color="auto" w:fill="BFBFBF"/>
          </w:tcPr>
          <w:p>
            <w:pPr>
              <w:spacing w:after="0"/>
              <w:rPr>
                <w:sz w:val="14"/>
                <w:szCs w:val="14"/>
                <w:color w:val="auto"/>
              </w:rPr>
            </w:pPr>
          </w:p>
        </w:tc>
        <w:tc>
          <w:tcPr>
            <w:tcW w:w="2280" w:type="dxa"/>
            <w:vAlign w:val="bottom"/>
            <w:gridSpan w:val="8"/>
            <w:shd w:val="clear" w:color="auto" w:fill="BFBFBF"/>
          </w:tcPr>
          <w:p>
            <w:pPr>
              <w:spacing w:after="0" w:line="162" w:lineRule="exact"/>
              <w:rPr>
                <w:rFonts w:ascii="Arial" w:cs="Arial" w:eastAsia="Arial" w:hAnsi="Arial"/>
                <w:sz w:val="16"/>
                <w:szCs w:val="16"/>
                <w:color w:val="0000EE"/>
              </w:rPr>
            </w:pPr>
            <w:hyperlink w:anchor="page49">
              <w:r>
                <w:rPr>
                  <w:rFonts w:ascii="Arial" w:cs="Arial" w:eastAsia="Arial" w:hAnsi="Arial"/>
                  <w:sz w:val="16"/>
                  <w:szCs w:val="16"/>
                  <w:color w:val="0000EE"/>
                </w:rPr>
                <w:t>Mine Safety Disclosures</w:t>
              </w:r>
            </w:hyperlink>
          </w:p>
        </w:tc>
        <w:tc>
          <w:tcPr>
            <w:tcW w:w="6360" w:type="dxa"/>
            <w:vAlign w:val="bottom"/>
            <w:gridSpan w:val="8"/>
            <w:shd w:val="clear" w:color="auto" w:fill="BFBFBF"/>
          </w:tcPr>
          <w:p>
            <w:pPr>
              <w:spacing w:after="0"/>
              <w:rPr>
                <w:sz w:val="14"/>
                <w:szCs w:val="14"/>
                <w:color w:val="auto"/>
              </w:rPr>
            </w:pPr>
          </w:p>
        </w:tc>
        <w:tc>
          <w:tcPr>
            <w:tcW w:w="1620" w:type="dxa"/>
            <w:vAlign w:val="bottom"/>
            <w:gridSpan w:val="5"/>
            <w:shd w:val="clear" w:color="auto" w:fill="BFBFBF"/>
          </w:tcPr>
          <w:p>
            <w:pPr>
              <w:jc w:val="right"/>
              <w:ind w:right="180"/>
              <w:spacing w:after="0" w:line="162" w:lineRule="exact"/>
              <w:rPr>
                <w:rFonts w:ascii="Arial" w:cs="Arial" w:eastAsia="Arial" w:hAnsi="Arial"/>
                <w:sz w:val="16"/>
                <w:szCs w:val="16"/>
                <w:color w:val="0000EE"/>
              </w:rPr>
            </w:pPr>
            <w:hyperlink w:anchor="page49">
              <w:r>
                <w:rPr>
                  <w:rFonts w:ascii="Arial" w:cs="Arial" w:eastAsia="Arial" w:hAnsi="Arial"/>
                  <w:sz w:val="16"/>
                  <w:szCs w:val="16"/>
                  <w:color w:val="0000EE"/>
                </w:rPr>
                <w:t>48</w:t>
              </w:r>
            </w:hyperlink>
          </w:p>
        </w:tc>
        <w:tc>
          <w:tcPr>
            <w:tcW w:w="60" w:type="dxa"/>
            <w:vAlign w:val="bottom"/>
            <w:shd w:val="clear" w:color="auto" w:fill="BFBFBF"/>
          </w:tcPr>
          <w:p>
            <w:pPr>
              <w:spacing w:after="0"/>
              <w:rPr>
                <w:sz w:val="14"/>
                <w:szCs w:val="14"/>
                <w:color w:val="auto"/>
              </w:rPr>
            </w:pPr>
          </w:p>
        </w:tc>
        <w:tc>
          <w:tcPr>
            <w:tcW w:w="20" w:type="dxa"/>
            <w:vAlign w:val="bottom"/>
            <w:shd w:val="clear" w:color="auto" w:fill="BFBFBF"/>
          </w:tcPr>
          <w:p>
            <w:pPr>
              <w:spacing w:after="0"/>
              <w:rPr>
                <w:sz w:val="14"/>
                <w:szCs w:val="14"/>
                <w:color w:val="auto"/>
              </w:rPr>
            </w:pPr>
          </w:p>
        </w:tc>
      </w:tr>
      <w:tr>
        <w:trPr>
          <w:trHeight w:val="27"/>
        </w:trPr>
        <w:tc>
          <w:tcPr>
            <w:tcW w:w="280" w:type="dxa"/>
            <w:vAlign w:val="bottom"/>
            <w:shd w:val="clear" w:color="auto" w:fill="BFBFBF"/>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shd w:val="clear" w:color="auto" w:fill="BFBFBF"/>
          </w:tcPr>
          <w:p>
            <w:pPr>
              <w:spacing w:after="0"/>
              <w:rPr>
                <w:sz w:val="2"/>
                <w:szCs w:val="2"/>
                <w:color w:val="auto"/>
              </w:rPr>
            </w:pPr>
          </w:p>
        </w:tc>
        <w:tc>
          <w:tcPr>
            <w:tcW w:w="100" w:type="dxa"/>
            <w:vAlign w:val="bottom"/>
            <w:shd w:val="clear" w:color="auto" w:fill="BFBFBF"/>
          </w:tcPr>
          <w:p>
            <w:pPr>
              <w:spacing w:after="0"/>
              <w:rPr>
                <w:sz w:val="2"/>
                <w:szCs w:val="2"/>
                <w:color w:val="auto"/>
              </w:rPr>
            </w:pPr>
          </w:p>
        </w:tc>
        <w:tc>
          <w:tcPr>
            <w:tcW w:w="100" w:type="dxa"/>
            <w:vAlign w:val="bottom"/>
            <w:shd w:val="clear" w:color="auto" w:fill="BFBFBF"/>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tcBorders>
              <w:right w:val="single" w:sz="8" w:color="BFBFBF"/>
            </w:tcBorders>
            <w:shd w:val="clear" w:color="auto" w:fill="0000EE"/>
          </w:tcPr>
          <w:p>
            <w:pPr>
              <w:spacing w:after="0"/>
              <w:rPr>
                <w:sz w:val="2"/>
                <w:szCs w:val="2"/>
                <w:color w:val="auto"/>
              </w:rPr>
            </w:pPr>
          </w:p>
        </w:tc>
        <w:tc>
          <w:tcPr>
            <w:tcW w:w="200" w:type="dxa"/>
            <w:vAlign w:val="bottom"/>
            <w:shd w:val="clear" w:color="auto" w:fill="BFBFBF"/>
          </w:tcPr>
          <w:p>
            <w:pPr>
              <w:spacing w:after="0"/>
              <w:rPr>
                <w:sz w:val="2"/>
                <w:szCs w:val="2"/>
                <w:color w:val="auto"/>
              </w:rPr>
            </w:pPr>
          </w:p>
        </w:tc>
        <w:tc>
          <w:tcPr>
            <w:tcW w:w="280" w:type="dxa"/>
            <w:vAlign w:val="bottom"/>
            <w:shd w:val="clear" w:color="auto" w:fill="BFBFBF"/>
          </w:tcPr>
          <w:p>
            <w:pPr>
              <w:spacing w:after="0"/>
              <w:rPr>
                <w:sz w:val="2"/>
                <w:szCs w:val="2"/>
                <w:color w:val="auto"/>
              </w:rPr>
            </w:pPr>
          </w:p>
        </w:tc>
        <w:tc>
          <w:tcPr>
            <w:tcW w:w="760" w:type="dxa"/>
            <w:vAlign w:val="bottom"/>
            <w:shd w:val="clear" w:color="auto" w:fill="BFBFBF"/>
          </w:tcPr>
          <w:p>
            <w:pPr>
              <w:spacing w:after="0"/>
              <w:rPr>
                <w:sz w:val="2"/>
                <w:szCs w:val="2"/>
                <w:color w:val="auto"/>
              </w:rPr>
            </w:pPr>
          </w:p>
        </w:tc>
        <w:tc>
          <w:tcPr>
            <w:tcW w:w="1180" w:type="dxa"/>
            <w:vAlign w:val="bottom"/>
            <w:shd w:val="clear" w:color="auto" w:fill="BFBFBF"/>
          </w:tcPr>
          <w:p>
            <w:pPr>
              <w:spacing w:after="0"/>
              <w:rPr>
                <w:sz w:val="2"/>
                <w:szCs w:val="2"/>
                <w:color w:val="auto"/>
              </w:rPr>
            </w:pPr>
          </w:p>
        </w:tc>
        <w:tc>
          <w:tcPr>
            <w:tcW w:w="160" w:type="dxa"/>
            <w:vAlign w:val="bottom"/>
            <w:shd w:val="clear" w:color="auto" w:fill="BFBFBF"/>
          </w:tcPr>
          <w:p>
            <w:pPr>
              <w:spacing w:after="0"/>
              <w:rPr>
                <w:sz w:val="2"/>
                <w:szCs w:val="2"/>
                <w:color w:val="auto"/>
              </w:rPr>
            </w:pPr>
          </w:p>
        </w:tc>
        <w:tc>
          <w:tcPr>
            <w:tcW w:w="1400" w:type="dxa"/>
            <w:vAlign w:val="bottom"/>
            <w:shd w:val="clear" w:color="auto" w:fill="BFBFBF"/>
          </w:tcPr>
          <w:p>
            <w:pPr>
              <w:spacing w:after="0"/>
              <w:rPr>
                <w:sz w:val="2"/>
                <w:szCs w:val="2"/>
                <w:color w:val="auto"/>
              </w:rPr>
            </w:pPr>
          </w:p>
        </w:tc>
        <w:tc>
          <w:tcPr>
            <w:tcW w:w="600" w:type="dxa"/>
            <w:vAlign w:val="bottom"/>
            <w:shd w:val="clear" w:color="auto" w:fill="BFBFBF"/>
          </w:tcPr>
          <w:p>
            <w:pPr>
              <w:spacing w:after="0"/>
              <w:rPr>
                <w:sz w:val="2"/>
                <w:szCs w:val="2"/>
                <w:color w:val="auto"/>
              </w:rPr>
            </w:pPr>
          </w:p>
        </w:tc>
        <w:tc>
          <w:tcPr>
            <w:tcW w:w="680" w:type="dxa"/>
            <w:vAlign w:val="bottom"/>
            <w:shd w:val="clear" w:color="auto" w:fill="BFBFBF"/>
          </w:tcPr>
          <w:p>
            <w:pPr>
              <w:spacing w:after="0"/>
              <w:rPr>
                <w:sz w:val="2"/>
                <w:szCs w:val="2"/>
                <w:color w:val="auto"/>
              </w:rPr>
            </w:pPr>
          </w:p>
        </w:tc>
        <w:tc>
          <w:tcPr>
            <w:tcW w:w="240" w:type="dxa"/>
            <w:vAlign w:val="bottom"/>
            <w:shd w:val="clear" w:color="auto" w:fill="BFBFBF"/>
          </w:tcPr>
          <w:p>
            <w:pPr>
              <w:spacing w:after="0"/>
              <w:rPr>
                <w:sz w:val="2"/>
                <w:szCs w:val="2"/>
                <w:color w:val="auto"/>
              </w:rPr>
            </w:pPr>
          </w:p>
        </w:tc>
        <w:tc>
          <w:tcPr>
            <w:tcW w:w="1340" w:type="dxa"/>
            <w:vAlign w:val="bottom"/>
            <w:shd w:val="clear" w:color="auto" w:fill="BFBFBF"/>
          </w:tcPr>
          <w:p>
            <w:pPr>
              <w:spacing w:after="0"/>
              <w:rPr>
                <w:sz w:val="2"/>
                <w:szCs w:val="2"/>
                <w:color w:val="auto"/>
              </w:rPr>
            </w:pPr>
          </w:p>
        </w:tc>
        <w:tc>
          <w:tcPr>
            <w:tcW w:w="1080" w:type="dxa"/>
            <w:vAlign w:val="bottom"/>
            <w:shd w:val="clear" w:color="auto" w:fill="BFBFBF"/>
          </w:tcPr>
          <w:p>
            <w:pPr>
              <w:spacing w:after="0"/>
              <w:rPr>
                <w:sz w:val="2"/>
                <w:szCs w:val="2"/>
                <w:color w:val="auto"/>
              </w:rPr>
            </w:pPr>
          </w:p>
        </w:tc>
        <w:tc>
          <w:tcPr>
            <w:tcW w:w="180" w:type="dxa"/>
            <w:vAlign w:val="bottom"/>
            <w:shd w:val="clear" w:color="auto" w:fill="BFBFB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BFBFBF"/>
          </w:tcPr>
          <w:p>
            <w:pPr>
              <w:spacing w:after="0"/>
              <w:rPr>
                <w:sz w:val="2"/>
                <w:szCs w:val="2"/>
                <w:color w:val="auto"/>
              </w:rPr>
            </w:pPr>
          </w:p>
        </w:tc>
        <w:tc>
          <w:tcPr>
            <w:tcW w:w="60" w:type="dxa"/>
            <w:vAlign w:val="bottom"/>
            <w:shd w:val="clear" w:color="auto" w:fill="BFBFBF"/>
          </w:tcPr>
          <w:p>
            <w:pPr>
              <w:spacing w:after="0"/>
              <w:rPr>
                <w:sz w:val="2"/>
                <w:szCs w:val="2"/>
                <w:color w:val="auto"/>
              </w:rPr>
            </w:pPr>
          </w:p>
        </w:tc>
        <w:tc>
          <w:tcPr>
            <w:tcW w:w="20" w:type="dxa"/>
            <w:vAlign w:val="bottom"/>
            <w:shd w:val="clear" w:color="auto" w:fill="BFBFBF"/>
          </w:tcPr>
          <w:p>
            <w:pPr>
              <w:spacing w:after="0"/>
              <w:rPr>
                <w:sz w:val="2"/>
                <w:szCs w:val="2"/>
                <w:color w:val="auto"/>
              </w:rPr>
            </w:pPr>
          </w:p>
        </w:tc>
      </w:tr>
      <w:tr>
        <w:trPr>
          <w:trHeight w:val="162"/>
        </w:trPr>
        <w:tc>
          <w:tcPr>
            <w:tcW w:w="280" w:type="dxa"/>
            <w:vAlign w:val="bottom"/>
          </w:tcPr>
          <w:p>
            <w:pPr>
              <w:spacing w:after="0"/>
              <w:rPr>
                <w:sz w:val="14"/>
                <w:szCs w:val="14"/>
                <w:color w:val="auto"/>
              </w:rPr>
            </w:pPr>
          </w:p>
        </w:tc>
        <w:tc>
          <w:tcPr>
            <w:tcW w:w="500" w:type="dxa"/>
            <w:vAlign w:val="bottom"/>
          </w:tcPr>
          <w:p>
            <w:pPr>
              <w:spacing w:after="0" w:line="162" w:lineRule="exact"/>
              <w:rPr>
                <w:rFonts w:ascii="Arial" w:cs="Arial" w:eastAsia="Arial" w:hAnsi="Arial"/>
                <w:sz w:val="16"/>
                <w:szCs w:val="16"/>
                <w:color w:val="0000EE"/>
                <w:w w:val="98"/>
              </w:rPr>
            </w:pPr>
            <w:hyperlink w:anchor="page49">
              <w:r>
                <w:rPr>
                  <w:rFonts w:ascii="Arial" w:cs="Arial" w:eastAsia="Arial" w:hAnsi="Arial"/>
                  <w:sz w:val="16"/>
                  <w:szCs w:val="16"/>
                  <w:color w:val="0000EE"/>
                  <w:w w:val="98"/>
                </w:rPr>
                <w:t>Item 5.</w:t>
              </w:r>
            </w:hyperlink>
          </w:p>
        </w:tc>
        <w:tc>
          <w:tcPr>
            <w:tcW w:w="2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spacing w:after="0" w:line="162" w:lineRule="exact"/>
              <w:rPr>
                <w:rFonts w:ascii="Arial" w:cs="Arial" w:eastAsia="Arial" w:hAnsi="Arial"/>
                <w:sz w:val="16"/>
                <w:szCs w:val="16"/>
                <w:color w:val="0000EE"/>
              </w:rPr>
            </w:pPr>
            <w:hyperlink w:anchor="page49">
              <w:r>
                <w:rPr>
                  <w:rFonts w:ascii="Arial" w:cs="Arial" w:eastAsia="Arial" w:hAnsi="Arial"/>
                  <w:sz w:val="16"/>
                  <w:szCs w:val="16"/>
                  <w:color w:val="0000EE"/>
                </w:rPr>
                <w:t>Other Information</w:t>
              </w:r>
            </w:hyperlink>
          </w:p>
        </w:tc>
        <w:tc>
          <w:tcPr>
            <w:tcW w:w="6840" w:type="dxa"/>
            <w:vAlign w:val="bottom"/>
            <w:gridSpan w:val="10"/>
          </w:tcPr>
          <w:p>
            <w:pPr>
              <w:spacing w:after="0"/>
              <w:rPr>
                <w:sz w:val="14"/>
                <w:szCs w:val="14"/>
                <w:color w:val="auto"/>
              </w:rPr>
            </w:pPr>
          </w:p>
        </w:tc>
        <w:tc>
          <w:tcPr>
            <w:tcW w:w="1620" w:type="dxa"/>
            <w:vAlign w:val="bottom"/>
            <w:gridSpan w:val="5"/>
          </w:tcPr>
          <w:p>
            <w:pPr>
              <w:jc w:val="right"/>
              <w:ind w:right="180"/>
              <w:spacing w:after="0" w:line="162" w:lineRule="exact"/>
              <w:rPr>
                <w:rFonts w:ascii="Arial" w:cs="Arial" w:eastAsia="Arial" w:hAnsi="Arial"/>
                <w:sz w:val="16"/>
                <w:szCs w:val="16"/>
                <w:color w:val="0000EE"/>
              </w:rPr>
            </w:pPr>
            <w:hyperlink w:anchor="page49">
              <w:r>
                <w:rPr>
                  <w:rFonts w:ascii="Arial" w:cs="Arial" w:eastAsia="Arial" w:hAnsi="Arial"/>
                  <w:sz w:val="16"/>
                  <w:szCs w:val="16"/>
                  <w:color w:val="0000EE"/>
                </w:rPr>
                <w:t>48</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
        </w:trPr>
        <w:tc>
          <w:tcPr>
            <w:tcW w:w="2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9"/>
        </w:trPr>
        <w:tc>
          <w:tcPr>
            <w:tcW w:w="280" w:type="dxa"/>
            <w:vAlign w:val="bottom"/>
            <w:shd w:val="clear" w:color="auto" w:fill="BFBFBF"/>
          </w:tcPr>
          <w:p>
            <w:pPr>
              <w:spacing w:after="0"/>
              <w:rPr>
                <w:sz w:val="14"/>
                <w:szCs w:val="14"/>
                <w:color w:val="auto"/>
              </w:rPr>
            </w:pPr>
          </w:p>
        </w:tc>
        <w:tc>
          <w:tcPr>
            <w:tcW w:w="500" w:type="dxa"/>
            <w:vAlign w:val="bottom"/>
            <w:shd w:val="clear" w:color="auto" w:fill="BFBFBF"/>
          </w:tcPr>
          <w:p>
            <w:pPr>
              <w:spacing w:after="0" w:line="162" w:lineRule="exact"/>
              <w:rPr>
                <w:rFonts w:ascii="Arial" w:cs="Arial" w:eastAsia="Arial" w:hAnsi="Arial"/>
                <w:sz w:val="16"/>
                <w:szCs w:val="16"/>
                <w:color w:val="0000EE"/>
                <w:w w:val="98"/>
              </w:rPr>
            </w:pPr>
            <w:hyperlink w:anchor="page50">
              <w:r>
                <w:rPr>
                  <w:rFonts w:ascii="Arial" w:cs="Arial" w:eastAsia="Arial" w:hAnsi="Arial"/>
                  <w:sz w:val="16"/>
                  <w:szCs w:val="16"/>
                  <w:color w:val="0000EE"/>
                  <w:w w:val="98"/>
                </w:rPr>
                <w:t>Item 6.</w:t>
              </w:r>
            </w:hyperlink>
          </w:p>
        </w:tc>
        <w:tc>
          <w:tcPr>
            <w:tcW w:w="200" w:type="dxa"/>
            <w:vAlign w:val="bottom"/>
            <w:gridSpan w:val="2"/>
            <w:shd w:val="clear" w:color="auto" w:fill="BFBFBF"/>
          </w:tcPr>
          <w:p>
            <w:pPr>
              <w:spacing w:after="0"/>
              <w:rPr>
                <w:sz w:val="14"/>
                <w:szCs w:val="14"/>
                <w:color w:val="auto"/>
              </w:rPr>
            </w:pPr>
          </w:p>
        </w:tc>
        <w:tc>
          <w:tcPr>
            <w:tcW w:w="100" w:type="dxa"/>
            <w:vAlign w:val="bottom"/>
            <w:shd w:val="clear" w:color="auto" w:fill="BFBFBF"/>
          </w:tcPr>
          <w:p>
            <w:pPr>
              <w:spacing w:after="0"/>
              <w:rPr>
                <w:sz w:val="14"/>
                <w:szCs w:val="14"/>
                <w:color w:val="auto"/>
              </w:rPr>
            </w:pPr>
          </w:p>
        </w:tc>
        <w:tc>
          <w:tcPr>
            <w:tcW w:w="1260" w:type="dxa"/>
            <w:vAlign w:val="bottom"/>
            <w:gridSpan w:val="3"/>
            <w:shd w:val="clear" w:color="auto" w:fill="BFBFBF"/>
          </w:tcPr>
          <w:p>
            <w:pPr>
              <w:spacing w:after="0" w:line="162" w:lineRule="exact"/>
              <w:rPr>
                <w:rFonts w:ascii="Arial" w:cs="Arial" w:eastAsia="Arial" w:hAnsi="Arial"/>
                <w:sz w:val="16"/>
                <w:szCs w:val="16"/>
                <w:color w:val="0000EE"/>
              </w:rPr>
            </w:pPr>
            <w:hyperlink w:anchor="page50">
              <w:r>
                <w:rPr>
                  <w:rFonts w:ascii="Arial" w:cs="Arial" w:eastAsia="Arial" w:hAnsi="Arial"/>
                  <w:sz w:val="16"/>
                  <w:szCs w:val="16"/>
                  <w:color w:val="0000EE"/>
                </w:rPr>
                <w:t>Exhibits</w:t>
              </w:r>
            </w:hyperlink>
          </w:p>
        </w:tc>
        <w:tc>
          <w:tcPr>
            <w:tcW w:w="7380" w:type="dxa"/>
            <w:vAlign w:val="bottom"/>
            <w:gridSpan w:val="13"/>
            <w:shd w:val="clear" w:color="auto" w:fill="BFBFBF"/>
          </w:tcPr>
          <w:p>
            <w:pPr>
              <w:spacing w:after="0"/>
              <w:rPr>
                <w:sz w:val="14"/>
                <w:szCs w:val="14"/>
                <w:color w:val="auto"/>
              </w:rPr>
            </w:pPr>
          </w:p>
        </w:tc>
        <w:tc>
          <w:tcPr>
            <w:tcW w:w="1620" w:type="dxa"/>
            <w:vAlign w:val="bottom"/>
            <w:gridSpan w:val="5"/>
            <w:shd w:val="clear" w:color="auto" w:fill="BFBFBF"/>
          </w:tcPr>
          <w:p>
            <w:pPr>
              <w:jc w:val="right"/>
              <w:ind w:right="180"/>
              <w:spacing w:after="0" w:line="162" w:lineRule="exact"/>
              <w:rPr>
                <w:rFonts w:ascii="Arial" w:cs="Arial" w:eastAsia="Arial" w:hAnsi="Arial"/>
                <w:sz w:val="16"/>
                <w:szCs w:val="16"/>
                <w:color w:val="0000EE"/>
              </w:rPr>
            </w:pPr>
            <w:hyperlink w:anchor="page50">
              <w:r>
                <w:rPr>
                  <w:rFonts w:ascii="Arial" w:cs="Arial" w:eastAsia="Arial" w:hAnsi="Arial"/>
                  <w:sz w:val="16"/>
                  <w:szCs w:val="16"/>
                  <w:color w:val="0000EE"/>
                </w:rPr>
                <w:t>49</w:t>
              </w:r>
            </w:hyperlink>
          </w:p>
        </w:tc>
        <w:tc>
          <w:tcPr>
            <w:tcW w:w="60" w:type="dxa"/>
            <w:vAlign w:val="bottom"/>
            <w:shd w:val="clear" w:color="auto" w:fill="BFBFBF"/>
          </w:tcPr>
          <w:p>
            <w:pPr>
              <w:spacing w:after="0"/>
              <w:rPr>
                <w:sz w:val="14"/>
                <w:szCs w:val="14"/>
                <w:color w:val="auto"/>
              </w:rPr>
            </w:pPr>
          </w:p>
        </w:tc>
        <w:tc>
          <w:tcPr>
            <w:tcW w:w="20" w:type="dxa"/>
            <w:vAlign w:val="bottom"/>
            <w:shd w:val="clear" w:color="auto" w:fill="BFBFBF"/>
          </w:tcPr>
          <w:p>
            <w:pPr>
              <w:spacing w:after="0"/>
              <w:rPr>
                <w:sz w:val="14"/>
                <w:szCs w:val="14"/>
                <w:color w:val="auto"/>
              </w:rPr>
            </w:pPr>
          </w:p>
        </w:tc>
      </w:tr>
      <w:tr>
        <w:trPr>
          <w:trHeight w:val="135"/>
        </w:trPr>
        <w:tc>
          <w:tcPr>
            <w:tcW w:w="280" w:type="dxa"/>
            <w:vAlign w:val="bottom"/>
            <w:tcBorders>
              <w:top w:val="single" w:sz="8" w:color="BFBFBF"/>
              <w:bottom w:val="single" w:sz="8" w:color="EEEEEE"/>
            </w:tcBorders>
          </w:tcPr>
          <w:p>
            <w:pPr>
              <w:spacing w:after="0"/>
              <w:rPr>
                <w:sz w:val="11"/>
                <w:szCs w:val="11"/>
                <w:color w:val="auto"/>
              </w:rPr>
            </w:pPr>
          </w:p>
        </w:tc>
        <w:tc>
          <w:tcPr>
            <w:tcW w:w="500" w:type="dxa"/>
            <w:vAlign w:val="bottom"/>
            <w:tcBorders>
              <w:top w:val="single" w:sz="8" w:color="0000EE"/>
              <w:bottom w:val="single" w:sz="8" w:color="EEEEEE"/>
            </w:tcBorders>
          </w:tcPr>
          <w:p>
            <w:pPr>
              <w:spacing w:after="0"/>
              <w:rPr>
                <w:sz w:val="11"/>
                <w:szCs w:val="11"/>
                <w:color w:val="auto"/>
              </w:rPr>
            </w:pPr>
          </w:p>
        </w:tc>
        <w:tc>
          <w:tcPr>
            <w:tcW w:w="100" w:type="dxa"/>
            <w:vAlign w:val="bottom"/>
            <w:tcBorders>
              <w:top w:val="single" w:sz="8" w:color="BFBFBF"/>
              <w:bottom w:val="single" w:sz="8" w:color="EEEEEE"/>
            </w:tcBorders>
          </w:tcPr>
          <w:p>
            <w:pPr>
              <w:spacing w:after="0"/>
              <w:rPr>
                <w:sz w:val="11"/>
                <w:szCs w:val="11"/>
                <w:color w:val="auto"/>
              </w:rPr>
            </w:pPr>
          </w:p>
        </w:tc>
        <w:tc>
          <w:tcPr>
            <w:tcW w:w="100" w:type="dxa"/>
            <w:vAlign w:val="bottom"/>
            <w:tcBorders>
              <w:top w:val="single" w:sz="8" w:color="BFBFBF"/>
              <w:bottom w:val="single" w:sz="8" w:color="EEEEEE"/>
            </w:tcBorders>
          </w:tcPr>
          <w:p>
            <w:pPr>
              <w:spacing w:after="0"/>
              <w:rPr>
                <w:sz w:val="11"/>
                <w:szCs w:val="11"/>
                <w:color w:val="auto"/>
              </w:rPr>
            </w:pPr>
          </w:p>
        </w:tc>
        <w:tc>
          <w:tcPr>
            <w:tcW w:w="100" w:type="dxa"/>
            <w:vAlign w:val="bottom"/>
            <w:tcBorders>
              <w:top w:val="single" w:sz="8" w:color="BFBFBF"/>
              <w:bottom w:val="single" w:sz="8" w:color="EEEEEE"/>
            </w:tcBorders>
          </w:tcPr>
          <w:p>
            <w:pPr>
              <w:spacing w:after="0"/>
              <w:rPr>
                <w:sz w:val="11"/>
                <w:szCs w:val="11"/>
                <w:color w:val="auto"/>
              </w:rPr>
            </w:pPr>
          </w:p>
        </w:tc>
        <w:tc>
          <w:tcPr>
            <w:tcW w:w="580" w:type="dxa"/>
            <w:vAlign w:val="bottom"/>
            <w:tcBorders>
              <w:top w:val="single" w:sz="8" w:color="0000EE"/>
              <w:bottom w:val="single" w:sz="8" w:color="EEEEEE"/>
            </w:tcBorders>
          </w:tcPr>
          <w:p>
            <w:pPr>
              <w:spacing w:after="0"/>
              <w:rPr>
                <w:sz w:val="11"/>
                <w:szCs w:val="11"/>
                <w:color w:val="auto"/>
              </w:rPr>
            </w:pPr>
          </w:p>
        </w:tc>
        <w:tc>
          <w:tcPr>
            <w:tcW w:w="320" w:type="dxa"/>
            <w:vAlign w:val="bottom"/>
            <w:tcBorders>
              <w:top w:val="single" w:sz="8" w:color="BFBFBF"/>
              <w:bottom w:val="single" w:sz="8" w:color="EEEEEE"/>
            </w:tcBorders>
          </w:tcPr>
          <w:p>
            <w:pPr>
              <w:spacing w:after="0"/>
              <w:rPr>
                <w:sz w:val="11"/>
                <w:szCs w:val="11"/>
                <w:color w:val="auto"/>
              </w:rPr>
            </w:pPr>
          </w:p>
        </w:tc>
        <w:tc>
          <w:tcPr>
            <w:tcW w:w="360" w:type="dxa"/>
            <w:vAlign w:val="bottom"/>
            <w:tcBorders>
              <w:top w:val="single" w:sz="8" w:color="BFBFBF"/>
              <w:bottom w:val="single" w:sz="8" w:color="EEEEEE"/>
            </w:tcBorders>
          </w:tcPr>
          <w:p>
            <w:pPr>
              <w:spacing w:after="0"/>
              <w:rPr>
                <w:sz w:val="11"/>
                <w:szCs w:val="11"/>
                <w:color w:val="auto"/>
              </w:rPr>
            </w:pPr>
          </w:p>
        </w:tc>
        <w:tc>
          <w:tcPr>
            <w:tcW w:w="80" w:type="dxa"/>
            <w:vAlign w:val="bottom"/>
            <w:tcBorders>
              <w:top w:val="single" w:sz="8" w:color="BFBFBF"/>
              <w:bottom w:val="single" w:sz="8" w:color="EEEEEE"/>
            </w:tcBorders>
          </w:tcPr>
          <w:p>
            <w:pPr>
              <w:spacing w:after="0"/>
              <w:rPr>
                <w:sz w:val="11"/>
                <w:szCs w:val="11"/>
                <w:color w:val="auto"/>
              </w:rPr>
            </w:pPr>
          </w:p>
        </w:tc>
        <w:tc>
          <w:tcPr>
            <w:tcW w:w="180" w:type="dxa"/>
            <w:vAlign w:val="bottom"/>
            <w:tcBorders>
              <w:top w:val="single" w:sz="8" w:color="BFBFBF"/>
              <w:bottom w:val="single" w:sz="8" w:color="EEEEEE"/>
            </w:tcBorders>
          </w:tcPr>
          <w:p>
            <w:pPr>
              <w:spacing w:after="0"/>
              <w:rPr>
                <w:sz w:val="11"/>
                <w:szCs w:val="11"/>
                <w:color w:val="auto"/>
              </w:rPr>
            </w:pPr>
          </w:p>
        </w:tc>
        <w:tc>
          <w:tcPr>
            <w:tcW w:w="280" w:type="dxa"/>
            <w:vAlign w:val="bottom"/>
            <w:tcBorders>
              <w:top w:val="single" w:sz="8" w:color="BFBFBF"/>
              <w:bottom w:val="single" w:sz="8" w:color="EEEEEE"/>
            </w:tcBorders>
          </w:tcPr>
          <w:p>
            <w:pPr>
              <w:spacing w:after="0"/>
              <w:rPr>
                <w:sz w:val="11"/>
                <w:szCs w:val="11"/>
                <w:color w:val="auto"/>
              </w:rPr>
            </w:pPr>
          </w:p>
        </w:tc>
        <w:tc>
          <w:tcPr>
            <w:tcW w:w="200" w:type="dxa"/>
            <w:vAlign w:val="bottom"/>
            <w:tcBorders>
              <w:top w:val="single" w:sz="8" w:color="BFBFBF"/>
              <w:bottom w:val="single" w:sz="8" w:color="EEEEEE"/>
            </w:tcBorders>
          </w:tcPr>
          <w:p>
            <w:pPr>
              <w:spacing w:after="0"/>
              <w:rPr>
                <w:sz w:val="11"/>
                <w:szCs w:val="11"/>
                <w:color w:val="auto"/>
              </w:rPr>
            </w:pPr>
          </w:p>
        </w:tc>
        <w:tc>
          <w:tcPr>
            <w:tcW w:w="280" w:type="dxa"/>
            <w:vAlign w:val="bottom"/>
            <w:tcBorders>
              <w:top w:val="single" w:sz="8" w:color="BFBFBF"/>
              <w:bottom w:val="single" w:sz="8" w:color="EEEEEE"/>
            </w:tcBorders>
          </w:tcPr>
          <w:p>
            <w:pPr>
              <w:spacing w:after="0"/>
              <w:rPr>
                <w:sz w:val="11"/>
                <w:szCs w:val="11"/>
                <w:color w:val="auto"/>
              </w:rPr>
            </w:pPr>
          </w:p>
        </w:tc>
        <w:tc>
          <w:tcPr>
            <w:tcW w:w="760" w:type="dxa"/>
            <w:vAlign w:val="bottom"/>
            <w:tcBorders>
              <w:top w:val="single" w:sz="8" w:color="BFBFBF"/>
              <w:bottom w:val="single" w:sz="8" w:color="EEEEEE"/>
            </w:tcBorders>
          </w:tcPr>
          <w:p>
            <w:pPr>
              <w:spacing w:after="0"/>
              <w:rPr>
                <w:sz w:val="11"/>
                <w:szCs w:val="11"/>
                <w:color w:val="auto"/>
              </w:rPr>
            </w:pPr>
          </w:p>
        </w:tc>
        <w:tc>
          <w:tcPr>
            <w:tcW w:w="1180" w:type="dxa"/>
            <w:vAlign w:val="bottom"/>
            <w:tcBorders>
              <w:top w:val="single" w:sz="8" w:color="BFBFBF"/>
              <w:bottom w:val="single" w:sz="8" w:color="EEEEEE"/>
            </w:tcBorders>
          </w:tcPr>
          <w:p>
            <w:pPr>
              <w:spacing w:after="0"/>
              <w:rPr>
                <w:sz w:val="11"/>
                <w:szCs w:val="11"/>
                <w:color w:val="auto"/>
              </w:rPr>
            </w:pPr>
          </w:p>
        </w:tc>
        <w:tc>
          <w:tcPr>
            <w:tcW w:w="160" w:type="dxa"/>
            <w:vAlign w:val="bottom"/>
            <w:tcBorders>
              <w:top w:val="single" w:sz="8" w:color="BFBFBF"/>
              <w:bottom w:val="single" w:sz="8" w:color="EEEEEE"/>
            </w:tcBorders>
          </w:tcPr>
          <w:p>
            <w:pPr>
              <w:spacing w:after="0"/>
              <w:rPr>
                <w:sz w:val="11"/>
                <w:szCs w:val="11"/>
                <w:color w:val="auto"/>
              </w:rPr>
            </w:pPr>
          </w:p>
        </w:tc>
        <w:tc>
          <w:tcPr>
            <w:tcW w:w="1400" w:type="dxa"/>
            <w:vAlign w:val="bottom"/>
            <w:tcBorders>
              <w:top w:val="single" w:sz="8" w:color="BFBFBF"/>
              <w:bottom w:val="single" w:sz="8" w:color="EEEEEE"/>
            </w:tcBorders>
          </w:tcPr>
          <w:p>
            <w:pPr>
              <w:spacing w:after="0"/>
              <w:rPr>
                <w:sz w:val="11"/>
                <w:szCs w:val="11"/>
                <w:color w:val="auto"/>
              </w:rPr>
            </w:pPr>
          </w:p>
        </w:tc>
        <w:tc>
          <w:tcPr>
            <w:tcW w:w="600" w:type="dxa"/>
            <w:vAlign w:val="bottom"/>
            <w:tcBorders>
              <w:top w:val="single" w:sz="8" w:color="BFBFBF"/>
              <w:bottom w:val="single" w:sz="8" w:color="EEEEEE"/>
            </w:tcBorders>
          </w:tcPr>
          <w:p>
            <w:pPr>
              <w:spacing w:after="0"/>
              <w:rPr>
                <w:sz w:val="11"/>
                <w:szCs w:val="11"/>
                <w:color w:val="auto"/>
              </w:rPr>
            </w:pPr>
          </w:p>
        </w:tc>
        <w:tc>
          <w:tcPr>
            <w:tcW w:w="680" w:type="dxa"/>
            <w:vAlign w:val="bottom"/>
            <w:tcBorders>
              <w:top w:val="single" w:sz="8" w:color="BFBFBF"/>
              <w:bottom w:val="single" w:sz="8" w:color="EEEEEE"/>
            </w:tcBorders>
          </w:tcPr>
          <w:p>
            <w:pPr>
              <w:spacing w:after="0"/>
              <w:rPr>
                <w:sz w:val="11"/>
                <w:szCs w:val="11"/>
                <w:color w:val="auto"/>
              </w:rPr>
            </w:pPr>
          </w:p>
        </w:tc>
        <w:tc>
          <w:tcPr>
            <w:tcW w:w="240" w:type="dxa"/>
            <w:vAlign w:val="bottom"/>
            <w:tcBorders>
              <w:top w:val="single" w:sz="8" w:color="BFBFBF"/>
              <w:bottom w:val="single" w:sz="8" w:color="EEEEEE"/>
            </w:tcBorders>
          </w:tcPr>
          <w:p>
            <w:pPr>
              <w:spacing w:after="0"/>
              <w:rPr>
                <w:sz w:val="11"/>
                <w:szCs w:val="11"/>
                <w:color w:val="auto"/>
              </w:rPr>
            </w:pPr>
          </w:p>
        </w:tc>
        <w:tc>
          <w:tcPr>
            <w:tcW w:w="1340" w:type="dxa"/>
            <w:vAlign w:val="bottom"/>
            <w:tcBorders>
              <w:top w:val="single" w:sz="8" w:color="BFBFBF"/>
              <w:bottom w:val="single" w:sz="8" w:color="EEEEEE"/>
            </w:tcBorders>
          </w:tcPr>
          <w:p>
            <w:pPr>
              <w:spacing w:after="0"/>
              <w:rPr>
                <w:sz w:val="11"/>
                <w:szCs w:val="11"/>
                <w:color w:val="auto"/>
              </w:rPr>
            </w:pPr>
          </w:p>
        </w:tc>
        <w:tc>
          <w:tcPr>
            <w:tcW w:w="1080" w:type="dxa"/>
            <w:vAlign w:val="bottom"/>
            <w:tcBorders>
              <w:top w:val="single" w:sz="8" w:color="BFBFBF"/>
              <w:bottom w:val="single" w:sz="8" w:color="EEEEEE"/>
            </w:tcBorders>
          </w:tcPr>
          <w:p>
            <w:pPr>
              <w:spacing w:after="0"/>
              <w:rPr>
                <w:sz w:val="11"/>
                <w:szCs w:val="11"/>
                <w:color w:val="auto"/>
              </w:rPr>
            </w:pPr>
          </w:p>
        </w:tc>
        <w:tc>
          <w:tcPr>
            <w:tcW w:w="180" w:type="dxa"/>
            <w:vAlign w:val="bottom"/>
            <w:tcBorders>
              <w:top w:val="single" w:sz="8" w:color="BFBFBF"/>
              <w:bottom w:val="single" w:sz="8" w:color="EEEEEE"/>
            </w:tcBorders>
          </w:tcPr>
          <w:p>
            <w:pPr>
              <w:spacing w:after="0"/>
              <w:rPr>
                <w:sz w:val="11"/>
                <w:szCs w:val="11"/>
                <w:color w:val="auto"/>
              </w:rPr>
            </w:pPr>
          </w:p>
        </w:tc>
        <w:tc>
          <w:tcPr>
            <w:tcW w:w="80" w:type="dxa"/>
            <w:vAlign w:val="bottom"/>
            <w:tcBorders>
              <w:top w:val="single" w:sz="8" w:color="0000EE"/>
              <w:bottom w:val="single" w:sz="8" w:color="EEEEEE"/>
            </w:tcBorders>
          </w:tcPr>
          <w:p>
            <w:pPr>
              <w:spacing w:after="0"/>
              <w:rPr>
                <w:sz w:val="11"/>
                <w:szCs w:val="11"/>
                <w:color w:val="auto"/>
              </w:rPr>
            </w:pPr>
          </w:p>
        </w:tc>
        <w:tc>
          <w:tcPr>
            <w:tcW w:w="100" w:type="dxa"/>
            <w:vAlign w:val="bottom"/>
            <w:tcBorders>
              <w:top w:val="single" w:sz="8" w:color="0000EE"/>
              <w:bottom w:val="single" w:sz="8" w:color="EEEEEE"/>
            </w:tcBorders>
          </w:tcPr>
          <w:p>
            <w:pPr>
              <w:spacing w:after="0"/>
              <w:rPr>
                <w:sz w:val="11"/>
                <w:szCs w:val="11"/>
                <w:color w:val="auto"/>
              </w:rPr>
            </w:pPr>
          </w:p>
        </w:tc>
        <w:tc>
          <w:tcPr>
            <w:tcW w:w="180" w:type="dxa"/>
            <w:vAlign w:val="bottom"/>
            <w:tcBorders>
              <w:top w:val="single" w:sz="8" w:color="BFBFBF"/>
              <w:bottom w:val="single" w:sz="8" w:color="EEEEEE"/>
            </w:tcBorders>
          </w:tcPr>
          <w:p>
            <w:pPr>
              <w:spacing w:after="0"/>
              <w:rPr>
                <w:sz w:val="11"/>
                <w:szCs w:val="11"/>
                <w:color w:val="auto"/>
              </w:rPr>
            </w:pPr>
          </w:p>
        </w:tc>
        <w:tc>
          <w:tcPr>
            <w:tcW w:w="60" w:type="dxa"/>
            <w:vAlign w:val="bottom"/>
            <w:tcBorders>
              <w:top w:val="single" w:sz="8" w:color="BFBFBF"/>
              <w:bottom w:val="single" w:sz="8" w:color="EEEEEE"/>
            </w:tcBorders>
          </w:tcPr>
          <w:p>
            <w:pPr>
              <w:spacing w:after="0"/>
              <w:rPr>
                <w:sz w:val="11"/>
                <w:szCs w:val="11"/>
                <w:color w:val="auto"/>
              </w:rPr>
            </w:pPr>
          </w:p>
        </w:tc>
        <w:tc>
          <w:tcPr>
            <w:tcW w:w="20" w:type="dxa"/>
            <w:vAlign w:val="bottom"/>
            <w:tcBorders>
              <w:top w:val="single" w:sz="8" w:color="BFBFBF"/>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269" w:right="239" w:bottom="1440" w:gutter="0" w:footer="0" w:header="0"/>
        </w:sectPr>
      </w:pPr>
    </w:p>
    <w:p>
      <w:pPr>
        <w:spacing w:after="0" w:line="145"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3379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ind w:left="400"/>
        <w:spacing w:after="0"/>
        <w:tabs>
          <w:tab w:leader="none" w:pos="14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-1905</wp:posOffset>
            </wp:positionV>
            <wp:extent cx="13550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tabs>
          <w:tab w:leader="none" w:pos="10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p>
    <w:p>
      <w:pPr>
        <w:sectPr>
          <w:pgSz w:w="11900" w:h="16838" w:orient="portrait"/>
          <w:cols w:equalWidth="0" w:num="2">
            <w:col w:w="8900" w:space="720"/>
            <w:col w:w="1800"/>
          </w:cols>
          <w:pgMar w:left="240" w:top="26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7160" w:type="dxa"/>
            <w:vAlign w:val="bottom"/>
            <w:shd w:val="clear" w:color="auto" w:fill="BFBFB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163"/>
        </w:trPr>
        <w:tc>
          <w:tcPr>
            <w:tcW w:w="1100" w:type="dxa"/>
            <w:vAlign w:val="bottom"/>
            <w:gridSpan w:val="2"/>
            <w:shd w:val="clear" w:color="auto" w:fill="BFBFBF"/>
          </w:tcPr>
          <w:p>
            <w:pPr>
              <w:jc w:val="right"/>
              <w:ind w:right="119"/>
              <w:spacing w:after="0" w:line="163" w:lineRule="exact"/>
              <w:rPr>
                <w:sz w:val="20"/>
                <w:szCs w:val="20"/>
                <w:color w:val="auto"/>
              </w:rPr>
            </w:pPr>
            <w:r>
              <w:rPr>
                <w:rFonts w:ascii="Arial" w:cs="Arial" w:eastAsia="Arial" w:hAnsi="Arial"/>
                <w:sz w:val="16"/>
                <w:szCs w:val="16"/>
                <w:color w:val="auto"/>
              </w:rPr>
              <w:t>$271,133</w:t>
            </w:r>
          </w:p>
        </w:tc>
        <w:tc>
          <w:tcPr>
            <w:tcW w:w="1020" w:type="dxa"/>
            <w:vAlign w:val="bottom"/>
            <w:tcBorders>
              <w:right w:val="single" w:sz="8" w:color="BFBFBF"/>
            </w:tcBorders>
            <w:gridSpan w:val="2"/>
            <w:shd w:val="clear" w:color="auto" w:fill="BFBFBF"/>
          </w:tcPr>
          <w:p>
            <w:pPr>
              <w:jc w:val="right"/>
              <w:ind w:right="79"/>
              <w:spacing w:after="0" w:line="163" w:lineRule="exact"/>
              <w:rPr>
                <w:sz w:val="20"/>
                <w:szCs w:val="20"/>
                <w:color w:val="auto"/>
              </w:rPr>
            </w:pPr>
            <w:r>
              <w:rPr>
                <w:rFonts w:ascii="Arial" w:cs="Arial" w:eastAsia="Arial" w:hAnsi="Arial"/>
                <w:sz w:val="16"/>
                <w:szCs w:val="16"/>
                <w:color w:val="auto"/>
              </w:rPr>
              <w:t>$251,889</w:t>
            </w:r>
          </w:p>
        </w:tc>
        <w:tc>
          <w:tcPr>
            <w:tcW w:w="7160" w:type="dxa"/>
            <w:vAlign w:val="bottom"/>
            <w:shd w:val="clear" w:color="auto" w:fill="BFBFBF"/>
          </w:tcPr>
          <w:p>
            <w:pPr>
              <w:spacing w:after="0" w:line="163" w:lineRule="exact"/>
              <w:rPr>
                <w:sz w:val="20"/>
                <w:szCs w:val="20"/>
                <w:color w:val="auto"/>
              </w:rPr>
            </w:pPr>
            <w:r>
              <w:rPr>
                <w:rFonts w:ascii="Arial" w:cs="Arial" w:eastAsia="Arial" w:hAnsi="Arial"/>
                <w:sz w:val="16"/>
                <w:szCs w:val="16"/>
                <w:color w:val="auto"/>
              </w:rPr>
              <w:t>Net sales</w:t>
            </w:r>
          </w:p>
        </w:tc>
        <w:tc>
          <w:tcPr>
            <w:tcW w:w="260" w:type="dxa"/>
            <w:vAlign w:val="bottom"/>
            <w:shd w:val="clear" w:color="auto" w:fill="BFBFBF"/>
          </w:tcPr>
          <w:p>
            <w:pPr>
              <w:jc w:val="right"/>
              <w:spacing w:after="0" w:line="163" w:lineRule="exact"/>
              <w:rPr>
                <w:sz w:val="20"/>
                <w:szCs w:val="20"/>
                <w:color w:val="auto"/>
              </w:rPr>
            </w:pPr>
            <w:r>
              <w:rPr>
                <w:rFonts w:ascii="Arial" w:cs="Arial" w:eastAsia="Arial" w:hAnsi="Arial"/>
                <w:sz w:val="16"/>
                <w:szCs w:val="16"/>
                <w:color w:val="auto"/>
              </w:rPr>
              <w:t>$</w:t>
            </w:r>
          </w:p>
        </w:tc>
        <w:tc>
          <w:tcPr>
            <w:tcW w:w="800" w:type="dxa"/>
            <w:vAlign w:val="bottom"/>
            <w:shd w:val="clear" w:color="auto" w:fill="BFBFBF"/>
          </w:tcPr>
          <w:p>
            <w:pPr>
              <w:jc w:val="right"/>
              <w:ind w:right="139"/>
              <w:spacing w:after="0" w:line="163" w:lineRule="exact"/>
              <w:rPr>
                <w:sz w:val="20"/>
                <w:szCs w:val="20"/>
                <w:color w:val="auto"/>
              </w:rPr>
            </w:pPr>
            <w:r>
              <w:rPr>
                <w:rFonts w:ascii="Arial" w:cs="Arial" w:eastAsia="Arial" w:hAnsi="Arial"/>
                <w:sz w:val="16"/>
                <w:szCs w:val="16"/>
                <w:color w:val="auto"/>
                <w:w w:val="96"/>
              </w:rPr>
              <w:t>796,454</w:t>
            </w:r>
          </w:p>
        </w:tc>
        <w:tc>
          <w:tcPr>
            <w:tcW w:w="260" w:type="dxa"/>
            <w:vAlign w:val="bottom"/>
            <w:shd w:val="clear" w:color="auto" w:fill="BFBFBF"/>
          </w:tcPr>
          <w:p>
            <w:pPr>
              <w:jc w:val="right"/>
              <w:spacing w:after="0" w:line="163" w:lineRule="exact"/>
              <w:rPr>
                <w:sz w:val="20"/>
                <w:szCs w:val="20"/>
                <w:color w:val="auto"/>
              </w:rPr>
            </w:pPr>
            <w:r>
              <w:rPr>
                <w:rFonts w:ascii="Arial" w:cs="Arial" w:eastAsia="Arial" w:hAnsi="Arial"/>
                <w:sz w:val="16"/>
                <w:szCs w:val="16"/>
                <w:color w:val="auto"/>
              </w:rPr>
              <w:t>$</w:t>
            </w:r>
          </w:p>
        </w:tc>
        <w:tc>
          <w:tcPr>
            <w:tcW w:w="820" w:type="dxa"/>
            <w:vAlign w:val="bottom"/>
            <w:shd w:val="clear" w:color="auto" w:fill="BFBFBF"/>
          </w:tcPr>
          <w:p>
            <w:pPr>
              <w:jc w:val="right"/>
              <w:ind w:right="139"/>
              <w:spacing w:after="0" w:line="163" w:lineRule="exact"/>
              <w:rPr>
                <w:sz w:val="20"/>
                <w:szCs w:val="20"/>
                <w:color w:val="auto"/>
              </w:rPr>
            </w:pPr>
            <w:r>
              <w:rPr>
                <w:rFonts w:ascii="Arial" w:cs="Arial" w:eastAsia="Arial" w:hAnsi="Arial"/>
                <w:sz w:val="16"/>
                <w:szCs w:val="16"/>
                <w:color w:val="auto"/>
              </w:rPr>
              <w:t>730,866</w:t>
            </w:r>
          </w:p>
        </w:tc>
      </w:tr>
      <w:tr>
        <w:trPr>
          <w:trHeight w:val="189"/>
        </w:trPr>
        <w:tc>
          <w:tcPr>
            <w:tcW w:w="1100" w:type="dxa"/>
            <w:vAlign w:val="bottom"/>
            <w:gridSpan w:val="2"/>
          </w:tcPr>
          <w:p>
            <w:pPr>
              <w:jc w:val="right"/>
              <w:ind w:right="119"/>
              <w:spacing w:after="0"/>
              <w:rPr>
                <w:sz w:val="20"/>
                <w:szCs w:val="20"/>
                <w:color w:val="auto"/>
              </w:rPr>
            </w:pPr>
            <w:r>
              <w:rPr>
                <w:rFonts w:ascii="Arial" w:cs="Arial" w:eastAsia="Arial" w:hAnsi="Arial"/>
                <w:sz w:val="16"/>
                <w:szCs w:val="16"/>
                <w:color w:val="auto"/>
              </w:rPr>
              <w:t>167,026</w:t>
            </w:r>
          </w:p>
        </w:tc>
        <w:tc>
          <w:tcPr>
            <w:tcW w:w="1020" w:type="dxa"/>
            <w:vAlign w:val="bottom"/>
            <w:gridSpan w:val="2"/>
          </w:tcPr>
          <w:p>
            <w:pPr>
              <w:jc w:val="right"/>
              <w:ind w:right="79"/>
              <w:spacing w:after="0"/>
              <w:rPr>
                <w:sz w:val="20"/>
                <w:szCs w:val="20"/>
                <w:color w:val="auto"/>
              </w:rPr>
            </w:pPr>
            <w:r>
              <w:rPr>
                <w:rFonts w:ascii="Arial" w:cs="Arial" w:eastAsia="Arial" w:hAnsi="Arial"/>
                <w:sz w:val="16"/>
                <w:szCs w:val="16"/>
                <w:color w:val="auto"/>
              </w:rPr>
              <w:t>159,487</w:t>
            </w:r>
          </w:p>
        </w:tc>
        <w:tc>
          <w:tcPr>
            <w:tcW w:w="7160" w:type="dxa"/>
            <w:vAlign w:val="bottom"/>
          </w:tcPr>
          <w:p>
            <w:pPr>
              <w:spacing w:after="0"/>
              <w:rPr>
                <w:sz w:val="20"/>
                <w:szCs w:val="20"/>
                <w:color w:val="auto"/>
              </w:rPr>
            </w:pPr>
            <w:r>
              <w:rPr>
                <w:rFonts w:ascii="Arial" w:cs="Arial" w:eastAsia="Arial" w:hAnsi="Arial"/>
                <w:sz w:val="16"/>
                <w:szCs w:val="16"/>
                <w:color w:val="auto"/>
              </w:rPr>
              <w:t>Cost of goods sold</w:t>
            </w:r>
          </w:p>
        </w:tc>
        <w:tc>
          <w:tcPr>
            <w:tcW w:w="1060" w:type="dxa"/>
            <w:vAlign w:val="bottom"/>
            <w:gridSpan w:val="2"/>
          </w:tcPr>
          <w:p>
            <w:pPr>
              <w:jc w:val="right"/>
              <w:ind w:right="139"/>
              <w:spacing w:after="0"/>
              <w:rPr>
                <w:sz w:val="20"/>
                <w:szCs w:val="20"/>
                <w:color w:val="auto"/>
              </w:rPr>
            </w:pPr>
            <w:r>
              <w:rPr>
                <w:rFonts w:ascii="Arial" w:cs="Arial" w:eastAsia="Arial" w:hAnsi="Arial"/>
                <w:sz w:val="16"/>
                <w:szCs w:val="16"/>
                <w:color w:val="auto"/>
              </w:rPr>
              <w:t>495,394</w:t>
            </w:r>
          </w:p>
        </w:tc>
        <w:tc>
          <w:tcPr>
            <w:tcW w:w="1080" w:type="dxa"/>
            <w:vAlign w:val="bottom"/>
            <w:gridSpan w:val="2"/>
          </w:tcPr>
          <w:p>
            <w:pPr>
              <w:jc w:val="right"/>
              <w:ind w:right="159"/>
              <w:spacing w:after="0"/>
              <w:rPr>
                <w:sz w:val="20"/>
                <w:szCs w:val="20"/>
                <w:color w:val="auto"/>
              </w:rPr>
            </w:pPr>
            <w:r>
              <w:rPr>
                <w:rFonts w:ascii="Arial" w:cs="Arial" w:eastAsia="Arial" w:hAnsi="Arial"/>
                <w:sz w:val="16"/>
                <w:szCs w:val="16"/>
                <w:color w:val="auto"/>
              </w:rPr>
              <w:t>469,039</w:t>
            </w:r>
          </w:p>
        </w:tc>
      </w:tr>
      <w:tr>
        <w:trPr>
          <w:trHeight w:val="183"/>
        </w:trPr>
        <w:tc>
          <w:tcPr>
            <w:tcW w:w="360" w:type="dxa"/>
            <w:vAlign w:val="bottom"/>
            <w:tcBorders>
              <w:top w:val="single" w:sz="8" w:color="auto"/>
            </w:tcBorders>
            <w:shd w:val="clear" w:color="auto" w:fill="BFBFBF"/>
          </w:tcPr>
          <w:p>
            <w:pPr>
              <w:spacing w:after="0"/>
              <w:rPr>
                <w:sz w:val="15"/>
                <w:szCs w:val="15"/>
                <w:color w:val="auto"/>
              </w:rPr>
            </w:pPr>
          </w:p>
        </w:tc>
        <w:tc>
          <w:tcPr>
            <w:tcW w:w="740" w:type="dxa"/>
            <w:vAlign w:val="bottom"/>
            <w:tcBorders>
              <w:top w:val="single" w:sz="8" w:color="auto"/>
            </w:tcBorders>
            <w:shd w:val="clear" w:color="auto" w:fill="BFBFBF"/>
          </w:tcPr>
          <w:p>
            <w:pPr>
              <w:spacing w:after="0"/>
              <w:rPr>
                <w:sz w:val="15"/>
                <w:szCs w:val="15"/>
                <w:color w:val="auto"/>
              </w:rPr>
            </w:pPr>
          </w:p>
        </w:tc>
        <w:tc>
          <w:tcPr>
            <w:tcW w:w="320" w:type="dxa"/>
            <w:vAlign w:val="bottom"/>
            <w:tcBorders>
              <w:top w:val="single" w:sz="8" w:color="auto"/>
            </w:tcBorders>
            <w:shd w:val="clear" w:color="auto" w:fill="BFBFBF"/>
          </w:tcPr>
          <w:p>
            <w:pPr>
              <w:spacing w:after="0"/>
              <w:rPr>
                <w:sz w:val="15"/>
                <w:szCs w:val="15"/>
                <w:color w:val="auto"/>
              </w:rPr>
            </w:pPr>
          </w:p>
        </w:tc>
        <w:tc>
          <w:tcPr>
            <w:tcW w:w="700" w:type="dxa"/>
            <w:vAlign w:val="bottom"/>
            <w:tcBorders>
              <w:top w:val="single" w:sz="8" w:color="auto"/>
              <w:right w:val="single" w:sz="8" w:color="BFBFBF"/>
            </w:tcBorders>
            <w:shd w:val="clear" w:color="auto" w:fill="BFBFBF"/>
          </w:tcPr>
          <w:p>
            <w:pPr>
              <w:spacing w:after="0"/>
              <w:rPr>
                <w:sz w:val="15"/>
                <w:szCs w:val="15"/>
                <w:color w:val="auto"/>
              </w:rPr>
            </w:pPr>
          </w:p>
        </w:tc>
        <w:tc>
          <w:tcPr>
            <w:tcW w:w="7160" w:type="dxa"/>
            <w:vAlign w:val="bottom"/>
            <w:tcBorders>
              <w:top w:val="single" w:sz="8" w:color="BFBFBF"/>
            </w:tcBorders>
            <w:shd w:val="clear" w:color="auto" w:fill="BFBFBF"/>
          </w:tcPr>
          <w:p>
            <w:pPr>
              <w:spacing w:after="0"/>
              <w:rPr>
                <w:sz w:val="15"/>
                <w:szCs w:val="15"/>
                <w:color w:val="auto"/>
              </w:rPr>
            </w:pPr>
          </w:p>
        </w:tc>
        <w:tc>
          <w:tcPr>
            <w:tcW w:w="260" w:type="dxa"/>
            <w:vAlign w:val="bottom"/>
            <w:tcBorders>
              <w:top w:val="single" w:sz="8" w:color="auto"/>
            </w:tcBorders>
            <w:shd w:val="clear" w:color="auto" w:fill="BFBFBF"/>
          </w:tcPr>
          <w:p>
            <w:pPr>
              <w:spacing w:after="0"/>
              <w:rPr>
                <w:sz w:val="15"/>
                <w:szCs w:val="15"/>
                <w:color w:val="auto"/>
              </w:rPr>
            </w:pPr>
          </w:p>
        </w:tc>
        <w:tc>
          <w:tcPr>
            <w:tcW w:w="800" w:type="dxa"/>
            <w:vAlign w:val="bottom"/>
            <w:tcBorders>
              <w:top w:val="single" w:sz="8" w:color="auto"/>
            </w:tcBorders>
            <w:shd w:val="clear" w:color="auto" w:fill="BFBFBF"/>
          </w:tcPr>
          <w:p>
            <w:pPr>
              <w:spacing w:after="0"/>
              <w:rPr>
                <w:sz w:val="15"/>
                <w:szCs w:val="15"/>
                <w:color w:val="auto"/>
              </w:rPr>
            </w:pPr>
          </w:p>
        </w:tc>
        <w:tc>
          <w:tcPr>
            <w:tcW w:w="260" w:type="dxa"/>
            <w:vAlign w:val="bottom"/>
            <w:tcBorders>
              <w:top w:val="single" w:sz="8" w:color="auto"/>
            </w:tcBorders>
            <w:shd w:val="clear" w:color="auto" w:fill="BFBFBF"/>
          </w:tcPr>
          <w:p>
            <w:pPr>
              <w:spacing w:after="0"/>
              <w:rPr>
                <w:sz w:val="15"/>
                <w:szCs w:val="15"/>
                <w:color w:val="auto"/>
              </w:rPr>
            </w:pPr>
          </w:p>
        </w:tc>
        <w:tc>
          <w:tcPr>
            <w:tcW w:w="820" w:type="dxa"/>
            <w:vAlign w:val="bottom"/>
            <w:tcBorders>
              <w:top w:val="single" w:sz="8" w:color="auto"/>
            </w:tcBorders>
            <w:shd w:val="clear" w:color="auto" w:fill="BFBFBF"/>
          </w:tcPr>
          <w:p>
            <w:pPr>
              <w:spacing w:after="0"/>
              <w:rPr>
                <w:sz w:val="15"/>
                <w:szCs w:val="15"/>
                <w:color w:val="auto"/>
              </w:rPr>
            </w:pPr>
          </w:p>
        </w:tc>
      </w:tr>
      <w:tr>
        <w:trPr>
          <w:trHeight w:val="189"/>
        </w:trPr>
        <w:tc>
          <w:tcPr>
            <w:tcW w:w="1100" w:type="dxa"/>
            <w:vAlign w:val="bottom"/>
            <w:gridSpan w:val="2"/>
          </w:tcPr>
          <w:p>
            <w:pPr>
              <w:jc w:val="right"/>
              <w:ind w:right="119"/>
              <w:spacing w:after="0"/>
              <w:rPr>
                <w:sz w:val="20"/>
                <w:szCs w:val="20"/>
                <w:color w:val="auto"/>
              </w:rPr>
            </w:pPr>
            <w:r>
              <w:rPr>
                <w:rFonts w:ascii="Arial" w:cs="Arial" w:eastAsia="Arial" w:hAnsi="Arial"/>
                <w:sz w:val="16"/>
                <w:szCs w:val="16"/>
                <w:color w:val="auto"/>
              </w:rPr>
              <w:t>104,107</w:t>
            </w:r>
          </w:p>
        </w:tc>
        <w:tc>
          <w:tcPr>
            <w:tcW w:w="320" w:type="dxa"/>
            <w:vAlign w:val="bottom"/>
          </w:tcPr>
          <w:p>
            <w:pPr>
              <w:spacing w:after="0"/>
              <w:rPr>
                <w:sz w:val="16"/>
                <w:szCs w:val="16"/>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92,402</w:t>
            </w:r>
          </w:p>
        </w:tc>
        <w:tc>
          <w:tcPr>
            <w:tcW w:w="7160" w:type="dxa"/>
            <w:vAlign w:val="bottom"/>
          </w:tcPr>
          <w:p>
            <w:pPr>
              <w:spacing w:after="0"/>
              <w:rPr>
                <w:sz w:val="20"/>
                <w:szCs w:val="20"/>
                <w:color w:val="auto"/>
              </w:rPr>
            </w:pPr>
            <w:r>
              <w:rPr>
                <w:rFonts w:ascii="Arial" w:cs="Arial" w:eastAsia="Arial" w:hAnsi="Arial"/>
                <w:sz w:val="16"/>
                <w:szCs w:val="16"/>
                <w:color w:val="auto"/>
              </w:rPr>
              <w:t>Gross profit</w:t>
            </w:r>
          </w:p>
        </w:tc>
        <w:tc>
          <w:tcPr>
            <w:tcW w:w="1060" w:type="dxa"/>
            <w:vAlign w:val="bottom"/>
            <w:gridSpan w:val="2"/>
          </w:tcPr>
          <w:p>
            <w:pPr>
              <w:jc w:val="right"/>
              <w:ind w:right="139"/>
              <w:spacing w:after="0"/>
              <w:rPr>
                <w:sz w:val="20"/>
                <w:szCs w:val="20"/>
                <w:color w:val="auto"/>
              </w:rPr>
            </w:pPr>
            <w:r>
              <w:rPr>
                <w:rFonts w:ascii="Arial" w:cs="Arial" w:eastAsia="Arial" w:hAnsi="Arial"/>
                <w:sz w:val="16"/>
                <w:szCs w:val="16"/>
                <w:color w:val="auto"/>
              </w:rPr>
              <w:t>301,060</w:t>
            </w:r>
          </w:p>
        </w:tc>
        <w:tc>
          <w:tcPr>
            <w:tcW w:w="1080" w:type="dxa"/>
            <w:vAlign w:val="bottom"/>
            <w:gridSpan w:val="2"/>
          </w:tcPr>
          <w:p>
            <w:pPr>
              <w:jc w:val="right"/>
              <w:ind w:right="159"/>
              <w:spacing w:after="0"/>
              <w:rPr>
                <w:sz w:val="20"/>
                <w:szCs w:val="20"/>
                <w:color w:val="auto"/>
              </w:rPr>
            </w:pPr>
            <w:r>
              <w:rPr>
                <w:rFonts w:ascii="Arial" w:cs="Arial" w:eastAsia="Arial" w:hAnsi="Arial"/>
                <w:sz w:val="16"/>
                <w:szCs w:val="16"/>
                <w:color w:val="auto"/>
              </w:rPr>
              <w:t>261,827</w:t>
            </w:r>
          </w:p>
        </w:tc>
      </w:tr>
      <w:tr>
        <w:trPr>
          <w:trHeight w:val="189"/>
        </w:trPr>
        <w:tc>
          <w:tcPr>
            <w:tcW w:w="360" w:type="dxa"/>
            <w:vAlign w:val="bottom"/>
            <w:shd w:val="clear" w:color="auto" w:fill="BFBFBF"/>
          </w:tcPr>
          <w:p>
            <w:pPr>
              <w:spacing w:after="0"/>
              <w:rPr>
                <w:sz w:val="16"/>
                <w:szCs w:val="16"/>
                <w:color w:val="auto"/>
              </w:rPr>
            </w:pPr>
          </w:p>
        </w:tc>
        <w:tc>
          <w:tcPr>
            <w:tcW w:w="740" w:type="dxa"/>
            <w:vAlign w:val="bottom"/>
            <w:shd w:val="clear" w:color="auto" w:fill="BFBFBF"/>
          </w:tcPr>
          <w:p>
            <w:pPr>
              <w:jc w:val="right"/>
              <w:ind w:right="119"/>
              <w:spacing w:after="0"/>
              <w:rPr>
                <w:sz w:val="20"/>
                <w:szCs w:val="20"/>
                <w:color w:val="auto"/>
              </w:rPr>
            </w:pPr>
            <w:r>
              <w:rPr>
                <w:rFonts w:ascii="Arial" w:cs="Arial" w:eastAsia="Arial" w:hAnsi="Arial"/>
                <w:sz w:val="16"/>
                <w:szCs w:val="16"/>
                <w:color w:val="auto"/>
              </w:rPr>
              <w:t>39,841</w:t>
            </w:r>
          </w:p>
        </w:tc>
        <w:tc>
          <w:tcPr>
            <w:tcW w:w="320" w:type="dxa"/>
            <w:vAlign w:val="bottom"/>
            <w:shd w:val="clear" w:color="auto" w:fill="BFBFBF"/>
          </w:tcPr>
          <w:p>
            <w:pPr>
              <w:spacing w:after="0"/>
              <w:rPr>
                <w:sz w:val="16"/>
                <w:szCs w:val="16"/>
                <w:color w:val="auto"/>
              </w:rPr>
            </w:pPr>
          </w:p>
        </w:tc>
        <w:tc>
          <w:tcPr>
            <w:tcW w:w="700" w:type="dxa"/>
            <w:vAlign w:val="bottom"/>
            <w:tcBorders>
              <w:right w:val="single" w:sz="8" w:color="BFBFBF"/>
            </w:tcBorders>
            <w:shd w:val="clear" w:color="auto" w:fill="BFBFBF"/>
          </w:tcPr>
          <w:p>
            <w:pPr>
              <w:jc w:val="right"/>
              <w:ind w:right="79"/>
              <w:spacing w:after="0"/>
              <w:rPr>
                <w:sz w:val="20"/>
                <w:szCs w:val="20"/>
                <w:color w:val="auto"/>
              </w:rPr>
            </w:pPr>
            <w:r>
              <w:rPr>
                <w:rFonts w:ascii="Arial" w:cs="Arial" w:eastAsia="Arial" w:hAnsi="Arial"/>
                <w:sz w:val="16"/>
                <w:szCs w:val="16"/>
                <w:color w:val="auto"/>
              </w:rPr>
              <w:t>39,058</w:t>
            </w:r>
          </w:p>
        </w:tc>
        <w:tc>
          <w:tcPr>
            <w:tcW w:w="7160" w:type="dxa"/>
            <w:vAlign w:val="bottom"/>
            <w:shd w:val="clear" w:color="auto" w:fill="BFBFBF"/>
          </w:tcPr>
          <w:p>
            <w:pPr>
              <w:ind w:left="220"/>
              <w:spacing w:after="0"/>
              <w:rPr>
                <w:sz w:val="20"/>
                <w:szCs w:val="20"/>
                <w:color w:val="auto"/>
              </w:rPr>
            </w:pPr>
            <w:r>
              <w:rPr>
                <w:rFonts w:ascii="Arial" w:cs="Arial" w:eastAsia="Arial" w:hAnsi="Arial"/>
                <w:sz w:val="16"/>
                <w:szCs w:val="16"/>
                <w:color w:val="auto"/>
              </w:rPr>
              <w:t>Selling, general, and administrative expenses</w:t>
            </w:r>
          </w:p>
        </w:tc>
        <w:tc>
          <w:tcPr>
            <w:tcW w:w="1060" w:type="dxa"/>
            <w:vAlign w:val="bottom"/>
            <w:gridSpan w:val="2"/>
            <w:shd w:val="clear" w:color="auto" w:fill="BFBFBF"/>
          </w:tcPr>
          <w:p>
            <w:pPr>
              <w:jc w:val="right"/>
              <w:ind w:right="139"/>
              <w:spacing w:after="0"/>
              <w:rPr>
                <w:sz w:val="20"/>
                <w:szCs w:val="20"/>
                <w:color w:val="auto"/>
              </w:rPr>
            </w:pPr>
            <w:r>
              <w:rPr>
                <w:rFonts w:ascii="Arial" w:cs="Arial" w:eastAsia="Arial" w:hAnsi="Arial"/>
                <w:sz w:val="16"/>
                <w:szCs w:val="16"/>
                <w:color w:val="auto"/>
              </w:rPr>
              <w:t>121,602</w:t>
            </w:r>
          </w:p>
        </w:tc>
        <w:tc>
          <w:tcPr>
            <w:tcW w:w="260" w:type="dxa"/>
            <w:vAlign w:val="bottom"/>
            <w:shd w:val="clear" w:color="auto" w:fill="BFBFBF"/>
          </w:tcPr>
          <w:p>
            <w:pPr>
              <w:spacing w:after="0"/>
              <w:rPr>
                <w:sz w:val="16"/>
                <w:szCs w:val="16"/>
                <w:color w:val="auto"/>
              </w:rPr>
            </w:pPr>
          </w:p>
        </w:tc>
        <w:tc>
          <w:tcPr>
            <w:tcW w:w="820" w:type="dxa"/>
            <w:vAlign w:val="bottom"/>
            <w:shd w:val="clear" w:color="auto" w:fill="BFBFBF"/>
          </w:tcPr>
          <w:p>
            <w:pPr>
              <w:jc w:val="right"/>
              <w:ind w:right="139"/>
              <w:spacing w:after="0"/>
              <w:rPr>
                <w:sz w:val="20"/>
                <w:szCs w:val="20"/>
                <w:color w:val="auto"/>
              </w:rPr>
            </w:pPr>
            <w:r>
              <w:rPr>
                <w:rFonts w:ascii="Arial" w:cs="Arial" w:eastAsia="Arial" w:hAnsi="Arial"/>
                <w:sz w:val="16"/>
                <w:szCs w:val="16"/>
                <w:color w:val="auto"/>
              </w:rPr>
              <w:t>117,646</w:t>
            </w:r>
          </w:p>
        </w:tc>
      </w:tr>
      <w:tr>
        <w:trPr>
          <w:trHeight w:val="189"/>
        </w:trPr>
        <w:tc>
          <w:tcPr>
            <w:tcW w:w="36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8,832</w:t>
            </w:r>
          </w:p>
        </w:tc>
        <w:tc>
          <w:tcPr>
            <w:tcW w:w="320" w:type="dxa"/>
            <w:vAlign w:val="bottom"/>
          </w:tcPr>
          <w:p>
            <w:pPr>
              <w:spacing w:after="0"/>
              <w:rPr>
                <w:sz w:val="16"/>
                <w:szCs w:val="16"/>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9,958</w:t>
            </w:r>
          </w:p>
        </w:tc>
        <w:tc>
          <w:tcPr>
            <w:tcW w:w="7160" w:type="dxa"/>
            <w:vAlign w:val="bottom"/>
          </w:tcPr>
          <w:p>
            <w:pPr>
              <w:ind w:left="220"/>
              <w:spacing w:after="0"/>
              <w:rPr>
                <w:sz w:val="20"/>
                <w:szCs w:val="20"/>
                <w:color w:val="auto"/>
              </w:rPr>
            </w:pPr>
            <w:r>
              <w:rPr>
                <w:rFonts w:ascii="Arial" w:cs="Arial" w:eastAsia="Arial" w:hAnsi="Arial"/>
                <w:sz w:val="16"/>
                <w:szCs w:val="16"/>
                <w:color w:val="auto"/>
              </w:rPr>
              <w:t>Technical and research expenses</w:t>
            </w:r>
          </w:p>
        </w:tc>
        <w:tc>
          <w:tcPr>
            <w:tcW w:w="260" w:type="dxa"/>
            <w:vAlign w:val="bottom"/>
          </w:tcPr>
          <w:p>
            <w:pPr>
              <w:spacing w:after="0"/>
              <w:rPr>
                <w:sz w:val="16"/>
                <w:szCs w:val="16"/>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28,323</w:t>
            </w:r>
          </w:p>
        </w:tc>
        <w:tc>
          <w:tcPr>
            <w:tcW w:w="26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30,473</w:t>
            </w:r>
          </w:p>
        </w:tc>
      </w:tr>
      <w:tr>
        <w:trPr>
          <w:trHeight w:val="189"/>
        </w:trPr>
        <w:tc>
          <w:tcPr>
            <w:tcW w:w="360" w:type="dxa"/>
            <w:vAlign w:val="bottom"/>
            <w:tcBorders>
              <w:bottom w:val="single" w:sz="8" w:color="auto"/>
            </w:tcBorders>
            <w:shd w:val="clear" w:color="auto" w:fill="BFBFBF"/>
          </w:tcPr>
          <w:p>
            <w:pPr>
              <w:spacing w:after="0"/>
              <w:rPr>
                <w:sz w:val="16"/>
                <w:szCs w:val="16"/>
                <w:color w:val="auto"/>
              </w:rPr>
            </w:pPr>
          </w:p>
        </w:tc>
        <w:tc>
          <w:tcPr>
            <w:tcW w:w="740" w:type="dxa"/>
            <w:vAlign w:val="bottom"/>
            <w:tcBorders>
              <w:bottom w:val="single" w:sz="8" w:color="auto"/>
            </w:tcBorders>
            <w:shd w:val="clear" w:color="auto" w:fill="BFBFBF"/>
          </w:tcPr>
          <w:p>
            <w:pPr>
              <w:jc w:val="right"/>
              <w:ind w:right="79"/>
              <w:spacing w:after="0"/>
              <w:rPr>
                <w:sz w:val="20"/>
                <w:szCs w:val="20"/>
                <w:color w:val="auto"/>
              </w:rPr>
            </w:pPr>
            <w:r>
              <w:rPr>
                <w:rFonts w:ascii="Arial" w:cs="Arial" w:eastAsia="Arial" w:hAnsi="Arial"/>
                <w:sz w:val="16"/>
                <w:szCs w:val="16"/>
                <w:color w:val="auto"/>
              </w:rPr>
              <w:t>(244)</w:t>
            </w:r>
          </w:p>
        </w:tc>
        <w:tc>
          <w:tcPr>
            <w:tcW w:w="320" w:type="dxa"/>
            <w:vAlign w:val="bottom"/>
            <w:tcBorders>
              <w:bottom w:val="single" w:sz="8" w:color="auto"/>
            </w:tcBorders>
            <w:shd w:val="clear" w:color="auto" w:fill="BFBFBF"/>
          </w:tcPr>
          <w:p>
            <w:pPr>
              <w:spacing w:after="0"/>
              <w:rPr>
                <w:sz w:val="16"/>
                <w:szCs w:val="16"/>
                <w:color w:val="auto"/>
              </w:rPr>
            </w:pPr>
          </w:p>
        </w:tc>
        <w:tc>
          <w:tcPr>
            <w:tcW w:w="700" w:type="dxa"/>
            <w:vAlign w:val="bottom"/>
            <w:tcBorders>
              <w:bottom w:val="single" w:sz="8" w:color="auto"/>
              <w:right w:val="single" w:sz="8" w:color="BFBFBF"/>
            </w:tcBorders>
            <w:shd w:val="clear" w:color="auto" w:fill="BFBFBF"/>
          </w:tcPr>
          <w:p>
            <w:pPr>
              <w:jc w:val="right"/>
              <w:ind w:right="79"/>
              <w:spacing w:after="0"/>
              <w:rPr>
                <w:sz w:val="20"/>
                <w:szCs w:val="20"/>
                <w:color w:val="auto"/>
              </w:rPr>
            </w:pPr>
            <w:r>
              <w:rPr>
                <w:rFonts w:ascii="Arial" w:cs="Arial" w:eastAsia="Arial" w:hAnsi="Arial"/>
                <w:sz w:val="16"/>
                <w:szCs w:val="16"/>
                <w:color w:val="auto"/>
              </w:rPr>
              <w:t>2,552</w:t>
            </w:r>
          </w:p>
        </w:tc>
        <w:tc>
          <w:tcPr>
            <w:tcW w:w="7160" w:type="dxa"/>
            <w:vAlign w:val="bottom"/>
            <w:shd w:val="clear" w:color="auto" w:fill="BFBFBF"/>
          </w:tcPr>
          <w:p>
            <w:pPr>
              <w:ind w:left="220"/>
              <w:spacing w:after="0"/>
              <w:rPr>
                <w:sz w:val="20"/>
                <w:szCs w:val="20"/>
                <w:color w:val="auto"/>
              </w:rPr>
            </w:pPr>
            <w:r>
              <w:rPr>
                <w:rFonts w:ascii="Arial" w:cs="Arial" w:eastAsia="Arial" w:hAnsi="Arial"/>
                <w:sz w:val="16"/>
                <w:szCs w:val="16"/>
                <w:color w:val="auto"/>
              </w:rPr>
              <w:t>Restructuring expenses, net</w:t>
            </w:r>
          </w:p>
        </w:tc>
        <w:tc>
          <w:tcPr>
            <w:tcW w:w="260" w:type="dxa"/>
            <w:vAlign w:val="bottom"/>
            <w:tcBorders>
              <w:bottom w:val="single" w:sz="8" w:color="auto"/>
            </w:tcBorders>
            <w:shd w:val="clear" w:color="auto" w:fill="BFBFBF"/>
          </w:tcPr>
          <w:p>
            <w:pPr>
              <w:spacing w:after="0"/>
              <w:rPr>
                <w:sz w:val="16"/>
                <w:szCs w:val="16"/>
                <w:color w:val="auto"/>
              </w:rPr>
            </w:pPr>
          </w:p>
        </w:tc>
        <w:tc>
          <w:tcPr>
            <w:tcW w:w="800" w:type="dxa"/>
            <w:vAlign w:val="bottom"/>
            <w:tcBorders>
              <w:bottom w:val="single" w:sz="8" w:color="auto"/>
            </w:tcBorders>
            <w:shd w:val="clear" w:color="auto" w:fill="BFBFBF"/>
          </w:tcPr>
          <w:p>
            <w:pPr>
              <w:jc w:val="right"/>
              <w:ind w:right="139"/>
              <w:spacing w:after="0"/>
              <w:rPr>
                <w:sz w:val="20"/>
                <w:szCs w:val="20"/>
                <w:color w:val="auto"/>
              </w:rPr>
            </w:pPr>
            <w:r>
              <w:rPr>
                <w:rFonts w:ascii="Arial" w:cs="Arial" w:eastAsia="Arial" w:hAnsi="Arial"/>
                <w:sz w:val="16"/>
                <w:szCs w:val="16"/>
                <w:color w:val="auto"/>
              </w:rPr>
              <w:t>1,139</w:t>
            </w:r>
          </w:p>
        </w:tc>
        <w:tc>
          <w:tcPr>
            <w:tcW w:w="260" w:type="dxa"/>
            <w:vAlign w:val="bottom"/>
            <w:tcBorders>
              <w:bottom w:val="single" w:sz="8" w:color="auto"/>
            </w:tcBorders>
            <w:shd w:val="clear" w:color="auto" w:fill="BFBFBF"/>
          </w:tcPr>
          <w:p>
            <w:pPr>
              <w:spacing w:after="0"/>
              <w:rPr>
                <w:sz w:val="16"/>
                <w:szCs w:val="16"/>
                <w:color w:val="auto"/>
              </w:rPr>
            </w:pPr>
          </w:p>
        </w:tc>
        <w:tc>
          <w:tcPr>
            <w:tcW w:w="820" w:type="dxa"/>
            <w:vAlign w:val="bottom"/>
            <w:tcBorders>
              <w:bottom w:val="single" w:sz="8" w:color="auto"/>
            </w:tcBorders>
            <w:shd w:val="clear" w:color="auto" w:fill="BFBFBF"/>
          </w:tcPr>
          <w:p>
            <w:pPr>
              <w:jc w:val="right"/>
              <w:ind w:right="159"/>
              <w:spacing w:after="0"/>
              <w:rPr>
                <w:sz w:val="20"/>
                <w:szCs w:val="20"/>
                <w:color w:val="auto"/>
              </w:rPr>
            </w:pPr>
            <w:r>
              <w:rPr>
                <w:rFonts w:ascii="Arial" w:cs="Arial" w:eastAsia="Arial" w:hAnsi="Arial"/>
                <w:sz w:val="16"/>
                <w:szCs w:val="16"/>
                <w:color w:val="auto"/>
              </w:rPr>
              <w:t>13,714</w:t>
            </w:r>
          </w:p>
        </w:tc>
      </w:tr>
      <w:tr>
        <w:trPr>
          <w:trHeight w:val="183"/>
        </w:trPr>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9"/>
        </w:trPr>
        <w:tc>
          <w:tcPr>
            <w:tcW w:w="360" w:type="dxa"/>
            <w:vAlign w:val="bottom"/>
            <w:shd w:val="clear" w:color="auto" w:fill="BFBFBF"/>
          </w:tcPr>
          <w:p>
            <w:pPr>
              <w:spacing w:after="0"/>
              <w:rPr>
                <w:sz w:val="16"/>
                <w:szCs w:val="16"/>
                <w:color w:val="auto"/>
              </w:rPr>
            </w:pPr>
          </w:p>
        </w:tc>
        <w:tc>
          <w:tcPr>
            <w:tcW w:w="740" w:type="dxa"/>
            <w:vAlign w:val="bottom"/>
            <w:shd w:val="clear" w:color="auto" w:fill="BFBFBF"/>
          </w:tcPr>
          <w:p>
            <w:pPr>
              <w:jc w:val="right"/>
              <w:ind w:right="119"/>
              <w:spacing w:after="0"/>
              <w:rPr>
                <w:sz w:val="20"/>
                <w:szCs w:val="20"/>
                <w:color w:val="auto"/>
              </w:rPr>
            </w:pPr>
            <w:r>
              <w:rPr>
                <w:rFonts w:ascii="Arial" w:cs="Arial" w:eastAsia="Arial" w:hAnsi="Arial"/>
                <w:sz w:val="16"/>
                <w:szCs w:val="16"/>
                <w:color w:val="auto"/>
              </w:rPr>
              <w:t>55,678</w:t>
            </w:r>
          </w:p>
        </w:tc>
        <w:tc>
          <w:tcPr>
            <w:tcW w:w="320" w:type="dxa"/>
            <w:vAlign w:val="bottom"/>
            <w:shd w:val="clear" w:color="auto" w:fill="BFBFBF"/>
          </w:tcPr>
          <w:p>
            <w:pPr>
              <w:spacing w:after="0"/>
              <w:rPr>
                <w:sz w:val="16"/>
                <w:szCs w:val="16"/>
                <w:color w:val="auto"/>
              </w:rPr>
            </w:pPr>
          </w:p>
        </w:tc>
        <w:tc>
          <w:tcPr>
            <w:tcW w:w="700" w:type="dxa"/>
            <w:vAlign w:val="bottom"/>
            <w:tcBorders>
              <w:right w:val="single" w:sz="8" w:color="BFBFBF"/>
            </w:tcBorders>
            <w:shd w:val="clear" w:color="auto" w:fill="BFBFBF"/>
          </w:tcPr>
          <w:p>
            <w:pPr>
              <w:jc w:val="right"/>
              <w:ind w:right="79"/>
              <w:spacing w:after="0"/>
              <w:rPr>
                <w:sz w:val="20"/>
                <w:szCs w:val="20"/>
                <w:color w:val="auto"/>
              </w:rPr>
            </w:pPr>
            <w:r>
              <w:rPr>
                <w:rFonts w:ascii="Arial" w:cs="Arial" w:eastAsia="Arial" w:hAnsi="Arial"/>
                <w:sz w:val="16"/>
                <w:szCs w:val="16"/>
                <w:color w:val="auto"/>
              </w:rPr>
              <w:t>40,834</w:t>
            </w:r>
          </w:p>
        </w:tc>
        <w:tc>
          <w:tcPr>
            <w:tcW w:w="7160" w:type="dxa"/>
            <w:vAlign w:val="bottom"/>
            <w:shd w:val="clear" w:color="auto" w:fill="BFBFBF"/>
          </w:tcPr>
          <w:p>
            <w:pPr>
              <w:spacing w:after="0"/>
              <w:rPr>
                <w:sz w:val="20"/>
                <w:szCs w:val="20"/>
                <w:color w:val="auto"/>
              </w:rPr>
            </w:pPr>
            <w:r>
              <w:rPr>
                <w:rFonts w:ascii="Arial" w:cs="Arial" w:eastAsia="Arial" w:hAnsi="Arial"/>
                <w:sz w:val="16"/>
                <w:szCs w:val="16"/>
                <w:color w:val="auto"/>
              </w:rPr>
              <w:t>Operating income</w:t>
            </w:r>
          </w:p>
        </w:tc>
        <w:tc>
          <w:tcPr>
            <w:tcW w:w="1060" w:type="dxa"/>
            <w:vAlign w:val="bottom"/>
            <w:gridSpan w:val="2"/>
            <w:shd w:val="clear" w:color="auto" w:fill="BFBFBF"/>
          </w:tcPr>
          <w:p>
            <w:pPr>
              <w:jc w:val="right"/>
              <w:ind w:right="139"/>
              <w:spacing w:after="0"/>
              <w:rPr>
                <w:sz w:val="20"/>
                <w:szCs w:val="20"/>
                <w:color w:val="auto"/>
              </w:rPr>
            </w:pPr>
            <w:r>
              <w:rPr>
                <w:rFonts w:ascii="Arial" w:cs="Arial" w:eastAsia="Arial" w:hAnsi="Arial"/>
                <w:sz w:val="16"/>
                <w:szCs w:val="16"/>
                <w:color w:val="auto"/>
              </w:rPr>
              <w:t>149,996</w:t>
            </w:r>
          </w:p>
        </w:tc>
        <w:tc>
          <w:tcPr>
            <w:tcW w:w="260" w:type="dxa"/>
            <w:vAlign w:val="bottom"/>
            <w:shd w:val="clear" w:color="auto" w:fill="BFBFBF"/>
          </w:tcPr>
          <w:p>
            <w:pPr>
              <w:spacing w:after="0"/>
              <w:rPr>
                <w:sz w:val="16"/>
                <w:szCs w:val="16"/>
                <w:color w:val="auto"/>
              </w:rPr>
            </w:pPr>
          </w:p>
        </w:tc>
        <w:tc>
          <w:tcPr>
            <w:tcW w:w="820" w:type="dxa"/>
            <w:vAlign w:val="bottom"/>
            <w:shd w:val="clear" w:color="auto" w:fill="BFBFBF"/>
          </w:tcPr>
          <w:p>
            <w:pPr>
              <w:jc w:val="right"/>
              <w:ind w:right="159"/>
              <w:spacing w:after="0"/>
              <w:rPr>
                <w:sz w:val="20"/>
                <w:szCs w:val="20"/>
                <w:color w:val="auto"/>
              </w:rPr>
            </w:pPr>
            <w:r>
              <w:rPr>
                <w:rFonts w:ascii="Arial" w:cs="Arial" w:eastAsia="Arial" w:hAnsi="Arial"/>
                <w:sz w:val="16"/>
                <w:szCs w:val="16"/>
                <w:color w:val="auto"/>
              </w:rPr>
              <w:t>99,994</w:t>
            </w:r>
          </w:p>
        </w:tc>
      </w:tr>
      <w:tr>
        <w:trPr>
          <w:trHeight w:val="189"/>
        </w:trPr>
        <w:tc>
          <w:tcPr>
            <w:tcW w:w="36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3,987</w:t>
            </w:r>
          </w:p>
        </w:tc>
        <w:tc>
          <w:tcPr>
            <w:tcW w:w="320" w:type="dxa"/>
            <w:vAlign w:val="bottom"/>
          </w:tcPr>
          <w:p>
            <w:pPr>
              <w:spacing w:after="0"/>
              <w:rPr>
                <w:sz w:val="16"/>
                <w:szCs w:val="16"/>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4,621</w:t>
            </w:r>
          </w:p>
        </w:tc>
        <w:tc>
          <w:tcPr>
            <w:tcW w:w="7160" w:type="dxa"/>
            <w:vAlign w:val="bottom"/>
          </w:tcPr>
          <w:p>
            <w:pPr>
              <w:ind w:left="22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6"/>
                <w:szCs w:val="16"/>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13,035</w:t>
            </w:r>
          </w:p>
        </w:tc>
        <w:tc>
          <w:tcPr>
            <w:tcW w:w="26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13,530</w:t>
            </w:r>
          </w:p>
        </w:tc>
      </w:tr>
      <w:tr>
        <w:trPr>
          <w:trHeight w:val="189"/>
        </w:trPr>
        <w:tc>
          <w:tcPr>
            <w:tcW w:w="360" w:type="dxa"/>
            <w:vAlign w:val="bottom"/>
            <w:tcBorders>
              <w:bottom w:val="single" w:sz="8" w:color="auto"/>
            </w:tcBorders>
            <w:shd w:val="clear" w:color="auto" w:fill="BFBFBF"/>
          </w:tcPr>
          <w:p>
            <w:pPr>
              <w:spacing w:after="0"/>
              <w:rPr>
                <w:sz w:val="16"/>
                <w:szCs w:val="16"/>
                <w:color w:val="auto"/>
              </w:rPr>
            </w:pPr>
          </w:p>
        </w:tc>
        <w:tc>
          <w:tcPr>
            <w:tcW w:w="740" w:type="dxa"/>
            <w:vAlign w:val="bottom"/>
            <w:tcBorders>
              <w:bottom w:val="single" w:sz="8" w:color="auto"/>
            </w:tcBorders>
            <w:shd w:val="clear" w:color="auto" w:fill="BFBFBF"/>
          </w:tcPr>
          <w:p>
            <w:pPr>
              <w:jc w:val="right"/>
              <w:ind w:right="79"/>
              <w:spacing w:after="0"/>
              <w:rPr>
                <w:sz w:val="20"/>
                <w:szCs w:val="20"/>
                <w:color w:val="auto"/>
              </w:rPr>
            </w:pPr>
            <w:r>
              <w:rPr>
                <w:rFonts w:ascii="Arial" w:cs="Arial" w:eastAsia="Arial" w:hAnsi="Arial"/>
                <w:sz w:val="16"/>
                <w:szCs w:val="16"/>
                <w:color w:val="auto"/>
              </w:rPr>
              <w:t>(1,628)</w:t>
            </w:r>
          </w:p>
        </w:tc>
        <w:tc>
          <w:tcPr>
            <w:tcW w:w="320" w:type="dxa"/>
            <w:vAlign w:val="bottom"/>
            <w:tcBorders>
              <w:bottom w:val="single" w:sz="8" w:color="auto"/>
            </w:tcBorders>
            <w:shd w:val="clear" w:color="auto" w:fill="BFBFBF"/>
          </w:tcPr>
          <w:p>
            <w:pPr>
              <w:spacing w:after="0"/>
              <w:rPr>
                <w:sz w:val="16"/>
                <w:szCs w:val="16"/>
                <w:color w:val="auto"/>
              </w:rPr>
            </w:pPr>
          </w:p>
        </w:tc>
        <w:tc>
          <w:tcPr>
            <w:tcW w:w="700" w:type="dxa"/>
            <w:vAlign w:val="bottom"/>
            <w:tcBorders>
              <w:bottom w:val="single" w:sz="8" w:color="auto"/>
              <w:right w:val="single" w:sz="8" w:color="BFBFBF"/>
            </w:tcBorders>
            <w:shd w:val="clear" w:color="auto" w:fill="BFBFBF"/>
          </w:tcPr>
          <w:p>
            <w:pPr>
              <w:jc w:val="right"/>
              <w:ind w:right="19"/>
              <w:spacing w:after="0"/>
              <w:rPr>
                <w:sz w:val="20"/>
                <w:szCs w:val="20"/>
                <w:color w:val="auto"/>
              </w:rPr>
            </w:pPr>
            <w:r>
              <w:rPr>
                <w:rFonts w:ascii="Arial" w:cs="Arial" w:eastAsia="Arial" w:hAnsi="Arial"/>
                <w:sz w:val="16"/>
                <w:szCs w:val="16"/>
                <w:color w:val="auto"/>
              </w:rPr>
              <w:t>(3,151)</w:t>
            </w:r>
          </w:p>
        </w:tc>
        <w:tc>
          <w:tcPr>
            <w:tcW w:w="7160" w:type="dxa"/>
            <w:vAlign w:val="bottom"/>
            <w:shd w:val="clear" w:color="auto" w:fill="BFBFBF"/>
          </w:tcPr>
          <w:p>
            <w:pPr>
              <w:ind w:left="22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shd w:val="clear" w:color="auto" w:fill="BFBFBF"/>
          </w:tcPr>
          <w:p>
            <w:pPr>
              <w:spacing w:after="0"/>
              <w:rPr>
                <w:sz w:val="16"/>
                <w:szCs w:val="16"/>
                <w:color w:val="auto"/>
              </w:rPr>
            </w:pPr>
          </w:p>
        </w:tc>
        <w:tc>
          <w:tcPr>
            <w:tcW w:w="800" w:type="dxa"/>
            <w:vAlign w:val="bottom"/>
            <w:tcBorders>
              <w:bottom w:val="single" w:sz="8" w:color="auto"/>
            </w:tcBorders>
            <w:shd w:val="clear" w:color="auto" w:fill="BFBFBF"/>
          </w:tcPr>
          <w:p>
            <w:pPr>
              <w:jc w:val="right"/>
              <w:ind w:right="79"/>
              <w:spacing w:after="0"/>
              <w:rPr>
                <w:sz w:val="20"/>
                <w:szCs w:val="20"/>
                <w:color w:val="auto"/>
              </w:rPr>
            </w:pPr>
            <w:r>
              <w:rPr>
                <w:rFonts w:ascii="Arial" w:cs="Arial" w:eastAsia="Arial" w:hAnsi="Arial"/>
                <w:sz w:val="16"/>
                <w:szCs w:val="16"/>
                <w:color w:val="auto"/>
              </w:rPr>
              <w:t>(1,906)</w:t>
            </w:r>
          </w:p>
        </w:tc>
        <w:tc>
          <w:tcPr>
            <w:tcW w:w="260" w:type="dxa"/>
            <w:vAlign w:val="bottom"/>
            <w:tcBorders>
              <w:bottom w:val="single" w:sz="8" w:color="auto"/>
            </w:tcBorders>
            <w:shd w:val="clear" w:color="auto" w:fill="BFBFBF"/>
          </w:tcPr>
          <w:p>
            <w:pPr>
              <w:spacing w:after="0"/>
              <w:rPr>
                <w:sz w:val="16"/>
                <w:szCs w:val="16"/>
                <w:color w:val="auto"/>
              </w:rPr>
            </w:pPr>
          </w:p>
        </w:tc>
        <w:tc>
          <w:tcPr>
            <w:tcW w:w="820" w:type="dxa"/>
            <w:vAlign w:val="bottom"/>
            <w:tcBorders>
              <w:bottom w:val="single" w:sz="8" w:color="auto"/>
            </w:tcBorders>
            <w:shd w:val="clear" w:color="auto" w:fill="BFBFBF"/>
          </w:tcPr>
          <w:p>
            <w:pPr>
              <w:jc w:val="right"/>
              <w:ind w:right="99"/>
              <w:spacing w:after="0"/>
              <w:rPr>
                <w:sz w:val="20"/>
                <w:szCs w:val="20"/>
                <w:color w:val="auto"/>
              </w:rPr>
            </w:pPr>
            <w:r>
              <w:rPr>
                <w:rFonts w:ascii="Arial" w:cs="Arial" w:eastAsia="Arial" w:hAnsi="Arial"/>
                <w:sz w:val="16"/>
                <w:szCs w:val="16"/>
                <w:color w:val="auto"/>
              </w:rPr>
              <w:t>(973)</w:t>
            </w:r>
          </w:p>
        </w:tc>
      </w:tr>
      <w:tr>
        <w:trPr>
          <w:trHeight w:val="183"/>
        </w:trPr>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9"/>
        </w:trPr>
        <w:tc>
          <w:tcPr>
            <w:tcW w:w="360" w:type="dxa"/>
            <w:vAlign w:val="bottom"/>
            <w:shd w:val="clear" w:color="auto" w:fill="BFBFBF"/>
          </w:tcPr>
          <w:p>
            <w:pPr>
              <w:spacing w:after="0"/>
              <w:rPr>
                <w:sz w:val="16"/>
                <w:szCs w:val="16"/>
                <w:color w:val="auto"/>
              </w:rPr>
            </w:pPr>
          </w:p>
        </w:tc>
        <w:tc>
          <w:tcPr>
            <w:tcW w:w="740" w:type="dxa"/>
            <w:vAlign w:val="bottom"/>
            <w:shd w:val="clear" w:color="auto" w:fill="BFBFBF"/>
          </w:tcPr>
          <w:p>
            <w:pPr>
              <w:jc w:val="right"/>
              <w:ind w:right="119"/>
              <w:spacing w:after="0"/>
              <w:rPr>
                <w:sz w:val="20"/>
                <w:szCs w:val="20"/>
                <w:color w:val="auto"/>
              </w:rPr>
            </w:pPr>
            <w:r>
              <w:rPr>
                <w:rFonts w:ascii="Arial" w:cs="Arial" w:eastAsia="Arial" w:hAnsi="Arial"/>
                <w:sz w:val="16"/>
                <w:szCs w:val="16"/>
                <w:color w:val="auto"/>
              </w:rPr>
              <w:t>53,319</w:t>
            </w:r>
          </w:p>
        </w:tc>
        <w:tc>
          <w:tcPr>
            <w:tcW w:w="320" w:type="dxa"/>
            <w:vAlign w:val="bottom"/>
            <w:shd w:val="clear" w:color="auto" w:fill="BFBFBF"/>
          </w:tcPr>
          <w:p>
            <w:pPr>
              <w:spacing w:after="0"/>
              <w:rPr>
                <w:sz w:val="16"/>
                <w:szCs w:val="16"/>
                <w:color w:val="auto"/>
              </w:rPr>
            </w:pPr>
          </w:p>
        </w:tc>
        <w:tc>
          <w:tcPr>
            <w:tcW w:w="700" w:type="dxa"/>
            <w:vAlign w:val="bottom"/>
            <w:tcBorders>
              <w:right w:val="single" w:sz="8" w:color="BFBFBF"/>
            </w:tcBorders>
            <w:shd w:val="clear" w:color="auto" w:fill="BFBFBF"/>
          </w:tcPr>
          <w:p>
            <w:pPr>
              <w:jc w:val="right"/>
              <w:ind w:right="79"/>
              <w:spacing w:after="0"/>
              <w:rPr>
                <w:sz w:val="20"/>
                <w:szCs w:val="20"/>
                <w:color w:val="auto"/>
              </w:rPr>
            </w:pPr>
            <w:r>
              <w:rPr>
                <w:rFonts w:ascii="Arial" w:cs="Arial" w:eastAsia="Arial" w:hAnsi="Arial"/>
                <w:sz w:val="16"/>
                <w:szCs w:val="16"/>
                <w:color w:val="auto"/>
              </w:rPr>
              <w:t>39,364</w:t>
            </w:r>
          </w:p>
        </w:tc>
        <w:tc>
          <w:tcPr>
            <w:tcW w:w="7160" w:type="dxa"/>
            <w:vAlign w:val="bottom"/>
            <w:shd w:val="clear" w:color="auto" w:fill="BFBFBF"/>
          </w:tcPr>
          <w:p>
            <w:pPr>
              <w:spacing w:after="0"/>
              <w:rPr>
                <w:sz w:val="20"/>
                <w:szCs w:val="20"/>
                <w:color w:val="auto"/>
              </w:rPr>
            </w:pPr>
            <w:r>
              <w:rPr>
                <w:rFonts w:ascii="Arial" w:cs="Arial" w:eastAsia="Arial" w:hAnsi="Arial"/>
                <w:sz w:val="16"/>
                <w:szCs w:val="16"/>
                <w:color w:val="auto"/>
              </w:rPr>
              <w:t>Income before income taxes</w:t>
            </w:r>
          </w:p>
        </w:tc>
        <w:tc>
          <w:tcPr>
            <w:tcW w:w="1060" w:type="dxa"/>
            <w:vAlign w:val="bottom"/>
            <w:gridSpan w:val="2"/>
            <w:shd w:val="clear" w:color="auto" w:fill="BFBFBF"/>
          </w:tcPr>
          <w:p>
            <w:pPr>
              <w:jc w:val="right"/>
              <w:ind w:right="139"/>
              <w:spacing w:after="0"/>
              <w:rPr>
                <w:sz w:val="20"/>
                <w:szCs w:val="20"/>
                <w:color w:val="auto"/>
              </w:rPr>
            </w:pPr>
            <w:r>
              <w:rPr>
                <w:rFonts w:ascii="Arial" w:cs="Arial" w:eastAsia="Arial" w:hAnsi="Arial"/>
                <w:sz w:val="16"/>
                <w:szCs w:val="16"/>
                <w:color w:val="auto"/>
              </w:rPr>
              <w:t>138,867</w:t>
            </w:r>
          </w:p>
        </w:tc>
        <w:tc>
          <w:tcPr>
            <w:tcW w:w="260" w:type="dxa"/>
            <w:vAlign w:val="bottom"/>
            <w:shd w:val="clear" w:color="auto" w:fill="BFBFBF"/>
          </w:tcPr>
          <w:p>
            <w:pPr>
              <w:spacing w:after="0"/>
              <w:rPr>
                <w:sz w:val="16"/>
                <w:szCs w:val="16"/>
                <w:color w:val="auto"/>
              </w:rPr>
            </w:pPr>
          </w:p>
        </w:tc>
        <w:tc>
          <w:tcPr>
            <w:tcW w:w="820" w:type="dxa"/>
            <w:vAlign w:val="bottom"/>
            <w:shd w:val="clear" w:color="auto" w:fill="BFBFBF"/>
          </w:tcPr>
          <w:p>
            <w:pPr>
              <w:jc w:val="right"/>
              <w:ind w:right="159"/>
              <w:spacing w:after="0"/>
              <w:rPr>
                <w:sz w:val="20"/>
                <w:szCs w:val="20"/>
                <w:color w:val="auto"/>
              </w:rPr>
            </w:pPr>
            <w:r>
              <w:rPr>
                <w:rFonts w:ascii="Arial" w:cs="Arial" w:eastAsia="Arial" w:hAnsi="Arial"/>
                <w:sz w:val="16"/>
                <w:szCs w:val="16"/>
                <w:color w:val="auto"/>
              </w:rPr>
              <w:t>87,437</w:t>
            </w:r>
          </w:p>
        </w:tc>
      </w:tr>
      <w:tr>
        <w:trPr>
          <w:trHeight w:val="189"/>
        </w:trPr>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13,194</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11,359</w:t>
            </w:r>
          </w:p>
        </w:tc>
        <w:tc>
          <w:tcPr>
            <w:tcW w:w="7160" w:type="dxa"/>
            <w:vAlign w:val="bottom"/>
            <w:tcBorders>
              <w:bottom w:val="single" w:sz="8" w:color="BFBFBF"/>
            </w:tcBorders>
          </w:tcPr>
          <w:p>
            <w:pPr>
              <w:ind w:left="22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35,075</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21,690</w:t>
            </w:r>
          </w:p>
        </w:tc>
      </w:tr>
      <w:tr>
        <w:trPr>
          <w:trHeight w:val="183"/>
        </w:trPr>
        <w:tc>
          <w:tcPr>
            <w:tcW w:w="360" w:type="dxa"/>
            <w:vAlign w:val="bottom"/>
            <w:shd w:val="clear" w:color="auto" w:fill="BFBFBF"/>
          </w:tcPr>
          <w:p>
            <w:pPr>
              <w:spacing w:after="0"/>
              <w:rPr>
                <w:sz w:val="15"/>
                <w:szCs w:val="15"/>
                <w:color w:val="auto"/>
              </w:rPr>
            </w:pPr>
          </w:p>
        </w:tc>
        <w:tc>
          <w:tcPr>
            <w:tcW w:w="740" w:type="dxa"/>
            <w:vAlign w:val="bottom"/>
            <w:shd w:val="clear" w:color="auto" w:fill="BFBFBF"/>
          </w:tcPr>
          <w:p>
            <w:pPr>
              <w:jc w:val="right"/>
              <w:ind w:right="119"/>
              <w:spacing w:after="0" w:line="183" w:lineRule="exact"/>
              <w:rPr>
                <w:sz w:val="20"/>
                <w:szCs w:val="20"/>
                <w:color w:val="auto"/>
              </w:rPr>
            </w:pPr>
            <w:r>
              <w:rPr>
                <w:rFonts w:ascii="Arial" w:cs="Arial" w:eastAsia="Arial" w:hAnsi="Arial"/>
                <w:sz w:val="16"/>
                <w:szCs w:val="16"/>
                <w:color w:val="auto"/>
              </w:rPr>
              <w:t>40,125</w:t>
            </w:r>
          </w:p>
        </w:tc>
        <w:tc>
          <w:tcPr>
            <w:tcW w:w="320" w:type="dxa"/>
            <w:vAlign w:val="bottom"/>
            <w:shd w:val="clear" w:color="auto" w:fill="BFBFBF"/>
          </w:tcPr>
          <w:p>
            <w:pPr>
              <w:spacing w:after="0"/>
              <w:rPr>
                <w:sz w:val="15"/>
                <w:szCs w:val="15"/>
                <w:color w:val="auto"/>
              </w:rPr>
            </w:pPr>
          </w:p>
        </w:tc>
        <w:tc>
          <w:tcPr>
            <w:tcW w:w="700" w:type="dxa"/>
            <w:vAlign w:val="bottom"/>
            <w:tcBorders>
              <w:right w:val="single" w:sz="8" w:color="BFBFBF"/>
            </w:tcBorders>
            <w:shd w:val="clear" w:color="auto" w:fill="BFBFBF"/>
          </w:tcPr>
          <w:p>
            <w:pPr>
              <w:jc w:val="right"/>
              <w:ind w:right="79"/>
              <w:spacing w:after="0" w:line="183" w:lineRule="exact"/>
              <w:rPr>
                <w:sz w:val="20"/>
                <w:szCs w:val="20"/>
                <w:color w:val="auto"/>
              </w:rPr>
            </w:pPr>
            <w:r>
              <w:rPr>
                <w:rFonts w:ascii="Arial" w:cs="Arial" w:eastAsia="Arial" w:hAnsi="Arial"/>
                <w:sz w:val="16"/>
                <w:szCs w:val="16"/>
                <w:color w:val="auto"/>
              </w:rPr>
              <w:t>28,005</w:t>
            </w:r>
          </w:p>
        </w:tc>
        <w:tc>
          <w:tcPr>
            <w:tcW w:w="7160" w:type="dxa"/>
            <w:vAlign w:val="bottom"/>
            <w:shd w:val="clear" w:color="auto" w:fill="BFBFBF"/>
          </w:tcPr>
          <w:p>
            <w:pPr>
              <w:spacing w:after="0" w:line="183" w:lineRule="exact"/>
              <w:rPr>
                <w:sz w:val="20"/>
                <w:szCs w:val="20"/>
                <w:color w:val="auto"/>
              </w:rPr>
            </w:pPr>
            <w:r>
              <w:rPr>
                <w:rFonts w:ascii="Arial" w:cs="Arial" w:eastAsia="Arial" w:hAnsi="Arial"/>
                <w:sz w:val="16"/>
                <w:szCs w:val="16"/>
                <w:color w:val="auto"/>
              </w:rPr>
              <w:t>Net income</w:t>
            </w:r>
          </w:p>
        </w:tc>
        <w:tc>
          <w:tcPr>
            <w:tcW w:w="1060" w:type="dxa"/>
            <w:vAlign w:val="bottom"/>
            <w:gridSpan w:val="2"/>
            <w:shd w:val="clear" w:color="auto" w:fill="BFBFBF"/>
          </w:tcPr>
          <w:p>
            <w:pPr>
              <w:jc w:val="right"/>
              <w:ind w:right="139"/>
              <w:spacing w:after="0" w:line="183" w:lineRule="exact"/>
              <w:rPr>
                <w:sz w:val="20"/>
                <w:szCs w:val="20"/>
                <w:color w:val="auto"/>
              </w:rPr>
            </w:pPr>
            <w:r>
              <w:rPr>
                <w:rFonts w:ascii="Arial" w:cs="Arial" w:eastAsia="Arial" w:hAnsi="Arial"/>
                <w:sz w:val="16"/>
                <w:szCs w:val="16"/>
                <w:color w:val="auto"/>
              </w:rPr>
              <w:t>103,792</w:t>
            </w:r>
          </w:p>
        </w:tc>
        <w:tc>
          <w:tcPr>
            <w:tcW w:w="260" w:type="dxa"/>
            <w:vAlign w:val="bottom"/>
            <w:shd w:val="clear" w:color="auto" w:fill="BFBFBF"/>
          </w:tcPr>
          <w:p>
            <w:pPr>
              <w:spacing w:after="0"/>
              <w:rPr>
                <w:sz w:val="15"/>
                <w:szCs w:val="15"/>
                <w:color w:val="auto"/>
              </w:rPr>
            </w:pPr>
          </w:p>
        </w:tc>
        <w:tc>
          <w:tcPr>
            <w:tcW w:w="820" w:type="dxa"/>
            <w:vAlign w:val="bottom"/>
            <w:shd w:val="clear" w:color="auto" w:fill="BFBFBF"/>
          </w:tcPr>
          <w:p>
            <w:pPr>
              <w:jc w:val="right"/>
              <w:ind w:right="159"/>
              <w:spacing w:after="0" w:line="183" w:lineRule="exact"/>
              <w:rPr>
                <w:sz w:val="20"/>
                <w:szCs w:val="20"/>
                <w:color w:val="auto"/>
              </w:rPr>
            </w:pPr>
            <w:r>
              <w:rPr>
                <w:rFonts w:ascii="Arial" w:cs="Arial" w:eastAsia="Arial" w:hAnsi="Arial"/>
                <w:sz w:val="16"/>
                <w:szCs w:val="16"/>
                <w:color w:val="auto"/>
              </w:rPr>
              <w:t>65,747</w:t>
            </w:r>
          </w:p>
        </w:tc>
      </w:tr>
      <w:tr>
        <w:trPr>
          <w:trHeight w:val="189"/>
        </w:trPr>
        <w:tc>
          <w:tcPr>
            <w:tcW w:w="36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116</w:t>
            </w:r>
          </w:p>
        </w:tc>
        <w:tc>
          <w:tcPr>
            <w:tcW w:w="320" w:type="dxa"/>
            <w:vAlign w:val="bottom"/>
          </w:tcPr>
          <w:p>
            <w:pPr>
              <w:spacing w:after="0"/>
              <w:rPr>
                <w:sz w:val="16"/>
                <w:szCs w:val="16"/>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269</w:t>
            </w:r>
          </w:p>
        </w:tc>
        <w:tc>
          <w:tcPr>
            <w:tcW w:w="7160" w:type="dxa"/>
            <w:vAlign w:val="bottom"/>
          </w:tcPr>
          <w:p>
            <w:pPr>
              <w:spacing w:after="0"/>
              <w:rPr>
                <w:sz w:val="20"/>
                <w:szCs w:val="20"/>
                <w:color w:val="auto"/>
              </w:rPr>
            </w:pPr>
            <w:r>
              <w:rPr>
                <w:rFonts w:ascii="Arial" w:cs="Arial" w:eastAsia="Arial" w:hAnsi="Arial"/>
                <w:sz w:val="16"/>
                <w:szCs w:val="16"/>
                <w:color w:val="auto"/>
              </w:rPr>
              <w:t>Net income attributable to the noncontrolling interest</w:t>
            </w:r>
          </w:p>
        </w:tc>
        <w:tc>
          <w:tcPr>
            <w:tcW w:w="260" w:type="dxa"/>
            <w:vAlign w:val="bottom"/>
          </w:tcPr>
          <w:p>
            <w:pPr>
              <w:spacing w:after="0"/>
              <w:rPr>
                <w:sz w:val="16"/>
                <w:szCs w:val="16"/>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539</w:t>
            </w:r>
          </w:p>
        </w:tc>
        <w:tc>
          <w:tcPr>
            <w:tcW w:w="26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447</w:t>
            </w:r>
          </w:p>
        </w:tc>
      </w:tr>
      <w:tr>
        <w:trPr>
          <w:trHeight w:val="20"/>
        </w:trPr>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7160" w:type="dxa"/>
            <w:vAlign w:val="bottom"/>
            <w:shd w:val="clear" w:color="auto" w:fill="BFBFB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r>
      <w:tr>
        <w:trPr>
          <w:trHeight w:val="183"/>
        </w:trPr>
        <w:tc>
          <w:tcPr>
            <w:tcW w:w="360" w:type="dxa"/>
            <w:vAlign w:val="bottom"/>
            <w:shd w:val="clear" w:color="auto" w:fill="BFBFBF"/>
          </w:tcPr>
          <w:p>
            <w:pPr>
              <w:jc w:val="right"/>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BFBFBF"/>
          </w:tcPr>
          <w:p>
            <w:pPr>
              <w:jc w:val="right"/>
              <w:ind w:right="119"/>
              <w:spacing w:after="0" w:line="183" w:lineRule="exact"/>
              <w:rPr>
                <w:sz w:val="20"/>
                <w:szCs w:val="20"/>
                <w:color w:val="auto"/>
              </w:rPr>
            </w:pPr>
            <w:r>
              <w:rPr>
                <w:rFonts w:ascii="Arial" w:cs="Arial" w:eastAsia="Arial" w:hAnsi="Arial"/>
                <w:sz w:val="16"/>
                <w:szCs w:val="16"/>
                <w:color w:val="auto"/>
              </w:rPr>
              <w:t>40,009</w:t>
            </w:r>
          </w:p>
        </w:tc>
        <w:tc>
          <w:tcPr>
            <w:tcW w:w="320" w:type="dxa"/>
            <w:vAlign w:val="bottom"/>
            <w:shd w:val="clear" w:color="auto" w:fill="BFBFBF"/>
          </w:tcPr>
          <w:p>
            <w:pPr>
              <w:jc w:val="right"/>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right w:val="single" w:sz="8" w:color="BFBFBF"/>
            </w:tcBorders>
            <w:shd w:val="clear" w:color="auto" w:fill="BFBFBF"/>
          </w:tcPr>
          <w:p>
            <w:pPr>
              <w:jc w:val="right"/>
              <w:ind w:right="79"/>
              <w:spacing w:after="0" w:line="183" w:lineRule="exact"/>
              <w:rPr>
                <w:sz w:val="20"/>
                <w:szCs w:val="20"/>
                <w:color w:val="auto"/>
              </w:rPr>
            </w:pPr>
            <w:r>
              <w:rPr>
                <w:rFonts w:ascii="Arial" w:cs="Arial" w:eastAsia="Arial" w:hAnsi="Arial"/>
                <w:sz w:val="16"/>
                <w:szCs w:val="16"/>
                <w:color w:val="auto"/>
              </w:rPr>
              <w:t>27,736</w:t>
            </w:r>
          </w:p>
        </w:tc>
        <w:tc>
          <w:tcPr>
            <w:tcW w:w="7160" w:type="dxa"/>
            <w:vAlign w:val="bottom"/>
            <w:shd w:val="clear" w:color="auto" w:fill="BFBFBF"/>
          </w:tcPr>
          <w:p>
            <w:pPr>
              <w:spacing w:after="0" w:line="183" w:lineRule="exact"/>
              <w:rPr>
                <w:sz w:val="20"/>
                <w:szCs w:val="20"/>
                <w:color w:val="auto"/>
              </w:rPr>
            </w:pPr>
            <w:r>
              <w:rPr>
                <w:rFonts w:ascii="Arial" w:cs="Arial" w:eastAsia="Arial" w:hAnsi="Arial"/>
                <w:sz w:val="16"/>
                <w:szCs w:val="16"/>
                <w:color w:val="auto"/>
              </w:rPr>
              <w:t>Net income attributable to the Company</w:t>
            </w:r>
          </w:p>
        </w:tc>
        <w:tc>
          <w:tcPr>
            <w:tcW w:w="260" w:type="dxa"/>
            <w:vAlign w:val="bottom"/>
            <w:shd w:val="clear" w:color="auto" w:fill="BFBFBF"/>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BFBFBF"/>
          </w:tcPr>
          <w:p>
            <w:pPr>
              <w:jc w:val="right"/>
              <w:ind w:right="139"/>
              <w:spacing w:after="0" w:line="183" w:lineRule="exact"/>
              <w:rPr>
                <w:sz w:val="20"/>
                <w:szCs w:val="20"/>
                <w:color w:val="auto"/>
              </w:rPr>
            </w:pPr>
            <w:r>
              <w:rPr>
                <w:rFonts w:ascii="Arial" w:cs="Arial" w:eastAsia="Arial" w:hAnsi="Arial"/>
                <w:sz w:val="16"/>
                <w:szCs w:val="16"/>
                <w:color w:val="auto"/>
                <w:w w:val="96"/>
              </w:rPr>
              <w:t>103,253</w:t>
            </w:r>
          </w:p>
        </w:tc>
        <w:tc>
          <w:tcPr>
            <w:tcW w:w="1080" w:type="dxa"/>
            <w:vAlign w:val="bottom"/>
            <w:gridSpan w:val="2"/>
            <w:shd w:val="clear" w:color="auto" w:fill="BFBFBF"/>
          </w:tcPr>
          <w:p>
            <w:pPr>
              <w:jc w:val="right"/>
              <w:ind w:right="159"/>
              <w:spacing w:after="0" w:line="183" w:lineRule="exact"/>
              <w:rPr>
                <w:sz w:val="20"/>
                <w:szCs w:val="20"/>
                <w:color w:val="auto"/>
              </w:rPr>
            </w:pPr>
            <w:r>
              <w:rPr>
                <w:rFonts w:ascii="Arial" w:cs="Arial" w:eastAsia="Arial" w:hAnsi="Arial"/>
                <w:sz w:val="16"/>
                <w:szCs w:val="16"/>
                <w:color w:val="auto"/>
              </w:rPr>
              <w:t>$ 65,300</w:t>
            </w: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160" w:type="dxa"/>
            <w:vAlign w:val="bottom"/>
            <w:tcBorders>
              <w:top w:val="single" w:sz="8" w:color="BFBFB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36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line="170" w:lineRule="exact"/>
              <w:rPr>
                <w:sz w:val="20"/>
                <w:szCs w:val="20"/>
                <w:color w:val="auto"/>
              </w:rPr>
            </w:pPr>
            <w:r>
              <w:rPr>
                <w:rFonts w:ascii="Arial" w:cs="Arial" w:eastAsia="Arial" w:hAnsi="Arial"/>
                <w:sz w:val="16"/>
                <w:szCs w:val="16"/>
                <w:color w:val="auto"/>
              </w:rPr>
              <w:t>1.24</w:t>
            </w:r>
          </w:p>
        </w:tc>
        <w:tc>
          <w:tcPr>
            <w:tcW w:w="32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line="170" w:lineRule="exact"/>
              <w:rPr>
                <w:sz w:val="20"/>
                <w:szCs w:val="20"/>
                <w:color w:val="auto"/>
              </w:rPr>
            </w:pPr>
            <w:r>
              <w:rPr>
                <w:rFonts w:ascii="Arial" w:cs="Arial" w:eastAsia="Arial" w:hAnsi="Arial"/>
                <w:sz w:val="16"/>
                <w:szCs w:val="16"/>
                <w:color w:val="auto"/>
              </w:rPr>
              <w:t>0.86</w:t>
            </w:r>
          </w:p>
        </w:tc>
        <w:tc>
          <w:tcPr>
            <w:tcW w:w="7160" w:type="dxa"/>
            <w:vAlign w:val="bottom"/>
          </w:tcPr>
          <w:p>
            <w:pPr>
              <w:spacing w:after="0" w:line="170" w:lineRule="exact"/>
              <w:rPr>
                <w:sz w:val="20"/>
                <w:szCs w:val="20"/>
                <w:color w:val="auto"/>
              </w:rPr>
            </w:pPr>
            <w:r>
              <w:rPr>
                <w:rFonts w:ascii="Arial" w:cs="Arial" w:eastAsia="Arial" w:hAnsi="Arial"/>
                <w:sz w:val="16"/>
                <w:szCs w:val="16"/>
                <w:color w:val="auto"/>
              </w:rPr>
              <w:t>Earnings per share attributable to Company shareholders — Basic</w:t>
            </w:r>
          </w:p>
        </w:tc>
        <w:tc>
          <w:tcPr>
            <w:tcW w:w="26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139"/>
              <w:spacing w:after="0" w:line="170" w:lineRule="exact"/>
              <w:rPr>
                <w:sz w:val="20"/>
                <w:szCs w:val="20"/>
                <w:color w:val="auto"/>
              </w:rPr>
            </w:pPr>
            <w:r>
              <w:rPr>
                <w:rFonts w:ascii="Arial" w:cs="Arial" w:eastAsia="Arial" w:hAnsi="Arial"/>
                <w:sz w:val="16"/>
                <w:szCs w:val="16"/>
                <w:color w:val="auto"/>
              </w:rPr>
              <w:t>3.20</w:t>
            </w:r>
          </w:p>
        </w:tc>
        <w:tc>
          <w:tcPr>
            <w:tcW w:w="26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line="170" w:lineRule="exact"/>
              <w:rPr>
                <w:sz w:val="20"/>
                <w:szCs w:val="20"/>
                <w:color w:val="auto"/>
              </w:rPr>
            </w:pPr>
            <w:r>
              <w:rPr>
                <w:rFonts w:ascii="Arial" w:cs="Arial" w:eastAsia="Arial" w:hAnsi="Arial"/>
                <w:sz w:val="16"/>
                <w:szCs w:val="16"/>
                <w:color w:val="auto"/>
              </w:rPr>
              <w:t>2.02</w:t>
            </w:r>
          </w:p>
        </w:tc>
      </w:tr>
      <w:tr>
        <w:trPr>
          <w:trHeight w:val="189"/>
        </w:trPr>
        <w:tc>
          <w:tcPr>
            <w:tcW w:w="3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BFBFBF"/>
          </w:tcPr>
          <w:p>
            <w:pPr>
              <w:jc w:val="right"/>
              <w:ind w:right="119"/>
              <w:spacing w:after="0"/>
              <w:rPr>
                <w:sz w:val="20"/>
                <w:szCs w:val="20"/>
                <w:color w:val="auto"/>
              </w:rPr>
            </w:pPr>
            <w:r>
              <w:rPr>
                <w:rFonts w:ascii="Arial" w:cs="Arial" w:eastAsia="Arial" w:hAnsi="Arial"/>
                <w:sz w:val="16"/>
                <w:szCs w:val="16"/>
                <w:color w:val="auto"/>
              </w:rPr>
              <w:t>1.24</w:t>
            </w:r>
          </w:p>
        </w:tc>
        <w:tc>
          <w:tcPr>
            <w:tcW w:w="3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BFBFBF"/>
            </w:tcBorders>
            <w:shd w:val="clear" w:color="auto" w:fill="BFBFBF"/>
          </w:tcPr>
          <w:p>
            <w:pPr>
              <w:jc w:val="right"/>
              <w:ind w:right="79"/>
              <w:spacing w:after="0"/>
              <w:rPr>
                <w:sz w:val="20"/>
                <w:szCs w:val="20"/>
                <w:color w:val="auto"/>
              </w:rPr>
            </w:pPr>
            <w:r>
              <w:rPr>
                <w:rFonts w:ascii="Arial" w:cs="Arial" w:eastAsia="Arial" w:hAnsi="Arial"/>
                <w:sz w:val="16"/>
                <w:szCs w:val="16"/>
                <w:color w:val="auto"/>
              </w:rPr>
              <w:t>0.86</w:t>
            </w:r>
          </w:p>
        </w:tc>
        <w:tc>
          <w:tcPr>
            <w:tcW w:w="7160" w:type="dxa"/>
            <w:vAlign w:val="bottom"/>
            <w:shd w:val="clear" w:color="auto" w:fill="BFBFBF"/>
          </w:tcPr>
          <w:p>
            <w:pPr>
              <w:spacing w:after="0"/>
              <w:rPr>
                <w:sz w:val="20"/>
                <w:szCs w:val="20"/>
                <w:color w:val="auto"/>
              </w:rPr>
            </w:pPr>
            <w:r>
              <w:rPr>
                <w:rFonts w:ascii="Arial" w:cs="Arial" w:eastAsia="Arial" w:hAnsi="Arial"/>
                <w:sz w:val="16"/>
                <w:szCs w:val="16"/>
                <w:color w:val="auto"/>
              </w:rPr>
              <w:t>Earnings per share attributable to Company shareholders — Diluted</w:t>
            </w:r>
          </w:p>
        </w:tc>
        <w:tc>
          <w:tcPr>
            <w:tcW w:w="2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BFBFBF"/>
          </w:tcPr>
          <w:p>
            <w:pPr>
              <w:jc w:val="right"/>
              <w:ind w:right="139"/>
              <w:spacing w:after="0"/>
              <w:rPr>
                <w:sz w:val="20"/>
                <w:szCs w:val="20"/>
                <w:color w:val="auto"/>
              </w:rPr>
            </w:pPr>
            <w:r>
              <w:rPr>
                <w:rFonts w:ascii="Arial" w:cs="Arial" w:eastAsia="Arial" w:hAnsi="Arial"/>
                <w:sz w:val="16"/>
                <w:szCs w:val="16"/>
                <w:color w:val="auto"/>
              </w:rPr>
              <w:t>3.20</w:t>
            </w:r>
          </w:p>
        </w:tc>
        <w:tc>
          <w:tcPr>
            <w:tcW w:w="2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BFBFBF"/>
          </w:tcPr>
          <w:p>
            <w:pPr>
              <w:jc w:val="right"/>
              <w:ind w:right="139"/>
              <w:spacing w:after="0"/>
              <w:rPr>
                <w:sz w:val="20"/>
                <w:szCs w:val="20"/>
                <w:color w:val="auto"/>
              </w:rPr>
            </w:pPr>
            <w:r>
              <w:rPr>
                <w:rFonts w:ascii="Arial" w:cs="Arial" w:eastAsia="Arial" w:hAnsi="Arial"/>
                <w:sz w:val="16"/>
                <w:szCs w:val="16"/>
                <w:color w:val="auto"/>
              </w:rPr>
              <w:t>2.02</w:t>
            </w:r>
          </w:p>
        </w:tc>
      </w:tr>
      <w:tr>
        <w:trPr>
          <w:trHeight w:val="189"/>
        </w:trPr>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160" w:type="dxa"/>
            <w:vAlign w:val="bottom"/>
          </w:tcPr>
          <w:p>
            <w:pPr>
              <w:spacing w:after="0"/>
              <w:rPr>
                <w:sz w:val="20"/>
                <w:szCs w:val="20"/>
                <w:color w:val="auto"/>
              </w:rPr>
            </w:pPr>
            <w:r>
              <w:rPr>
                <w:rFonts w:ascii="Arial" w:cs="Arial" w:eastAsia="Arial" w:hAnsi="Arial"/>
                <w:sz w:val="16"/>
                <w:szCs w:val="16"/>
                <w:color w:val="auto"/>
              </w:rPr>
              <w:t>Shares of the Company used in computing earnings per share:</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360" w:type="dxa"/>
            <w:vAlign w:val="bottom"/>
            <w:shd w:val="clear" w:color="auto" w:fill="BFBFBF"/>
          </w:tcPr>
          <w:p>
            <w:pPr>
              <w:spacing w:after="0"/>
              <w:rPr>
                <w:sz w:val="16"/>
                <w:szCs w:val="16"/>
                <w:color w:val="auto"/>
              </w:rPr>
            </w:pPr>
          </w:p>
        </w:tc>
        <w:tc>
          <w:tcPr>
            <w:tcW w:w="740" w:type="dxa"/>
            <w:vAlign w:val="bottom"/>
            <w:shd w:val="clear" w:color="auto" w:fill="BFBFBF"/>
          </w:tcPr>
          <w:p>
            <w:pPr>
              <w:jc w:val="right"/>
              <w:ind w:right="119"/>
              <w:spacing w:after="0"/>
              <w:rPr>
                <w:sz w:val="20"/>
                <w:szCs w:val="20"/>
                <w:color w:val="auto"/>
              </w:rPr>
            </w:pPr>
            <w:r>
              <w:rPr>
                <w:rFonts w:ascii="Arial" w:cs="Arial" w:eastAsia="Arial" w:hAnsi="Arial"/>
                <w:sz w:val="16"/>
                <w:szCs w:val="16"/>
                <w:color w:val="auto"/>
              </w:rPr>
              <w:t>32,306</w:t>
            </w:r>
          </w:p>
        </w:tc>
        <w:tc>
          <w:tcPr>
            <w:tcW w:w="320" w:type="dxa"/>
            <w:vAlign w:val="bottom"/>
            <w:shd w:val="clear" w:color="auto" w:fill="BFBFBF"/>
          </w:tcPr>
          <w:p>
            <w:pPr>
              <w:spacing w:after="0"/>
              <w:rPr>
                <w:sz w:val="16"/>
                <w:szCs w:val="16"/>
                <w:color w:val="auto"/>
              </w:rPr>
            </w:pPr>
          </w:p>
        </w:tc>
        <w:tc>
          <w:tcPr>
            <w:tcW w:w="700" w:type="dxa"/>
            <w:vAlign w:val="bottom"/>
            <w:tcBorders>
              <w:right w:val="single" w:sz="8" w:color="BFBFBF"/>
            </w:tcBorders>
            <w:shd w:val="clear" w:color="auto" w:fill="BFBFBF"/>
          </w:tcPr>
          <w:p>
            <w:pPr>
              <w:jc w:val="right"/>
              <w:ind w:right="79"/>
              <w:spacing w:after="0"/>
              <w:rPr>
                <w:sz w:val="20"/>
                <w:szCs w:val="20"/>
                <w:color w:val="auto"/>
              </w:rPr>
            </w:pPr>
            <w:r>
              <w:rPr>
                <w:rFonts w:ascii="Arial" w:cs="Arial" w:eastAsia="Arial" w:hAnsi="Arial"/>
                <w:sz w:val="16"/>
                <w:szCs w:val="16"/>
                <w:color w:val="auto"/>
              </w:rPr>
              <w:t>32,264</w:t>
            </w:r>
          </w:p>
        </w:tc>
        <w:tc>
          <w:tcPr>
            <w:tcW w:w="7160" w:type="dxa"/>
            <w:vAlign w:val="bottom"/>
            <w:shd w:val="clear" w:color="auto" w:fill="BFBFBF"/>
          </w:tcPr>
          <w:p>
            <w:pPr>
              <w:ind w:left="10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BFBFBF"/>
          </w:tcPr>
          <w:p>
            <w:pPr>
              <w:spacing w:after="0"/>
              <w:rPr>
                <w:sz w:val="16"/>
                <w:szCs w:val="16"/>
                <w:color w:val="auto"/>
              </w:rPr>
            </w:pPr>
          </w:p>
        </w:tc>
        <w:tc>
          <w:tcPr>
            <w:tcW w:w="800" w:type="dxa"/>
            <w:vAlign w:val="bottom"/>
            <w:shd w:val="clear" w:color="auto" w:fill="BFBFBF"/>
          </w:tcPr>
          <w:p>
            <w:pPr>
              <w:jc w:val="right"/>
              <w:ind w:right="139"/>
              <w:spacing w:after="0"/>
              <w:rPr>
                <w:sz w:val="20"/>
                <w:szCs w:val="20"/>
                <w:color w:val="auto"/>
              </w:rPr>
            </w:pPr>
            <w:r>
              <w:rPr>
                <w:rFonts w:ascii="Arial" w:cs="Arial" w:eastAsia="Arial" w:hAnsi="Arial"/>
                <w:sz w:val="16"/>
                <w:szCs w:val="16"/>
                <w:color w:val="auto"/>
              </w:rPr>
              <w:t>32,293</w:t>
            </w:r>
          </w:p>
        </w:tc>
        <w:tc>
          <w:tcPr>
            <w:tcW w:w="260" w:type="dxa"/>
            <w:vAlign w:val="bottom"/>
            <w:shd w:val="clear" w:color="auto" w:fill="BFBFBF"/>
          </w:tcPr>
          <w:p>
            <w:pPr>
              <w:spacing w:after="0"/>
              <w:rPr>
                <w:sz w:val="16"/>
                <w:szCs w:val="16"/>
                <w:color w:val="auto"/>
              </w:rPr>
            </w:pPr>
          </w:p>
        </w:tc>
        <w:tc>
          <w:tcPr>
            <w:tcW w:w="820" w:type="dxa"/>
            <w:vAlign w:val="bottom"/>
            <w:shd w:val="clear" w:color="auto" w:fill="BFBFBF"/>
          </w:tcPr>
          <w:p>
            <w:pPr>
              <w:jc w:val="right"/>
              <w:ind w:right="159"/>
              <w:spacing w:after="0"/>
              <w:rPr>
                <w:sz w:val="20"/>
                <w:szCs w:val="20"/>
                <w:color w:val="auto"/>
              </w:rPr>
            </w:pPr>
            <w:r>
              <w:rPr>
                <w:rFonts w:ascii="Arial" w:cs="Arial" w:eastAsia="Arial" w:hAnsi="Arial"/>
                <w:sz w:val="16"/>
                <w:szCs w:val="16"/>
                <w:color w:val="auto"/>
              </w:rPr>
              <w:t>32,247</w:t>
            </w:r>
          </w:p>
        </w:tc>
      </w:tr>
      <w:tr>
        <w:trPr>
          <w:trHeight w:val="189"/>
        </w:trPr>
        <w:tc>
          <w:tcPr>
            <w:tcW w:w="36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32,317</w:t>
            </w:r>
          </w:p>
        </w:tc>
        <w:tc>
          <w:tcPr>
            <w:tcW w:w="320" w:type="dxa"/>
            <w:vAlign w:val="bottom"/>
          </w:tcPr>
          <w:p>
            <w:pPr>
              <w:spacing w:after="0"/>
              <w:rPr>
                <w:sz w:val="16"/>
                <w:szCs w:val="16"/>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32,280</w:t>
            </w:r>
          </w:p>
        </w:tc>
        <w:tc>
          <w:tcPr>
            <w:tcW w:w="7160" w:type="dxa"/>
            <w:vAlign w:val="bottom"/>
          </w:tcPr>
          <w:p>
            <w:pPr>
              <w:ind w:left="10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16"/>
                <w:szCs w:val="16"/>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32,305</w:t>
            </w:r>
          </w:p>
        </w:tc>
        <w:tc>
          <w:tcPr>
            <w:tcW w:w="26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32,263</w:t>
            </w:r>
          </w:p>
        </w:tc>
      </w:tr>
      <w:tr>
        <w:trPr>
          <w:trHeight w:val="189"/>
        </w:trPr>
        <w:tc>
          <w:tcPr>
            <w:tcW w:w="3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BFBFBF"/>
          </w:tcPr>
          <w:p>
            <w:pPr>
              <w:jc w:val="right"/>
              <w:ind w:right="119"/>
              <w:spacing w:after="0"/>
              <w:rPr>
                <w:sz w:val="20"/>
                <w:szCs w:val="20"/>
                <w:color w:val="auto"/>
              </w:rPr>
            </w:pPr>
            <w:r>
              <w:rPr>
                <w:rFonts w:ascii="Arial" w:cs="Arial" w:eastAsia="Arial" w:hAnsi="Arial"/>
                <w:sz w:val="16"/>
                <w:szCs w:val="16"/>
                <w:color w:val="auto"/>
              </w:rPr>
              <w:t>0.18</w:t>
            </w:r>
          </w:p>
        </w:tc>
        <w:tc>
          <w:tcPr>
            <w:tcW w:w="3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BFBFBF"/>
            </w:tcBorders>
            <w:shd w:val="clear" w:color="auto" w:fill="BFBFBF"/>
          </w:tcPr>
          <w:p>
            <w:pPr>
              <w:jc w:val="right"/>
              <w:ind w:right="79"/>
              <w:spacing w:after="0"/>
              <w:rPr>
                <w:sz w:val="20"/>
                <w:szCs w:val="20"/>
                <w:color w:val="auto"/>
              </w:rPr>
            </w:pPr>
            <w:r>
              <w:rPr>
                <w:rFonts w:ascii="Arial" w:cs="Arial" w:eastAsia="Arial" w:hAnsi="Arial"/>
                <w:sz w:val="16"/>
                <w:szCs w:val="16"/>
                <w:color w:val="auto"/>
              </w:rPr>
              <w:t>0.17</w:t>
            </w:r>
          </w:p>
        </w:tc>
        <w:tc>
          <w:tcPr>
            <w:tcW w:w="7160" w:type="dxa"/>
            <w:vAlign w:val="bottom"/>
            <w:shd w:val="clear" w:color="auto" w:fill="BFBFBF"/>
          </w:tcPr>
          <w:p>
            <w:pPr>
              <w:spacing w:after="0"/>
              <w:rPr>
                <w:sz w:val="20"/>
                <w:szCs w:val="20"/>
                <w:color w:val="auto"/>
              </w:rPr>
            </w:pPr>
            <w:r>
              <w:rPr>
                <w:rFonts w:ascii="Arial" w:cs="Arial" w:eastAsia="Arial" w:hAnsi="Arial"/>
                <w:sz w:val="16"/>
                <w:szCs w:val="16"/>
                <w:color w:val="auto"/>
              </w:rPr>
              <w:t>Dividends declared per share, Class A and Class B</w:t>
            </w:r>
          </w:p>
        </w:tc>
        <w:tc>
          <w:tcPr>
            <w:tcW w:w="2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BFBFBF"/>
          </w:tcPr>
          <w:p>
            <w:pPr>
              <w:jc w:val="right"/>
              <w:ind w:right="139"/>
              <w:spacing w:after="0"/>
              <w:rPr>
                <w:sz w:val="20"/>
                <w:szCs w:val="20"/>
                <w:color w:val="auto"/>
              </w:rPr>
            </w:pPr>
            <w:r>
              <w:rPr>
                <w:rFonts w:ascii="Arial" w:cs="Arial" w:eastAsia="Arial" w:hAnsi="Arial"/>
                <w:sz w:val="16"/>
                <w:szCs w:val="16"/>
                <w:color w:val="auto"/>
              </w:rPr>
              <w:t>0.54</w:t>
            </w:r>
          </w:p>
        </w:tc>
        <w:tc>
          <w:tcPr>
            <w:tcW w:w="2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BFBFBF"/>
          </w:tcPr>
          <w:p>
            <w:pPr>
              <w:jc w:val="right"/>
              <w:ind w:right="139"/>
              <w:spacing w:after="0"/>
              <w:rPr>
                <w:sz w:val="20"/>
                <w:szCs w:val="20"/>
                <w:color w:val="auto"/>
              </w:rPr>
            </w:pPr>
            <w:r>
              <w:rPr>
                <w:rFonts w:ascii="Arial" w:cs="Arial" w:eastAsia="Arial" w:hAnsi="Arial"/>
                <w:sz w:val="16"/>
                <w:szCs w:val="16"/>
                <w:color w:val="auto"/>
              </w:rPr>
              <w:t>0.51</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INCOME/(LOSS)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269" w:right="239" w:bottom="1440" w:gutter="0" w:footer="0" w:header="0"/>
        </w:sectPr>
      </w:pPr>
    </w:p>
    <w:p>
      <w:pPr>
        <w:spacing w:after="0" w:line="145"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3379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ind w:left="400"/>
        <w:spacing w:after="0"/>
        <w:tabs>
          <w:tab w:leader="none" w:pos="14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-1905</wp:posOffset>
            </wp:positionV>
            <wp:extent cx="13550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tabs>
          <w:tab w:leader="none" w:pos="10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1" w:lineRule="exact"/>
        <w:rPr>
          <w:sz w:val="20"/>
          <w:szCs w:val="20"/>
          <w:color w:val="auto"/>
        </w:rPr>
      </w:pPr>
    </w:p>
    <w:p>
      <w:pPr>
        <w:sectPr>
          <w:pgSz w:w="11900" w:h="16838" w:orient="portrait"/>
          <w:cols w:equalWidth="0" w:num="2">
            <w:col w:w="8900" w:space="720"/>
            <w:col w:w="1800"/>
          </w:cols>
          <w:pgMar w:left="240" w:top="269" w:right="2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1120" w:type="dxa"/>
            <w:vAlign w:val="bottom"/>
            <w:tcBorders>
              <w:top w:val="single" w:sz="8" w:color="auto"/>
            </w:tcBorders>
            <w:shd w:val="clear" w:color="auto" w:fill="BFBFBF"/>
          </w:tcPr>
          <w:p>
            <w:pPr>
              <w:spacing w:after="0"/>
              <w:rPr>
                <w:sz w:val="13"/>
                <w:szCs w:val="13"/>
                <w:color w:val="auto"/>
              </w:rPr>
            </w:pPr>
          </w:p>
        </w:tc>
        <w:tc>
          <w:tcPr>
            <w:tcW w:w="920" w:type="dxa"/>
            <w:vAlign w:val="bottom"/>
            <w:tcBorders>
              <w:top w:val="single" w:sz="8" w:color="auto"/>
            </w:tcBorders>
            <w:shd w:val="clear" w:color="auto" w:fill="BFBFBF"/>
          </w:tcPr>
          <w:p>
            <w:pPr>
              <w:spacing w:after="0"/>
              <w:rPr>
                <w:sz w:val="13"/>
                <w:szCs w:val="13"/>
                <w:color w:val="auto"/>
              </w:rPr>
            </w:pPr>
          </w:p>
        </w:tc>
        <w:tc>
          <w:tcPr>
            <w:tcW w:w="80" w:type="dxa"/>
            <w:vAlign w:val="bottom"/>
            <w:tcBorders>
              <w:top w:val="single" w:sz="8" w:color="auto"/>
            </w:tcBorders>
            <w:shd w:val="clear" w:color="auto" w:fill="BFBFBF"/>
          </w:tcPr>
          <w:p>
            <w:pPr>
              <w:spacing w:after="0"/>
              <w:rPr>
                <w:sz w:val="13"/>
                <w:szCs w:val="13"/>
                <w:color w:val="auto"/>
              </w:rPr>
            </w:pPr>
          </w:p>
        </w:tc>
        <w:tc>
          <w:tcPr>
            <w:tcW w:w="7160" w:type="dxa"/>
            <w:vAlign w:val="bottom"/>
            <w:tcBorders>
              <w:top w:val="single" w:sz="8" w:color="BFBFBF"/>
            </w:tcBorders>
            <w:shd w:val="clear" w:color="auto" w:fill="BFBFBF"/>
          </w:tcPr>
          <w:p>
            <w:pPr>
              <w:spacing w:after="0"/>
              <w:rPr>
                <w:sz w:val="13"/>
                <w:szCs w:val="13"/>
                <w:color w:val="auto"/>
              </w:rPr>
            </w:pPr>
          </w:p>
        </w:tc>
        <w:tc>
          <w:tcPr>
            <w:tcW w:w="1080" w:type="dxa"/>
            <w:vAlign w:val="bottom"/>
            <w:tcBorders>
              <w:top w:val="single" w:sz="8" w:color="auto"/>
            </w:tcBorders>
            <w:shd w:val="clear" w:color="auto" w:fill="BFBFBF"/>
          </w:tcPr>
          <w:p>
            <w:pPr>
              <w:spacing w:after="0"/>
              <w:rPr>
                <w:sz w:val="13"/>
                <w:szCs w:val="13"/>
                <w:color w:val="auto"/>
              </w:rPr>
            </w:pPr>
          </w:p>
        </w:tc>
        <w:tc>
          <w:tcPr>
            <w:tcW w:w="1060" w:type="dxa"/>
            <w:vAlign w:val="bottom"/>
            <w:tcBorders>
              <w:top w:val="single" w:sz="8" w:color="auto"/>
            </w:tcBorders>
            <w:shd w:val="clear" w:color="auto" w:fill="BFBFBF"/>
          </w:tcPr>
          <w:p>
            <w:pPr>
              <w:spacing w:after="0"/>
              <w:rPr>
                <w:sz w:val="13"/>
                <w:szCs w:val="13"/>
                <w:color w:val="auto"/>
              </w:rPr>
            </w:pPr>
          </w:p>
        </w:tc>
      </w:tr>
      <w:tr>
        <w:trPr>
          <w:trHeight w:val="189"/>
        </w:trPr>
        <w:tc>
          <w:tcPr>
            <w:tcW w:w="1120" w:type="dxa"/>
            <w:vAlign w:val="bottom"/>
          </w:tcPr>
          <w:p>
            <w:pPr>
              <w:jc w:val="right"/>
              <w:ind w:right="159"/>
              <w:spacing w:after="0"/>
              <w:rPr>
                <w:sz w:val="20"/>
                <w:szCs w:val="20"/>
                <w:color w:val="auto"/>
              </w:rPr>
            </w:pPr>
            <w:r>
              <w:rPr>
                <w:rFonts w:ascii="Arial" w:cs="Arial" w:eastAsia="Arial" w:hAnsi="Arial"/>
                <w:sz w:val="16"/>
                <w:szCs w:val="16"/>
                <w:color w:val="auto"/>
              </w:rPr>
              <w:t>$ 40,125</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$28,005</w:t>
            </w:r>
          </w:p>
        </w:tc>
        <w:tc>
          <w:tcPr>
            <w:tcW w:w="7240" w:type="dxa"/>
            <w:vAlign w:val="bottom"/>
            <w:gridSpan w:val="2"/>
          </w:tcPr>
          <w:p>
            <w:pPr>
              <w:ind w:left="80"/>
              <w:spacing w:after="0"/>
              <w:rPr>
                <w:sz w:val="20"/>
                <w:szCs w:val="20"/>
                <w:color w:val="auto"/>
              </w:rPr>
            </w:pPr>
            <w:r>
              <w:rPr>
                <w:rFonts w:ascii="Arial" w:cs="Arial" w:eastAsia="Arial" w:hAnsi="Arial"/>
                <w:sz w:val="16"/>
                <w:szCs w:val="16"/>
                <w:color w:val="auto"/>
              </w:rPr>
              <w:t>Net income</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$103,792</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$ 65,747</w:t>
            </w:r>
          </w:p>
        </w:tc>
      </w:tr>
      <w:tr>
        <w:trPr>
          <w:trHeight w:val="162"/>
        </w:trPr>
        <w:tc>
          <w:tcPr>
            <w:tcW w:w="1120" w:type="dxa"/>
            <w:vAlign w:val="bottom"/>
            <w:shd w:val="clear" w:color="auto" w:fill="BFBFBF"/>
          </w:tcPr>
          <w:p>
            <w:pPr>
              <w:spacing w:after="0"/>
              <w:rPr>
                <w:sz w:val="14"/>
                <w:szCs w:val="14"/>
                <w:color w:val="auto"/>
              </w:rPr>
            </w:pPr>
          </w:p>
        </w:tc>
        <w:tc>
          <w:tcPr>
            <w:tcW w:w="920" w:type="dxa"/>
            <w:vAlign w:val="bottom"/>
            <w:shd w:val="clear" w:color="auto" w:fill="BFBFBF"/>
          </w:tcPr>
          <w:p>
            <w:pPr>
              <w:spacing w:after="0"/>
              <w:rPr>
                <w:sz w:val="14"/>
                <w:szCs w:val="14"/>
                <w:color w:val="auto"/>
              </w:rPr>
            </w:pPr>
          </w:p>
        </w:tc>
        <w:tc>
          <w:tcPr>
            <w:tcW w:w="80" w:type="dxa"/>
            <w:vAlign w:val="bottom"/>
            <w:shd w:val="clear" w:color="auto" w:fill="BFBFBF"/>
          </w:tcPr>
          <w:p>
            <w:pPr>
              <w:spacing w:after="0"/>
              <w:rPr>
                <w:sz w:val="14"/>
                <w:szCs w:val="14"/>
                <w:color w:val="auto"/>
              </w:rPr>
            </w:pPr>
          </w:p>
        </w:tc>
        <w:tc>
          <w:tcPr>
            <w:tcW w:w="7160" w:type="dxa"/>
            <w:vAlign w:val="bottom"/>
            <w:shd w:val="clear" w:color="auto" w:fill="BFBFBF"/>
          </w:tcPr>
          <w:p>
            <w:pPr>
              <w:spacing w:after="0"/>
              <w:rPr>
                <w:sz w:val="14"/>
                <w:szCs w:val="14"/>
                <w:color w:val="auto"/>
              </w:rPr>
            </w:pPr>
          </w:p>
        </w:tc>
        <w:tc>
          <w:tcPr>
            <w:tcW w:w="1080" w:type="dxa"/>
            <w:vAlign w:val="bottom"/>
            <w:shd w:val="clear" w:color="auto" w:fill="BFBFBF"/>
          </w:tcPr>
          <w:p>
            <w:pPr>
              <w:spacing w:after="0"/>
              <w:rPr>
                <w:sz w:val="14"/>
                <w:szCs w:val="14"/>
                <w:color w:val="auto"/>
              </w:rPr>
            </w:pPr>
          </w:p>
        </w:tc>
        <w:tc>
          <w:tcPr>
            <w:tcW w:w="1060" w:type="dxa"/>
            <w:vAlign w:val="bottom"/>
            <w:shd w:val="clear" w:color="auto" w:fill="BFBFBF"/>
          </w:tcPr>
          <w:p>
            <w:pPr>
              <w:spacing w:after="0"/>
              <w:rPr>
                <w:sz w:val="14"/>
                <w:szCs w:val="14"/>
                <w:color w:val="auto"/>
              </w:rPr>
            </w:pPr>
          </w:p>
        </w:tc>
      </w:tr>
      <w:tr>
        <w:trPr>
          <w:trHeight w:val="189"/>
        </w:trPr>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40" w:type="dxa"/>
            <w:vAlign w:val="bottom"/>
            <w:gridSpan w:val="2"/>
          </w:tcPr>
          <w:p>
            <w:pPr>
              <w:ind w:left="80"/>
              <w:spacing w:after="0"/>
              <w:rPr>
                <w:sz w:val="20"/>
                <w:szCs w:val="20"/>
                <w:color w:val="auto"/>
              </w:rPr>
            </w:pPr>
            <w:r>
              <w:rPr>
                <w:rFonts w:ascii="Arial" w:cs="Arial" w:eastAsia="Arial" w:hAnsi="Arial"/>
                <w:sz w:val="16"/>
                <w:szCs w:val="16"/>
                <w:color w:val="auto"/>
              </w:rPr>
              <w:t>Other comprehensive income/(loss), before tax:</w:t>
            </w: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1120" w:type="dxa"/>
            <w:vAlign w:val="bottom"/>
            <w:shd w:val="clear" w:color="auto" w:fill="BFBFBF"/>
          </w:tcPr>
          <w:p>
            <w:pPr>
              <w:jc w:val="right"/>
              <w:ind w:right="119"/>
              <w:spacing w:after="0"/>
              <w:rPr>
                <w:sz w:val="20"/>
                <w:szCs w:val="20"/>
                <w:color w:val="auto"/>
              </w:rPr>
            </w:pPr>
            <w:r>
              <w:rPr>
                <w:rFonts w:ascii="Arial" w:cs="Arial" w:eastAsia="Arial" w:hAnsi="Arial"/>
                <w:sz w:val="16"/>
                <w:szCs w:val="16"/>
                <w:color w:val="auto"/>
              </w:rPr>
              <w:t>(22,041)</w:t>
            </w:r>
          </w:p>
        </w:tc>
        <w:tc>
          <w:tcPr>
            <w:tcW w:w="9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(7,847)</w:t>
            </w:r>
          </w:p>
        </w:tc>
        <w:tc>
          <w:tcPr>
            <w:tcW w:w="80" w:type="dxa"/>
            <w:vAlign w:val="bottom"/>
            <w:shd w:val="clear" w:color="auto" w:fill="BFBFBF"/>
          </w:tcPr>
          <w:p>
            <w:pPr>
              <w:spacing w:after="0"/>
              <w:rPr>
                <w:sz w:val="16"/>
                <w:szCs w:val="16"/>
                <w:color w:val="auto"/>
              </w:rPr>
            </w:pPr>
          </w:p>
        </w:tc>
        <w:tc>
          <w:tcPr>
            <w:tcW w:w="7160" w:type="dxa"/>
            <w:vAlign w:val="bottom"/>
            <w:shd w:val="clear" w:color="auto" w:fill="BFBFBF"/>
          </w:tcPr>
          <w:p>
            <w:pPr>
              <w:ind w:left="220"/>
              <w:spacing w:after="0"/>
              <w:rPr>
                <w:sz w:val="20"/>
                <w:szCs w:val="20"/>
                <w:color w:val="auto"/>
              </w:rPr>
            </w:pPr>
            <w:r>
              <w:rPr>
                <w:rFonts w:ascii="Arial" w:cs="Arial" w:eastAsia="Arial" w:hAnsi="Arial"/>
                <w:sz w:val="16"/>
                <w:szCs w:val="16"/>
                <w:color w:val="auto"/>
              </w:rPr>
              <w:t>Foreign currency translation and other adjustments</w:t>
            </w:r>
          </w:p>
        </w:tc>
        <w:tc>
          <w:tcPr>
            <w:tcW w:w="1080" w:type="dxa"/>
            <w:vAlign w:val="bottom"/>
            <w:shd w:val="clear" w:color="auto" w:fill="BFBFBF"/>
          </w:tcPr>
          <w:p>
            <w:pPr>
              <w:jc w:val="right"/>
              <w:ind w:right="99"/>
              <w:spacing w:after="0"/>
              <w:rPr>
                <w:sz w:val="20"/>
                <w:szCs w:val="20"/>
                <w:color w:val="auto"/>
              </w:rPr>
            </w:pPr>
            <w:r>
              <w:rPr>
                <w:rFonts w:ascii="Arial" w:cs="Arial" w:eastAsia="Arial" w:hAnsi="Arial"/>
                <w:sz w:val="16"/>
                <w:szCs w:val="16"/>
                <w:color w:val="auto"/>
              </w:rPr>
              <w:t>(24,243)</w:t>
            </w:r>
          </w:p>
        </w:tc>
        <w:tc>
          <w:tcPr>
            <w:tcW w:w="1060" w:type="dxa"/>
            <w:vAlign w:val="bottom"/>
            <w:shd w:val="clear" w:color="auto" w:fill="BFBFBF"/>
          </w:tcPr>
          <w:p>
            <w:pPr>
              <w:jc w:val="right"/>
              <w:ind w:right="119"/>
              <w:spacing w:after="0"/>
              <w:rPr>
                <w:sz w:val="20"/>
                <w:szCs w:val="20"/>
                <w:color w:val="auto"/>
              </w:rPr>
            </w:pPr>
            <w:r>
              <w:rPr>
                <w:rFonts w:ascii="Arial" w:cs="Arial" w:eastAsia="Arial" w:hAnsi="Arial"/>
                <w:sz w:val="16"/>
                <w:szCs w:val="16"/>
                <w:color w:val="auto"/>
              </w:rPr>
              <w:t>(21,193)</w:t>
            </w:r>
          </w:p>
        </w:tc>
      </w:tr>
      <w:tr>
        <w:trPr>
          <w:trHeight w:val="189"/>
        </w:trPr>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(232)</w:t>
            </w:r>
          </w:p>
        </w:tc>
        <w:tc>
          <w:tcPr>
            <w:tcW w:w="7240" w:type="dxa"/>
            <w:vAlign w:val="bottom"/>
            <w:gridSpan w:val="2"/>
          </w:tcPr>
          <w:p>
            <w:pPr>
              <w:ind w:left="80"/>
              <w:spacing w:after="0"/>
              <w:rPr>
                <w:sz w:val="20"/>
                <w:szCs w:val="20"/>
                <w:color w:val="auto"/>
              </w:rPr>
            </w:pPr>
            <w:r>
              <w:rPr>
                <w:rFonts w:ascii="Arial" w:cs="Arial" w:eastAsia="Arial" w:hAnsi="Arial"/>
                <w:sz w:val="16"/>
                <w:szCs w:val="16"/>
                <w:color w:val="auto"/>
              </w:rPr>
              <w:t>Pension/postretirement curtailment gain</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(750)</w:t>
            </w:r>
          </w:p>
        </w:tc>
      </w:tr>
      <w:tr>
        <w:trPr>
          <w:trHeight w:val="189"/>
        </w:trPr>
        <w:tc>
          <w:tcPr>
            <w:tcW w:w="1120" w:type="dxa"/>
            <w:vAlign w:val="bottom"/>
            <w:shd w:val="clear" w:color="auto" w:fill="BFBFBF"/>
          </w:tcPr>
          <w:p>
            <w:pPr>
              <w:spacing w:after="0"/>
              <w:rPr>
                <w:sz w:val="16"/>
                <w:szCs w:val="16"/>
                <w:color w:val="auto"/>
              </w:rPr>
            </w:pPr>
          </w:p>
        </w:tc>
        <w:tc>
          <w:tcPr>
            <w:tcW w:w="920" w:type="dxa"/>
            <w:vAlign w:val="bottom"/>
            <w:shd w:val="clear" w:color="auto" w:fill="BFBFBF"/>
          </w:tcPr>
          <w:p>
            <w:pPr>
              <w:spacing w:after="0"/>
              <w:rPr>
                <w:sz w:val="16"/>
                <w:szCs w:val="16"/>
                <w:color w:val="auto"/>
              </w:rPr>
            </w:pPr>
          </w:p>
        </w:tc>
        <w:tc>
          <w:tcPr>
            <w:tcW w:w="7240" w:type="dxa"/>
            <w:vAlign w:val="bottom"/>
            <w:gridSpan w:val="2"/>
            <w:shd w:val="clear" w:color="auto" w:fill="BFBFBF"/>
          </w:tcPr>
          <w:p>
            <w:pPr>
              <w:ind w:left="80"/>
              <w:spacing w:after="0"/>
              <w:rPr>
                <w:sz w:val="20"/>
                <w:szCs w:val="20"/>
                <w:color w:val="auto"/>
              </w:rPr>
            </w:pPr>
            <w:r>
              <w:rPr>
                <w:rFonts w:ascii="Arial" w:cs="Arial" w:eastAsia="Arial" w:hAnsi="Arial"/>
                <w:sz w:val="16"/>
                <w:szCs w:val="16"/>
                <w:color w:val="auto"/>
              </w:rPr>
              <w:t>Amortization of pension liability adjustments:</w:t>
            </w:r>
          </w:p>
        </w:tc>
        <w:tc>
          <w:tcPr>
            <w:tcW w:w="1080" w:type="dxa"/>
            <w:vAlign w:val="bottom"/>
            <w:shd w:val="clear" w:color="auto" w:fill="BFBFBF"/>
          </w:tcPr>
          <w:p>
            <w:pPr>
              <w:spacing w:after="0"/>
              <w:rPr>
                <w:sz w:val="16"/>
                <w:szCs w:val="16"/>
                <w:color w:val="auto"/>
              </w:rPr>
            </w:pPr>
          </w:p>
        </w:tc>
        <w:tc>
          <w:tcPr>
            <w:tcW w:w="1060" w:type="dxa"/>
            <w:vAlign w:val="bottom"/>
            <w:shd w:val="clear" w:color="auto" w:fill="BFBFBF"/>
          </w:tcPr>
          <w:p>
            <w:pPr>
              <w:spacing w:after="0"/>
              <w:rPr>
                <w:sz w:val="16"/>
                <w:szCs w:val="16"/>
                <w:color w:val="auto"/>
              </w:rPr>
            </w:pPr>
          </w:p>
        </w:tc>
      </w:tr>
      <w:tr>
        <w:trPr>
          <w:trHeight w:val="189"/>
        </w:trPr>
        <w:tc>
          <w:tcPr>
            <w:tcW w:w="1120" w:type="dxa"/>
            <w:vAlign w:val="bottom"/>
          </w:tcPr>
          <w:p>
            <w:pPr>
              <w:jc w:val="right"/>
              <w:ind w:right="119"/>
              <w:spacing w:after="0"/>
              <w:rPr>
                <w:sz w:val="20"/>
                <w:szCs w:val="20"/>
                <w:color w:val="auto"/>
              </w:rPr>
            </w:pPr>
            <w:r>
              <w:rPr>
                <w:rFonts w:ascii="Arial" w:cs="Arial" w:eastAsia="Arial" w:hAnsi="Arial"/>
                <w:sz w:val="16"/>
                <w:szCs w:val="16"/>
                <w:color w:val="auto"/>
              </w:rPr>
              <w:t>(1,105)</w:t>
            </w:r>
          </w:p>
        </w:tc>
        <w:tc>
          <w:tcPr>
            <w:tcW w:w="920" w:type="dxa"/>
            <w:vAlign w:val="bottom"/>
          </w:tcPr>
          <w:p>
            <w:pPr>
              <w:jc w:val="right"/>
              <w:spacing w:after="0"/>
              <w:rPr>
                <w:sz w:val="20"/>
                <w:szCs w:val="20"/>
                <w:color w:val="auto"/>
              </w:rPr>
            </w:pPr>
            <w:r>
              <w:rPr>
                <w:rFonts w:ascii="Arial" w:cs="Arial" w:eastAsia="Arial" w:hAnsi="Arial"/>
                <w:sz w:val="16"/>
                <w:szCs w:val="16"/>
                <w:color w:val="auto"/>
              </w:rPr>
              <w:t>(1,114)</w:t>
            </w:r>
          </w:p>
        </w:tc>
        <w:tc>
          <w:tcPr>
            <w:tcW w:w="80" w:type="dxa"/>
            <w:vAlign w:val="bottom"/>
          </w:tcPr>
          <w:p>
            <w:pPr>
              <w:spacing w:after="0"/>
              <w:rPr>
                <w:sz w:val="16"/>
                <w:szCs w:val="16"/>
                <w:color w:val="auto"/>
              </w:rPr>
            </w:pPr>
          </w:p>
        </w:tc>
        <w:tc>
          <w:tcPr>
            <w:tcW w:w="7160" w:type="dxa"/>
            <w:vAlign w:val="bottom"/>
          </w:tcPr>
          <w:p>
            <w:pPr>
              <w:ind w:left="320"/>
              <w:spacing w:after="0"/>
              <w:rPr>
                <w:sz w:val="20"/>
                <w:szCs w:val="20"/>
                <w:color w:val="auto"/>
              </w:rPr>
            </w:pPr>
            <w:r>
              <w:rPr>
                <w:rFonts w:ascii="Arial" w:cs="Arial" w:eastAsia="Arial" w:hAnsi="Arial"/>
                <w:sz w:val="16"/>
                <w:szCs w:val="16"/>
                <w:color w:val="auto"/>
              </w:rPr>
              <w:t>Prior service credit</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(3,315)</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(3,341)</w:t>
            </w:r>
          </w:p>
        </w:tc>
      </w:tr>
      <w:tr>
        <w:trPr>
          <w:trHeight w:val="189"/>
        </w:trPr>
        <w:tc>
          <w:tcPr>
            <w:tcW w:w="1120" w:type="dxa"/>
            <w:vAlign w:val="bottom"/>
            <w:shd w:val="clear" w:color="auto" w:fill="BFBFBF"/>
          </w:tcPr>
          <w:p>
            <w:pPr>
              <w:jc w:val="right"/>
              <w:ind w:right="139"/>
              <w:spacing w:after="0"/>
              <w:rPr>
                <w:sz w:val="20"/>
                <w:szCs w:val="20"/>
                <w:color w:val="auto"/>
              </w:rPr>
            </w:pPr>
            <w:r>
              <w:rPr>
                <w:rFonts w:ascii="Arial" w:cs="Arial" w:eastAsia="Arial" w:hAnsi="Arial"/>
                <w:sz w:val="16"/>
                <w:szCs w:val="16"/>
                <w:color w:val="auto"/>
              </w:rPr>
              <w:t>1,118</w:t>
            </w:r>
          </w:p>
        </w:tc>
        <w:tc>
          <w:tcPr>
            <w:tcW w:w="920" w:type="dxa"/>
            <w:vAlign w:val="bottom"/>
            <w:shd w:val="clear" w:color="auto" w:fill="BFBFBF"/>
          </w:tcPr>
          <w:p>
            <w:pPr>
              <w:jc w:val="right"/>
              <w:ind w:right="39"/>
              <w:spacing w:after="0"/>
              <w:rPr>
                <w:sz w:val="20"/>
                <w:szCs w:val="20"/>
                <w:color w:val="auto"/>
              </w:rPr>
            </w:pPr>
            <w:r>
              <w:rPr>
                <w:rFonts w:ascii="Arial" w:cs="Arial" w:eastAsia="Arial" w:hAnsi="Arial"/>
                <w:sz w:val="16"/>
                <w:szCs w:val="16"/>
                <w:color w:val="auto"/>
              </w:rPr>
              <w:t>1,294</w:t>
            </w:r>
          </w:p>
        </w:tc>
        <w:tc>
          <w:tcPr>
            <w:tcW w:w="80" w:type="dxa"/>
            <w:vAlign w:val="bottom"/>
            <w:shd w:val="clear" w:color="auto" w:fill="BFBFBF"/>
          </w:tcPr>
          <w:p>
            <w:pPr>
              <w:spacing w:after="0"/>
              <w:rPr>
                <w:sz w:val="16"/>
                <w:szCs w:val="16"/>
                <w:color w:val="auto"/>
              </w:rPr>
            </w:pPr>
          </w:p>
        </w:tc>
        <w:tc>
          <w:tcPr>
            <w:tcW w:w="7160" w:type="dxa"/>
            <w:vAlign w:val="bottom"/>
            <w:shd w:val="clear" w:color="auto" w:fill="BFBFBF"/>
          </w:tcPr>
          <w:p>
            <w:pPr>
              <w:ind w:left="320"/>
              <w:spacing w:after="0"/>
              <w:rPr>
                <w:sz w:val="20"/>
                <w:szCs w:val="20"/>
                <w:color w:val="auto"/>
              </w:rPr>
            </w:pPr>
            <w:r>
              <w:rPr>
                <w:rFonts w:ascii="Arial" w:cs="Arial" w:eastAsia="Arial" w:hAnsi="Arial"/>
                <w:sz w:val="16"/>
                <w:szCs w:val="16"/>
                <w:color w:val="auto"/>
              </w:rPr>
              <w:t>Net actuarial loss</w:t>
            </w:r>
          </w:p>
        </w:tc>
        <w:tc>
          <w:tcPr>
            <w:tcW w:w="1080" w:type="dxa"/>
            <w:vAlign w:val="bottom"/>
            <w:shd w:val="clear" w:color="auto" w:fill="BFBFBF"/>
          </w:tcPr>
          <w:p>
            <w:pPr>
              <w:jc w:val="right"/>
              <w:ind w:right="159"/>
              <w:spacing w:after="0"/>
              <w:rPr>
                <w:sz w:val="20"/>
                <w:szCs w:val="20"/>
                <w:color w:val="auto"/>
              </w:rPr>
            </w:pPr>
            <w:r>
              <w:rPr>
                <w:rFonts w:ascii="Arial" w:cs="Arial" w:eastAsia="Arial" w:hAnsi="Arial"/>
                <w:sz w:val="16"/>
                <w:szCs w:val="16"/>
                <w:color w:val="auto"/>
              </w:rPr>
              <w:t>3,357</w:t>
            </w:r>
          </w:p>
        </w:tc>
        <w:tc>
          <w:tcPr>
            <w:tcW w:w="1060" w:type="dxa"/>
            <w:vAlign w:val="bottom"/>
            <w:shd w:val="clear" w:color="auto" w:fill="BFBFBF"/>
          </w:tcPr>
          <w:p>
            <w:pPr>
              <w:jc w:val="right"/>
              <w:ind w:right="159"/>
              <w:spacing w:after="0"/>
              <w:rPr>
                <w:sz w:val="20"/>
                <w:szCs w:val="20"/>
                <w:color w:val="auto"/>
              </w:rPr>
            </w:pPr>
            <w:r>
              <w:rPr>
                <w:rFonts w:ascii="Arial" w:cs="Arial" w:eastAsia="Arial" w:hAnsi="Arial"/>
                <w:sz w:val="16"/>
                <w:szCs w:val="16"/>
                <w:color w:val="auto"/>
              </w:rPr>
              <w:t>3,882</w:t>
            </w:r>
          </w:p>
        </w:tc>
      </w:tr>
      <w:tr>
        <w:trPr>
          <w:trHeight w:val="189"/>
        </w:trPr>
        <w:tc>
          <w:tcPr>
            <w:tcW w:w="1120" w:type="dxa"/>
            <w:vAlign w:val="bottom"/>
          </w:tcPr>
          <w:p>
            <w:pPr>
              <w:jc w:val="right"/>
              <w:ind w:right="119"/>
              <w:spacing w:after="0"/>
              <w:rPr>
                <w:sz w:val="20"/>
                <w:szCs w:val="20"/>
                <w:color w:val="auto"/>
              </w:rPr>
            </w:pPr>
            <w:r>
              <w:rPr>
                <w:rFonts w:ascii="Arial" w:cs="Arial" w:eastAsia="Arial" w:hAnsi="Arial"/>
                <w:sz w:val="16"/>
                <w:szCs w:val="16"/>
                <w:color w:val="auto"/>
              </w:rPr>
              <w:t>(245)</w:t>
            </w:r>
          </w:p>
        </w:tc>
        <w:tc>
          <w:tcPr>
            <w:tcW w:w="920" w:type="dxa"/>
            <w:vAlign w:val="bottom"/>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6"/>
                <w:szCs w:val="16"/>
                <w:color w:val="auto"/>
              </w:rPr>
            </w:pPr>
          </w:p>
        </w:tc>
        <w:tc>
          <w:tcPr>
            <w:tcW w:w="7160" w:type="dxa"/>
            <w:vAlign w:val="bottom"/>
          </w:tcPr>
          <w:p>
            <w:pPr>
              <w:ind w:left="22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(1,117)</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138</w:t>
            </w:r>
          </w:p>
        </w:tc>
      </w:tr>
      <w:tr>
        <w:trPr>
          <w:trHeight w:val="189"/>
        </w:trPr>
        <w:tc>
          <w:tcPr>
            <w:tcW w:w="1120" w:type="dxa"/>
            <w:vAlign w:val="bottom"/>
            <w:shd w:val="clear" w:color="auto" w:fill="BFBFBF"/>
          </w:tcPr>
          <w:p>
            <w:pPr>
              <w:jc w:val="right"/>
              <w:ind w:right="119"/>
              <w:spacing w:after="0"/>
              <w:rPr>
                <w:sz w:val="20"/>
                <w:szCs w:val="20"/>
                <w:color w:val="auto"/>
              </w:rPr>
            </w:pPr>
            <w:r>
              <w:rPr>
                <w:rFonts w:ascii="Arial" w:cs="Arial" w:eastAsia="Arial" w:hAnsi="Arial"/>
                <w:sz w:val="16"/>
                <w:szCs w:val="16"/>
                <w:color w:val="auto"/>
              </w:rPr>
              <w:t>(1,532)</w:t>
            </w:r>
          </w:p>
        </w:tc>
        <w:tc>
          <w:tcPr>
            <w:tcW w:w="920" w:type="dxa"/>
            <w:vAlign w:val="bottom"/>
            <w:shd w:val="clear" w:color="auto" w:fill="BFBFBF"/>
          </w:tcPr>
          <w:p>
            <w:pPr>
              <w:jc w:val="right"/>
              <w:ind w:right="39"/>
              <w:spacing w:after="0"/>
              <w:rPr>
                <w:sz w:val="20"/>
                <w:szCs w:val="20"/>
                <w:color w:val="auto"/>
              </w:rPr>
            </w:pPr>
            <w:r>
              <w:rPr>
                <w:rFonts w:ascii="Arial" w:cs="Arial" w:eastAsia="Arial" w:hAnsi="Arial"/>
                <w:sz w:val="16"/>
                <w:szCs w:val="16"/>
                <w:color w:val="auto"/>
              </w:rPr>
              <w:t>1,777</w:t>
            </w:r>
          </w:p>
        </w:tc>
        <w:tc>
          <w:tcPr>
            <w:tcW w:w="80" w:type="dxa"/>
            <w:vAlign w:val="bottom"/>
            <w:shd w:val="clear" w:color="auto" w:fill="BFBFBF"/>
          </w:tcPr>
          <w:p>
            <w:pPr>
              <w:spacing w:after="0"/>
              <w:rPr>
                <w:sz w:val="16"/>
                <w:szCs w:val="16"/>
                <w:color w:val="auto"/>
              </w:rPr>
            </w:pPr>
          </w:p>
        </w:tc>
        <w:tc>
          <w:tcPr>
            <w:tcW w:w="7160" w:type="dxa"/>
            <w:vAlign w:val="bottom"/>
            <w:shd w:val="clear" w:color="auto" w:fill="BFBFBF"/>
          </w:tcPr>
          <w:p>
            <w:pPr>
              <w:ind w:left="220"/>
              <w:spacing w:after="0"/>
              <w:rPr>
                <w:sz w:val="20"/>
                <w:szCs w:val="20"/>
                <w:color w:val="auto"/>
              </w:rPr>
            </w:pPr>
            <w:r>
              <w:rPr>
                <w:rFonts w:ascii="Arial" w:cs="Arial" w:eastAsia="Arial" w:hAnsi="Arial"/>
                <w:sz w:val="16"/>
                <w:szCs w:val="16"/>
                <w:color w:val="auto"/>
              </w:rPr>
              <w:t>Derivative valuation adjustment</w:t>
            </w:r>
          </w:p>
        </w:tc>
        <w:tc>
          <w:tcPr>
            <w:tcW w:w="1080" w:type="dxa"/>
            <w:vAlign w:val="bottom"/>
            <w:shd w:val="clear" w:color="auto" w:fill="BFBFBF"/>
          </w:tcPr>
          <w:p>
            <w:pPr>
              <w:jc w:val="right"/>
              <w:ind w:right="99"/>
              <w:spacing w:after="0"/>
              <w:rPr>
                <w:sz w:val="20"/>
                <w:szCs w:val="20"/>
                <w:color w:val="auto"/>
              </w:rPr>
            </w:pPr>
            <w:r>
              <w:rPr>
                <w:rFonts w:ascii="Arial" w:cs="Arial" w:eastAsia="Arial" w:hAnsi="Arial"/>
                <w:sz w:val="16"/>
                <w:szCs w:val="16"/>
                <w:color w:val="auto"/>
              </w:rPr>
              <w:t>(10,796)</w:t>
            </w:r>
          </w:p>
        </w:tc>
        <w:tc>
          <w:tcPr>
            <w:tcW w:w="1060" w:type="dxa"/>
            <w:vAlign w:val="bottom"/>
            <w:shd w:val="clear" w:color="auto" w:fill="BFBFBF"/>
          </w:tcPr>
          <w:p>
            <w:pPr>
              <w:jc w:val="right"/>
              <w:ind w:right="159"/>
              <w:spacing w:after="0"/>
              <w:rPr>
                <w:sz w:val="20"/>
                <w:szCs w:val="20"/>
                <w:color w:val="auto"/>
              </w:rPr>
            </w:pPr>
            <w:r>
              <w:rPr>
                <w:rFonts w:ascii="Arial" w:cs="Arial" w:eastAsia="Arial" w:hAnsi="Arial"/>
                <w:sz w:val="16"/>
                <w:szCs w:val="16"/>
                <w:color w:val="auto"/>
              </w:rPr>
              <w:t>9,703</w:t>
            </w:r>
          </w:p>
        </w:tc>
      </w:tr>
      <w:tr>
        <w:trPr>
          <w:trHeight w:val="162"/>
        </w:trPr>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9"/>
        </w:trPr>
        <w:tc>
          <w:tcPr>
            <w:tcW w:w="1120" w:type="dxa"/>
            <w:vAlign w:val="bottom"/>
            <w:shd w:val="clear" w:color="auto" w:fill="BFBFBF"/>
          </w:tcPr>
          <w:p>
            <w:pPr>
              <w:spacing w:after="0"/>
              <w:rPr>
                <w:sz w:val="16"/>
                <w:szCs w:val="16"/>
                <w:color w:val="auto"/>
              </w:rPr>
            </w:pPr>
          </w:p>
        </w:tc>
        <w:tc>
          <w:tcPr>
            <w:tcW w:w="920" w:type="dxa"/>
            <w:vAlign w:val="bottom"/>
            <w:shd w:val="clear" w:color="auto" w:fill="BFBFBF"/>
          </w:tcPr>
          <w:p>
            <w:pPr>
              <w:spacing w:after="0"/>
              <w:rPr>
                <w:sz w:val="16"/>
                <w:szCs w:val="16"/>
                <w:color w:val="auto"/>
              </w:rPr>
            </w:pPr>
          </w:p>
        </w:tc>
        <w:tc>
          <w:tcPr>
            <w:tcW w:w="7240" w:type="dxa"/>
            <w:vAlign w:val="bottom"/>
            <w:gridSpan w:val="2"/>
            <w:shd w:val="clear" w:color="auto" w:fill="BFBFBF"/>
          </w:tcPr>
          <w:p>
            <w:pPr>
              <w:ind w:left="80"/>
              <w:spacing w:after="0"/>
              <w:rPr>
                <w:sz w:val="20"/>
                <w:szCs w:val="20"/>
                <w:color w:val="auto"/>
              </w:rPr>
            </w:pPr>
            <w:r>
              <w:rPr>
                <w:rFonts w:ascii="Arial" w:cs="Arial" w:eastAsia="Arial" w:hAnsi="Arial"/>
                <w:sz w:val="16"/>
                <w:szCs w:val="16"/>
                <w:color w:val="auto"/>
              </w:rPr>
              <w:t>Income taxes related to items of other comprehensive income/(loss):</w:t>
            </w:r>
          </w:p>
        </w:tc>
        <w:tc>
          <w:tcPr>
            <w:tcW w:w="1080" w:type="dxa"/>
            <w:vAlign w:val="bottom"/>
            <w:shd w:val="clear" w:color="auto" w:fill="BFBFBF"/>
          </w:tcPr>
          <w:p>
            <w:pPr>
              <w:spacing w:after="0"/>
              <w:rPr>
                <w:sz w:val="16"/>
                <w:szCs w:val="16"/>
                <w:color w:val="auto"/>
              </w:rPr>
            </w:pPr>
          </w:p>
        </w:tc>
        <w:tc>
          <w:tcPr>
            <w:tcW w:w="1060" w:type="dxa"/>
            <w:vAlign w:val="bottom"/>
            <w:shd w:val="clear" w:color="auto" w:fill="BFBFBF"/>
          </w:tcPr>
          <w:p>
            <w:pPr>
              <w:spacing w:after="0"/>
              <w:rPr>
                <w:sz w:val="16"/>
                <w:szCs w:val="16"/>
                <w:color w:val="auto"/>
              </w:rPr>
            </w:pPr>
          </w:p>
        </w:tc>
      </w:tr>
      <w:tr>
        <w:trPr>
          <w:trHeight w:val="189"/>
        </w:trPr>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7240" w:type="dxa"/>
            <w:vAlign w:val="bottom"/>
            <w:gridSpan w:val="2"/>
          </w:tcPr>
          <w:p>
            <w:pPr>
              <w:ind w:left="80"/>
              <w:spacing w:after="0"/>
              <w:rPr>
                <w:sz w:val="20"/>
                <w:szCs w:val="20"/>
                <w:color w:val="auto"/>
              </w:rPr>
            </w:pPr>
            <w:r>
              <w:rPr>
                <w:rFonts w:ascii="Arial" w:cs="Arial" w:eastAsia="Arial" w:hAnsi="Arial"/>
                <w:sz w:val="16"/>
                <w:szCs w:val="16"/>
                <w:color w:val="auto"/>
              </w:rPr>
              <w:t>Pension/postretirement curtailment gain</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225</w:t>
            </w:r>
          </w:p>
        </w:tc>
      </w:tr>
      <w:tr>
        <w:trPr>
          <w:trHeight w:val="189"/>
        </w:trPr>
        <w:tc>
          <w:tcPr>
            <w:tcW w:w="1120" w:type="dxa"/>
            <w:vAlign w:val="bottom"/>
            <w:shd w:val="clear" w:color="auto" w:fill="BFBFBF"/>
          </w:tcPr>
          <w:p>
            <w:pPr>
              <w:jc w:val="right"/>
              <w:ind w:right="119"/>
              <w:spacing w:after="0"/>
              <w:rPr>
                <w:sz w:val="20"/>
                <w:szCs w:val="20"/>
                <w:color w:val="auto"/>
              </w:rPr>
            </w:pPr>
            <w:r>
              <w:rPr>
                <w:rFonts w:ascii="Arial" w:cs="Arial" w:eastAsia="Arial" w:hAnsi="Arial"/>
                <w:sz w:val="16"/>
                <w:szCs w:val="16"/>
                <w:color w:val="auto"/>
              </w:rPr>
              <w:t>(4)</w:t>
            </w:r>
          </w:p>
        </w:tc>
        <w:tc>
          <w:tcPr>
            <w:tcW w:w="9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(54)</w:t>
            </w:r>
          </w:p>
        </w:tc>
        <w:tc>
          <w:tcPr>
            <w:tcW w:w="80" w:type="dxa"/>
            <w:vAlign w:val="bottom"/>
            <w:shd w:val="clear" w:color="auto" w:fill="BFBFBF"/>
          </w:tcPr>
          <w:p>
            <w:pPr>
              <w:spacing w:after="0"/>
              <w:rPr>
                <w:sz w:val="16"/>
                <w:szCs w:val="16"/>
                <w:color w:val="auto"/>
              </w:rPr>
            </w:pPr>
          </w:p>
        </w:tc>
        <w:tc>
          <w:tcPr>
            <w:tcW w:w="7160" w:type="dxa"/>
            <w:vAlign w:val="bottom"/>
            <w:shd w:val="clear" w:color="auto" w:fill="BFBFBF"/>
          </w:tcPr>
          <w:p>
            <w:pPr>
              <w:ind w:left="220"/>
              <w:spacing w:after="0"/>
              <w:rPr>
                <w:sz w:val="20"/>
                <w:szCs w:val="20"/>
                <w:color w:val="auto"/>
              </w:rPr>
            </w:pPr>
            <w:r>
              <w:rPr>
                <w:rFonts w:ascii="Arial" w:cs="Arial" w:eastAsia="Arial" w:hAnsi="Arial"/>
                <w:sz w:val="16"/>
                <w:szCs w:val="16"/>
                <w:color w:val="auto"/>
              </w:rPr>
              <w:t>Amortization of pension liability adjustment</w:t>
            </w:r>
          </w:p>
        </w:tc>
        <w:tc>
          <w:tcPr>
            <w:tcW w:w="1080" w:type="dxa"/>
            <w:vAlign w:val="bottom"/>
            <w:shd w:val="clear" w:color="auto" w:fill="BFBFBF"/>
          </w:tcPr>
          <w:p>
            <w:pPr>
              <w:jc w:val="right"/>
              <w:ind w:right="99"/>
              <w:spacing w:after="0"/>
              <w:rPr>
                <w:sz w:val="20"/>
                <w:szCs w:val="20"/>
                <w:color w:val="auto"/>
              </w:rPr>
            </w:pPr>
            <w:r>
              <w:rPr>
                <w:rFonts w:ascii="Arial" w:cs="Arial" w:eastAsia="Arial" w:hAnsi="Arial"/>
                <w:sz w:val="16"/>
                <w:szCs w:val="16"/>
                <w:color w:val="auto"/>
              </w:rPr>
              <w:t>(13)</w:t>
            </w:r>
          </w:p>
        </w:tc>
        <w:tc>
          <w:tcPr>
            <w:tcW w:w="1060" w:type="dxa"/>
            <w:vAlign w:val="bottom"/>
            <w:shd w:val="clear" w:color="auto" w:fill="BFBFBF"/>
          </w:tcPr>
          <w:p>
            <w:pPr>
              <w:jc w:val="right"/>
              <w:ind w:right="119"/>
              <w:spacing w:after="0"/>
              <w:rPr>
                <w:sz w:val="20"/>
                <w:szCs w:val="20"/>
                <w:color w:val="auto"/>
              </w:rPr>
            </w:pPr>
            <w:r>
              <w:rPr>
                <w:rFonts w:ascii="Arial" w:cs="Arial" w:eastAsia="Arial" w:hAnsi="Arial"/>
                <w:sz w:val="16"/>
                <w:szCs w:val="16"/>
                <w:color w:val="auto"/>
              </w:rPr>
              <w:t>(162)</w:t>
            </w:r>
          </w:p>
        </w:tc>
      </w:tr>
      <w:tr>
        <w:trPr>
          <w:trHeight w:val="189"/>
        </w:trPr>
        <w:tc>
          <w:tcPr>
            <w:tcW w:w="1120" w:type="dxa"/>
            <w:vAlign w:val="bottom"/>
          </w:tcPr>
          <w:p>
            <w:pPr>
              <w:jc w:val="right"/>
              <w:ind w:right="159"/>
              <w:spacing w:after="0"/>
              <w:rPr>
                <w:sz w:val="20"/>
                <w:szCs w:val="20"/>
                <w:color w:val="auto"/>
              </w:rPr>
            </w:pPr>
            <w:r>
              <w:rPr>
                <w:rFonts w:ascii="Arial" w:cs="Arial" w:eastAsia="Arial" w:hAnsi="Arial"/>
                <w:sz w:val="16"/>
                <w:szCs w:val="16"/>
                <w:color w:val="auto"/>
              </w:rPr>
              <w:t>62</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6"/>
                <w:szCs w:val="16"/>
                <w:color w:val="auto"/>
              </w:rPr>
            </w:pPr>
          </w:p>
        </w:tc>
        <w:tc>
          <w:tcPr>
            <w:tcW w:w="7160" w:type="dxa"/>
            <w:vAlign w:val="bottom"/>
          </w:tcPr>
          <w:p>
            <w:pPr>
              <w:ind w:left="22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285</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(33)</w:t>
            </w:r>
          </w:p>
        </w:tc>
      </w:tr>
      <w:tr>
        <w:trPr>
          <w:trHeight w:val="189"/>
        </w:trPr>
        <w:tc>
          <w:tcPr>
            <w:tcW w:w="1120" w:type="dxa"/>
            <w:vAlign w:val="bottom"/>
            <w:tcBorders>
              <w:bottom w:val="single" w:sz="8" w:color="auto"/>
            </w:tcBorders>
            <w:shd w:val="clear" w:color="auto" w:fill="BFBFBF"/>
          </w:tcPr>
          <w:p>
            <w:pPr>
              <w:jc w:val="right"/>
              <w:ind w:right="159"/>
              <w:spacing w:after="0"/>
              <w:rPr>
                <w:sz w:val="20"/>
                <w:szCs w:val="20"/>
                <w:color w:val="auto"/>
              </w:rPr>
            </w:pPr>
            <w:r>
              <w:rPr>
                <w:rFonts w:ascii="Arial" w:cs="Arial" w:eastAsia="Arial" w:hAnsi="Arial"/>
                <w:sz w:val="16"/>
                <w:szCs w:val="16"/>
                <w:color w:val="auto"/>
              </w:rPr>
              <w:t>392</w:t>
            </w:r>
          </w:p>
        </w:tc>
        <w:tc>
          <w:tcPr>
            <w:tcW w:w="92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6"/>
                <w:szCs w:val="16"/>
                <w:color w:val="auto"/>
              </w:rPr>
              <w:t>(427)</w:t>
            </w:r>
          </w:p>
        </w:tc>
        <w:tc>
          <w:tcPr>
            <w:tcW w:w="80" w:type="dxa"/>
            <w:vAlign w:val="bottom"/>
            <w:tcBorders>
              <w:bottom w:val="single" w:sz="8" w:color="auto"/>
            </w:tcBorders>
            <w:shd w:val="clear" w:color="auto" w:fill="BFBFBF"/>
          </w:tcPr>
          <w:p>
            <w:pPr>
              <w:spacing w:after="0"/>
              <w:rPr>
                <w:sz w:val="16"/>
                <w:szCs w:val="16"/>
                <w:color w:val="auto"/>
              </w:rPr>
            </w:pPr>
          </w:p>
        </w:tc>
        <w:tc>
          <w:tcPr>
            <w:tcW w:w="7160" w:type="dxa"/>
            <w:vAlign w:val="bottom"/>
            <w:shd w:val="clear" w:color="auto" w:fill="BFBFBF"/>
          </w:tcPr>
          <w:p>
            <w:pPr>
              <w:ind w:left="220"/>
              <w:spacing w:after="0"/>
              <w:rPr>
                <w:sz w:val="20"/>
                <w:szCs w:val="20"/>
                <w:color w:val="auto"/>
              </w:rPr>
            </w:pPr>
            <w:r>
              <w:rPr>
                <w:rFonts w:ascii="Arial" w:cs="Arial" w:eastAsia="Arial" w:hAnsi="Arial"/>
                <w:sz w:val="16"/>
                <w:szCs w:val="16"/>
                <w:color w:val="auto"/>
              </w:rPr>
              <w:t>Derivative valuation adjustment</w:t>
            </w:r>
          </w:p>
        </w:tc>
        <w:tc>
          <w:tcPr>
            <w:tcW w:w="1080" w:type="dxa"/>
            <w:vAlign w:val="bottom"/>
            <w:tcBorders>
              <w:bottom w:val="single" w:sz="8" w:color="auto"/>
            </w:tcBorders>
            <w:shd w:val="clear" w:color="auto" w:fill="BFBFBF"/>
          </w:tcPr>
          <w:p>
            <w:pPr>
              <w:jc w:val="right"/>
              <w:ind w:right="159"/>
              <w:spacing w:after="0"/>
              <w:rPr>
                <w:sz w:val="20"/>
                <w:szCs w:val="20"/>
                <w:color w:val="auto"/>
              </w:rPr>
            </w:pPr>
            <w:r>
              <w:rPr>
                <w:rFonts w:ascii="Arial" w:cs="Arial" w:eastAsia="Arial" w:hAnsi="Arial"/>
                <w:sz w:val="16"/>
                <w:szCs w:val="16"/>
                <w:color w:val="auto"/>
              </w:rPr>
              <w:t>2,759</w:t>
            </w:r>
          </w:p>
        </w:tc>
        <w:tc>
          <w:tcPr>
            <w:tcW w:w="1060" w:type="dxa"/>
            <w:vAlign w:val="bottom"/>
            <w:tcBorders>
              <w:bottom w:val="single" w:sz="8" w:color="auto"/>
            </w:tcBorders>
            <w:shd w:val="clear" w:color="auto" w:fill="BFBFBF"/>
          </w:tcPr>
          <w:p>
            <w:pPr>
              <w:jc w:val="right"/>
              <w:ind w:right="119"/>
              <w:spacing w:after="0"/>
              <w:rPr>
                <w:sz w:val="20"/>
                <w:szCs w:val="20"/>
                <w:color w:val="auto"/>
              </w:rPr>
            </w:pPr>
            <w:r>
              <w:rPr>
                <w:rFonts w:ascii="Arial" w:cs="Arial" w:eastAsia="Arial" w:hAnsi="Arial"/>
                <w:sz w:val="16"/>
                <w:szCs w:val="16"/>
                <w:color w:val="auto"/>
              </w:rPr>
              <w:t>(2,329)</w:t>
            </w:r>
          </w:p>
        </w:tc>
      </w:tr>
      <w:tr>
        <w:trPr>
          <w:trHeight w:val="183"/>
        </w:trPr>
        <w:tc>
          <w:tcPr>
            <w:tcW w:w="112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16,770</w:t>
            </w:r>
          </w:p>
        </w:tc>
        <w:tc>
          <w:tcPr>
            <w:tcW w:w="9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21,399</w:t>
            </w:r>
          </w:p>
        </w:tc>
        <w:tc>
          <w:tcPr>
            <w:tcW w:w="80" w:type="dxa"/>
            <w:vAlign w:val="bottom"/>
          </w:tcPr>
          <w:p>
            <w:pPr>
              <w:spacing w:after="0"/>
              <w:rPr>
                <w:sz w:val="15"/>
                <w:szCs w:val="15"/>
                <w:color w:val="auto"/>
              </w:rPr>
            </w:pPr>
          </w:p>
        </w:tc>
        <w:tc>
          <w:tcPr>
            <w:tcW w:w="7160" w:type="dxa"/>
            <w:vAlign w:val="bottom"/>
          </w:tcPr>
          <w:p>
            <w:pPr>
              <w:ind w:left="220"/>
              <w:spacing w:after="0" w:line="183" w:lineRule="exact"/>
              <w:rPr>
                <w:sz w:val="20"/>
                <w:szCs w:val="20"/>
                <w:color w:val="auto"/>
              </w:rPr>
            </w:pPr>
            <w:r>
              <w:rPr>
                <w:rFonts w:ascii="Arial" w:cs="Arial" w:eastAsia="Arial" w:hAnsi="Arial"/>
                <w:sz w:val="16"/>
                <w:szCs w:val="16"/>
                <w:color w:val="auto"/>
              </w:rPr>
              <w:t>Comprehensive income</w:t>
            </w:r>
          </w:p>
        </w:tc>
        <w:tc>
          <w:tcPr>
            <w:tcW w:w="108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70,709</w:t>
            </w:r>
          </w:p>
        </w:tc>
        <w:tc>
          <w:tcPr>
            <w:tcW w:w="1060" w:type="dxa"/>
            <w:vAlign w:val="bottom"/>
          </w:tcPr>
          <w:p>
            <w:pPr>
              <w:jc w:val="right"/>
              <w:ind w:right="179"/>
              <w:spacing w:after="0" w:line="183" w:lineRule="exact"/>
              <w:rPr>
                <w:sz w:val="20"/>
                <w:szCs w:val="20"/>
                <w:color w:val="auto"/>
              </w:rPr>
            </w:pPr>
            <w:r>
              <w:rPr>
                <w:rFonts w:ascii="Arial" w:cs="Arial" w:eastAsia="Arial" w:hAnsi="Arial"/>
                <w:sz w:val="16"/>
                <w:szCs w:val="16"/>
                <w:color w:val="auto"/>
              </w:rPr>
              <w:t>51,887</w:t>
            </w:r>
          </w:p>
        </w:tc>
      </w:tr>
      <w:tr>
        <w:trPr>
          <w:trHeight w:val="189"/>
        </w:trPr>
        <w:tc>
          <w:tcPr>
            <w:tcW w:w="1120" w:type="dxa"/>
            <w:vAlign w:val="bottom"/>
            <w:shd w:val="clear" w:color="auto" w:fill="BFBFBF"/>
          </w:tcPr>
          <w:p>
            <w:pPr>
              <w:jc w:val="right"/>
              <w:ind w:right="159"/>
              <w:spacing w:after="0"/>
              <w:rPr>
                <w:sz w:val="20"/>
                <w:szCs w:val="20"/>
                <w:color w:val="auto"/>
              </w:rPr>
            </w:pPr>
            <w:r>
              <w:rPr>
                <w:rFonts w:ascii="Arial" w:cs="Arial" w:eastAsia="Arial" w:hAnsi="Arial"/>
                <w:sz w:val="16"/>
                <w:szCs w:val="16"/>
                <w:color w:val="auto"/>
              </w:rPr>
              <w:t>103</w:t>
            </w:r>
          </w:p>
        </w:tc>
        <w:tc>
          <w:tcPr>
            <w:tcW w:w="920" w:type="dxa"/>
            <w:vAlign w:val="bottom"/>
            <w:shd w:val="clear" w:color="auto" w:fill="BFBFBF"/>
          </w:tcPr>
          <w:p>
            <w:pPr>
              <w:jc w:val="right"/>
              <w:ind w:right="39"/>
              <w:spacing w:after="0"/>
              <w:rPr>
                <w:sz w:val="20"/>
                <w:szCs w:val="20"/>
                <w:color w:val="auto"/>
              </w:rPr>
            </w:pPr>
            <w:r>
              <w:rPr>
                <w:rFonts w:ascii="Arial" w:cs="Arial" w:eastAsia="Arial" w:hAnsi="Arial"/>
                <w:sz w:val="16"/>
                <w:szCs w:val="16"/>
                <w:color w:val="auto"/>
              </w:rPr>
              <w:t>264</w:t>
            </w:r>
          </w:p>
        </w:tc>
        <w:tc>
          <w:tcPr>
            <w:tcW w:w="7240" w:type="dxa"/>
            <w:vAlign w:val="bottom"/>
            <w:gridSpan w:val="2"/>
            <w:shd w:val="clear" w:color="auto" w:fill="BFBFBF"/>
          </w:tcPr>
          <w:p>
            <w:pPr>
              <w:ind w:left="80"/>
              <w:spacing w:after="0"/>
              <w:rPr>
                <w:sz w:val="20"/>
                <w:szCs w:val="20"/>
                <w:color w:val="auto"/>
              </w:rPr>
            </w:pPr>
            <w:r>
              <w:rPr>
                <w:rFonts w:ascii="Arial" w:cs="Arial" w:eastAsia="Arial" w:hAnsi="Arial"/>
                <w:sz w:val="16"/>
                <w:szCs w:val="16"/>
                <w:color w:val="auto"/>
              </w:rPr>
              <w:t>Comprehensive income/(loss) attributable to the noncontrolling interest</w:t>
            </w:r>
          </w:p>
        </w:tc>
        <w:tc>
          <w:tcPr>
            <w:tcW w:w="1080" w:type="dxa"/>
            <w:vAlign w:val="bottom"/>
            <w:shd w:val="clear" w:color="auto" w:fill="BFBFBF"/>
          </w:tcPr>
          <w:p>
            <w:pPr>
              <w:jc w:val="right"/>
              <w:ind w:right="159"/>
              <w:spacing w:after="0"/>
              <w:rPr>
                <w:sz w:val="20"/>
                <w:szCs w:val="20"/>
                <w:color w:val="auto"/>
              </w:rPr>
            </w:pPr>
            <w:r>
              <w:rPr>
                <w:rFonts w:ascii="Arial" w:cs="Arial" w:eastAsia="Arial" w:hAnsi="Arial"/>
                <w:sz w:val="16"/>
                <w:szCs w:val="16"/>
                <w:color w:val="auto"/>
              </w:rPr>
              <w:t>520</w:t>
            </w:r>
          </w:p>
        </w:tc>
        <w:tc>
          <w:tcPr>
            <w:tcW w:w="1060" w:type="dxa"/>
            <w:vAlign w:val="bottom"/>
            <w:shd w:val="clear" w:color="auto" w:fill="BFBFBF"/>
          </w:tcPr>
          <w:p>
            <w:pPr>
              <w:jc w:val="right"/>
              <w:ind w:right="159"/>
              <w:spacing w:after="0"/>
              <w:rPr>
                <w:sz w:val="20"/>
                <w:szCs w:val="20"/>
                <w:color w:val="auto"/>
              </w:rPr>
            </w:pPr>
            <w:r>
              <w:rPr>
                <w:rFonts w:ascii="Arial" w:cs="Arial" w:eastAsia="Arial" w:hAnsi="Arial"/>
                <w:sz w:val="16"/>
                <w:szCs w:val="16"/>
                <w:color w:val="auto"/>
              </w:rPr>
              <w:t>446</w:t>
            </w:r>
          </w:p>
        </w:tc>
      </w:tr>
      <w:tr>
        <w:trPr>
          <w:trHeight w:val="20"/>
        </w:trPr>
        <w:tc>
          <w:tcPr>
            <w:tcW w:w="1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183"/>
        </w:trPr>
        <w:tc>
          <w:tcPr>
            <w:tcW w:w="112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$ 16,667</w:t>
            </w:r>
          </w:p>
        </w:tc>
        <w:tc>
          <w:tcPr>
            <w:tcW w:w="9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$21,135</w:t>
            </w:r>
          </w:p>
        </w:tc>
        <w:tc>
          <w:tcPr>
            <w:tcW w:w="7240" w:type="dxa"/>
            <w:vAlign w:val="bottom"/>
            <w:gridSpan w:val="2"/>
          </w:tcPr>
          <w:p>
            <w:pPr>
              <w:ind w:left="80"/>
              <w:spacing w:after="0" w:line="183" w:lineRule="exact"/>
              <w:rPr>
                <w:sz w:val="20"/>
                <w:szCs w:val="20"/>
                <w:color w:val="auto"/>
              </w:rPr>
            </w:pPr>
            <w:r>
              <w:rPr>
                <w:rFonts w:ascii="Arial" w:cs="Arial" w:eastAsia="Arial" w:hAnsi="Arial"/>
                <w:sz w:val="16"/>
                <w:szCs w:val="16"/>
                <w:color w:val="auto"/>
              </w:rPr>
              <w:t>Comprehensive income attributable to the Company</w:t>
            </w:r>
          </w:p>
        </w:tc>
        <w:tc>
          <w:tcPr>
            <w:tcW w:w="108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$ 70,189</w:t>
            </w:r>
          </w:p>
        </w:tc>
        <w:tc>
          <w:tcPr>
            <w:tcW w:w="1060" w:type="dxa"/>
            <w:vAlign w:val="bottom"/>
          </w:tcPr>
          <w:p>
            <w:pPr>
              <w:jc w:val="right"/>
              <w:ind w:right="179"/>
              <w:spacing w:after="0" w:line="183" w:lineRule="exact"/>
              <w:rPr>
                <w:sz w:val="20"/>
                <w:szCs w:val="20"/>
                <w:color w:val="auto"/>
              </w:rPr>
            </w:pPr>
            <w:r>
              <w:rPr>
                <w:rFonts w:ascii="Arial" w:cs="Arial" w:eastAsia="Arial" w:hAnsi="Arial"/>
                <w:sz w:val="16"/>
                <w:szCs w:val="16"/>
                <w:color w:val="auto"/>
              </w:rPr>
              <w:t>$ 51,441</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104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September</w:t>
            </w:r>
          </w:p>
        </w:tc>
        <w:tc>
          <w:tcPr>
            <w:tcW w:w="114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9240" w:type="dxa"/>
            <w:vAlign w:val="bottom"/>
            <w:tcBorders>
              <w:bottom w:val="single" w:sz="8" w:color="BFBFB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30, 2019</w:t>
            </w: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r>
      <w:tr>
        <w:trPr>
          <w:trHeight w:val="169"/>
        </w:trPr>
        <w:tc>
          <w:tcPr>
            <w:tcW w:w="9240" w:type="dxa"/>
            <w:vAlign w:val="bottom"/>
            <w:shd w:val="clear" w:color="auto" w:fill="BFBFBF"/>
          </w:tcPr>
          <w:p>
            <w:pPr>
              <w:spacing w:after="0" w:line="169" w:lineRule="exact"/>
              <w:rPr>
                <w:sz w:val="20"/>
                <w:szCs w:val="20"/>
                <w:color w:val="auto"/>
              </w:rPr>
            </w:pPr>
            <w:r>
              <w:rPr>
                <w:rFonts w:ascii="Arial" w:cs="Arial" w:eastAsia="Arial" w:hAnsi="Arial"/>
                <w:sz w:val="16"/>
                <w:szCs w:val="16"/>
                <w:color w:val="auto"/>
              </w:rPr>
              <w:t>ASSETS</w:t>
            </w:r>
          </w:p>
        </w:tc>
        <w:tc>
          <w:tcPr>
            <w:tcW w:w="180" w:type="dxa"/>
            <w:vAlign w:val="bottom"/>
            <w:shd w:val="clear" w:color="auto" w:fill="BFBFBF"/>
          </w:tcPr>
          <w:p>
            <w:pPr>
              <w:spacing w:after="0"/>
              <w:rPr>
                <w:sz w:val="14"/>
                <w:szCs w:val="14"/>
                <w:color w:val="auto"/>
              </w:rPr>
            </w:pPr>
          </w:p>
        </w:tc>
        <w:tc>
          <w:tcPr>
            <w:tcW w:w="20" w:type="dxa"/>
            <w:vAlign w:val="bottom"/>
            <w:shd w:val="clear" w:color="auto" w:fill="BFBFBF"/>
          </w:tcPr>
          <w:p>
            <w:pPr>
              <w:spacing w:after="0"/>
              <w:rPr>
                <w:sz w:val="14"/>
                <w:szCs w:val="14"/>
                <w:color w:val="auto"/>
              </w:rPr>
            </w:pPr>
          </w:p>
        </w:tc>
        <w:tc>
          <w:tcPr>
            <w:tcW w:w="840" w:type="dxa"/>
            <w:vAlign w:val="bottom"/>
            <w:shd w:val="clear" w:color="auto" w:fill="BFBFBF"/>
          </w:tcPr>
          <w:p>
            <w:pPr>
              <w:spacing w:after="0"/>
              <w:rPr>
                <w:sz w:val="14"/>
                <w:szCs w:val="14"/>
                <w:color w:val="auto"/>
              </w:rPr>
            </w:pPr>
          </w:p>
        </w:tc>
        <w:tc>
          <w:tcPr>
            <w:tcW w:w="220" w:type="dxa"/>
            <w:vAlign w:val="bottom"/>
            <w:shd w:val="clear" w:color="auto" w:fill="BFBFBF"/>
          </w:tcPr>
          <w:p>
            <w:pPr>
              <w:spacing w:after="0"/>
              <w:rPr>
                <w:sz w:val="14"/>
                <w:szCs w:val="14"/>
                <w:color w:val="auto"/>
              </w:rPr>
            </w:pPr>
          </w:p>
        </w:tc>
        <w:tc>
          <w:tcPr>
            <w:tcW w:w="40" w:type="dxa"/>
            <w:vAlign w:val="bottom"/>
            <w:shd w:val="clear" w:color="auto" w:fill="BFBFBF"/>
          </w:tcPr>
          <w:p>
            <w:pPr>
              <w:spacing w:after="0"/>
              <w:rPr>
                <w:sz w:val="14"/>
                <w:szCs w:val="14"/>
                <w:color w:val="auto"/>
              </w:rPr>
            </w:pPr>
          </w:p>
        </w:tc>
        <w:tc>
          <w:tcPr>
            <w:tcW w:w="880" w:type="dxa"/>
            <w:vAlign w:val="bottom"/>
            <w:shd w:val="clear" w:color="auto" w:fill="BFBFBF"/>
          </w:tcPr>
          <w:p>
            <w:pPr>
              <w:spacing w:after="0"/>
              <w:rPr>
                <w:sz w:val="14"/>
                <w:szCs w:val="14"/>
                <w:color w:val="auto"/>
              </w:rPr>
            </w:pPr>
          </w:p>
        </w:tc>
      </w:tr>
      <w:tr>
        <w:trPr>
          <w:trHeight w:val="189"/>
        </w:trPr>
        <w:tc>
          <w:tcPr>
            <w:tcW w:w="92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173,739</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197,755</w:t>
            </w:r>
          </w:p>
        </w:tc>
      </w:tr>
      <w:tr>
        <w:trPr>
          <w:trHeight w:val="189"/>
        </w:trPr>
        <w:tc>
          <w:tcPr>
            <w:tcW w:w="9240" w:type="dxa"/>
            <w:vAlign w:val="bottom"/>
            <w:shd w:val="clear" w:color="auto" w:fill="BFBFBF"/>
          </w:tcPr>
          <w:p>
            <w:pPr>
              <w:spacing w:after="0"/>
              <w:rPr>
                <w:sz w:val="20"/>
                <w:szCs w:val="20"/>
                <w:color w:val="auto"/>
              </w:rPr>
            </w:pPr>
            <w:r>
              <w:rPr>
                <w:rFonts w:ascii="Arial" w:cs="Arial" w:eastAsia="Arial" w:hAnsi="Arial"/>
                <w:sz w:val="16"/>
                <w:szCs w:val="16"/>
                <w:color w:val="auto"/>
              </w:rPr>
              <w:t>Accounts receivable, net</w:t>
            </w:r>
          </w:p>
        </w:tc>
        <w:tc>
          <w:tcPr>
            <w:tcW w:w="18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840" w:type="dxa"/>
            <w:vAlign w:val="bottom"/>
            <w:shd w:val="clear" w:color="auto" w:fill="BFBFBF"/>
          </w:tcPr>
          <w:p>
            <w:pPr>
              <w:jc w:val="right"/>
              <w:ind w:right="59"/>
              <w:spacing w:after="0"/>
              <w:rPr>
                <w:sz w:val="20"/>
                <w:szCs w:val="20"/>
                <w:color w:val="auto"/>
              </w:rPr>
            </w:pPr>
            <w:r>
              <w:rPr>
                <w:rFonts w:ascii="Arial" w:cs="Arial" w:eastAsia="Arial" w:hAnsi="Arial"/>
                <w:sz w:val="16"/>
                <w:szCs w:val="16"/>
                <w:color w:val="auto"/>
              </w:rPr>
              <w:t>224,232</w:t>
            </w:r>
          </w:p>
        </w:tc>
        <w:tc>
          <w:tcPr>
            <w:tcW w:w="2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880" w:type="dxa"/>
            <w:vAlign w:val="bottom"/>
            <w:shd w:val="clear" w:color="auto" w:fill="BFBFBF"/>
          </w:tcPr>
          <w:p>
            <w:pPr>
              <w:jc w:val="right"/>
              <w:ind w:right="119"/>
              <w:spacing w:after="0"/>
              <w:rPr>
                <w:sz w:val="20"/>
                <w:szCs w:val="20"/>
                <w:color w:val="auto"/>
              </w:rPr>
            </w:pPr>
            <w:r>
              <w:rPr>
                <w:rFonts w:ascii="Arial" w:cs="Arial" w:eastAsia="Arial" w:hAnsi="Arial"/>
                <w:sz w:val="16"/>
                <w:szCs w:val="16"/>
                <w:color w:val="auto"/>
              </w:rPr>
              <w:t>223,176</w:t>
            </w:r>
          </w:p>
        </w:tc>
      </w:tr>
      <w:tr>
        <w:trPr>
          <w:trHeight w:val="189"/>
        </w:trPr>
        <w:tc>
          <w:tcPr>
            <w:tcW w:w="9240" w:type="dxa"/>
            <w:vAlign w:val="bottom"/>
          </w:tcPr>
          <w:p>
            <w:pPr>
              <w:spacing w:after="0"/>
              <w:rPr>
                <w:sz w:val="20"/>
                <w:szCs w:val="20"/>
                <w:color w:val="auto"/>
              </w:rPr>
            </w:pPr>
            <w:r>
              <w:rPr>
                <w:rFonts w:ascii="Arial" w:cs="Arial" w:eastAsia="Arial" w:hAnsi="Arial"/>
                <w:sz w:val="16"/>
                <w:szCs w:val="16"/>
                <w:color w:val="auto"/>
              </w:rPr>
              <w:t>Contract assets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64,571</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57,447</w:t>
            </w:r>
          </w:p>
        </w:tc>
      </w:tr>
      <w:tr>
        <w:trPr>
          <w:trHeight w:val="189"/>
        </w:trPr>
        <w:tc>
          <w:tcPr>
            <w:tcW w:w="9240" w:type="dxa"/>
            <w:vAlign w:val="bottom"/>
            <w:shd w:val="clear" w:color="auto" w:fill="BFBFBF"/>
          </w:tcPr>
          <w:p>
            <w:pPr>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840" w:type="dxa"/>
            <w:vAlign w:val="bottom"/>
            <w:shd w:val="clear" w:color="auto" w:fill="BFBFBF"/>
          </w:tcPr>
          <w:p>
            <w:pPr>
              <w:jc w:val="right"/>
              <w:ind w:right="59"/>
              <w:spacing w:after="0"/>
              <w:rPr>
                <w:sz w:val="20"/>
                <w:szCs w:val="20"/>
                <w:color w:val="auto"/>
              </w:rPr>
            </w:pPr>
            <w:r>
              <w:rPr>
                <w:rFonts w:ascii="Arial" w:cs="Arial" w:eastAsia="Arial" w:hAnsi="Arial"/>
                <w:sz w:val="16"/>
                <w:szCs w:val="16"/>
                <w:color w:val="auto"/>
              </w:rPr>
              <w:t>105,705</w:t>
            </w:r>
          </w:p>
        </w:tc>
        <w:tc>
          <w:tcPr>
            <w:tcW w:w="2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880" w:type="dxa"/>
            <w:vAlign w:val="bottom"/>
            <w:shd w:val="clear" w:color="auto" w:fill="BFBFBF"/>
          </w:tcPr>
          <w:p>
            <w:pPr>
              <w:jc w:val="right"/>
              <w:ind w:right="119"/>
              <w:spacing w:after="0"/>
              <w:rPr>
                <w:sz w:val="20"/>
                <w:szCs w:val="20"/>
                <w:color w:val="auto"/>
              </w:rPr>
            </w:pPr>
            <w:r>
              <w:rPr>
                <w:rFonts w:ascii="Arial" w:cs="Arial" w:eastAsia="Arial" w:hAnsi="Arial"/>
                <w:sz w:val="16"/>
                <w:szCs w:val="16"/>
                <w:color w:val="auto"/>
              </w:rPr>
              <w:t>85,904</w:t>
            </w:r>
          </w:p>
        </w:tc>
      </w:tr>
      <w:tr>
        <w:trPr>
          <w:trHeight w:val="189"/>
        </w:trPr>
        <w:tc>
          <w:tcPr>
            <w:tcW w:w="9240" w:type="dxa"/>
            <w:vAlign w:val="bottom"/>
          </w:tcPr>
          <w:p>
            <w:pPr>
              <w:spacing w:after="0"/>
              <w:rPr>
                <w:sz w:val="20"/>
                <w:szCs w:val="20"/>
                <w:color w:val="auto"/>
              </w:rPr>
            </w:pPr>
            <w:r>
              <w:rPr>
                <w:rFonts w:ascii="Arial" w:cs="Arial" w:eastAsia="Arial" w:hAnsi="Arial"/>
                <w:sz w:val="16"/>
                <w:szCs w:val="16"/>
                <w:color w:val="auto"/>
              </w:rPr>
              <w:t>Income taxes prepaid and receivable</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6,774</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7,473</w:t>
            </w:r>
          </w:p>
        </w:tc>
      </w:tr>
      <w:tr>
        <w:trPr>
          <w:trHeight w:val="189"/>
        </w:trPr>
        <w:tc>
          <w:tcPr>
            <w:tcW w:w="9240" w:type="dxa"/>
            <w:vAlign w:val="bottom"/>
            <w:shd w:val="clear" w:color="auto" w:fill="BFBFBF"/>
          </w:tcPr>
          <w:p>
            <w:pPr>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shd w:val="clear" w:color="auto" w:fill="BFBFBF"/>
          </w:tcPr>
          <w:p>
            <w:pPr>
              <w:spacing w:after="0"/>
              <w:rPr>
                <w:sz w:val="16"/>
                <w:szCs w:val="16"/>
                <w:color w:val="auto"/>
              </w:rPr>
            </w:pPr>
          </w:p>
        </w:tc>
        <w:tc>
          <w:tcPr>
            <w:tcW w:w="20" w:type="dxa"/>
            <w:vAlign w:val="bottom"/>
            <w:tcBorders>
              <w:bottom w:val="single" w:sz="8" w:color="auto"/>
            </w:tcBorders>
            <w:shd w:val="clear" w:color="auto" w:fill="BFBFBF"/>
          </w:tcPr>
          <w:p>
            <w:pPr>
              <w:spacing w:after="0"/>
              <w:rPr>
                <w:sz w:val="16"/>
                <w:szCs w:val="16"/>
                <w:color w:val="auto"/>
              </w:rPr>
            </w:pPr>
          </w:p>
        </w:tc>
        <w:tc>
          <w:tcPr>
            <w:tcW w:w="840" w:type="dxa"/>
            <w:vAlign w:val="bottom"/>
            <w:tcBorders>
              <w:bottom w:val="single" w:sz="8" w:color="auto"/>
            </w:tcBorders>
            <w:shd w:val="clear" w:color="auto" w:fill="BFBFBF"/>
          </w:tcPr>
          <w:p>
            <w:pPr>
              <w:jc w:val="right"/>
              <w:ind w:right="59"/>
              <w:spacing w:after="0"/>
              <w:rPr>
                <w:sz w:val="20"/>
                <w:szCs w:val="20"/>
                <w:color w:val="auto"/>
              </w:rPr>
            </w:pPr>
            <w:r>
              <w:rPr>
                <w:rFonts w:ascii="Arial" w:cs="Arial" w:eastAsia="Arial" w:hAnsi="Arial"/>
                <w:sz w:val="16"/>
                <w:szCs w:val="16"/>
                <w:color w:val="auto"/>
              </w:rPr>
              <w:t>24,849</w:t>
            </w:r>
          </w:p>
        </w:tc>
        <w:tc>
          <w:tcPr>
            <w:tcW w:w="220" w:type="dxa"/>
            <w:vAlign w:val="bottom"/>
            <w:tcBorders>
              <w:bottom w:val="single" w:sz="8" w:color="auto"/>
            </w:tcBorders>
            <w:shd w:val="clear" w:color="auto" w:fill="BFBFBF"/>
          </w:tcPr>
          <w:p>
            <w:pPr>
              <w:spacing w:after="0"/>
              <w:rPr>
                <w:sz w:val="16"/>
                <w:szCs w:val="16"/>
                <w:color w:val="auto"/>
              </w:rPr>
            </w:pPr>
          </w:p>
        </w:tc>
        <w:tc>
          <w:tcPr>
            <w:tcW w:w="40" w:type="dxa"/>
            <w:vAlign w:val="bottom"/>
            <w:tcBorders>
              <w:bottom w:val="single" w:sz="8" w:color="auto"/>
            </w:tcBorders>
            <w:shd w:val="clear" w:color="auto" w:fill="BFBFBF"/>
          </w:tcPr>
          <w:p>
            <w:pPr>
              <w:spacing w:after="0"/>
              <w:rPr>
                <w:sz w:val="16"/>
                <w:szCs w:val="16"/>
                <w:color w:val="auto"/>
              </w:rPr>
            </w:pPr>
          </w:p>
        </w:tc>
        <w:tc>
          <w:tcPr>
            <w:tcW w:w="880" w:type="dxa"/>
            <w:vAlign w:val="bottom"/>
            <w:tcBorders>
              <w:bottom w:val="single" w:sz="8" w:color="auto"/>
            </w:tcBorders>
            <w:shd w:val="clear" w:color="auto" w:fill="BFBFBF"/>
          </w:tcPr>
          <w:p>
            <w:pPr>
              <w:jc w:val="right"/>
              <w:ind w:right="119"/>
              <w:spacing w:after="0"/>
              <w:rPr>
                <w:sz w:val="20"/>
                <w:szCs w:val="20"/>
                <w:color w:val="auto"/>
              </w:rPr>
            </w:pPr>
            <w:r>
              <w:rPr>
                <w:rFonts w:ascii="Arial" w:cs="Arial" w:eastAsia="Arial" w:hAnsi="Arial"/>
                <w:sz w:val="16"/>
                <w:szCs w:val="16"/>
                <w:color w:val="auto"/>
              </w:rPr>
              <w:t>21,294</w:t>
            </w:r>
          </w:p>
        </w:tc>
      </w:tr>
      <w:tr>
        <w:trPr>
          <w:trHeight w:val="183"/>
        </w:trPr>
        <w:tc>
          <w:tcPr>
            <w:tcW w:w="9240" w:type="dxa"/>
            <w:vAlign w:val="bottom"/>
          </w:tcPr>
          <w:p>
            <w:pPr>
              <w:ind w:left="220"/>
              <w:spacing w:after="0" w:line="183" w:lineRule="exact"/>
              <w:rPr>
                <w:sz w:val="20"/>
                <w:szCs w:val="20"/>
                <w:color w:val="auto"/>
              </w:rPr>
            </w:pPr>
            <w:r>
              <w:rPr>
                <w:rFonts w:ascii="Arial" w:cs="Arial" w:eastAsia="Arial" w:hAnsi="Arial"/>
                <w:sz w:val="16"/>
                <w:szCs w:val="16"/>
                <w:color w:val="auto"/>
              </w:rPr>
              <w:t>Total current assets</w:t>
            </w:r>
          </w:p>
        </w:tc>
        <w:tc>
          <w:tcPr>
            <w:tcW w:w="1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599,870</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5"/>
                <w:szCs w:val="15"/>
                <w:color w:val="auto"/>
              </w:rPr>
            </w:pPr>
          </w:p>
        </w:tc>
        <w:tc>
          <w:tcPr>
            <w:tcW w:w="880" w:type="dxa"/>
            <w:vAlign w:val="bottom"/>
          </w:tcPr>
          <w:p>
            <w:pPr>
              <w:jc w:val="right"/>
              <w:ind w:right="119"/>
              <w:spacing w:after="0" w:line="183" w:lineRule="exact"/>
              <w:rPr>
                <w:sz w:val="20"/>
                <w:szCs w:val="20"/>
                <w:color w:val="auto"/>
              </w:rPr>
            </w:pPr>
            <w:r>
              <w:rPr>
                <w:rFonts w:ascii="Arial" w:cs="Arial" w:eastAsia="Arial" w:hAnsi="Arial"/>
                <w:sz w:val="16"/>
                <w:szCs w:val="16"/>
                <w:color w:val="auto"/>
              </w:rPr>
              <w:t>593,049</w:t>
            </w:r>
          </w:p>
        </w:tc>
      </w:tr>
      <w:tr>
        <w:trPr>
          <w:trHeight w:val="189"/>
        </w:trPr>
        <w:tc>
          <w:tcPr>
            <w:tcW w:w="9240" w:type="dxa"/>
            <w:vAlign w:val="bottom"/>
            <w:shd w:val="clear" w:color="auto" w:fill="BFBFBF"/>
          </w:tcPr>
          <w:p>
            <w:pPr>
              <w:spacing w:after="0"/>
              <w:rPr>
                <w:sz w:val="16"/>
                <w:szCs w:val="16"/>
                <w:color w:val="auto"/>
              </w:rPr>
            </w:pPr>
          </w:p>
        </w:tc>
        <w:tc>
          <w:tcPr>
            <w:tcW w:w="18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840" w:type="dxa"/>
            <w:vAlign w:val="bottom"/>
            <w:shd w:val="clear" w:color="auto" w:fill="BFBFBF"/>
          </w:tcPr>
          <w:p>
            <w:pPr>
              <w:spacing w:after="0"/>
              <w:rPr>
                <w:sz w:val="16"/>
                <w:szCs w:val="16"/>
                <w:color w:val="auto"/>
              </w:rPr>
            </w:pPr>
          </w:p>
        </w:tc>
        <w:tc>
          <w:tcPr>
            <w:tcW w:w="2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880" w:type="dxa"/>
            <w:vAlign w:val="bottom"/>
            <w:shd w:val="clear" w:color="auto" w:fill="BFBFBF"/>
          </w:tcPr>
          <w:p>
            <w:pPr>
              <w:spacing w:after="0"/>
              <w:rPr>
                <w:sz w:val="16"/>
                <w:szCs w:val="16"/>
                <w:color w:val="auto"/>
              </w:rPr>
            </w:pPr>
          </w:p>
        </w:tc>
      </w:tr>
      <w:tr>
        <w:trPr>
          <w:trHeight w:val="189"/>
        </w:trPr>
        <w:tc>
          <w:tcPr>
            <w:tcW w:w="924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449,299</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462,055</w:t>
            </w:r>
          </w:p>
        </w:tc>
      </w:tr>
      <w:tr>
        <w:trPr>
          <w:trHeight w:val="189"/>
        </w:trPr>
        <w:tc>
          <w:tcPr>
            <w:tcW w:w="9240" w:type="dxa"/>
            <w:vAlign w:val="bottom"/>
            <w:shd w:val="clear" w:color="auto" w:fill="BFBFBF"/>
          </w:tcPr>
          <w:p>
            <w:pPr>
              <w:spacing w:after="0"/>
              <w:rPr>
                <w:sz w:val="20"/>
                <w:szCs w:val="20"/>
                <w:color w:val="auto"/>
              </w:rPr>
            </w:pPr>
            <w:r>
              <w:rPr>
                <w:rFonts w:ascii="Arial" w:cs="Arial" w:eastAsia="Arial" w:hAnsi="Arial"/>
                <w:sz w:val="16"/>
                <w:szCs w:val="16"/>
                <w:color w:val="auto"/>
              </w:rPr>
              <w:t>Intangibles, net</w:t>
            </w:r>
          </w:p>
        </w:tc>
        <w:tc>
          <w:tcPr>
            <w:tcW w:w="18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840" w:type="dxa"/>
            <w:vAlign w:val="bottom"/>
            <w:shd w:val="clear" w:color="auto" w:fill="BFBFBF"/>
          </w:tcPr>
          <w:p>
            <w:pPr>
              <w:jc w:val="right"/>
              <w:ind w:right="59"/>
              <w:spacing w:after="0"/>
              <w:rPr>
                <w:sz w:val="20"/>
                <w:szCs w:val="20"/>
                <w:color w:val="auto"/>
              </w:rPr>
            </w:pPr>
            <w:r>
              <w:rPr>
                <w:rFonts w:ascii="Arial" w:cs="Arial" w:eastAsia="Arial" w:hAnsi="Arial"/>
                <w:sz w:val="16"/>
                <w:szCs w:val="16"/>
                <w:color w:val="auto"/>
              </w:rPr>
              <w:t>44,530</w:t>
            </w:r>
          </w:p>
        </w:tc>
        <w:tc>
          <w:tcPr>
            <w:tcW w:w="2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880" w:type="dxa"/>
            <w:vAlign w:val="bottom"/>
            <w:shd w:val="clear" w:color="auto" w:fill="BFBFBF"/>
          </w:tcPr>
          <w:p>
            <w:pPr>
              <w:jc w:val="right"/>
              <w:ind w:right="119"/>
              <w:spacing w:after="0"/>
              <w:rPr>
                <w:sz w:val="20"/>
                <w:szCs w:val="20"/>
                <w:color w:val="auto"/>
              </w:rPr>
            </w:pPr>
            <w:r>
              <w:rPr>
                <w:rFonts w:ascii="Arial" w:cs="Arial" w:eastAsia="Arial" w:hAnsi="Arial"/>
                <w:sz w:val="16"/>
                <w:szCs w:val="16"/>
                <w:color w:val="auto"/>
              </w:rPr>
              <w:t>49,206</w:t>
            </w:r>
          </w:p>
        </w:tc>
      </w:tr>
      <w:tr>
        <w:trPr>
          <w:trHeight w:val="189"/>
        </w:trPr>
        <w:tc>
          <w:tcPr>
            <w:tcW w:w="9240" w:type="dxa"/>
            <w:vAlign w:val="bottom"/>
          </w:tcPr>
          <w:p>
            <w:pPr>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162,075</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164,382</w:t>
            </w:r>
          </w:p>
        </w:tc>
      </w:tr>
      <w:tr>
        <w:trPr>
          <w:trHeight w:val="189"/>
        </w:trPr>
        <w:tc>
          <w:tcPr>
            <w:tcW w:w="9240" w:type="dxa"/>
            <w:vAlign w:val="bottom"/>
            <w:shd w:val="clear" w:color="auto" w:fill="BFBFBF"/>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840" w:type="dxa"/>
            <w:vAlign w:val="bottom"/>
            <w:shd w:val="clear" w:color="auto" w:fill="BFBFBF"/>
          </w:tcPr>
          <w:p>
            <w:pPr>
              <w:jc w:val="right"/>
              <w:ind w:right="59"/>
              <w:spacing w:after="0"/>
              <w:rPr>
                <w:sz w:val="20"/>
                <w:szCs w:val="20"/>
                <w:color w:val="auto"/>
              </w:rPr>
            </w:pPr>
            <w:r>
              <w:rPr>
                <w:rFonts w:ascii="Arial" w:cs="Arial" w:eastAsia="Arial" w:hAnsi="Arial"/>
                <w:sz w:val="16"/>
                <w:szCs w:val="16"/>
                <w:color w:val="auto"/>
              </w:rPr>
              <w:t>51,761</w:t>
            </w:r>
          </w:p>
        </w:tc>
        <w:tc>
          <w:tcPr>
            <w:tcW w:w="2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880" w:type="dxa"/>
            <w:vAlign w:val="bottom"/>
            <w:shd w:val="clear" w:color="auto" w:fill="BFBFBF"/>
          </w:tcPr>
          <w:p>
            <w:pPr>
              <w:jc w:val="right"/>
              <w:ind w:right="119"/>
              <w:spacing w:after="0"/>
              <w:rPr>
                <w:sz w:val="20"/>
                <w:szCs w:val="20"/>
                <w:color w:val="auto"/>
              </w:rPr>
            </w:pPr>
            <w:r>
              <w:rPr>
                <w:rFonts w:ascii="Arial" w:cs="Arial" w:eastAsia="Arial" w:hAnsi="Arial"/>
                <w:sz w:val="16"/>
                <w:szCs w:val="16"/>
                <w:color w:val="auto"/>
              </w:rPr>
              <w:t>62,622</w:t>
            </w:r>
          </w:p>
        </w:tc>
      </w:tr>
      <w:tr>
        <w:trPr>
          <w:trHeight w:val="189"/>
        </w:trPr>
        <w:tc>
          <w:tcPr>
            <w:tcW w:w="9240" w:type="dxa"/>
            <w:vAlign w:val="bottom"/>
          </w:tcPr>
          <w:p>
            <w:pPr>
              <w:spacing w:after="0"/>
              <w:rPr>
                <w:sz w:val="20"/>
                <w:szCs w:val="20"/>
                <w:color w:val="auto"/>
              </w:rPr>
            </w:pPr>
            <w:r>
              <w:rPr>
                <w:rFonts w:ascii="Arial" w:cs="Arial" w:eastAsia="Arial" w:hAnsi="Arial"/>
                <w:sz w:val="16"/>
                <w:szCs w:val="16"/>
                <w:color w:val="auto"/>
              </w:rPr>
              <w:t>Noncurrent receivables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45,699</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45,061</w:t>
            </w:r>
          </w:p>
        </w:tc>
      </w:tr>
      <w:tr>
        <w:trPr>
          <w:trHeight w:val="189"/>
        </w:trPr>
        <w:tc>
          <w:tcPr>
            <w:tcW w:w="9240" w:type="dxa"/>
            <w:vAlign w:val="bottom"/>
            <w:shd w:val="clear" w:color="auto" w:fill="BFBFBF"/>
          </w:tcPr>
          <w:p>
            <w:pPr>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BFBFBF"/>
          </w:tcPr>
          <w:p>
            <w:pPr>
              <w:spacing w:after="0"/>
              <w:rPr>
                <w:sz w:val="16"/>
                <w:szCs w:val="16"/>
                <w:color w:val="auto"/>
              </w:rPr>
            </w:pPr>
          </w:p>
        </w:tc>
        <w:tc>
          <w:tcPr>
            <w:tcW w:w="20" w:type="dxa"/>
            <w:vAlign w:val="bottom"/>
            <w:tcBorders>
              <w:bottom w:val="single" w:sz="8" w:color="auto"/>
            </w:tcBorders>
            <w:shd w:val="clear" w:color="auto" w:fill="BFBFBF"/>
          </w:tcPr>
          <w:p>
            <w:pPr>
              <w:spacing w:after="0"/>
              <w:rPr>
                <w:sz w:val="16"/>
                <w:szCs w:val="16"/>
                <w:color w:val="auto"/>
              </w:rPr>
            </w:pPr>
          </w:p>
        </w:tc>
        <w:tc>
          <w:tcPr>
            <w:tcW w:w="840" w:type="dxa"/>
            <w:vAlign w:val="bottom"/>
            <w:tcBorders>
              <w:bottom w:val="single" w:sz="8" w:color="auto"/>
            </w:tcBorders>
            <w:shd w:val="clear" w:color="auto" w:fill="BFBFBF"/>
          </w:tcPr>
          <w:p>
            <w:pPr>
              <w:jc w:val="right"/>
              <w:ind w:right="59"/>
              <w:spacing w:after="0"/>
              <w:rPr>
                <w:sz w:val="20"/>
                <w:szCs w:val="20"/>
                <w:color w:val="auto"/>
              </w:rPr>
            </w:pPr>
            <w:r>
              <w:rPr>
                <w:rFonts w:ascii="Arial" w:cs="Arial" w:eastAsia="Arial" w:hAnsi="Arial"/>
                <w:sz w:val="16"/>
                <w:szCs w:val="16"/>
                <w:color w:val="auto"/>
              </w:rPr>
              <w:t>51,488</w:t>
            </w:r>
          </w:p>
        </w:tc>
        <w:tc>
          <w:tcPr>
            <w:tcW w:w="220" w:type="dxa"/>
            <w:vAlign w:val="bottom"/>
            <w:tcBorders>
              <w:bottom w:val="single" w:sz="8" w:color="auto"/>
            </w:tcBorders>
            <w:shd w:val="clear" w:color="auto" w:fill="BFBFBF"/>
          </w:tcPr>
          <w:p>
            <w:pPr>
              <w:spacing w:after="0"/>
              <w:rPr>
                <w:sz w:val="16"/>
                <w:szCs w:val="16"/>
                <w:color w:val="auto"/>
              </w:rPr>
            </w:pPr>
          </w:p>
        </w:tc>
        <w:tc>
          <w:tcPr>
            <w:tcW w:w="40" w:type="dxa"/>
            <w:vAlign w:val="bottom"/>
            <w:tcBorders>
              <w:bottom w:val="single" w:sz="8" w:color="auto"/>
            </w:tcBorders>
            <w:shd w:val="clear" w:color="auto" w:fill="BFBFBF"/>
          </w:tcPr>
          <w:p>
            <w:pPr>
              <w:spacing w:after="0"/>
              <w:rPr>
                <w:sz w:val="16"/>
                <w:szCs w:val="16"/>
                <w:color w:val="auto"/>
              </w:rPr>
            </w:pPr>
          </w:p>
        </w:tc>
        <w:tc>
          <w:tcPr>
            <w:tcW w:w="880" w:type="dxa"/>
            <w:vAlign w:val="bottom"/>
            <w:tcBorders>
              <w:bottom w:val="single" w:sz="8" w:color="auto"/>
            </w:tcBorders>
            <w:shd w:val="clear" w:color="auto" w:fill="BFBFBF"/>
          </w:tcPr>
          <w:p>
            <w:pPr>
              <w:jc w:val="right"/>
              <w:ind w:right="119"/>
              <w:spacing w:after="0"/>
              <w:rPr>
                <w:sz w:val="20"/>
                <w:szCs w:val="20"/>
                <w:color w:val="auto"/>
              </w:rPr>
            </w:pPr>
            <w:r>
              <w:rPr>
                <w:rFonts w:ascii="Arial" w:cs="Arial" w:eastAsia="Arial" w:hAnsi="Arial"/>
                <w:sz w:val="16"/>
                <w:szCs w:val="16"/>
                <w:color w:val="auto"/>
              </w:rPr>
              <w:t>41,617</w:t>
            </w:r>
          </w:p>
        </w:tc>
      </w:tr>
      <w:tr>
        <w:trPr>
          <w:trHeight w:val="223"/>
        </w:trPr>
        <w:tc>
          <w:tcPr>
            <w:tcW w:w="9240" w:type="dxa"/>
            <w:vAlign w:val="bottom"/>
            <w:tcBorders>
              <w:bottom w:val="single" w:sz="8" w:color="BFBFBF"/>
            </w:tcBorders>
          </w:tcPr>
          <w:p>
            <w:pPr>
              <w:ind w:left="220"/>
              <w:spacing w:after="0" w:line="183" w:lineRule="exact"/>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gridSpan w:val="2"/>
          </w:tcPr>
          <w:p>
            <w:pPr>
              <w:jc w:val="right"/>
              <w:ind w:right="59"/>
              <w:spacing w:after="0" w:line="183" w:lineRule="exact"/>
              <w:rPr>
                <w:sz w:val="20"/>
                <w:szCs w:val="20"/>
                <w:color w:val="auto"/>
              </w:rPr>
            </w:pPr>
            <w:r>
              <w:rPr>
                <w:rFonts w:ascii="Arial" w:cs="Arial" w:eastAsia="Arial" w:hAnsi="Arial"/>
                <w:sz w:val="16"/>
                <w:szCs w:val="16"/>
                <w:color w:val="auto"/>
                <w:w w:val="98"/>
              </w:rPr>
              <w:t>1,404,722</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ind w:right="119"/>
              <w:spacing w:after="0" w:line="183" w:lineRule="exact"/>
              <w:rPr>
                <w:sz w:val="20"/>
                <w:szCs w:val="20"/>
                <w:color w:val="auto"/>
              </w:rPr>
            </w:pPr>
            <w:r>
              <w:rPr>
                <w:rFonts w:ascii="Arial" w:cs="Arial" w:eastAsia="Arial" w:hAnsi="Arial"/>
                <w:sz w:val="16"/>
                <w:szCs w:val="16"/>
                <w:color w:val="auto"/>
                <w:w w:val="98"/>
              </w:rPr>
              <w:t>1,417,992</w:t>
            </w:r>
          </w:p>
        </w:tc>
      </w:tr>
      <w:tr>
        <w:trPr>
          <w:trHeight w:val="156"/>
        </w:trPr>
        <w:tc>
          <w:tcPr>
            <w:tcW w:w="9240" w:type="dxa"/>
            <w:vAlign w:val="bottom"/>
            <w:shd w:val="clear" w:color="auto" w:fill="BFBFBF"/>
          </w:tcPr>
          <w:p>
            <w:pPr>
              <w:spacing w:after="0"/>
              <w:rPr>
                <w:sz w:val="13"/>
                <w:szCs w:val="13"/>
                <w:color w:val="auto"/>
              </w:rPr>
            </w:pPr>
          </w:p>
        </w:tc>
        <w:tc>
          <w:tcPr>
            <w:tcW w:w="180" w:type="dxa"/>
            <w:vAlign w:val="bottom"/>
            <w:shd w:val="clear" w:color="auto" w:fill="BFBFBF"/>
          </w:tcPr>
          <w:p>
            <w:pPr>
              <w:spacing w:after="0"/>
              <w:rPr>
                <w:sz w:val="13"/>
                <w:szCs w:val="13"/>
                <w:color w:val="auto"/>
              </w:rPr>
            </w:pPr>
          </w:p>
        </w:tc>
        <w:tc>
          <w:tcPr>
            <w:tcW w:w="20" w:type="dxa"/>
            <w:vAlign w:val="bottom"/>
            <w:shd w:val="clear" w:color="auto" w:fill="BFBFBF"/>
          </w:tcPr>
          <w:p>
            <w:pPr>
              <w:spacing w:after="0"/>
              <w:rPr>
                <w:sz w:val="13"/>
                <w:szCs w:val="13"/>
                <w:color w:val="auto"/>
              </w:rPr>
            </w:pPr>
          </w:p>
        </w:tc>
        <w:tc>
          <w:tcPr>
            <w:tcW w:w="840" w:type="dxa"/>
            <w:vAlign w:val="bottom"/>
            <w:shd w:val="clear" w:color="auto" w:fill="BFBFBF"/>
          </w:tcPr>
          <w:p>
            <w:pPr>
              <w:spacing w:after="0"/>
              <w:rPr>
                <w:sz w:val="13"/>
                <w:szCs w:val="13"/>
                <w:color w:val="auto"/>
              </w:rPr>
            </w:pPr>
          </w:p>
        </w:tc>
        <w:tc>
          <w:tcPr>
            <w:tcW w:w="220" w:type="dxa"/>
            <w:vAlign w:val="bottom"/>
            <w:shd w:val="clear" w:color="auto" w:fill="BFBFBF"/>
          </w:tcPr>
          <w:p>
            <w:pPr>
              <w:spacing w:after="0"/>
              <w:rPr>
                <w:sz w:val="13"/>
                <w:szCs w:val="13"/>
                <w:color w:val="auto"/>
              </w:rPr>
            </w:pPr>
          </w:p>
        </w:tc>
        <w:tc>
          <w:tcPr>
            <w:tcW w:w="40" w:type="dxa"/>
            <w:vAlign w:val="bottom"/>
            <w:shd w:val="clear" w:color="auto" w:fill="BFBFBF"/>
          </w:tcPr>
          <w:p>
            <w:pPr>
              <w:spacing w:after="0"/>
              <w:rPr>
                <w:sz w:val="13"/>
                <w:szCs w:val="13"/>
                <w:color w:val="auto"/>
              </w:rPr>
            </w:pPr>
          </w:p>
        </w:tc>
        <w:tc>
          <w:tcPr>
            <w:tcW w:w="880" w:type="dxa"/>
            <w:vAlign w:val="bottom"/>
            <w:shd w:val="clear" w:color="auto" w:fill="BFBFBF"/>
          </w:tcPr>
          <w:p>
            <w:pPr>
              <w:spacing w:after="0"/>
              <w:rPr>
                <w:sz w:val="13"/>
                <w:szCs w:val="13"/>
                <w:color w:val="auto"/>
              </w:rPr>
            </w:pPr>
          </w:p>
        </w:tc>
      </w:tr>
      <w:tr>
        <w:trPr>
          <w:trHeight w:val="189"/>
        </w:trPr>
        <w:tc>
          <w:tcPr>
            <w:tcW w:w="9240" w:type="dxa"/>
            <w:vAlign w:val="bottom"/>
          </w:tcPr>
          <w:p>
            <w:pPr>
              <w:spacing w:after="0"/>
              <w:rPr>
                <w:sz w:val="20"/>
                <w:szCs w:val="20"/>
                <w:color w:val="auto"/>
              </w:rPr>
            </w:pPr>
            <w:r>
              <w:rPr>
                <w:rFonts w:ascii="Arial" w:cs="Arial" w:eastAsia="Arial" w:hAnsi="Arial"/>
                <w:sz w:val="16"/>
                <w:szCs w:val="16"/>
                <w:color w:val="auto"/>
              </w:rPr>
              <w:t>LIABILITIES AND SHAREHOLDERS' EQUITY</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9240" w:type="dxa"/>
            <w:vAlign w:val="bottom"/>
            <w:shd w:val="clear" w:color="auto" w:fill="BFBFBF"/>
          </w:tcPr>
          <w:p>
            <w:pPr>
              <w:spacing w:after="0"/>
              <w:rPr>
                <w:sz w:val="20"/>
                <w:szCs w:val="20"/>
                <w:color w:val="auto"/>
              </w:rPr>
            </w:pPr>
            <w:r>
              <w:rPr>
                <w:rFonts w:ascii="Arial" w:cs="Arial" w:eastAsia="Arial" w:hAnsi="Arial"/>
                <w:sz w:val="16"/>
                <w:szCs w:val="16"/>
                <w:color w:val="auto"/>
              </w:rPr>
              <w:t>Accounts payable</w:t>
            </w:r>
          </w:p>
        </w:tc>
        <w:tc>
          <w:tcPr>
            <w:tcW w:w="200" w:type="dxa"/>
            <w:vAlign w:val="bottom"/>
            <w:gridSpan w:val="2"/>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BFBFBF"/>
          </w:tcPr>
          <w:p>
            <w:pPr>
              <w:jc w:val="right"/>
              <w:ind w:right="59"/>
              <w:spacing w:after="0"/>
              <w:rPr>
                <w:sz w:val="20"/>
                <w:szCs w:val="20"/>
                <w:color w:val="auto"/>
              </w:rPr>
            </w:pPr>
            <w:r>
              <w:rPr>
                <w:rFonts w:ascii="Arial" w:cs="Arial" w:eastAsia="Arial" w:hAnsi="Arial"/>
                <w:sz w:val="16"/>
                <w:szCs w:val="16"/>
                <w:color w:val="auto"/>
              </w:rPr>
              <w:t>60,994</w:t>
            </w:r>
          </w:p>
        </w:tc>
        <w:tc>
          <w:tcPr>
            <w:tcW w:w="260" w:type="dxa"/>
            <w:vAlign w:val="bottom"/>
            <w:gridSpan w:val="2"/>
            <w:shd w:val="clear" w:color="auto" w:fill="BFBFBF"/>
          </w:tcPr>
          <w:p>
            <w:pPr>
              <w:ind w:lef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BFBFBF"/>
          </w:tcPr>
          <w:p>
            <w:pPr>
              <w:jc w:val="right"/>
              <w:ind w:right="119"/>
              <w:spacing w:after="0"/>
              <w:rPr>
                <w:sz w:val="20"/>
                <w:szCs w:val="20"/>
                <w:color w:val="auto"/>
              </w:rPr>
            </w:pPr>
            <w:r>
              <w:rPr>
                <w:rFonts w:ascii="Arial" w:cs="Arial" w:eastAsia="Arial" w:hAnsi="Arial"/>
                <w:sz w:val="16"/>
                <w:szCs w:val="16"/>
                <w:color w:val="auto"/>
              </w:rPr>
              <w:t>52,246</w:t>
            </w:r>
          </w:p>
        </w:tc>
      </w:tr>
      <w:tr>
        <w:trPr>
          <w:trHeight w:val="189"/>
        </w:trPr>
        <w:tc>
          <w:tcPr>
            <w:tcW w:w="9240" w:type="dxa"/>
            <w:vAlign w:val="bottom"/>
          </w:tcPr>
          <w:p>
            <w:pPr>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122,741</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129,030</w:t>
            </w:r>
          </w:p>
        </w:tc>
      </w:tr>
      <w:tr>
        <w:trPr>
          <w:trHeight w:val="189"/>
        </w:trPr>
        <w:tc>
          <w:tcPr>
            <w:tcW w:w="9240" w:type="dxa"/>
            <w:vAlign w:val="bottom"/>
            <w:shd w:val="clear" w:color="auto" w:fill="BFBFBF"/>
          </w:tcPr>
          <w:p>
            <w:pPr>
              <w:spacing w:after="0"/>
              <w:rPr>
                <w:sz w:val="20"/>
                <w:szCs w:val="20"/>
                <w:color w:val="auto"/>
              </w:rPr>
            </w:pPr>
            <w:r>
              <w:rPr>
                <w:rFonts w:ascii="Arial" w:cs="Arial" w:eastAsia="Arial" w:hAnsi="Arial"/>
                <w:sz w:val="16"/>
                <w:szCs w:val="16"/>
                <w:color w:val="auto"/>
              </w:rPr>
              <w:t>Current maturities of long-term debt</w:t>
            </w:r>
          </w:p>
        </w:tc>
        <w:tc>
          <w:tcPr>
            <w:tcW w:w="18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840" w:type="dxa"/>
            <w:vAlign w:val="bottom"/>
            <w:shd w:val="clear" w:color="auto" w:fill="BFBFBF"/>
          </w:tcPr>
          <w:p>
            <w:pPr>
              <w:jc w:val="right"/>
              <w:ind w:right="59"/>
              <w:spacing w:after="0"/>
              <w:rPr>
                <w:sz w:val="20"/>
                <w:szCs w:val="20"/>
                <w:color w:val="auto"/>
              </w:rPr>
            </w:pPr>
            <w:r>
              <w:rPr>
                <w:rFonts w:ascii="Arial" w:cs="Arial" w:eastAsia="Arial" w:hAnsi="Arial"/>
                <w:sz w:val="16"/>
                <w:szCs w:val="16"/>
                <w:color w:val="auto"/>
              </w:rPr>
              <w:t>20</w:t>
            </w:r>
          </w:p>
        </w:tc>
        <w:tc>
          <w:tcPr>
            <w:tcW w:w="2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880" w:type="dxa"/>
            <w:vAlign w:val="bottom"/>
            <w:shd w:val="clear" w:color="auto" w:fill="BFBFBF"/>
          </w:tcPr>
          <w:p>
            <w:pPr>
              <w:jc w:val="right"/>
              <w:ind w:right="119"/>
              <w:spacing w:after="0"/>
              <w:rPr>
                <w:sz w:val="20"/>
                <w:szCs w:val="20"/>
                <w:color w:val="auto"/>
              </w:rPr>
            </w:pPr>
            <w:r>
              <w:rPr>
                <w:rFonts w:ascii="Arial" w:cs="Arial" w:eastAsia="Arial" w:hAnsi="Arial"/>
                <w:sz w:val="16"/>
                <w:szCs w:val="16"/>
                <w:color w:val="auto"/>
              </w:rPr>
              <w:t>1,224</w:t>
            </w:r>
          </w:p>
        </w:tc>
      </w:tr>
      <w:tr>
        <w:trPr>
          <w:trHeight w:val="189"/>
        </w:trPr>
        <w:tc>
          <w:tcPr>
            <w:tcW w:w="9240" w:type="dxa"/>
            <w:vAlign w:val="bottom"/>
            <w:tcBorders>
              <w:bottom w:val="single" w:sz="8" w:color="BFBFBF"/>
            </w:tcBorders>
          </w:tcPr>
          <w:p>
            <w:pPr>
              <w:spacing w:after="0"/>
              <w:rPr>
                <w:sz w:val="20"/>
                <w:szCs w:val="20"/>
                <w:color w:val="auto"/>
              </w:rPr>
            </w:pPr>
            <w:r>
              <w:rPr>
                <w:rFonts w:ascii="Arial" w:cs="Arial" w:eastAsia="Arial" w:hAnsi="Arial"/>
                <w:sz w:val="16"/>
                <w:szCs w:val="16"/>
                <w:color w:val="auto"/>
              </w:rPr>
              <w:t>Income taxes payable</w:t>
            </w: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7,787</w:t>
            </w: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6,806</w:t>
            </w:r>
          </w:p>
        </w:tc>
      </w:tr>
      <w:tr>
        <w:trPr>
          <w:trHeight w:val="183"/>
        </w:trPr>
        <w:tc>
          <w:tcPr>
            <w:tcW w:w="9240" w:type="dxa"/>
            <w:vAlign w:val="bottom"/>
            <w:shd w:val="clear" w:color="auto" w:fill="BFBFBF"/>
          </w:tcPr>
          <w:p>
            <w:pPr>
              <w:ind w:left="220"/>
              <w:spacing w:after="0" w:line="183" w:lineRule="exact"/>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BFBFBF"/>
          </w:tcPr>
          <w:p>
            <w:pPr>
              <w:spacing w:after="0"/>
              <w:rPr>
                <w:sz w:val="15"/>
                <w:szCs w:val="15"/>
                <w:color w:val="auto"/>
              </w:rPr>
            </w:pPr>
          </w:p>
        </w:tc>
        <w:tc>
          <w:tcPr>
            <w:tcW w:w="20" w:type="dxa"/>
            <w:vAlign w:val="bottom"/>
            <w:shd w:val="clear" w:color="auto" w:fill="BFBFBF"/>
          </w:tcPr>
          <w:p>
            <w:pPr>
              <w:spacing w:after="0"/>
              <w:rPr>
                <w:sz w:val="15"/>
                <w:szCs w:val="15"/>
                <w:color w:val="auto"/>
              </w:rPr>
            </w:pPr>
          </w:p>
        </w:tc>
        <w:tc>
          <w:tcPr>
            <w:tcW w:w="840" w:type="dxa"/>
            <w:vAlign w:val="bottom"/>
            <w:shd w:val="clear" w:color="auto" w:fill="BFBFBF"/>
          </w:tcPr>
          <w:p>
            <w:pPr>
              <w:jc w:val="right"/>
              <w:ind w:right="59"/>
              <w:spacing w:after="0" w:line="183" w:lineRule="exact"/>
              <w:rPr>
                <w:sz w:val="20"/>
                <w:szCs w:val="20"/>
                <w:color w:val="auto"/>
              </w:rPr>
            </w:pPr>
            <w:r>
              <w:rPr>
                <w:rFonts w:ascii="Arial" w:cs="Arial" w:eastAsia="Arial" w:hAnsi="Arial"/>
                <w:sz w:val="16"/>
                <w:szCs w:val="16"/>
                <w:color w:val="auto"/>
              </w:rPr>
              <w:t>191,542</w:t>
            </w:r>
          </w:p>
        </w:tc>
        <w:tc>
          <w:tcPr>
            <w:tcW w:w="220" w:type="dxa"/>
            <w:vAlign w:val="bottom"/>
            <w:shd w:val="clear" w:color="auto" w:fill="BFBFBF"/>
          </w:tcPr>
          <w:p>
            <w:pPr>
              <w:spacing w:after="0"/>
              <w:rPr>
                <w:sz w:val="15"/>
                <w:szCs w:val="15"/>
                <w:color w:val="auto"/>
              </w:rPr>
            </w:pPr>
          </w:p>
        </w:tc>
        <w:tc>
          <w:tcPr>
            <w:tcW w:w="40" w:type="dxa"/>
            <w:vAlign w:val="bottom"/>
            <w:shd w:val="clear" w:color="auto" w:fill="BFBFBF"/>
          </w:tcPr>
          <w:p>
            <w:pPr>
              <w:spacing w:after="0"/>
              <w:rPr>
                <w:sz w:val="15"/>
                <w:szCs w:val="15"/>
                <w:color w:val="auto"/>
              </w:rPr>
            </w:pPr>
          </w:p>
        </w:tc>
        <w:tc>
          <w:tcPr>
            <w:tcW w:w="880" w:type="dxa"/>
            <w:vAlign w:val="bottom"/>
            <w:shd w:val="clear" w:color="auto" w:fill="BFBFBF"/>
          </w:tcPr>
          <w:p>
            <w:pPr>
              <w:jc w:val="right"/>
              <w:ind w:right="119"/>
              <w:spacing w:after="0" w:line="183" w:lineRule="exact"/>
              <w:rPr>
                <w:sz w:val="20"/>
                <w:szCs w:val="20"/>
                <w:color w:val="auto"/>
              </w:rPr>
            </w:pPr>
            <w:r>
              <w:rPr>
                <w:rFonts w:ascii="Arial" w:cs="Arial" w:eastAsia="Arial" w:hAnsi="Arial"/>
                <w:sz w:val="16"/>
                <w:szCs w:val="16"/>
                <w:color w:val="auto"/>
              </w:rPr>
              <w:t>189,306</w:t>
            </w:r>
          </w:p>
        </w:tc>
      </w:tr>
      <w:tr>
        <w:trPr>
          <w:trHeight w:val="189"/>
        </w:trPr>
        <w:tc>
          <w:tcPr>
            <w:tcW w:w="9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9240" w:type="dxa"/>
            <w:vAlign w:val="bottom"/>
            <w:shd w:val="clear" w:color="auto" w:fill="BFBFBF"/>
          </w:tcPr>
          <w:p>
            <w:pPr>
              <w:spacing w:after="0"/>
              <w:rPr>
                <w:sz w:val="20"/>
                <w:szCs w:val="20"/>
                <w:color w:val="auto"/>
              </w:rPr>
            </w:pPr>
            <w:r>
              <w:rPr>
                <w:rFonts w:ascii="Arial" w:cs="Arial" w:eastAsia="Arial" w:hAnsi="Arial"/>
                <w:sz w:val="16"/>
                <w:szCs w:val="16"/>
                <w:color w:val="auto"/>
              </w:rPr>
              <w:t>Long-term debt</w:t>
            </w:r>
          </w:p>
        </w:tc>
        <w:tc>
          <w:tcPr>
            <w:tcW w:w="18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840" w:type="dxa"/>
            <w:vAlign w:val="bottom"/>
            <w:shd w:val="clear" w:color="auto" w:fill="BFBFBF"/>
          </w:tcPr>
          <w:p>
            <w:pPr>
              <w:jc w:val="right"/>
              <w:ind w:right="59"/>
              <w:spacing w:after="0"/>
              <w:rPr>
                <w:sz w:val="20"/>
                <w:szCs w:val="20"/>
                <w:color w:val="auto"/>
              </w:rPr>
            </w:pPr>
            <w:r>
              <w:rPr>
                <w:rFonts w:ascii="Arial" w:cs="Arial" w:eastAsia="Arial" w:hAnsi="Arial"/>
                <w:sz w:val="16"/>
                <w:szCs w:val="16"/>
                <w:color w:val="auto"/>
              </w:rPr>
              <w:t>424,012</w:t>
            </w:r>
          </w:p>
        </w:tc>
        <w:tc>
          <w:tcPr>
            <w:tcW w:w="2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880" w:type="dxa"/>
            <w:vAlign w:val="bottom"/>
            <w:shd w:val="clear" w:color="auto" w:fill="BFBFBF"/>
          </w:tcPr>
          <w:p>
            <w:pPr>
              <w:jc w:val="right"/>
              <w:ind w:right="119"/>
              <w:spacing w:after="0"/>
              <w:rPr>
                <w:sz w:val="20"/>
                <w:szCs w:val="20"/>
                <w:color w:val="auto"/>
              </w:rPr>
            </w:pPr>
            <w:r>
              <w:rPr>
                <w:rFonts w:ascii="Arial" w:cs="Arial" w:eastAsia="Arial" w:hAnsi="Arial"/>
                <w:sz w:val="16"/>
                <w:szCs w:val="16"/>
                <w:color w:val="auto"/>
              </w:rPr>
              <w:t>523,707</w:t>
            </w:r>
          </w:p>
        </w:tc>
      </w:tr>
      <w:tr>
        <w:trPr>
          <w:trHeight w:val="189"/>
        </w:trPr>
        <w:tc>
          <w:tcPr>
            <w:tcW w:w="924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118,153</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88,277</w:t>
            </w:r>
          </w:p>
        </w:tc>
      </w:tr>
      <w:tr>
        <w:trPr>
          <w:trHeight w:val="189"/>
        </w:trPr>
        <w:tc>
          <w:tcPr>
            <w:tcW w:w="9240" w:type="dxa"/>
            <w:vAlign w:val="bottom"/>
            <w:shd w:val="clear" w:color="auto" w:fill="BFBFBF"/>
          </w:tcPr>
          <w:p>
            <w:pPr>
              <w:spacing w:after="0"/>
              <w:rPr>
                <w:sz w:val="20"/>
                <w:szCs w:val="20"/>
                <w:color w:val="auto"/>
              </w:rPr>
            </w:pPr>
            <w:r>
              <w:rPr>
                <w:rFonts w:ascii="Arial" w:cs="Arial" w:eastAsia="Arial" w:hAnsi="Arial"/>
                <w:sz w:val="16"/>
                <w:szCs w:val="16"/>
                <w:color w:val="auto"/>
              </w:rPr>
              <w:t>Deferred taxes and other liabilities</w:t>
            </w:r>
          </w:p>
        </w:tc>
        <w:tc>
          <w:tcPr>
            <w:tcW w:w="180" w:type="dxa"/>
            <w:vAlign w:val="bottom"/>
            <w:tcBorders>
              <w:bottom w:val="single" w:sz="8" w:color="auto"/>
            </w:tcBorders>
            <w:shd w:val="clear" w:color="auto" w:fill="BFBFBF"/>
          </w:tcPr>
          <w:p>
            <w:pPr>
              <w:spacing w:after="0"/>
              <w:rPr>
                <w:sz w:val="16"/>
                <w:szCs w:val="16"/>
                <w:color w:val="auto"/>
              </w:rPr>
            </w:pPr>
          </w:p>
        </w:tc>
        <w:tc>
          <w:tcPr>
            <w:tcW w:w="20" w:type="dxa"/>
            <w:vAlign w:val="bottom"/>
            <w:tcBorders>
              <w:bottom w:val="single" w:sz="8" w:color="auto"/>
            </w:tcBorders>
            <w:shd w:val="clear" w:color="auto" w:fill="BFBFBF"/>
          </w:tcPr>
          <w:p>
            <w:pPr>
              <w:spacing w:after="0"/>
              <w:rPr>
                <w:sz w:val="16"/>
                <w:szCs w:val="16"/>
                <w:color w:val="auto"/>
              </w:rPr>
            </w:pPr>
          </w:p>
        </w:tc>
        <w:tc>
          <w:tcPr>
            <w:tcW w:w="840" w:type="dxa"/>
            <w:vAlign w:val="bottom"/>
            <w:tcBorders>
              <w:bottom w:val="single" w:sz="8" w:color="auto"/>
            </w:tcBorders>
            <w:shd w:val="clear" w:color="auto" w:fill="BFBFBF"/>
          </w:tcPr>
          <w:p>
            <w:pPr>
              <w:jc w:val="right"/>
              <w:ind w:right="59"/>
              <w:spacing w:after="0"/>
              <w:rPr>
                <w:sz w:val="20"/>
                <w:szCs w:val="20"/>
                <w:color w:val="auto"/>
              </w:rPr>
            </w:pPr>
            <w:r>
              <w:rPr>
                <w:rFonts w:ascii="Arial" w:cs="Arial" w:eastAsia="Arial" w:hAnsi="Arial"/>
                <w:sz w:val="16"/>
                <w:szCs w:val="16"/>
                <w:color w:val="auto"/>
              </w:rPr>
              <w:t>7,934</w:t>
            </w:r>
          </w:p>
        </w:tc>
        <w:tc>
          <w:tcPr>
            <w:tcW w:w="220" w:type="dxa"/>
            <w:vAlign w:val="bottom"/>
            <w:tcBorders>
              <w:bottom w:val="single" w:sz="8" w:color="auto"/>
            </w:tcBorders>
            <w:shd w:val="clear" w:color="auto" w:fill="BFBFBF"/>
          </w:tcPr>
          <w:p>
            <w:pPr>
              <w:spacing w:after="0"/>
              <w:rPr>
                <w:sz w:val="16"/>
                <w:szCs w:val="16"/>
                <w:color w:val="auto"/>
              </w:rPr>
            </w:pPr>
          </w:p>
        </w:tc>
        <w:tc>
          <w:tcPr>
            <w:tcW w:w="40" w:type="dxa"/>
            <w:vAlign w:val="bottom"/>
            <w:tcBorders>
              <w:bottom w:val="single" w:sz="8" w:color="auto"/>
            </w:tcBorders>
            <w:shd w:val="clear" w:color="auto" w:fill="BFBFBF"/>
          </w:tcPr>
          <w:p>
            <w:pPr>
              <w:spacing w:after="0"/>
              <w:rPr>
                <w:sz w:val="16"/>
                <w:szCs w:val="16"/>
                <w:color w:val="auto"/>
              </w:rPr>
            </w:pPr>
          </w:p>
        </w:tc>
        <w:tc>
          <w:tcPr>
            <w:tcW w:w="880" w:type="dxa"/>
            <w:vAlign w:val="bottom"/>
            <w:tcBorders>
              <w:bottom w:val="single" w:sz="8" w:color="auto"/>
            </w:tcBorders>
            <w:shd w:val="clear" w:color="auto" w:fill="BFBFBF"/>
          </w:tcPr>
          <w:p>
            <w:pPr>
              <w:jc w:val="right"/>
              <w:ind w:right="119"/>
              <w:spacing w:after="0"/>
              <w:rPr>
                <w:sz w:val="20"/>
                <w:szCs w:val="20"/>
                <w:color w:val="auto"/>
              </w:rPr>
            </w:pPr>
            <w:r>
              <w:rPr>
                <w:rFonts w:ascii="Arial" w:cs="Arial" w:eastAsia="Arial" w:hAnsi="Arial"/>
                <w:sz w:val="16"/>
                <w:szCs w:val="16"/>
                <w:color w:val="auto"/>
              </w:rPr>
              <w:t>8,422</w:t>
            </w:r>
          </w:p>
        </w:tc>
      </w:tr>
      <w:tr>
        <w:trPr>
          <w:trHeight w:val="183"/>
        </w:trPr>
        <w:tc>
          <w:tcPr>
            <w:tcW w:w="9240" w:type="dxa"/>
            <w:vAlign w:val="bottom"/>
            <w:tcBorders>
              <w:bottom w:val="single" w:sz="8" w:color="BFBFBF"/>
            </w:tcBorders>
          </w:tcPr>
          <w:p>
            <w:pPr>
              <w:ind w:left="220"/>
              <w:spacing w:after="0" w:line="183" w:lineRule="exact"/>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741,641</w:t>
            </w: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809,712</w:t>
            </w:r>
          </w:p>
        </w:tc>
      </w:tr>
      <w:tr>
        <w:trPr>
          <w:trHeight w:val="169"/>
        </w:trPr>
        <w:tc>
          <w:tcPr>
            <w:tcW w:w="9240" w:type="dxa"/>
            <w:vAlign w:val="bottom"/>
            <w:shd w:val="clear" w:color="auto" w:fill="BFBFBF"/>
          </w:tcPr>
          <w:p>
            <w:pPr>
              <w:spacing w:after="0"/>
              <w:rPr>
                <w:sz w:val="14"/>
                <w:szCs w:val="14"/>
                <w:color w:val="auto"/>
              </w:rPr>
            </w:pPr>
          </w:p>
        </w:tc>
        <w:tc>
          <w:tcPr>
            <w:tcW w:w="180" w:type="dxa"/>
            <w:vAlign w:val="bottom"/>
            <w:shd w:val="clear" w:color="auto" w:fill="BFBFBF"/>
          </w:tcPr>
          <w:p>
            <w:pPr>
              <w:spacing w:after="0"/>
              <w:rPr>
                <w:sz w:val="14"/>
                <w:szCs w:val="14"/>
                <w:color w:val="auto"/>
              </w:rPr>
            </w:pPr>
          </w:p>
        </w:tc>
        <w:tc>
          <w:tcPr>
            <w:tcW w:w="20" w:type="dxa"/>
            <w:vAlign w:val="bottom"/>
            <w:shd w:val="clear" w:color="auto" w:fill="BFBFBF"/>
          </w:tcPr>
          <w:p>
            <w:pPr>
              <w:spacing w:after="0"/>
              <w:rPr>
                <w:sz w:val="14"/>
                <w:szCs w:val="14"/>
                <w:color w:val="auto"/>
              </w:rPr>
            </w:pPr>
          </w:p>
        </w:tc>
        <w:tc>
          <w:tcPr>
            <w:tcW w:w="840" w:type="dxa"/>
            <w:vAlign w:val="bottom"/>
            <w:shd w:val="clear" w:color="auto" w:fill="BFBFBF"/>
          </w:tcPr>
          <w:p>
            <w:pPr>
              <w:spacing w:after="0"/>
              <w:rPr>
                <w:sz w:val="14"/>
                <w:szCs w:val="14"/>
                <w:color w:val="auto"/>
              </w:rPr>
            </w:pPr>
          </w:p>
        </w:tc>
        <w:tc>
          <w:tcPr>
            <w:tcW w:w="220" w:type="dxa"/>
            <w:vAlign w:val="bottom"/>
            <w:shd w:val="clear" w:color="auto" w:fill="BFBFBF"/>
          </w:tcPr>
          <w:p>
            <w:pPr>
              <w:spacing w:after="0"/>
              <w:rPr>
                <w:sz w:val="14"/>
                <w:szCs w:val="14"/>
                <w:color w:val="auto"/>
              </w:rPr>
            </w:pPr>
          </w:p>
        </w:tc>
        <w:tc>
          <w:tcPr>
            <w:tcW w:w="40" w:type="dxa"/>
            <w:vAlign w:val="bottom"/>
            <w:shd w:val="clear" w:color="auto" w:fill="BFBFBF"/>
          </w:tcPr>
          <w:p>
            <w:pPr>
              <w:spacing w:after="0"/>
              <w:rPr>
                <w:sz w:val="14"/>
                <w:szCs w:val="14"/>
                <w:color w:val="auto"/>
              </w:rPr>
            </w:pPr>
          </w:p>
        </w:tc>
        <w:tc>
          <w:tcPr>
            <w:tcW w:w="880" w:type="dxa"/>
            <w:vAlign w:val="bottom"/>
            <w:shd w:val="clear" w:color="auto" w:fill="BFBFBF"/>
          </w:tcPr>
          <w:p>
            <w:pPr>
              <w:spacing w:after="0"/>
              <w:rPr>
                <w:sz w:val="14"/>
                <w:szCs w:val="14"/>
                <w:color w:val="auto"/>
              </w:rPr>
            </w:pPr>
          </w:p>
        </w:tc>
      </w:tr>
      <w:tr>
        <w:trPr>
          <w:trHeight w:val="189"/>
        </w:trPr>
        <w:tc>
          <w:tcPr>
            <w:tcW w:w="9240" w:type="dxa"/>
            <w:vAlign w:val="bottom"/>
          </w:tcPr>
          <w:p>
            <w:pPr>
              <w:spacing w:after="0"/>
              <w:rPr>
                <w:sz w:val="20"/>
                <w:szCs w:val="20"/>
                <w:color w:val="auto"/>
              </w:rPr>
            </w:pPr>
            <w:r>
              <w:rPr>
                <w:rFonts w:ascii="Arial" w:cs="Arial" w:eastAsia="Arial" w:hAnsi="Arial"/>
                <w:sz w:val="16"/>
                <w:szCs w:val="16"/>
                <w:color w:val="auto"/>
              </w:rPr>
              <w:t>SHAREHOLDERS' EQUITY</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9240" w:type="dxa"/>
            <w:vAlign w:val="bottom"/>
            <w:shd w:val="clear" w:color="auto" w:fill="BFBFBF"/>
          </w:tcPr>
          <w:p>
            <w:pPr>
              <w:spacing w:after="0"/>
              <w:rPr>
                <w:sz w:val="20"/>
                <w:szCs w:val="20"/>
                <w:color w:val="auto"/>
              </w:rPr>
            </w:pPr>
            <w:r>
              <w:rPr>
                <w:rFonts w:ascii="Arial" w:cs="Arial" w:eastAsia="Arial" w:hAnsi="Arial"/>
                <w:sz w:val="16"/>
                <w:szCs w:val="16"/>
                <w:color w:val="auto"/>
              </w:rPr>
              <w:t>Preferred stock, par value $5.00 per share; authorized 2,000,000 shares; none issued</w:t>
            </w:r>
          </w:p>
        </w:tc>
        <w:tc>
          <w:tcPr>
            <w:tcW w:w="18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840" w:type="dxa"/>
            <w:vAlign w:val="bottom"/>
            <w:shd w:val="clear" w:color="auto" w:fill="BFBFB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880" w:type="dxa"/>
            <w:vAlign w:val="bottom"/>
            <w:shd w:val="clear" w:color="auto" w:fill="BFBFBF"/>
          </w:tcPr>
          <w:p>
            <w:pPr>
              <w:jc w:val="right"/>
              <w:ind w:right="119"/>
              <w:spacing w:after="0"/>
              <w:rPr>
                <w:sz w:val="20"/>
                <w:szCs w:val="20"/>
                <w:color w:val="auto"/>
              </w:rPr>
            </w:pPr>
            <w:r>
              <w:rPr>
                <w:rFonts w:ascii="Arial" w:cs="Arial" w:eastAsia="Arial" w:hAnsi="Arial"/>
                <w:sz w:val="16"/>
                <w:szCs w:val="16"/>
                <w:color w:val="auto"/>
              </w:rPr>
              <w:t>—</w:t>
            </w:r>
          </w:p>
        </w:tc>
      </w:tr>
      <w:tr>
        <w:trPr>
          <w:trHeight w:val="191"/>
        </w:trPr>
        <w:tc>
          <w:tcPr>
            <w:tcW w:w="9240" w:type="dxa"/>
            <w:vAlign w:val="bottom"/>
          </w:tcPr>
          <w:p>
            <w:pPr>
              <w:spacing w:after="0"/>
              <w:rPr>
                <w:sz w:val="20"/>
                <w:szCs w:val="20"/>
                <w:color w:val="auto"/>
              </w:rPr>
            </w:pPr>
            <w:r>
              <w:rPr>
                <w:rFonts w:ascii="Arial" w:cs="Arial" w:eastAsia="Arial" w:hAnsi="Arial"/>
                <w:sz w:val="16"/>
                <w:szCs w:val="16"/>
                <w:color w:val="auto"/>
              </w:rPr>
              <w:t>Class A Common Stock, par value $.001 per share; authorized 100,000,000 shares; issued 39,098,292 in 2019 and 37,450,329</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7"/>
        </w:trPr>
        <w:tc>
          <w:tcPr>
            <w:tcW w:w="9240" w:type="dxa"/>
            <w:vAlign w:val="bottom"/>
          </w:tcPr>
          <w:p>
            <w:pPr>
              <w:ind w:left="120"/>
              <w:spacing w:after="0"/>
              <w:rPr>
                <w:sz w:val="20"/>
                <w:szCs w:val="20"/>
                <w:color w:val="auto"/>
              </w:rPr>
            </w:pPr>
            <w:r>
              <w:rPr>
                <w:rFonts w:ascii="Arial" w:cs="Arial" w:eastAsia="Arial" w:hAnsi="Arial"/>
                <w:sz w:val="16"/>
                <w:szCs w:val="16"/>
                <w:color w:val="auto"/>
              </w:rPr>
              <w:t>in 2018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37</w:t>
            </w:r>
          </w:p>
        </w:tc>
      </w:tr>
      <w:tr>
        <w:trPr>
          <w:trHeight w:val="191"/>
        </w:trPr>
        <w:tc>
          <w:tcPr>
            <w:tcW w:w="9240" w:type="dxa"/>
            <w:vAlign w:val="bottom"/>
            <w:shd w:val="clear" w:color="auto" w:fill="BFBFBF"/>
          </w:tcPr>
          <w:p>
            <w:pPr>
              <w:spacing w:after="0"/>
              <w:rPr>
                <w:sz w:val="20"/>
                <w:szCs w:val="20"/>
                <w:color w:val="auto"/>
              </w:rPr>
            </w:pPr>
            <w:r>
              <w:rPr>
                <w:rFonts w:ascii="Arial" w:cs="Arial" w:eastAsia="Arial" w:hAnsi="Arial"/>
                <w:sz w:val="16"/>
                <w:szCs w:val="16"/>
                <w:color w:val="auto"/>
              </w:rPr>
              <w:t>Class B Common Stock, par value $.001 per share; authorized 25,000,000 shares; issued and outstanding 1,617,998 in 2019</w:t>
            </w:r>
          </w:p>
        </w:tc>
        <w:tc>
          <w:tcPr>
            <w:tcW w:w="18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840" w:type="dxa"/>
            <w:vAlign w:val="bottom"/>
            <w:shd w:val="clear" w:color="auto" w:fill="BFBFBF"/>
          </w:tcPr>
          <w:p>
            <w:pPr>
              <w:spacing w:after="0"/>
              <w:rPr>
                <w:sz w:val="16"/>
                <w:szCs w:val="16"/>
                <w:color w:val="auto"/>
              </w:rPr>
            </w:pPr>
          </w:p>
        </w:tc>
        <w:tc>
          <w:tcPr>
            <w:tcW w:w="2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880" w:type="dxa"/>
            <w:vAlign w:val="bottom"/>
            <w:shd w:val="clear" w:color="auto" w:fill="BFBFBF"/>
          </w:tcPr>
          <w:p>
            <w:pPr>
              <w:spacing w:after="0"/>
              <w:rPr>
                <w:sz w:val="16"/>
                <w:szCs w:val="16"/>
                <w:color w:val="auto"/>
              </w:rPr>
            </w:pPr>
          </w:p>
        </w:tc>
      </w:tr>
      <w:tr>
        <w:trPr>
          <w:trHeight w:val="187"/>
        </w:trPr>
        <w:tc>
          <w:tcPr>
            <w:tcW w:w="9240" w:type="dxa"/>
            <w:vAlign w:val="bottom"/>
            <w:shd w:val="clear" w:color="auto" w:fill="BFBFBF"/>
          </w:tcPr>
          <w:p>
            <w:pPr>
              <w:ind w:left="120"/>
              <w:spacing w:after="0"/>
              <w:rPr>
                <w:sz w:val="20"/>
                <w:szCs w:val="20"/>
                <w:color w:val="auto"/>
              </w:rPr>
            </w:pPr>
            <w:r>
              <w:rPr>
                <w:rFonts w:ascii="Arial" w:cs="Arial" w:eastAsia="Arial" w:hAnsi="Arial"/>
                <w:sz w:val="16"/>
                <w:szCs w:val="16"/>
                <w:color w:val="auto"/>
              </w:rPr>
              <w:t>and 3,233,998 in 2018</w:t>
            </w:r>
          </w:p>
        </w:tc>
        <w:tc>
          <w:tcPr>
            <w:tcW w:w="18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840" w:type="dxa"/>
            <w:vAlign w:val="bottom"/>
            <w:shd w:val="clear" w:color="auto" w:fill="BFBFBF"/>
          </w:tcPr>
          <w:p>
            <w:pPr>
              <w:jc w:val="right"/>
              <w:ind w:right="59"/>
              <w:spacing w:after="0"/>
              <w:rPr>
                <w:sz w:val="20"/>
                <w:szCs w:val="20"/>
                <w:color w:val="auto"/>
              </w:rPr>
            </w:pPr>
            <w:r>
              <w:rPr>
                <w:rFonts w:ascii="Arial" w:cs="Arial" w:eastAsia="Arial" w:hAnsi="Arial"/>
                <w:sz w:val="16"/>
                <w:szCs w:val="16"/>
                <w:color w:val="auto"/>
              </w:rPr>
              <w:t>2</w:t>
            </w:r>
          </w:p>
        </w:tc>
        <w:tc>
          <w:tcPr>
            <w:tcW w:w="2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880" w:type="dxa"/>
            <w:vAlign w:val="bottom"/>
            <w:shd w:val="clear" w:color="auto" w:fill="BFBFBF"/>
          </w:tcPr>
          <w:p>
            <w:pPr>
              <w:jc w:val="right"/>
              <w:ind w:right="119"/>
              <w:spacing w:after="0"/>
              <w:rPr>
                <w:sz w:val="20"/>
                <w:szCs w:val="20"/>
                <w:color w:val="auto"/>
              </w:rPr>
            </w:pPr>
            <w:r>
              <w:rPr>
                <w:rFonts w:ascii="Arial" w:cs="Arial" w:eastAsia="Arial" w:hAnsi="Arial"/>
                <w:sz w:val="16"/>
                <w:szCs w:val="16"/>
                <w:color w:val="auto"/>
              </w:rPr>
              <w:t>3</w:t>
            </w:r>
          </w:p>
        </w:tc>
      </w:tr>
      <w:tr>
        <w:trPr>
          <w:trHeight w:val="189"/>
        </w:trPr>
        <w:tc>
          <w:tcPr>
            <w:tcW w:w="9240" w:type="dxa"/>
            <w:vAlign w:val="bottom"/>
          </w:tcPr>
          <w:p>
            <w:pPr>
              <w:spacing w:after="0"/>
              <w:rPr>
                <w:sz w:val="20"/>
                <w:szCs w:val="20"/>
                <w:color w:val="auto"/>
              </w:rPr>
            </w:pPr>
            <w:r>
              <w:rPr>
                <w:rFonts w:ascii="Arial" w:cs="Arial" w:eastAsia="Arial" w:hAnsi="Arial"/>
                <w:sz w:val="16"/>
                <w:szCs w:val="16"/>
                <w:color w:val="auto"/>
              </w:rPr>
              <w:t>Additional paid in capital</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431,860</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430,555</w:t>
            </w:r>
          </w:p>
        </w:tc>
      </w:tr>
      <w:tr>
        <w:trPr>
          <w:trHeight w:val="189"/>
        </w:trPr>
        <w:tc>
          <w:tcPr>
            <w:tcW w:w="9240" w:type="dxa"/>
            <w:vAlign w:val="bottom"/>
            <w:shd w:val="clear" w:color="auto" w:fill="BFBFBF"/>
          </w:tcPr>
          <w:p>
            <w:pPr>
              <w:spacing w:after="0"/>
              <w:rPr>
                <w:sz w:val="20"/>
                <w:szCs w:val="20"/>
                <w:color w:val="auto"/>
              </w:rPr>
            </w:pPr>
            <w:r>
              <w:rPr>
                <w:rFonts w:ascii="Arial" w:cs="Arial" w:eastAsia="Arial" w:hAnsi="Arial"/>
                <w:sz w:val="16"/>
                <w:szCs w:val="16"/>
                <w:color w:val="auto"/>
              </w:rPr>
              <w:t>Retained earnings</w:t>
            </w:r>
          </w:p>
        </w:tc>
        <w:tc>
          <w:tcPr>
            <w:tcW w:w="18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840" w:type="dxa"/>
            <w:vAlign w:val="bottom"/>
            <w:shd w:val="clear" w:color="auto" w:fill="BFBFBF"/>
          </w:tcPr>
          <w:p>
            <w:pPr>
              <w:jc w:val="right"/>
              <w:ind w:right="59"/>
              <w:spacing w:after="0"/>
              <w:rPr>
                <w:sz w:val="20"/>
                <w:szCs w:val="20"/>
                <w:color w:val="auto"/>
              </w:rPr>
            </w:pPr>
            <w:r>
              <w:rPr>
                <w:rFonts w:ascii="Arial" w:cs="Arial" w:eastAsia="Arial" w:hAnsi="Arial"/>
                <w:sz w:val="16"/>
                <w:szCs w:val="16"/>
                <w:color w:val="auto"/>
              </w:rPr>
              <w:t>675,491</w:t>
            </w:r>
          </w:p>
        </w:tc>
        <w:tc>
          <w:tcPr>
            <w:tcW w:w="2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880" w:type="dxa"/>
            <w:vAlign w:val="bottom"/>
            <w:shd w:val="clear" w:color="auto" w:fill="BFBFBF"/>
          </w:tcPr>
          <w:p>
            <w:pPr>
              <w:jc w:val="right"/>
              <w:ind w:right="119"/>
              <w:spacing w:after="0"/>
              <w:rPr>
                <w:sz w:val="20"/>
                <w:szCs w:val="20"/>
                <w:color w:val="auto"/>
              </w:rPr>
            </w:pPr>
            <w:r>
              <w:rPr>
                <w:rFonts w:ascii="Arial" w:cs="Arial" w:eastAsia="Arial" w:hAnsi="Arial"/>
                <w:sz w:val="16"/>
                <w:szCs w:val="16"/>
                <w:color w:val="auto"/>
              </w:rPr>
              <w:t>589,645</w:t>
            </w:r>
          </w:p>
        </w:tc>
      </w:tr>
      <w:tr>
        <w:trPr>
          <w:trHeight w:val="189"/>
        </w:trPr>
        <w:tc>
          <w:tcPr>
            <w:tcW w:w="9240" w:type="dxa"/>
            <w:vAlign w:val="bottom"/>
          </w:tcPr>
          <w:p>
            <w:pPr>
              <w:spacing w:after="0"/>
              <w:rPr>
                <w:sz w:val="20"/>
                <w:szCs w:val="20"/>
                <w:color w:val="auto"/>
              </w:rPr>
            </w:pPr>
            <w:r>
              <w:rPr>
                <w:rFonts w:ascii="Arial" w:cs="Arial" w:eastAsia="Arial" w:hAnsi="Arial"/>
                <w:sz w:val="16"/>
                <w:szCs w:val="16"/>
                <w:color w:val="auto"/>
              </w:rPr>
              <w:t>Accumulated items of other comprehensive income:</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9240" w:type="dxa"/>
            <w:vAlign w:val="bottom"/>
            <w:shd w:val="clear" w:color="auto" w:fill="BFBFBF"/>
          </w:tcPr>
          <w:p>
            <w:pPr>
              <w:ind w:left="220"/>
              <w:spacing w:after="0"/>
              <w:rPr>
                <w:sz w:val="20"/>
                <w:szCs w:val="20"/>
                <w:color w:val="auto"/>
              </w:rPr>
            </w:pPr>
            <w:r>
              <w:rPr>
                <w:rFonts w:ascii="Arial" w:cs="Arial" w:eastAsia="Arial" w:hAnsi="Arial"/>
                <w:sz w:val="16"/>
                <w:szCs w:val="16"/>
                <w:color w:val="auto"/>
              </w:rPr>
              <w:t>Translation adjustments</w:t>
            </w:r>
          </w:p>
        </w:tc>
        <w:tc>
          <w:tcPr>
            <w:tcW w:w="18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840" w:type="dxa"/>
            <w:vAlign w:val="bottom"/>
            <w:shd w:val="clear" w:color="auto" w:fill="BFBFBF"/>
          </w:tcPr>
          <w:p>
            <w:pPr>
              <w:jc w:val="right"/>
              <w:ind w:right="19"/>
              <w:spacing w:after="0"/>
              <w:rPr>
                <w:sz w:val="20"/>
                <w:szCs w:val="20"/>
                <w:color w:val="auto"/>
              </w:rPr>
            </w:pPr>
            <w:r>
              <w:rPr>
                <w:rFonts w:ascii="Arial" w:cs="Arial" w:eastAsia="Arial" w:hAnsi="Arial"/>
                <w:sz w:val="16"/>
                <w:szCs w:val="16"/>
                <w:color w:val="auto"/>
              </w:rPr>
              <w:t>(139,153)</w:t>
            </w:r>
          </w:p>
        </w:tc>
        <w:tc>
          <w:tcPr>
            <w:tcW w:w="2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880" w:type="dxa"/>
            <w:vAlign w:val="bottom"/>
            <w:shd w:val="clear" w:color="auto" w:fill="BFBFBF"/>
          </w:tcPr>
          <w:p>
            <w:pPr>
              <w:jc w:val="right"/>
              <w:ind w:right="59"/>
              <w:spacing w:after="0"/>
              <w:rPr>
                <w:sz w:val="20"/>
                <w:szCs w:val="20"/>
                <w:color w:val="auto"/>
              </w:rPr>
            </w:pPr>
            <w:r>
              <w:rPr>
                <w:rFonts w:ascii="Arial" w:cs="Arial" w:eastAsia="Arial" w:hAnsi="Arial"/>
                <w:sz w:val="16"/>
                <w:szCs w:val="16"/>
                <w:color w:val="auto"/>
              </w:rPr>
              <w:t>(115,976)</w:t>
            </w:r>
          </w:p>
        </w:tc>
      </w:tr>
      <w:tr>
        <w:trPr>
          <w:trHeight w:val="189"/>
        </w:trPr>
        <w:tc>
          <w:tcPr>
            <w:tcW w:w="9240" w:type="dxa"/>
            <w:vAlign w:val="bottom"/>
          </w:tcPr>
          <w:p>
            <w:pPr>
              <w:ind w:left="220"/>
              <w:spacing w:after="0"/>
              <w:rPr>
                <w:sz w:val="20"/>
                <w:szCs w:val="20"/>
                <w:color w:val="auto"/>
              </w:rPr>
            </w:pPr>
            <w:r>
              <w:rPr>
                <w:rFonts w:ascii="Arial" w:cs="Arial" w:eastAsia="Arial" w:hAnsi="Arial"/>
                <w:sz w:val="16"/>
                <w:szCs w:val="16"/>
                <w:color w:val="auto"/>
              </w:rPr>
              <w:t>Pension and postretirement liability adjustments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(48,146)</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(47,109)</w:t>
            </w:r>
          </w:p>
        </w:tc>
      </w:tr>
      <w:tr>
        <w:trPr>
          <w:trHeight w:val="189"/>
        </w:trPr>
        <w:tc>
          <w:tcPr>
            <w:tcW w:w="9240" w:type="dxa"/>
            <w:vAlign w:val="bottom"/>
            <w:shd w:val="clear" w:color="auto" w:fill="BFBFBF"/>
          </w:tcPr>
          <w:p>
            <w:pPr>
              <w:ind w:left="220"/>
              <w:spacing w:after="0"/>
              <w:rPr>
                <w:sz w:val="20"/>
                <w:szCs w:val="20"/>
                <w:color w:val="auto"/>
              </w:rPr>
            </w:pPr>
            <w:r>
              <w:rPr>
                <w:rFonts w:ascii="Arial" w:cs="Arial" w:eastAsia="Arial" w:hAnsi="Arial"/>
                <w:sz w:val="16"/>
                <w:szCs w:val="16"/>
                <w:color w:val="auto"/>
              </w:rPr>
              <w:t>Derivative valuation adjustment</w:t>
            </w:r>
          </w:p>
        </w:tc>
        <w:tc>
          <w:tcPr>
            <w:tcW w:w="18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8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(4,172)</w:t>
            </w:r>
          </w:p>
        </w:tc>
        <w:tc>
          <w:tcPr>
            <w:tcW w:w="2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880" w:type="dxa"/>
            <w:vAlign w:val="bottom"/>
            <w:shd w:val="clear" w:color="auto" w:fill="BFBFBF"/>
          </w:tcPr>
          <w:p>
            <w:pPr>
              <w:jc w:val="right"/>
              <w:ind w:right="119"/>
              <w:spacing w:after="0"/>
              <w:rPr>
                <w:sz w:val="20"/>
                <w:szCs w:val="20"/>
                <w:color w:val="auto"/>
              </w:rPr>
            </w:pPr>
            <w:r>
              <w:rPr>
                <w:rFonts w:ascii="Arial" w:cs="Arial" w:eastAsia="Arial" w:hAnsi="Arial"/>
                <w:sz w:val="16"/>
                <w:szCs w:val="16"/>
                <w:color w:val="auto"/>
              </w:rPr>
              <w:t>4,697</w:t>
            </w:r>
          </w:p>
        </w:tc>
      </w:tr>
      <w:tr>
        <w:trPr>
          <w:trHeight w:val="189"/>
        </w:trPr>
        <w:tc>
          <w:tcPr>
            <w:tcW w:w="9240" w:type="dxa"/>
            <w:vAlign w:val="bottom"/>
            <w:tcBorders>
              <w:bottom w:val="single" w:sz="8" w:color="BFBFBF"/>
            </w:tcBorders>
          </w:tcPr>
          <w:p>
            <w:pPr>
              <w:spacing w:after="0"/>
              <w:rPr>
                <w:sz w:val="20"/>
                <w:szCs w:val="20"/>
                <w:color w:val="auto"/>
              </w:rPr>
            </w:pPr>
            <w:r>
              <w:rPr>
                <w:rFonts w:ascii="Arial" w:cs="Arial" w:eastAsia="Arial" w:hAnsi="Arial"/>
                <w:sz w:val="16"/>
                <w:szCs w:val="16"/>
                <w:color w:val="auto"/>
              </w:rPr>
              <w:t>Treasury stock (Class A), at cost 8,408,770 shares in 2019 and 8,418,620 shares in 2018</w:t>
            </w: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(256,391)</w:t>
            </w: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(256,603)</w:t>
            </w:r>
          </w:p>
        </w:tc>
      </w:tr>
      <w:tr>
        <w:trPr>
          <w:trHeight w:val="183"/>
        </w:trPr>
        <w:tc>
          <w:tcPr>
            <w:tcW w:w="9240" w:type="dxa"/>
            <w:vAlign w:val="bottom"/>
            <w:shd w:val="clear" w:color="auto" w:fill="BFBFBF"/>
          </w:tcPr>
          <w:p>
            <w:pPr>
              <w:ind w:left="220"/>
              <w:spacing w:after="0" w:line="183" w:lineRule="exact"/>
              <w:rPr>
                <w:sz w:val="20"/>
                <w:szCs w:val="20"/>
                <w:color w:val="auto"/>
              </w:rPr>
            </w:pPr>
            <w:r>
              <w:rPr>
                <w:rFonts w:ascii="Arial" w:cs="Arial" w:eastAsia="Arial" w:hAnsi="Arial"/>
                <w:sz w:val="16"/>
                <w:szCs w:val="16"/>
                <w:color w:val="auto"/>
              </w:rPr>
              <w:t>Total Company shareholders' equity</w:t>
            </w:r>
          </w:p>
        </w:tc>
        <w:tc>
          <w:tcPr>
            <w:tcW w:w="180" w:type="dxa"/>
            <w:vAlign w:val="bottom"/>
            <w:shd w:val="clear" w:color="auto" w:fill="BFBFBF"/>
          </w:tcPr>
          <w:p>
            <w:pPr>
              <w:spacing w:after="0"/>
              <w:rPr>
                <w:sz w:val="15"/>
                <w:szCs w:val="15"/>
                <w:color w:val="auto"/>
              </w:rPr>
            </w:pPr>
          </w:p>
        </w:tc>
        <w:tc>
          <w:tcPr>
            <w:tcW w:w="20" w:type="dxa"/>
            <w:vAlign w:val="bottom"/>
            <w:shd w:val="clear" w:color="auto" w:fill="BFBFBF"/>
          </w:tcPr>
          <w:p>
            <w:pPr>
              <w:spacing w:after="0"/>
              <w:rPr>
                <w:sz w:val="15"/>
                <w:szCs w:val="15"/>
                <w:color w:val="auto"/>
              </w:rPr>
            </w:pPr>
          </w:p>
        </w:tc>
        <w:tc>
          <w:tcPr>
            <w:tcW w:w="840" w:type="dxa"/>
            <w:vAlign w:val="bottom"/>
            <w:shd w:val="clear" w:color="auto" w:fill="BFBFBF"/>
          </w:tcPr>
          <w:p>
            <w:pPr>
              <w:jc w:val="right"/>
              <w:ind w:right="59"/>
              <w:spacing w:after="0" w:line="183" w:lineRule="exact"/>
              <w:rPr>
                <w:sz w:val="20"/>
                <w:szCs w:val="20"/>
                <w:color w:val="auto"/>
              </w:rPr>
            </w:pPr>
            <w:r>
              <w:rPr>
                <w:rFonts w:ascii="Arial" w:cs="Arial" w:eastAsia="Arial" w:hAnsi="Arial"/>
                <w:sz w:val="16"/>
                <w:szCs w:val="16"/>
                <w:color w:val="auto"/>
              </w:rPr>
              <w:t>659,530</w:t>
            </w:r>
          </w:p>
        </w:tc>
        <w:tc>
          <w:tcPr>
            <w:tcW w:w="220" w:type="dxa"/>
            <w:vAlign w:val="bottom"/>
            <w:shd w:val="clear" w:color="auto" w:fill="BFBFBF"/>
          </w:tcPr>
          <w:p>
            <w:pPr>
              <w:spacing w:after="0"/>
              <w:rPr>
                <w:sz w:val="15"/>
                <w:szCs w:val="15"/>
                <w:color w:val="auto"/>
              </w:rPr>
            </w:pPr>
          </w:p>
        </w:tc>
        <w:tc>
          <w:tcPr>
            <w:tcW w:w="40" w:type="dxa"/>
            <w:vAlign w:val="bottom"/>
            <w:shd w:val="clear" w:color="auto" w:fill="BFBFBF"/>
          </w:tcPr>
          <w:p>
            <w:pPr>
              <w:spacing w:after="0"/>
              <w:rPr>
                <w:sz w:val="15"/>
                <w:szCs w:val="15"/>
                <w:color w:val="auto"/>
              </w:rPr>
            </w:pPr>
          </w:p>
        </w:tc>
        <w:tc>
          <w:tcPr>
            <w:tcW w:w="880" w:type="dxa"/>
            <w:vAlign w:val="bottom"/>
            <w:shd w:val="clear" w:color="auto" w:fill="BFBFBF"/>
          </w:tcPr>
          <w:p>
            <w:pPr>
              <w:jc w:val="right"/>
              <w:ind w:right="119"/>
              <w:spacing w:after="0" w:line="183" w:lineRule="exact"/>
              <w:rPr>
                <w:sz w:val="20"/>
                <w:szCs w:val="20"/>
                <w:color w:val="auto"/>
              </w:rPr>
            </w:pPr>
            <w:r>
              <w:rPr>
                <w:rFonts w:ascii="Arial" w:cs="Arial" w:eastAsia="Arial" w:hAnsi="Arial"/>
                <w:sz w:val="16"/>
                <w:szCs w:val="16"/>
                <w:color w:val="auto"/>
              </w:rPr>
              <w:t>605,249</w:t>
            </w:r>
          </w:p>
        </w:tc>
      </w:tr>
      <w:tr>
        <w:trPr>
          <w:trHeight w:val="189"/>
        </w:trPr>
        <w:tc>
          <w:tcPr>
            <w:tcW w:w="9240" w:type="dxa"/>
            <w:vAlign w:val="bottom"/>
            <w:tcBorders>
              <w:bottom w:val="single" w:sz="8" w:color="BFBFBF"/>
            </w:tcBorders>
          </w:tcPr>
          <w:p>
            <w:pPr>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3,551</w:t>
            </w: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3,031</w:t>
            </w:r>
          </w:p>
        </w:tc>
      </w:tr>
      <w:tr>
        <w:trPr>
          <w:trHeight w:val="183"/>
        </w:trPr>
        <w:tc>
          <w:tcPr>
            <w:tcW w:w="9240" w:type="dxa"/>
            <w:vAlign w:val="bottom"/>
            <w:shd w:val="clear" w:color="auto" w:fill="BFBFBF"/>
          </w:tcPr>
          <w:p>
            <w:pPr>
              <w:spacing w:after="0" w:line="183" w:lineRule="exact"/>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auto"/>
            </w:tcBorders>
            <w:shd w:val="clear" w:color="auto" w:fill="BFBFBF"/>
          </w:tcPr>
          <w:p>
            <w:pPr>
              <w:spacing w:after="0"/>
              <w:rPr>
                <w:sz w:val="15"/>
                <w:szCs w:val="15"/>
                <w:color w:val="auto"/>
              </w:rPr>
            </w:pPr>
          </w:p>
        </w:tc>
        <w:tc>
          <w:tcPr>
            <w:tcW w:w="20" w:type="dxa"/>
            <w:vAlign w:val="bottom"/>
            <w:tcBorders>
              <w:bottom w:val="single" w:sz="8" w:color="auto"/>
            </w:tcBorders>
            <w:shd w:val="clear" w:color="auto" w:fill="BFBFBF"/>
          </w:tcPr>
          <w:p>
            <w:pPr>
              <w:spacing w:after="0"/>
              <w:rPr>
                <w:sz w:val="15"/>
                <w:szCs w:val="15"/>
                <w:color w:val="auto"/>
              </w:rPr>
            </w:pPr>
          </w:p>
        </w:tc>
        <w:tc>
          <w:tcPr>
            <w:tcW w:w="840" w:type="dxa"/>
            <w:vAlign w:val="bottom"/>
            <w:tcBorders>
              <w:bottom w:val="single" w:sz="8" w:color="auto"/>
            </w:tcBorders>
            <w:shd w:val="clear" w:color="auto" w:fill="BFBFBF"/>
          </w:tcPr>
          <w:p>
            <w:pPr>
              <w:jc w:val="right"/>
              <w:ind w:right="59"/>
              <w:spacing w:after="0" w:line="183" w:lineRule="exact"/>
              <w:rPr>
                <w:sz w:val="20"/>
                <w:szCs w:val="20"/>
                <w:color w:val="auto"/>
              </w:rPr>
            </w:pPr>
            <w:r>
              <w:rPr>
                <w:rFonts w:ascii="Arial" w:cs="Arial" w:eastAsia="Arial" w:hAnsi="Arial"/>
                <w:sz w:val="16"/>
                <w:szCs w:val="16"/>
                <w:color w:val="auto"/>
              </w:rPr>
              <w:t>663,081</w:t>
            </w:r>
          </w:p>
        </w:tc>
        <w:tc>
          <w:tcPr>
            <w:tcW w:w="220" w:type="dxa"/>
            <w:vAlign w:val="bottom"/>
            <w:tcBorders>
              <w:bottom w:val="single" w:sz="8" w:color="auto"/>
            </w:tcBorders>
            <w:shd w:val="clear" w:color="auto" w:fill="BFBFBF"/>
          </w:tcPr>
          <w:p>
            <w:pPr>
              <w:spacing w:after="0"/>
              <w:rPr>
                <w:sz w:val="15"/>
                <w:szCs w:val="15"/>
                <w:color w:val="auto"/>
              </w:rPr>
            </w:pPr>
          </w:p>
        </w:tc>
        <w:tc>
          <w:tcPr>
            <w:tcW w:w="40" w:type="dxa"/>
            <w:vAlign w:val="bottom"/>
            <w:tcBorders>
              <w:bottom w:val="single" w:sz="8" w:color="auto"/>
            </w:tcBorders>
            <w:shd w:val="clear" w:color="auto" w:fill="BFBFBF"/>
          </w:tcPr>
          <w:p>
            <w:pPr>
              <w:spacing w:after="0"/>
              <w:rPr>
                <w:sz w:val="15"/>
                <w:szCs w:val="15"/>
                <w:color w:val="auto"/>
              </w:rPr>
            </w:pPr>
          </w:p>
        </w:tc>
        <w:tc>
          <w:tcPr>
            <w:tcW w:w="880" w:type="dxa"/>
            <w:vAlign w:val="bottom"/>
            <w:tcBorders>
              <w:bottom w:val="single" w:sz="8" w:color="auto"/>
            </w:tcBorders>
            <w:shd w:val="clear" w:color="auto" w:fill="BFBFBF"/>
          </w:tcPr>
          <w:p>
            <w:pPr>
              <w:jc w:val="right"/>
              <w:ind w:right="119"/>
              <w:spacing w:after="0" w:line="183" w:lineRule="exact"/>
              <w:rPr>
                <w:sz w:val="20"/>
                <w:szCs w:val="20"/>
                <w:color w:val="auto"/>
              </w:rPr>
            </w:pPr>
            <w:r>
              <w:rPr>
                <w:rFonts w:ascii="Arial" w:cs="Arial" w:eastAsia="Arial" w:hAnsi="Arial"/>
                <w:sz w:val="16"/>
                <w:szCs w:val="16"/>
                <w:color w:val="auto"/>
              </w:rPr>
              <w:t>608,280</w:t>
            </w:r>
          </w:p>
        </w:tc>
      </w:tr>
      <w:tr>
        <w:trPr>
          <w:trHeight w:val="183"/>
        </w:trPr>
        <w:tc>
          <w:tcPr>
            <w:tcW w:w="9240" w:type="dxa"/>
            <w:vAlign w:val="bottom"/>
          </w:tcPr>
          <w:p>
            <w:pPr>
              <w:ind w:left="220"/>
              <w:spacing w:after="0" w:line="183" w:lineRule="exact"/>
              <w:rPr>
                <w:sz w:val="20"/>
                <w:szCs w:val="20"/>
                <w:color w:val="auto"/>
              </w:rPr>
            </w:pPr>
            <w:r>
              <w:rPr>
                <w:rFonts w:ascii="Arial" w:cs="Arial" w:eastAsia="Arial" w:hAnsi="Arial"/>
                <w:sz w:val="16"/>
                <w:szCs w:val="16"/>
                <w:color w:val="auto"/>
              </w:rPr>
              <w:t>Total liabilities and shareholders' equity</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gridSpan w:val="2"/>
          </w:tcPr>
          <w:p>
            <w:pPr>
              <w:jc w:val="right"/>
              <w:ind w:right="59"/>
              <w:spacing w:after="0" w:line="183" w:lineRule="exact"/>
              <w:rPr>
                <w:sz w:val="20"/>
                <w:szCs w:val="20"/>
                <w:color w:val="auto"/>
              </w:rPr>
            </w:pPr>
            <w:r>
              <w:rPr>
                <w:rFonts w:ascii="Arial" w:cs="Arial" w:eastAsia="Arial" w:hAnsi="Arial"/>
                <w:sz w:val="16"/>
                <w:szCs w:val="16"/>
                <w:color w:val="auto"/>
                <w:w w:val="98"/>
              </w:rPr>
              <w:t>1,404,722</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ind w:right="119"/>
              <w:spacing w:after="0" w:line="183" w:lineRule="exact"/>
              <w:rPr>
                <w:sz w:val="20"/>
                <w:szCs w:val="20"/>
                <w:color w:val="auto"/>
              </w:rPr>
            </w:pPr>
            <w:r>
              <w:rPr>
                <w:rFonts w:ascii="Arial" w:cs="Arial" w:eastAsia="Arial" w:hAnsi="Arial"/>
                <w:sz w:val="16"/>
                <w:szCs w:val="16"/>
                <w:color w:val="auto"/>
                <w:w w:val="98"/>
              </w:rPr>
              <w:t>1,417,992</w:t>
            </w:r>
          </w:p>
        </w:tc>
      </w:tr>
      <w:tr>
        <w:trPr>
          <w:trHeight w:val="20"/>
        </w:trPr>
        <w:tc>
          <w:tcPr>
            <w:tcW w:w="9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7160" w:type="dxa"/>
            <w:vAlign w:val="bottom"/>
          </w:tcPr>
          <w:p>
            <w:pPr>
              <w:spacing w:after="0"/>
              <w:rPr>
                <w:sz w:val="14"/>
                <w:szCs w:val="14"/>
                <w:color w:val="auto"/>
              </w:rPr>
            </w:pPr>
          </w:p>
        </w:tc>
        <w:tc>
          <w:tcPr>
            <w:tcW w:w="214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212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4"/>
                <w:szCs w:val="14"/>
                <w:b w:val="1"/>
                <w:bCs w:val="1"/>
                <w:color w:val="auto"/>
              </w:rPr>
              <w:t>September 30,</w:t>
            </w:r>
          </w:p>
        </w:tc>
        <w:tc>
          <w:tcPr>
            <w:tcW w:w="7160" w:type="dxa"/>
            <w:vAlign w:val="bottom"/>
          </w:tcPr>
          <w:p>
            <w:pPr>
              <w:spacing w:after="0"/>
              <w:rPr>
                <w:sz w:val="15"/>
                <w:szCs w:val="15"/>
                <w:color w:val="auto"/>
              </w:rPr>
            </w:pPr>
          </w:p>
        </w:tc>
        <w:tc>
          <w:tcPr>
            <w:tcW w:w="214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110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rPr>
              <w:t>2019</w:t>
            </w:r>
          </w:p>
        </w:tc>
        <w:tc>
          <w:tcPr>
            <w:tcW w:w="102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2018</w:t>
            </w:r>
          </w:p>
        </w:tc>
        <w:tc>
          <w:tcPr>
            <w:tcW w:w="7160" w:type="dxa"/>
            <w:vAlign w:val="bottom"/>
            <w:tcBorders>
              <w:bottom w:val="single" w:sz="8" w:color="BFBFBF"/>
            </w:tcBorders>
          </w:tcPr>
          <w:p>
            <w:pPr>
              <w:spacing w:after="0"/>
              <w:rPr>
                <w:sz w:val="13"/>
                <w:szCs w:val="13"/>
                <w:color w:val="auto"/>
              </w:rPr>
            </w:pPr>
          </w:p>
        </w:tc>
        <w:tc>
          <w:tcPr>
            <w:tcW w:w="106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2019</w:t>
            </w:r>
          </w:p>
        </w:tc>
        <w:tc>
          <w:tcPr>
            <w:tcW w:w="108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r>
      <w:tr>
        <w:trPr>
          <w:trHeight w:val="169"/>
        </w:trPr>
        <w:tc>
          <w:tcPr>
            <w:tcW w:w="1100" w:type="dxa"/>
            <w:vAlign w:val="bottom"/>
            <w:shd w:val="clear" w:color="auto" w:fill="BFBFBF"/>
          </w:tcPr>
          <w:p>
            <w:pPr>
              <w:spacing w:after="0"/>
              <w:rPr>
                <w:sz w:val="14"/>
                <w:szCs w:val="14"/>
                <w:color w:val="auto"/>
              </w:rPr>
            </w:pPr>
          </w:p>
        </w:tc>
        <w:tc>
          <w:tcPr>
            <w:tcW w:w="1020" w:type="dxa"/>
            <w:vAlign w:val="bottom"/>
            <w:tcBorders>
              <w:right w:val="single" w:sz="8" w:color="BFBFBF"/>
            </w:tcBorders>
            <w:shd w:val="clear" w:color="auto" w:fill="BFBFBF"/>
          </w:tcPr>
          <w:p>
            <w:pPr>
              <w:spacing w:after="0"/>
              <w:rPr>
                <w:sz w:val="14"/>
                <w:szCs w:val="14"/>
                <w:color w:val="auto"/>
              </w:rPr>
            </w:pPr>
          </w:p>
        </w:tc>
        <w:tc>
          <w:tcPr>
            <w:tcW w:w="7160" w:type="dxa"/>
            <w:vAlign w:val="bottom"/>
            <w:shd w:val="clear" w:color="auto" w:fill="BFBFBF"/>
          </w:tcPr>
          <w:p>
            <w:pPr>
              <w:spacing w:after="0" w:line="169" w:lineRule="exact"/>
              <w:rPr>
                <w:sz w:val="20"/>
                <w:szCs w:val="20"/>
                <w:color w:val="auto"/>
              </w:rPr>
            </w:pPr>
            <w:r>
              <w:rPr>
                <w:rFonts w:ascii="Arial" w:cs="Arial" w:eastAsia="Arial" w:hAnsi="Arial"/>
                <w:sz w:val="16"/>
                <w:szCs w:val="16"/>
                <w:color w:val="auto"/>
              </w:rPr>
              <w:t>OPERATING ACTIVITIES</w:t>
            </w:r>
          </w:p>
        </w:tc>
        <w:tc>
          <w:tcPr>
            <w:tcW w:w="1060" w:type="dxa"/>
            <w:vAlign w:val="bottom"/>
            <w:shd w:val="clear" w:color="auto" w:fill="BFBFBF"/>
          </w:tcPr>
          <w:p>
            <w:pPr>
              <w:spacing w:after="0"/>
              <w:rPr>
                <w:sz w:val="14"/>
                <w:szCs w:val="14"/>
                <w:color w:val="auto"/>
              </w:rPr>
            </w:pPr>
          </w:p>
        </w:tc>
        <w:tc>
          <w:tcPr>
            <w:tcW w:w="1080" w:type="dxa"/>
            <w:vAlign w:val="bottom"/>
            <w:shd w:val="clear" w:color="auto" w:fill="BFBFBF"/>
          </w:tcPr>
          <w:p>
            <w:pPr>
              <w:spacing w:after="0"/>
              <w:rPr>
                <w:sz w:val="14"/>
                <w:szCs w:val="14"/>
                <w:color w:val="auto"/>
              </w:rPr>
            </w:pPr>
          </w:p>
        </w:tc>
      </w:tr>
      <w:tr>
        <w:trPr>
          <w:trHeight w:val="189"/>
        </w:trPr>
        <w:tc>
          <w:tcPr>
            <w:tcW w:w="1100" w:type="dxa"/>
            <w:vAlign w:val="bottom"/>
          </w:tcPr>
          <w:p>
            <w:pPr>
              <w:jc w:val="right"/>
              <w:ind w:right="120"/>
              <w:spacing w:after="0"/>
              <w:rPr>
                <w:sz w:val="20"/>
                <w:szCs w:val="20"/>
                <w:color w:val="auto"/>
              </w:rPr>
            </w:pPr>
            <w:r>
              <w:rPr>
                <w:rFonts w:ascii="Arial" w:cs="Arial" w:eastAsia="Arial" w:hAnsi="Arial"/>
                <w:sz w:val="16"/>
                <w:szCs w:val="16"/>
                <w:color w:val="auto"/>
              </w:rPr>
              <w:t>$ 40,125</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$ 28,005</w:t>
            </w:r>
          </w:p>
        </w:tc>
        <w:tc>
          <w:tcPr>
            <w:tcW w:w="7160" w:type="dxa"/>
            <w:vAlign w:val="bottom"/>
          </w:tcPr>
          <w:p>
            <w:pPr>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$103,792</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$ 65,747</w:t>
            </w:r>
          </w:p>
        </w:tc>
      </w:tr>
      <w:tr>
        <w:trPr>
          <w:trHeight w:val="189"/>
        </w:trPr>
        <w:tc>
          <w:tcPr>
            <w:tcW w:w="1100" w:type="dxa"/>
            <w:vAlign w:val="bottom"/>
            <w:shd w:val="clear" w:color="auto" w:fill="BFBFBF"/>
          </w:tcPr>
          <w:p>
            <w:pPr>
              <w:spacing w:after="0"/>
              <w:rPr>
                <w:sz w:val="16"/>
                <w:szCs w:val="16"/>
                <w:color w:val="auto"/>
              </w:rPr>
            </w:pPr>
          </w:p>
        </w:tc>
        <w:tc>
          <w:tcPr>
            <w:tcW w:w="1020" w:type="dxa"/>
            <w:vAlign w:val="bottom"/>
            <w:tcBorders>
              <w:right w:val="single" w:sz="8" w:color="BFBFBF"/>
            </w:tcBorders>
            <w:shd w:val="clear" w:color="auto" w:fill="BFBFBF"/>
          </w:tcPr>
          <w:p>
            <w:pPr>
              <w:spacing w:after="0"/>
              <w:rPr>
                <w:sz w:val="16"/>
                <w:szCs w:val="16"/>
                <w:color w:val="auto"/>
              </w:rPr>
            </w:pPr>
          </w:p>
        </w:tc>
        <w:tc>
          <w:tcPr>
            <w:tcW w:w="7160" w:type="dxa"/>
            <w:vAlign w:val="bottom"/>
            <w:shd w:val="clear" w:color="auto" w:fill="BFBFBF"/>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shd w:val="clear" w:color="auto" w:fill="BFBFBF"/>
          </w:tcPr>
          <w:p>
            <w:pPr>
              <w:spacing w:after="0"/>
              <w:rPr>
                <w:sz w:val="16"/>
                <w:szCs w:val="16"/>
                <w:color w:val="auto"/>
              </w:rPr>
            </w:pPr>
          </w:p>
        </w:tc>
        <w:tc>
          <w:tcPr>
            <w:tcW w:w="1080" w:type="dxa"/>
            <w:vAlign w:val="bottom"/>
            <w:shd w:val="clear" w:color="auto" w:fill="BFBFBF"/>
          </w:tcPr>
          <w:p>
            <w:pPr>
              <w:spacing w:after="0"/>
              <w:rPr>
                <w:sz w:val="16"/>
                <w:szCs w:val="16"/>
                <w:color w:val="auto"/>
              </w:rPr>
            </w:pPr>
          </w:p>
        </w:tc>
      </w:tr>
      <w:tr>
        <w:trPr>
          <w:trHeight w:val="189"/>
        </w:trPr>
        <w:tc>
          <w:tcPr>
            <w:tcW w:w="1100" w:type="dxa"/>
            <w:vAlign w:val="bottom"/>
          </w:tcPr>
          <w:p>
            <w:pPr>
              <w:jc w:val="right"/>
              <w:ind w:right="120"/>
              <w:spacing w:after="0"/>
              <w:rPr>
                <w:sz w:val="20"/>
                <w:szCs w:val="20"/>
                <w:color w:val="auto"/>
              </w:rPr>
            </w:pPr>
            <w:r>
              <w:rPr>
                <w:rFonts w:ascii="Arial" w:cs="Arial" w:eastAsia="Arial" w:hAnsi="Arial"/>
                <w:sz w:val="16"/>
                <w:szCs w:val="16"/>
                <w:color w:val="auto"/>
              </w:rPr>
              <w:t>15,672</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17,436</w:t>
            </w:r>
          </w:p>
        </w:tc>
        <w:tc>
          <w:tcPr>
            <w:tcW w:w="7160" w:type="dxa"/>
            <w:vAlign w:val="bottom"/>
          </w:tcPr>
          <w:p>
            <w:pPr>
              <w:ind w:left="100"/>
              <w:spacing w:after="0"/>
              <w:rPr>
                <w:sz w:val="20"/>
                <w:szCs w:val="20"/>
                <w:color w:val="auto"/>
              </w:rPr>
            </w:pPr>
            <w:r>
              <w:rPr>
                <w:rFonts w:ascii="Arial" w:cs="Arial" w:eastAsia="Arial" w:hAnsi="Arial"/>
                <w:sz w:val="16"/>
                <w:szCs w:val="16"/>
                <w:color w:val="auto"/>
              </w:rPr>
              <w:t>Depreciation</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46,659</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52,852</w:t>
            </w:r>
          </w:p>
        </w:tc>
      </w:tr>
      <w:tr>
        <w:trPr>
          <w:trHeight w:val="189"/>
        </w:trPr>
        <w:tc>
          <w:tcPr>
            <w:tcW w:w="1100" w:type="dxa"/>
            <w:vAlign w:val="bottom"/>
            <w:shd w:val="clear" w:color="auto" w:fill="BFBFBF"/>
          </w:tcPr>
          <w:p>
            <w:pPr>
              <w:jc w:val="right"/>
              <w:ind w:right="120"/>
              <w:spacing w:after="0"/>
              <w:rPr>
                <w:sz w:val="20"/>
                <w:szCs w:val="20"/>
                <w:color w:val="auto"/>
              </w:rPr>
            </w:pPr>
            <w:r>
              <w:rPr>
                <w:rFonts w:ascii="Arial" w:cs="Arial" w:eastAsia="Arial" w:hAnsi="Arial"/>
                <w:sz w:val="16"/>
                <w:szCs w:val="16"/>
                <w:color w:val="auto"/>
              </w:rPr>
              <w:t>1,582</w:t>
            </w:r>
          </w:p>
        </w:tc>
        <w:tc>
          <w:tcPr>
            <w:tcW w:w="1020" w:type="dxa"/>
            <w:vAlign w:val="bottom"/>
            <w:tcBorders>
              <w:right w:val="single" w:sz="8" w:color="BFBFBF"/>
            </w:tcBorders>
            <w:shd w:val="clear" w:color="auto" w:fill="BFBFBF"/>
          </w:tcPr>
          <w:p>
            <w:pPr>
              <w:jc w:val="right"/>
              <w:ind w:right="79"/>
              <w:spacing w:after="0"/>
              <w:rPr>
                <w:sz w:val="20"/>
                <w:szCs w:val="20"/>
                <w:color w:val="auto"/>
              </w:rPr>
            </w:pPr>
            <w:r>
              <w:rPr>
                <w:rFonts w:ascii="Arial" w:cs="Arial" w:eastAsia="Arial" w:hAnsi="Arial"/>
                <w:sz w:val="16"/>
                <w:szCs w:val="16"/>
                <w:color w:val="auto"/>
              </w:rPr>
              <w:t>2,366</w:t>
            </w:r>
          </w:p>
        </w:tc>
        <w:tc>
          <w:tcPr>
            <w:tcW w:w="7160" w:type="dxa"/>
            <w:vAlign w:val="bottom"/>
            <w:shd w:val="clear" w:color="auto" w:fill="BFBFBF"/>
          </w:tcPr>
          <w:p>
            <w:pPr>
              <w:ind w:left="100"/>
              <w:spacing w:after="0"/>
              <w:rPr>
                <w:sz w:val="20"/>
                <w:szCs w:val="20"/>
                <w:color w:val="auto"/>
              </w:rPr>
            </w:pPr>
            <w:r>
              <w:rPr>
                <w:rFonts w:ascii="Arial" w:cs="Arial" w:eastAsia="Arial" w:hAnsi="Arial"/>
                <w:sz w:val="16"/>
                <w:szCs w:val="16"/>
                <w:color w:val="auto"/>
              </w:rPr>
              <w:t>Amortization</w:t>
            </w:r>
          </w:p>
        </w:tc>
        <w:tc>
          <w:tcPr>
            <w:tcW w:w="1060" w:type="dxa"/>
            <w:vAlign w:val="bottom"/>
            <w:shd w:val="clear" w:color="auto" w:fill="BFBFBF"/>
          </w:tcPr>
          <w:p>
            <w:pPr>
              <w:jc w:val="right"/>
              <w:ind w:right="140"/>
              <w:spacing w:after="0"/>
              <w:rPr>
                <w:sz w:val="20"/>
                <w:szCs w:val="20"/>
                <w:color w:val="auto"/>
              </w:rPr>
            </w:pPr>
            <w:r>
              <w:rPr>
                <w:rFonts w:ascii="Arial" w:cs="Arial" w:eastAsia="Arial" w:hAnsi="Arial"/>
                <w:sz w:val="16"/>
                <w:szCs w:val="16"/>
                <w:color w:val="auto"/>
              </w:rPr>
              <w:t>6,305</w:t>
            </w:r>
          </w:p>
        </w:tc>
        <w:tc>
          <w:tcPr>
            <w:tcW w:w="1080" w:type="dxa"/>
            <w:vAlign w:val="bottom"/>
            <w:shd w:val="clear" w:color="auto" w:fill="BFBFBF"/>
          </w:tcPr>
          <w:p>
            <w:pPr>
              <w:jc w:val="right"/>
              <w:ind w:right="139"/>
              <w:spacing w:after="0"/>
              <w:rPr>
                <w:sz w:val="20"/>
                <w:szCs w:val="20"/>
                <w:color w:val="auto"/>
              </w:rPr>
            </w:pPr>
            <w:r>
              <w:rPr>
                <w:rFonts w:ascii="Arial" w:cs="Arial" w:eastAsia="Arial" w:hAnsi="Arial"/>
                <w:sz w:val="16"/>
                <w:szCs w:val="16"/>
                <w:color w:val="auto"/>
              </w:rPr>
              <w:t>7,571</w:t>
            </w:r>
          </w:p>
        </w:tc>
      </w:tr>
      <w:tr>
        <w:trPr>
          <w:trHeight w:val="189"/>
        </w:trPr>
        <w:tc>
          <w:tcPr>
            <w:tcW w:w="1100" w:type="dxa"/>
            <w:vAlign w:val="bottom"/>
          </w:tcPr>
          <w:p>
            <w:pPr>
              <w:jc w:val="right"/>
              <w:ind w:right="120"/>
              <w:spacing w:after="0"/>
              <w:rPr>
                <w:sz w:val="20"/>
                <w:szCs w:val="20"/>
                <w:color w:val="auto"/>
              </w:rPr>
            </w:pPr>
            <w:r>
              <w:rPr>
                <w:rFonts w:ascii="Arial" w:cs="Arial" w:eastAsia="Arial" w:hAnsi="Arial"/>
                <w:sz w:val="16"/>
                <w:szCs w:val="16"/>
                <w:color w:val="auto"/>
              </w:rPr>
              <w:t>13,548</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1,199</w:t>
            </w:r>
          </w:p>
        </w:tc>
        <w:tc>
          <w:tcPr>
            <w:tcW w:w="7160" w:type="dxa"/>
            <w:vAlign w:val="bottom"/>
          </w:tcPr>
          <w:p>
            <w:pPr>
              <w:spacing w:after="0"/>
              <w:rPr>
                <w:sz w:val="20"/>
                <w:szCs w:val="20"/>
                <w:color w:val="auto"/>
              </w:rPr>
            </w:pPr>
            <w:r>
              <w:rPr>
                <w:rFonts w:ascii="Arial" w:cs="Arial" w:eastAsia="Arial" w:hAnsi="Arial"/>
                <w:sz w:val="16"/>
                <w:szCs w:val="16"/>
                <w:color w:val="auto"/>
              </w:rPr>
              <w:t>Change in deferred taxes and other liabilities</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12,802</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(7,012)</w:t>
            </w:r>
          </w:p>
        </w:tc>
      </w:tr>
      <w:tr>
        <w:trPr>
          <w:trHeight w:val="189"/>
        </w:trPr>
        <w:tc>
          <w:tcPr>
            <w:tcW w:w="1100" w:type="dxa"/>
            <w:vAlign w:val="bottom"/>
            <w:shd w:val="clear" w:color="auto" w:fill="BFBFBF"/>
          </w:tcPr>
          <w:p>
            <w:pPr>
              <w:jc w:val="right"/>
              <w:ind w:right="80"/>
              <w:spacing w:after="0"/>
              <w:rPr>
                <w:sz w:val="20"/>
                <w:szCs w:val="20"/>
                <w:color w:val="auto"/>
              </w:rPr>
            </w:pPr>
            <w:r>
              <w:rPr>
                <w:rFonts w:ascii="Arial" w:cs="Arial" w:eastAsia="Arial" w:hAnsi="Arial"/>
                <w:sz w:val="16"/>
                <w:szCs w:val="16"/>
                <w:color w:val="auto"/>
              </w:rPr>
              <w:t>(5)</w:t>
            </w:r>
          </w:p>
        </w:tc>
        <w:tc>
          <w:tcPr>
            <w:tcW w:w="1020" w:type="dxa"/>
            <w:vAlign w:val="bottom"/>
            <w:tcBorders>
              <w:right w:val="single" w:sz="8" w:color="BFBFBF"/>
            </w:tcBorders>
            <w:shd w:val="clear" w:color="auto" w:fill="BFBFBF"/>
          </w:tcPr>
          <w:p>
            <w:pPr>
              <w:jc w:val="right"/>
              <w:ind w:right="79"/>
              <w:spacing w:after="0"/>
              <w:rPr>
                <w:sz w:val="20"/>
                <w:szCs w:val="20"/>
                <w:color w:val="auto"/>
              </w:rPr>
            </w:pPr>
            <w:r>
              <w:rPr>
                <w:rFonts w:ascii="Arial" w:cs="Arial" w:eastAsia="Arial" w:hAnsi="Arial"/>
                <w:sz w:val="16"/>
                <w:szCs w:val="16"/>
                <w:color w:val="auto"/>
              </w:rPr>
              <w:t>2,131</w:t>
            </w:r>
          </w:p>
        </w:tc>
        <w:tc>
          <w:tcPr>
            <w:tcW w:w="7160" w:type="dxa"/>
            <w:vAlign w:val="bottom"/>
            <w:shd w:val="clear" w:color="auto" w:fill="BFBFBF"/>
          </w:tcPr>
          <w:p>
            <w:pPr>
              <w:ind w:left="100"/>
              <w:spacing w:after="0"/>
              <w:rPr>
                <w:sz w:val="20"/>
                <w:szCs w:val="20"/>
                <w:color w:val="auto"/>
              </w:rPr>
            </w:pPr>
            <w:r>
              <w:rPr>
                <w:rFonts w:ascii="Arial" w:cs="Arial" w:eastAsia="Arial" w:hAnsi="Arial"/>
                <w:sz w:val="16"/>
                <w:szCs w:val="16"/>
                <w:color w:val="auto"/>
              </w:rPr>
              <w:t>Provision for write-off of property, plant and equipment</w:t>
            </w:r>
          </w:p>
        </w:tc>
        <w:tc>
          <w:tcPr>
            <w:tcW w:w="1060" w:type="dxa"/>
            <w:vAlign w:val="bottom"/>
            <w:shd w:val="clear" w:color="auto" w:fill="BFBFBF"/>
          </w:tcPr>
          <w:p>
            <w:pPr>
              <w:jc w:val="right"/>
              <w:ind w:right="140"/>
              <w:spacing w:after="0"/>
              <w:rPr>
                <w:sz w:val="20"/>
                <w:szCs w:val="20"/>
                <w:color w:val="auto"/>
              </w:rPr>
            </w:pPr>
            <w:r>
              <w:rPr>
                <w:rFonts w:ascii="Arial" w:cs="Arial" w:eastAsia="Arial" w:hAnsi="Arial"/>
                <w:sz w:val="16"/>
                <w:szCs w:val="16"/>
                <w:color w:val="auto"/>
              </w:rPr>
              <w:t>1,101</w:t>
            </w:r>
          </w:p>
        </w:tc>
        <w:tc>
          <w:tcPr>
            <w:tcW w:w="1080" w:type="dxa"/>
            <w:vAlign w:val="bottom"/>
            <w:shd w:val="clear" w:color="auto" w:fill="BFBFBF"/>
          </w:tcPr>
          <w:p>
            <w:pPr>
              <w:jc w:val="right"/>
              <w:ind w:right="139"/>
              <w:spacing w:after="0"/>
              <w:rPr>
                <w:sz w:val="20"/>
                <w:szCs w:val="20"/>
                <w:color w:val="auto"/>
              </w:rPr>
            </w:pPr>
            <w:r>
              <w:rPr>
                <w:rFonts w:ascii="Arial" w:cs="Arial" w:eastAsia="Arial" w:hAnsi="Arial"/>
                <w:sz w:val="16"/>
                <w:szCs w:val="16"/>
                <w:color w:val="auto"/>
              </w:rPr>
              <w:t>3,255</w:t>
            </w:r>
          </w:p>
        </w:tc>
      </w:tr>
      <w:tr>
        <w:trPr>
          <w:trHeight w:val="189"/>
        </w:trPr>
        <w:tc>
          <w:tcPr>
            <w:tcW w:w="1100" w:type="dxa"/>
            <w:vAlign w:val="bottom"/>
          </w:tcPr>
          <w:p>
            <w:pPr>
              <w:jc w:val="right"/>
              <w:ind w:right="120"/>
              <w:spacing w:after="0"/>
              <w:rPr>
                <w:sz w:val="20"/>
                <w:szCs w:val="20"/>
                <w:color w:val="auto"/>
              </w:rPr>
            </w:pPr>
            <w:r>
              <w:rPr>
                <w:rFonts w:ascii="Arial" w:cs="Arial" w:eastAsia="Arial" w:hAnsi="Arial"/>
                <w:sz w:val="16"/>
                <w:szCs w:val="16"/>
                <w:color w:val="auto"/>
              </w:rPr>
              <w:t>151</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150</w:t>
            </w:r>
          </w:p>
        </w:tc>
        <w:tc>
          <w:tcPr>
            <w:tcW w:w="7160" w:type="dxa"/>
            <w:vAlign w:val="bottom"/>
          </w:tcPr>
          <w:p>
            <w:pPr>
              <w:ind w:left="100"/>
              <w:spacing w:after="0"/>
              <w:rPr>
                <w:sz w:val="20"/>
                <w:szCs w:val="20"/>
                <w:color w:val="auto"/>
              </w:rPr>
            </w:pPr>
            <w:r>
              <w:rPr>
                <w:rFonts w:ascii="Arial" w:cs="Arial" w:eastAsia="Arial" w:hAnsi="Arial"/>
                <w:sz w:val="16"/>
                <w:szCs w:val="16"/>
                <w:color w:val="auto"/>
              </w:rPr>
              <w:t>Non-cash interest expense</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454</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304</w:t>
            </w:r>
          </w:p>
        </w:tc>
      </w:tr>
      <w:tr>
        <w:trPr>
          <w:trHeight w:val="189"/>
        </w:trPr>
        <w:tc>
          <w:tcPr>
            <w:tcW w:w="1100" w:type="dxa"/>
            <w:vAlign w:val="bottom"/>
            <w:shd w:val="clear" w:color="auto" w:fill="BFBFBF"/>
          </w:tcPr>
          <w:p>
            <w:pPr>
              <w:jc w:val="right"/>
              <w:ind w:right="120"/>
              <w:spacing w:after="0"/>
              <w:rPr>
                <w:sz w:val="20"/>
                <w:szCs w:val="20"/>
                <w:color w:val="auto"/>
              </w:rPr>
            </w:pPr>
            <w:r>
              <w:rPr>
                <w:rFonts w:ascii="Arial" w:cs="Arial" w:eastAsia="Arial" w:hAnsi="Arial"/>
                <w:sz w:val="16"/>
                <w:szCs w:val="16"/>
                <w:color w:val="auto"/>
              </w:rPr>
              <w:t>790</w:t>
            </w:r>
          </w:p>
        </w:tc>
        <w:tc>
          <w:tcPr>
            <w:tcW w:w="1020" w:type="dxa"/>
            <w:vAlign w:val="bottom"/>
            <w:tcBorders>
              <w:right w:val="single" w:sz="8" w:color="BFBFBF"/>
            </w:tcBorders>
            <w:shd w:val="clear" w:color="auto" w:fill="BFBFBF"/>
          </w:tcPr>
          <w:p>
            <w:pPr>
              <w:jc w:val="right"/>
              <w:ind w:right="79"/>
              <w:spacing w:after="0"/>
              <w:rPr>
                <w:sz w:val="20"/>
                <w:szCs w:val="20"/>
                <w:color w:val="auto"/>
              </w:rPr>
            </w:pPr>
            <w:r>
              <w:rPr>
                <w:rFonts w:ascii="Arial" w:cs="Arial" w:eastAsia="Arial" w:hAnsi="Arial"/>
                <w:sz w:val="16"/>
                <w:szCs w:val="16"/>
                <w:color w:val="auto"/>
              </w:rPr>
              <w:t>543</w:t>
            </w:r>
          </w:p>
        </w:tc>
        <w:tc>
          <w:tcPr>
            <w:tcW w:w="7160" w:type="dxa"/>
            <w:vAlign w:val="bottom"/>
            <w:shd w:val="clear" w:color="auto" w:fill="BFBFBF"/>
          </w:tcPr>
          <w:p>
            <w:pPr>
              <w:ind w:left="100"/>
              <w:spacing w:after="0"/>
              <w:rPr>
                <w:sz w:val="20"/>
                <w:szCs w:val="20"/>
                <w:color w:val="auto"/>
              </w:rPr>
            </w:pPr>
            <w:r>
              <w:rPr>
                <w:rFonts w:ascii="Arial" w:cs="Arial" w:eastAsia="Arial" w:hAnsi="Arial"/>
                <w:sz w:val="16"/>
                <w:szCs w:val="16"/>
                <w:color w:val="auto"/>
              </w:rPr>
              <w:t>Compensation and benefits paid or payable in Class A Common Stock</w:t>
            </w:r>
          </w:p>
        </w:tc>
        <w:tc>
          <w:tcPr>
            <w:tcW w:w="1060" w:type="dxa"/>
            <w:vAlign w:val="bottom"/>
            <w:shd w:val="clear" w:color="auto" w:fill="BFBFBF"/>
          </w:tcPr>
          <w:p>
            <w:pPr>
              <w:jc w:val="right"/>
              <w:ind w:right="140"/>
              <w:spacing w:after="0"/>
              <w:rPr>
                <w:sz w:val="20"/>
                <w:szCs w:val="20"/>
                <w:color w:val="auto"/>
              </w:rPr>
            </w:pPr>
            <w:r>
              <w:rPr>
                <w:rFonts w:ascii="Arial" w:cs="Arial" w:eastAsia="Arial" w:hAnsi="Arial"/>
                <w:sz w:val="16"/>
                <w:szCs w:val="16"/>
                <w:color w:val="auto"/>
              </w:rPr>
              <w:t>1,413</w:t>
            </w:r>
          </w:p>
        </w:tc>
        <w:tc>
          <w:tcPr>
            <w:tcW w:w="1080" w:type="dxa"/>
            <w:vAlign w:val="bottom"/>
            <w:shd w:val="clear" w:color="auto" w:fill="BFBFBF"/>
          </w:tcPr>
          <w:p>
            <w:pPr>
              <w:jc w:val="right"/>
              <w:ind w:right="139"/>
              <w:spacing w:after="0"/>
              <w:rPr>
                <w:sz w:val="20"/>
                <w:szCs w:val="20"/>
                <w:color w:val="auto"/>
              </w:rPr>
            </w:pPr>
            <w:r>
              <w:rPr>
                <w:rFonts w:ascii="Arial" w:cs="Arial" w:eastAsia="Arial" w:hAnsi="Arial"/>
                <w:sz w:val="16"/>
                <w:szCs w:val="16"/>
                <w:color w:val="auto"/>
              </w:rPr>
              <w:t>1,879</w:t>
            </w:r>
          </w:p>
        </w:tc>
      </w:tr>
      <w:tr>
        <w:trPr>
          <w:trHeight w:val="189"/>
        </w:trPr>
        <w:tc>
          <w:tcPr>
            <w:tcW w:w="11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7160" w:type="dxa"/>
            <w:vAlign w:val="bottom"/>
          </w:tcPr>
          <w:p>
            <w:pPr>
              <w:ind w:left="100"/>
              <w:spacing w:after="0"/>
              <w:rPr>
                <w:sz w:val="20"/>
                <w:szCs w:val="20"/>
                <w:color w:val="auto"/>
              </w:rPr>
            </w:pPr>
            <w:r>
              <w:rPr>
                <w:rFonts w:ascii="Arial" w:cs="Arial" w:eastAsia="Arial" w:hAnsi="Arial"/>
                <w:sz w:val="16"/>
                <w:szCs w:val="16"/>
                <w:color w:val="auto"/>
              </w:rPr>
              <w:t>Fair value adjustment on foreign currency option</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61</w:t>
            </w:r>
          </w:p>
        </w:tc>
      </w:tr>
      <w:tr>
        <w:trPr>
          <w:trHeight w:val="189"/>
        </w:trPr>
        <w:tc>
          <w:tcPr>
            <w:tcW w:w="1100" w:type="dxa"/>
            <w:vAlign w:val="bottom"/>
            <w:shd w:val="clear" w:color="auto" w:fill="BFBFBF"/>
          </w:tcPr>
          <w:p>
            <w:pPr>
              <w:spacing w:after="0"/>
              <w:rPr>
                <w:sz w:val="16"/>
                <w:szCs w:val="16"/>
                <w:color w:val="auto"/>
              </w:rPr>
            </w:pPr>
          </w:p>
        </w:tc>
        <w:tc>
          <w:tcPr>
            <w:tcW w:w="1020" w:type="dxa"/>
            <w:vAlign w:val="bottom"/>
            <w:tcBorders>
              <w:right w:val="single" w:sz="8" w:color="BFBFBF"/>
            </w:tcBorders>
            <w:shd w:val="clear" w:color="auto" w:fill="BFBFBF"/>
          </w:tcPr>
          <w:p>
            <w:pPr>
              <w:spacing w:after="0"/>
              <w:rPr>
                <w:sz w:val="16"/>
                <w:szCs w:val="16"/>
                <w:color w:val="auto"/>
              </w:rPr>
            </w:pPr>
          </w:p>
        </w:tc>
        <w:tc>
          <w:tcPr>
            <w:tcW w:w="7160" w:type="dxa"/>
            <w:vAlign w:val="bottom"/>
            <w:shd w:val="clear" w:color="auto" w:fill="BFBFBF"/>
          </w:tcPr>
          <w:p>
            <w:pPr>
              <w:spacing w:after="0"/>
              <w:rPr>
                <w:sz w:val="20"/>
                <w:szCs w:val="20"/>
                <w:color w:val="auto"/>
              </w:rPr>
            </w:pPr>
            <w:r>
              <w:rPr>
                <w:rFonts w:ascii="Arial" w:cs="Arial" w:eastAsia="Arial" w:hAnsi="Arial"/>
                <w:sz w:val="16"/>
                <w:szCs w:val="16"/>
                <w:color w:val="auto"/>
              </w:rPr>
              <w:t>Changes in operating assets and liabilities that provided cash:</w:t>
            </w:r>
          </w:p>
        </w:tc>
        <w:tc>
          <w:tcPr>
            <w:tcW w:w="1060" w:type="dxa"/>
            <w:vAlign w:val="bottom"/>
            <w:shd w:val="clear" w:color="auto" w:fill="BFBFBF"/>
          </w:tcPr>
          <w:p>
            <w:pPr>
              <w:spacing w:after="0"/>
              <w:rPr>
                <w:sz w:val="16"/>
                <w:szCs w:val="16"/>
                <w:color w:val="auto"/>
              </w:rPr>
            </w:pPr>
          </w:p>
        </w:tc>
        <w:tc>
          <w:tcPr>
            <w:tcW w:w="1080" w:type="dxa"/>
            <w:vAlign w:val="bottom"/>
            <w:shd w:val="clear" w:color="auto" w:fill="BFBFBF"/>
          </w:tcPr>
          <w:p>
            <w:pPr>
              <w:spacing w:after="0"/>
              <w:rPr>
                <w:sz w:val="16"/>
                <w:szCs w:val="16"/>
                <w:color w:val="auto"/>
              </w:rPr>
            </w:pPr>
          </w:p>
        </w:tc>
      </w:tr>
      <w:tr>
        <w:trPr>
          <w:trHeight w:val="189"/>
        </w:trPr>
        <w:tc>
          <w:tcPr>
            <w:tcW w:w="1100" w:type="dxa"/>
            <w:vAlign w:val="bottom"/>
          </w:tcPr>
          <w:p>
            <w:pPr>
              <w:jc w:val="right"/>
              <w:ind w:right="80"/>
              <w:spacing w:after="0"/>
              <w:rPr>
                <w:sz w:val="20"/>
                <w:szCs w:val="20"/>
                <w:color w:val="auto"/>
              </w:rPr>
            </w:pPr>
            <w:r>
              <w:rPr>
                <w:rFonts w:ascii="Arial" w:cs="Arial" w:eastAsia="Arial" w:hAnsi="Arial"/>
                <w:sz w:val="16"/>
                <w:szCs w:val="16"/>
                <w:color w:val="auto"/>
              </w:rPr>
              <w:t>(9,950)</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(2,813)</w:t>
            </w:r>
          </w:p>
        </w:tc>
        <w:tc>
          <w:tcPr>
            <w:tcW w:w="7160" w:type="dxa"/>
            <w:vAlign w:val="bottom"/>
          </w:tcPr>
          <w:p>
            <w:pPr>
              <w:ind w:left="100"/>
              <w:spacing w:after="0"/>
              <w:rPr>
                <w:sz w:val="20"/>
                <w:szCs w:val="20"/>
                <w:color w:val="auto"/>
              </w:rPr>
            </w:pPr>
            <w:r>
              <w:rPr>
                <w:rFonts w:ascii="Arial" w:cs="Arial" w:eastAsia="Arial" w:hAnsi="Arial"/>
                <w:sz w:val="16"/>
                <w:szCs w:val="16"/>
                <w:color w:val="auto"/>
              </w:rPr>
              <w:t>Accounts receivable</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7,140</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(39,954)</w:t>
            </w:r>
          </w:p>
        </w:tc>
      </w:tr>
      <w:tr>
        <w:trPr>
          <w:trHeight w:val="189"/>
        </w:trPr>
        <w:tc>
          <w:tcPr>
            <w:tcW w:w="1100" w:type="dxa"/>
            <w:vAlign w:val="bottom"/>
            <w:shd w:val="clear" w:color="auto" w:fill="BFBFBF"/>
          </w:tcPr>
          <w:p>
            <w:pPr>
              <w:jc w:val="right"/>
              <w:ind w:right="80"/>
              <w:spacing w:after="0"/>
              <w:rPr>
                <w:sz w:val="20"/>
                <w:szCs w:val="20"/>
                <w:color w:val="auto"/>
              </w:rPr>
            </w:pPr>
            <w:r>
              <w:rPr>
                <w:rFonts w:ascii="Arial" w:cs="Arial" w:eastAsia="Arial" w:hAnsi="Arial"/>
                <w:sz w:val="16"/>
                <w:szCs w:val="16"/>
                <w:color w:val="auto"/>
              </w:rPr>
              <w:t>(9,605)</w:t>
            </w:r>
          </w:p>
        </w:tc>
        <w:tc>
          <w:tcPr>
            <w:tcW w:w="1020" w:type="dxa"/>
            <w:vAlign w:val="bottom"/>
            <w:tcBorders>
              <w:right w:val="single" w:sz="8" w:color="BFBFBF"/>
            </w:tcBorders>
            <w:shd w:val="clear" w:color="auto" w:fill="BFBFBF"/>
          </w:tcPr>
          <w:p>
            <w:pPr>
              <w:jc w:val="right"/>
              <w:ind w:right="79"/>
              <w:spacing w:after="0"/>
              <w:rPr>
                <w:sz w:val="20"/>
                <w:szCs w:val="20"/>
                <w:color w:val="auto"/>
              </w:rPr>
            </w:pPr>
            <w:r>
              <w:rPr>
                <w:rFonts w:ascii="Arial" w:cs="Arial" w:eastAsia="Arial" w:hAnsi="Arial"/>
                <w:sz w:val="16"/>
                <w:szCs w:val="16"/>
                <w:color w:val="auto"/>
              </w:rPr>
              <w:t>3,040</w:t>
            </w:r>
          </w:p>
        </w:tc>
        <w:tc>
          <w:tcPr>
            <w:tcW w:w="7160" w:type="dxa"/>
            <w:vAlign w:val="bottom"/>
            <w:shd w:val="clear" w:color="auto" w:fill="BFBFBF"/>
          </w:tcPr>
          <w:p>
            <w:pPr>
              <w:ind w:left="100"/>
              <w:spacing w:after="0"/>
              <w:rPr>
                <w:sz w:val="20"/>
                <w:szCs w:val="20"/>
                <w:color w:val="auto"/>
              </w:rPr>
            </w:pPr>
            <w:r>
              <w:rPr>
                <w:rFonts w:ascii="Arial" w:cs="Arial" w:eastAsia="Arial" w:hAnsi="Arial"/>
                <w:sz w:val="16"/>
                <w:szCs w:val="16"/>
                <w:color w:val="auto"/>
              </w:rPr>
              <w:t>Contract assets</w:t>
            </w:r>
          </w:p>
        </w:tc>
        <w:tc>
          <w:tcPr>
            <w:tcW w:w="1060" w:type="dxa"/>
            <w:vAlign w:val="bottom"/>
            <w:shd w:val="clear" w:color="auto" w:fill="BFBFBF"/>
          </w:tcPr>
          <w:p>
            <w:pPr>
              <w:jc w:val="right"/>
              <w:ind w:right="80"/>
              <w:spacing w:after="0"/>
              <w:rPr>
                <w:sz w:val="20"/>
                <w:szCs w:val="20"/>
                <w:color w:val="auto"/>
              </w:rPr>
            </w:pPr>
            <w:r>
              <w:rPr>
                <w:rFonts w:ascii="Arial" w:cs="Arial" w:eastAsia="Arial" w:hAnsi="Arial"/>
                <w:sz w:val="16"/>
                <w:szCs w:val="16"/>
                <w:color w:val="auto"/>
              </w:rPr>
              <w:t>(6,558)</w:t>
            </w:r>
          </w:p>
        </w:tc>
        <w:tc>
          <w:tcPr>
            <w:tcW w:w="1080" w:type="dxa"/>
            <w:vAlign w:val="bottom"/>
            <w:shd w:val="clear" w:color="auto" w:fill="BFBFBF"/>
          </w:tcPr>
          <w:p>
            <w:pPr>
              <w:jc w:val="right"/>
              <w:ind w:right="99"/>
              <w:spacing w:after="0"/>
              <w:rPr>
                <w:sz w:val="20"/>
                <w:szCs w:val="20"/>
                <w:color w:val="auto"/>
              </w:rPr>
            </w:pPr>
            <w:r>
              <w:rPr>
                <w:rFonts w:ascii="Arial" w:cs="Arial" w:eastAsia="Arial" w:hAnsi="Arial"/>
                <w:sz w:val="16"/>
                <w:szCs w:val="16"/>
                <w:color w:val="auto"/>
              </w:rPr>
              <w:t>(8,721)</w:t>
            </w:r>
          </w:p>
        </w:tc>
      </w:tr>
      <w:tr>
        <w:trPr>
          <w:trHeight w:val="189"/>
        </w:trPr>
        <w:tc>
          <w:tcPr>
            <w:tcW w:w="1100" w:type="dxa"/>
            <w:vAlign w:val="bottom"/>
          </w:tcPr>
          <w:p>
            <w:pPr>
              <w:jc w:val="right"/>
              <w:ind w:right="80"/>
              <w:spacing w:after="0"/>
              <w:rPr>
                <w:sz w:val="20"/>
                <w:szCs w:val="20"/>
                <w:color w:val="auto"/>
              </w:rPr>
            </w:pPr>
            <w:r>
              <w:rPr>
                <w:rFonts w:ascii="Arial" w:cs="Arial" w:eastAsia="Arial" w:hAnsi="Arial"/>
                <w:sz w:val="16"/>
                <w:szCs w:val="16"/>
                <w:color w:val="auto"/>
              </w:rPr>
              <w:t>(3,760)</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(2,968)</w:t>
            </w:r>
          </w:p>
        </w:tc>
        <w:tc>
          <w:tcPr>
            <w:tcW w:w="7160" w:type="dxa"/>
            <w:vAlign w:val="bottom"/>
          </w:tcPr>
          <w:p>
            <w:pPr>
              <w:ind w:left="100"/>
              <w:spacing w:after="0"/>
              <w:rPr>
                <w:sz w:val="20"/>
                <w:szCs w:val="20"/>
                <w:color w:val="auto"/>
              </w:rPr>
            </w:pPr>
            <w:r>
              <w:rPr>
                <w:rFonts w:ascii="Arial" w:cs="Arial" w:eastAsia="Arial" w:hAnsi="Arial"/>
                <w:sz w:val="16"/>
                <w:szCs w:val="16"/>
                <w:color w:val="auto"/>
              </w:rPr>
              <w:t>Inventories</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(21,927)</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(16,408)</w:t>
            </w:r>
          </w:p>
        </w:tc>
      </w:tr>
      <w:tr>
        <w:trPr>
          <w:trHeight w:val="189"/>
        </w:trPr>
        <w:tc>
          <w:tcPr>
            <w:tcW w:w="1100" w:type="dxa"/>
            <w:vAlign w:val="bottom"/>
            <w:shd w:val="clear" w:color="auto" w:fill="BFBFBF"/>
          </w:tcPr>
          <w:p>
            <w:pPr>
              <w:jc w:val="right"/>
              <w:ind w:right="120"/>
              <w:spacing w:after="0"/>
              <w:rPr>
                <w:sz w:val="20"/>
                <w:szCs w:val="20"/>
                <w:color w:val="auto"/>
              </w:rPr>
            </w:pPr>
            <w:r>
              <w:rPr>
                <w:rFonts w:ascii="Arial" w:cs="Arial" w:eastAsia="Arial" w:hAnsi="Arial"/>
                <w:sz w:val="16"/>
                <w:szCs w:val="16"/>
                <w:color w:val="auto"/>
              </w:rPr>
              <w:t>131</w:t>
            </w:r>
          </w:p>
        </w:tc>
        <w:tc>
          <w:tcPr>
            <w:tcW w:w="1020" w:type="dxa"/>
            <w:vAlign w:val="bottom"/>
            <w:tcBorders>
              <w:right w:val="single" w:sz="8" w:color="BFBFBF"/>
            </w:tcBorders>
            <w:shd w:val="clear" w:color="auto" w:fill="BFBFBF"/>
          </w:tcPr>
          <w:p>
            <w:pPr>
              <w:jc w:val="right"/>
              <w:ind w:right="79"/>
              <w:spacing w:after="0"/>
              <w:rPr>
                <w:sz w:val="20"/>
                <w:szCs w:val="20"/>
                <w:color w:val="auto"/>
              </w:rPr>
            </w:pPr>
            <w:r>
              <w:rPr>
                <w:rFonts w:ascii="Arial" w:cs="Arial" w:eastAsia="Arial" w:hAnsi="Arial"/>
                <w:sz w:val="16"/>
                <w:szCs w:val="16"/>
                <w:color w:val="auto"/>
              </w:rPr>
              <w:t>103</w:t>
            </w:r>
          </w:p>
        </w:tc>
        <w:tc>
          <w:tcPr>
            <w:tcW w:w="7160" w:type="dxa"/>
            <w:vAlign w:val="bottom"/>
            <w:shd w:val="clear" w:color="auto" w:fill="BFBFBF"/>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1060" w:type="dxa"/>
            <w:vAlign w:val="bottom"/>
            <w:shd w:val="clear" w:color="auto" w:fill="BFBFBF"/>
          </w:tcPr>
          <w:p>
            <w:pPr>
              <w:jc w:val="right"/>
              <w:ind w:right="80"/>
              <w:spacing w:after="0"/>
              <w:rPr>
                <w:sz w:val="20"/>
                <w:szCs w:val="20"/>
                <w:color w:val="auto"/>
              </w:rPr>
            </w:pPr>
            <w:r>
              <w:rPr>
                <w:rFonts w:ascii="Arial" w:cs="Arial" w:eastAsia="Arial" w:hAnsi="Arial"/>
                <w:sz w:val="16"/>
                <w:szCs w:val="16"/>
                <w:color w:val="auto"/>
              </w:rPr>
              <w:t>(4,057)</w:t>
            </w:r>
          </w:p>
        </w:tc>
        <w:tc>
          <w:tcPr>
            <w:tcW w:w="1080" w:type="dxa"/>
            <w:vAlign w:val="bottom"/>
            <w:shd w:val="clear" w:color="auto" w:fill="BFBFBF"/>
          </w:tcPr>
          <w:p>
            <w:pPr>
              <w:jc w:val="right"/>
              <w:ind w:right="99"/>
              <w:spacing w:after="0"/>
              <w:rPr>
                <w:sz w:val="20"/>
                <w:szCs w:val="20"/>
                <w:color w:val="auto"/>
              </w:rPr>
            </w:pPr>
            <w:r>
              <w:rPr>
                <w:rFonts w:ascii="Arial" w:cs="Arial" w:eastAsia="Arial" w:hAnsi="Arial"/>
                <w:sz w:val="16"/>
                <w:szCs w:val="16"/>
                <w:color w:val="auto"/>
              </w:rPr>
              <w:t>(5,117)</w:t>
            </w:r>
          </w:p>
        </w:tc>
      </w:tr>
      <w:tr>
        <w:trPr>
          <w:trHeight w:val="189"/>
        </w:trPr>
        <w:tc>
          <w:tcPr>
            <w:tcW w:w="1100" w:type="dxa"/>
            <w:vAlign w:val="bottom"/>
          </w:tcPr>
          <w:p>
            <w:pPr>
              <w:jc w:val="right"/>
              <w:ind w:right="120"/>
              <w:spacing w:after="0"/>
              <w:rPr>
                <w:sz w:val="20"/>
                <w:szCs w:val="20"/>
                <w:color w:val="auto"/>
              </w:rPr>
            </w:pPr>
            <w:r>
              <w:rPr>
                <w:rFonts w:ascii="Arial" w:cs="Arial" w:eastAsia="Arial" w:hAnsi="Arial"/>
                <w:sz w:val="16"/>
                <w:szCs w:val="16"/>
                <w:color w:val="auto"/>
              </w:rPr>
              <w:t>304</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(551)</w:t>
            </w:r>
          </w:p>
        </w:tc>
        <w:tc>
          <w:tcPr>
            <w:tcW w:w="7160" w:type="dxa"/>
            <w:vAlign w:val="bottom"/>
          </w:tcPr>
          <w:p>
            <w:pPr>
              <w:ind w:left="100"/>
              <w:spacing w:after="0"/>
              <w:rPr>
                <w:sz w:val="20"/>
                <w:szCs w:val="20"/>
                <w:color w:val="auto"/>
              </w:rPr>
            </w:pPr>
            <w:r>
              <w:rPr>
                <w:rFonts w:ascii="Arial" w:cs="Arial" w:eastAsia="Arial" w:hAnsi="Arial"/>
                <w:sz w:val="16"/>
                <w:szCs w:val="16"/>
                <w:color w:val="auto"/>
              </w:rPr>
              <w:t>Income taxes prepaid and receivable</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662</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(454)</w:t>
            </w:r>
          </w:p>
        </w:tc>
      </w:tr>
      <w:tr>
        <w:trPr>
          <w:trHeight w:val="189"/>
        </w:trPr>
        <w:tc>
          <w:tcPr>
            <w:tcW w:w="1100" w:type="dxa"/>
            <w:vAlign w:val="bottom"/>
            <w:shd w:val="clear" w:color="auto" w:fill="BFBFBF"/>
          </w:tcPr>
          <w:p>
            <w:pPr>
              <w:jc w:val="right"/>
              <w:ind w:right="120"/>
              <w:spacing w:after="0"/>
              <w:rPr>
                <w:sz w:val="20"/>
                <w:szCs w:val="20"/>
                <w:color w:val="auto"/>
              </w:rPr>
            </w:pPr>
            <w:r>
              <w:rPr>
                <w:rFonts w:ascii="Arial" w:cs="Arial" w:eastAsia="Arial" w:hAnsi="Arial"/>
                <w:sz w:val="16"/>
                <w:szCs w:val="16"/>
                <w:color w:val="auto"/>
              </w:rPr>
              <w:t>363</w:t>
            </w:r>
          </w:p>
        </w:tc>
        <w:tc>
          <w:tcPr>
            <w:tcW w:w="1020" w:type="dxa"/>
            <w:vAlign w:val="bottom"/>
            <w:tcBorders>
              <w:right w:val="single" w:sz="8" w:color="BFBFBF"/>
            </w:tcBorders>
            <w:shd w:val="clear" w:color="auto" w:fill="BFBFBF"/>
          </w:tcPr>
          <w:p>
            <w:pPr>
              <w:jc w:val="right"/>
              <w:ind w:right="19"/>
              <w:spacing w:after="0"/>
              <w:rPr>
                <w:sz w:val="20"/>
                <w:szCs w:val="20"/>
                <w:color w:val="auto"/>
              </w:rPr>
            </w:pPr>
            <w:r>
              <w:rPr>
                <w:rFonts w:ascii="Arial" w:cs="Arial" w:eastAsia="Arial" w:hAnsi="Arial"/>
                <w:sz w:val="16"/>
                <w:szCs w:val="16"/>
                <w:color w:val="auto"/>
              </w:rPr>
              <w:t>(2,728)</w:t>
            </w:r>
          </w:p>
        </w:tc>
        <w:tc>
          <w:tcPr>
            <w:tcW w:w="7160" w:type="dxa"/>
            <w:vAlign w:val="bottom"/>
            <w:shd w:val="clear" w:color="auto" w:fill="BFBFBF"/>
          </w:tcPr>
          <w:p>
            <w:pPr>
              <w:ind w:left="100"/>
              <w:spacing w:after="0"/>
              <w:rPr>
                <w:sz w:val="20"/>
                <w:szCs w:val="20"/>
                <w:color w:val="auto"/>
              </w:rPr>
            </w:pPr>
            <w:r>
              <w:rPr>
                <w:rFonts w:ascii="Arial" w:cs="Arial" w:eastAsia="Arial" w:hAnsi="Arial"/>
                <w:sz w:val="16"/>
                <w:szCs w:val="16"/>
                <w:color w:val="auto"/>
              </w:rPr>
              <w:t>Accounts payable</w:t>
            </w:r>
          </w:p>
        </w:tc>
        <w:tc>
          <w:tcPr>
            <w:tcW w:w="1060" w:type="dxa"/>
            <w:vAlign w:val="bottom"/>
            <w:shd w:val="clear" w:color="auto" w:fill="BFBFBF"/>
          </w:tcPr>
          <w:p>
            <w:pPr>
              <w:jc w:val="right"/>
              <w:ind w:right="140"/>
              <w:spacing w:after="0"/>
              <w:rPr>
                <w:sz w:val="20"/>
                <w:szCs w:val="20"/>
                <w:color w:val="auto"/>
              </w:rPr>
            </w:pPr>
            <w:r>
              <w:rPr>
                <w:rFonts w:ascii="Arial" w:cs="Arial" w:eastAsia="Arial" w:hAnsi="Arial"/>
                <w:sz w:val="16"/>
                <w:szCs w:val="16"/>
                <w:color w:val="auto"/>
              </w:rPr>
              <w:t>7,837</w:t>
            </w:r>
          </w:p>
        </w:tc>
        <w:tc>
          <w:tcPr>
            <w:tcW w:w="1080" w:type="dxa"/>
            <w:vAlign w:val="bottom"/>
            <w:shd w:val="clear" w:color="auto" w:fill="BFBFBF"/>
          </w:tcPr>
          <w:p>
            <w:pPr>
              <w:jc w:val="right"/>
              <w:ind w:right="139"/>
              <w:spacing w:after="0"/>
              <w:rPr>
                <w:sz w:val="20"/>
                <w:szCs w:val="20"/>
                <w:color w:val="auto"/>
              </w:rPr>
            </w:pPr>
            <w:r>
              <w:rPr>
                <w:rFonts w:ascii="Arial" w:cs="Arial" w:eastAsia="Arial" w:hAnsi="Arial"/>
                <w:sz w:val="16"/>
                <w:szCs w:val="16"/>
                <w:color w:val="auto"/>
              </w:rPr>
              <w:t>6,154</w:t>
            </w:r>
          </w:p>
        </w:tc>
      </w:tr>
      <w:tr>
        <w:trPr>
          <w:trHeight w:val="189"/>
        </w:trPr>
        <w:tc>
          <w:tcPr>
            <w:tcW w:w="1100" w:type="dxa"/>
            <w:vAlign w:val="bottom"/>
          </w:tcPr>
          <w:p>
            <w:pPr>
              <w:jc w:val="right"/>
              <w:ind w:right="120"/>
              <w:spacing w:after="0"/>
              <w:rPr>
                <w:sz w:val="20"/>
                <w:szCs w:val="20"/>
                <w:color w:val="auto"/>
              </w:rPr>
            </w:pPr>
            <w:r>
              <w:rPr>
                <w:rFonts w:ascii="Arial" w:cs="Arial" w:eastAsia="Arial" w:hAnsi="Arial"/>
                <w:sz w:val="16"/>
                <w:szCs w:val="16"/>
                <w:color w:val="auto"/>
              </w:rPr>
              <w:t>3,407</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7,552</w:t>
            </w:r>
          </w:p>
        </w:tc>
        <w:tc>
          <w:tcPr>
            <w:tcW w:w="7160" w:type="dxa"/>
            <w:vAlign w:val="bottom"/>
          </w:tcPr>
          <w:p>
            <w:pPr>
              <w:ind w:left="100"/>
              <w:spacing w:after="0"/>
              <w:rPr>
                <w:sz w:val="20"/>
                <w:szCs w:val="20"/>
                <w:color w:val="auto"/>
              </w:rPr>
            </w:pPr>
            <w:r>
              <w:rPr>
                <w:rFonts w:ascii="Arial" w:cs="Arial" w:eastAsia="Arial" w:hAnsi="Arial"/>
                <w:sz w:val="16"/>
                <w:szCs w:val="16"/>
                <w:color w:val="auto"/>
              </w:rPr>
              <w:t>Accrued liabilities</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(8,762)</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12,171</w:t>
            </w:r>
          </w:p>
        </w:tc>
      </w:tr>
      <w:tr>
        <w:trPr>
          <w:trHeight w:val="189"/>
        </w:trPr>
        <w:tc>
          <w:tcPr>
            <w:tcW w:w="1100" w:type="dxa"/>
            <w:vAlign w:val="bottom"/>
            <w:shd w:val="clear" w:color="auto" w:fill="BFBFBF"/>
          </w:tcPr>
          <w:p>
            <w:pPr>
              <w:jc w:val="right"/>
              <w:ind w:right="80"/>
              <w:spacing w:after="0"/>
              <w:rPr>
                <w:sz w:val="20"/>
                <w:szCs w:val="20"/>
                <w:color w:val="auto"/>
              </w:rPr>
            </w:pPr>
            <w:r>
              <w:rPr>
                <w:rFonts w:ascii="Arial" w:cs="Arial" w:eastAsia="Arial" w:hAnsi="Arial"/>
                <w:sz w:val="16"/>
                <w:szCs w:val="16"/>
                <w:color w:val="auto"/>
              </w:rPr>
              <w:t>(5,611)</w:t>
            </w:r>
          </w:p>
        </w:tc>
        <w:tc>
          <w:tcPr>
            <w:tcW w:w="1020" w:type="dxa"/>
            <w:vAlign w:val="bottom"/>
            <w:tcBorders>
              <w:right w:val="single" w:sz="8" w:color="BFBFBF"/>
            </w:tcBorders>
            <w:shd w:val="clear" w:color="auto" w:fill="BFBFBF"/>
          </w:tcPr>
          <w:p>
            <w:pPr>
              <w:jc w:val="right"/>
              <w:ind w:right="79"/>
              <w:spacing w:after="0"/>
              <w:rPr>
                <w:sz w:val="20"/>
                <w:szCs w:val="20"/>
                <w:color w:val="auto"/>
              </w:rPr>
            </w:pPr>
            <w:r>
              <w:rPr>
                <w:rFonts w:ascii="Arial" w:cs="Arial" w:eastAsia="Arial" w:hAnsi="Arial"/>
                <w:sz w:val="16"/>
                <w:szCs w:val="16"/>
                <w:color w:val="auto"/>
              </w:rPr>
              <w:t>6,766</w:t>
            </w:r>
          </w:p>
        </w:tc>
        <w:tc>
          <w:tcPr>
            <w:tcW w:w="7160" w:type="dxa"/>
            <w:vAlign w:val="bottom"/>
            <w:shd w:val="clear" w:color="auto" w:fill="BFBFBF"/>
          </w:tcPr>
          <w:p>
            <w:pPr>
              <w:ind w:left="100"/>
              <w:spacing w:after="0"/>
              <w:rPr>
                <w:sz w:val="20"/>
                <w:szCs w:val="20"/>
                <w:color w:val="auto"/>
              </w:rPr>
            </w:pPr>
            <w:r>
              <w:rPr>
                <w:rFonts w:ascii="Arial" w:cs="Arial" w:eastAsia="Arial" w:hAnsi="Arial"/>
                <w:sz w:val="16"/>
                <w:szCs w:val="16"/>
                <w:color w:val="auto"/>
              </w:rPr>
              <w:t>Income taxes payable</w:t>
            </w:r>
          </w:p>
        </w:tc>
        <w:tc>
          <w:tcPr>
            <w:tcW w:w="1060" w:type="dxa"/>
            <w:vAlign w:val="bottom"/>
            <w:shd w:val="clear" w:color="auto" w:fill="BFBFBF"/>
          </w:tcPr>
          <w:p>
            <w:pPr>
              <w:jc w:val="right"/>
              <w:ind w:right="140"/>
              <w:spacing w:after="0"/>
              <w:rPr>
                <w:sz w:val="20"/>
                <w:szCs w:val="20"/>
                <w:color w:val="auto"/>
              </w:rPr>
            </w:pPr>
            <w:r>
              <w:rPr>
                <w:rFonts w:ascii="Arial" w:cs="Arial" w:eastAsia="Arial" w:hAnsi="Arial"/>
                <w:sz w:val="16"/>
                <w:szCs w:val="16"/>
                <w:color w:val="auto"/>
              </w:rPr>
              <w:t>1,619</w:t>
            </w:r>
          </w:p>
        </w:tc>
        <w:tc>
          <w:tcPr>
            <w:tcW w:w="1080" w:type="dxa"/>
            <w:vAlign w:val="bottom"/>
            <w:shd w:val="clear" w:color="auto" w:fill="BFBFBF"/>
          </w:tcPr>
          <w:p>
            <w:pPr>
              <w:jc w:val="right"/>
              <w:ind w:right="159"/>
              <w:spacing w:after="0"/>
              <w:rPr>
                <w:sz w:val="20"/>
                <w:szCs w:val="20"/>
                <w:color w:val="auto"/>
              </w:rPr>
            </w:pPr>
            <w:r>
              <w:rPr>
                <w:rFonts w:ascii="Arial" w:cs="Arial" w:eastAsia="Arial" w:hAnsi="Arial"/>
                <w:sz w:val="16"/>
                <w:szCs w:val="16"/>
                <w:color w:val="auto"/>
              </w:rPr>
              <w:t>13,355</w:t>
            </w:r>
          </w:p>
        </w:tc>
      </w:tr>
      <w:tr>
        <w:trPr>
          <w:trHeight w:val="189"/>
        </w:trPr>
        <w:tc>
          <w:tcPr>
            <w:tcW w:w="1100" w:type="dxa"/>
            <w:vAlign w:val="bottom"/>
          </w:tcPr>
          <w:p>
            <w:pPr>
              <w:jc w:val="right"/>
              <w:ind w:right="80"/>
              <w:spacing w:after="0"/>
              <w:rPr>
                <w:sz w:val="20"/>
                <w:szCs w:val="20"/>
                <w:color w:val="auto"/>
              </w:rPr>
            </w:pPr>
            <w:r>
              <w:rPr>
                <w:rFonts w:ascii="Arial" w:cs="Arial" w:eastAsia="Arial" w:hAnsi="Arial"/>
                <w:sz w:val="16"/>
                <w:szCs w:val="16"/>
                <w:color w:val="auto"/>
              </w:rPr>
              <w:t>(339)</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(4,676)</w:t>
            </w:r>
          </w:p>
        </w:tc>
        <w:tc>
          <w:tcPr>
            <w:tcW w:w="7160" w:type="dxa"/>
            <w:vAlign w:val="bottom"/>
          </w:tcPr>
          <w:p>
            <w:pPr>
              <w:ind w:left="100"/>
              <w:spacing w:after="0"/>
              <w:rPr>
                <w:sz w:val="20"/>
                <w:szCs w:val="20"/>
                <w:color w:val="auto"/>
              </w:rPr>
            </w:pPr>
            <w:r>
              <w:rPr>
                <w:rFonts w:ascii="Arial" w:cs="Arial" w:eastAsia="Arial" w:hAnsi="Arial"/>
                <w:sz w:val="16"/>
                <w:szCs w:val="16"/>
                <w:color w:val="auto"/>
              </w:rPr>
              <w:t>Noncurrent receivables</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(679)</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(8,846)</w:t>
            </w:r>
          </w:p>
        </w:tc>
      </w:tr>
      <w:tr>
        <w:trPr>
          <w:trHeight w:val="189"/>
        </w:trPr>
        <w:tc>
          <w:tcPr>
            <w:tcW w:w="1100" w:type="dxa"/>
            <w:vAlign w:val="bottom"/>
            <w:shd w:val="clear" w:color="auto" w:fill="BFBFBF"/>
          </w:tcPr>
          <w:p>
            <w:pPr>
              <w:jc w:val="right"/>
              <w:ind w:right="80"/>
              <w:spacing w:after="0"/>
              <w:rPr>
                <w:sz w:val="20"/>
                <w:szCs w:val="20"/>
                <w:color w:val="auto"/>
              </w:rPr>
            </w:pPr>
            <w:r>
              <w:rPr>
                <w:rFonts w:ascii="Arial" w:cs="Arial" w:eastAsia="Arial" w:hAnsi="Arial"/>
                <w:sz w:val="16"/>
                <w:szCs w:val="16"/>
                <w:color w:val="auto"/>
              </w:rPr>
              <w:t>(2,251)</w:t>
            </w:r>
          </w:p>
        </w:tc>
        <w:tc>
          <w:tcPr>
            <w:tcW w:w="1020" w:type="dxa"/>
            <w:vAlign w:val="bottom"/>
            <w:tcBorders>
              <w:right w:val="single" w:sz="8" w:color="BFBFBF"/>
            </w:tcBorders>
            <w:shd w:val="clear" w:color="auto" w:fill="BFBFBF"/>
          </w:tcPr>
          <w:p>
            <w:pPr>
              <w:jc w:val="right"/>
              <w:ind w:right="19"/>
              <w:spacing w:after="0"/>
              <w:rPr>
                <w:sz w:val="20"/>
                <w:szCs w:val="20"/>
                <w:color w:val="auto"/>
              </w:rPr>
            </w:pPr>
            <w:r>
              <w:rPr>
                <w:rFonts w:ascii="Arial" w:cs="Arial" w:eastAsia="Arial" w:hAnsi="Arial"/>
                <w:sz w:val="16"/>
                <w:szCs w:val="16"/>
                <w:color w:val="auto"/>
              </w:rPr>
              <w:t>(5,102)</w:t>
            </w:r>
          </w:p>
        </w:tc>
        <w:tc>
          <w:tcPr>
            <w:tcW w:w="7160" w:type="dxa"/>
            <w:vAlign w:val="bottom"/>
            <w:shd w:val="clear" w:color="auto" w:fill="BFBFBF"/>
          </w:tcPr>
          <w:p>
            <w:pPr>
              <w:ind w:left="100"/>
              <w:spacing w:after="0"/>
              <w:rPr>
                <w:sz w:val="20"/>
                <w:szCs w:val="20"/>
                <w:color w:val="auto"/>
              </w:rPr>
            </w:pPr>
            <w:r>
              <w:rPr>
                <w:rFonts w:ascii="Arial" w:cs="Arial" w:eastAsia="Arial" w:hAnsi="Arial"/>
                <w:sz w:val="16"/>
                <w:szCs w:val="16"/>
                <w:color w:val="auto"/>
              </w:rPr>
              <w:t>Other noncurrent liabilities</w:t>
            </w:r>
          </w:p>
        </w:tc>
        <w:tc>
          <w:tcPr>
            <w:tcW w:w="1060" w:type="dxa"/>
            <w:vAlign w:val="bottom"/>
            <w:shd w:val="clear" w:color="auto" w:fill="BFBFBF"/>
          </w:tcPr>
          <w:p>
            <w:pPr>
              <w:jc w:val="right"/>
              <w:ind w:right="80"/>
              <w:spacing w:after="0"/>
              <w:rPr>
                <w:sz w:val="20"/>
                <w:szCs w:val="20"/>
                <w:color w:val="auto"/>
              </w:rPr>
            </w:pPr>
            <w:r>
              <w:rPr>
                <w:rFonts w:ascii="Arial" w:cs="Arial" w:eastAsia="Arial" w:hAnsi="Arial"/>
                <w:sz w:val="16"/>
                <w:szCs w:val="16"/>
                <w:color w:val="auto"/>
              </w:rPr>
              <w:t>(4,411)</w:t>
            </w:r>
          </w:p>
        </w:tc>
        <w:tc>
          <w:tcPr>
            <w:tcW w:w="1080" w:type="dxa"/>
            <w:vAlign w:val="bottom"/>
            <w:shd w:val="clear" w:color="auto" w:fill="BFBFBF"/>
          </w:tcPr>
          <w:p>
            <w:pPr>
              <w:jc w:val="right"/>
              <w:ind w:right="99"/>
              <w:spacing w:after="0"/>
              <w:rPr>
                <w:sz w:val="20"/>
                <w:szCs w:val="20"/>
                <w:color w:val="auto"/>
              </w:rPr>
            </w:pPr>
            <w:r>
              <w:rPr>
                <w:rFonts w:ascii="Arial" w:cs="Arial" w:eastAsia="Arial" w:hAnsi="Arial"/>
                <w:sz w:val="16"/>
                <w:szCs w:val="16"/>
                <w:color w:val="auto"/>
              </w:rPr>
              <w:t>(6,333)</w:t>
            </w:r>
          </w:p>
        </w:tc>
      </w:tr>
      <w:tr>
        <w:trPr>
          <w:trHeight w:val="189"/>
        </w:trPr>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(1,055)</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(5,728)</w:t>
            </w:r>
          </w:p>
        </w:tc>
        <w:tc>
          <w:tcPr>
            <w:tcW w:w="7160" w:type="dxa"/>
            <w:vAlign w:val="bottom"/>
            <w:tcBorders>
              <w:bottom w:val="single" w:sz="8" w:color="BFBFBF"/>
            </w:tcBorders>
          </w:tcPr>
          <w:p>
            <w:pPr>
              <w:ind w:left="100"/>
              <w:spacing w:after="0"/>
              <w:rPr>
                <w:sz w:val="20"/>
                <w:szCs w:val="20"/>
                <w:color w:val="auto"/>
              </w:rPr>
            </w:pPr>
            <w:r>
              <w:rPr>
                <w:rFonts w:ascii="Arial" w:cs="Arial" w:eastAsia="Arial" w:hAnsi="Arial"/>
                <w:sz w:val="16"/>
                <w:szCs w:val="16"/>
                <w:color w:val="auto"/>
              </w:rPr>
              <w:t>Other, net</w:t>
            </w: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(2,517)</w:t>
            </w: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(9,049)</w:t>
            </w:r>
          </w:p>
        </w:tc>
      </w:tr>
      <w:tr>
        <w:trPr>
          <w:trHeight w:val="183"/>
        </w:trPr>
        <w:tc>
          <w:tcPr>
            <w:tcW w:w="1100" w:type="dxa"/>
            <w:vAlign w:val="bottom"/>
            <w:tcBorders>
              <w:bottom w:val="single" w:sz="8" w:color="auto"/>
            </w:tcBorders>
            <w:shd w:val="clear" w:color="auto" w:fill="BFBFBF"/>
          </w:tcPr>
          <w:p>
            <w:pPr>
              <w:jc w:val="right"/>
              <w:ind w:right="120"/>
              <w:spacing w:after="0" w:line="183" w:lineRule="exact"/>
              <w:rPr>
                <w:sz w:val="20"/>
                <w:szCs w:val="20"/>
                <w:color w:val="auto"/>
              </w:rPr>
            </w:pPr>
            <w:r>
              <w:rPr>
                <w:rFonts w:ascii="Arial" w:cs="Arial" w:eastAsia="Arial" w:hAnsi="Arial"/>
                <w:sz w:val="16"/>
                <w:szCs w:val="16"/>
                <w:color w:val="auto"/>
              </w:rPr>
              <w:t>43,497</w:t>
            </w:r>
          </w:p>
        </w:tc>
        <w:tc>
          <w:tcPr>
            <w:tcW w:w="1020" w:type="dxa"/>
            <w:vAlign w:val="bottom"/>
            <w:tcBorders>
              <w:bottom w:val="single" w:sz="8" w:color="auto"/>
              <w:right w:val="single" w:sz="8" w:color="BFBFBF"/>
            </w:tcBorders>
            <w:shd w:val="clear" w:color="auto" w:fill="BFBFBF"/>
          </w:tcPr>
          <w:p>
            <w:pPr>
              <w:jc w:val="right"/>
              <w:ind w:right="79"/>
              <w:spacing w:after="0" w:line="183" w:lineRule="exact"/>
              <w:rPr>
                <w:sz w:val="20"/>
                <w:szCs w:val="20"/>
                <w:color w:val="auto"/>
              </w:rPr>
            </w:pPr>
            <w:r>
              <w:rPr>
                <w:rFonts w:ascii="Arial" w:cs="Arial" w:eastAsia="Arial" w:hAnsi="Arial"/>
                <w:sz w:val="16"/>
                <w:szCs w:val="16"/>
                <w:color w:val="auto"/>
              </w:rPr>
              <w:t>44,715</w:t>
            </w:r>
          </w:p>
        </w:tc>
        <w:tc>
          <w:tcPr>
            <w:tcW w:w="7160" w:type="dxa"/>
            <w:vAlign w:val="bottom"/>
            <w:shd w:val="clear" w:color="auto" w:fill="BFBFBF"/>
          </w:tcPr>
          <w:p>
            <w:pPr>
              <w:ind w:left="10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shd w:val="clear" w:color="auto" w:fill="BFBFBF"/>
          </w:tcPr>
          <w:p>
            <w:pPr>
              <w:jc w:val="right"/>
              <w:ind w:right="140"/>
              <w:spacing w:after="0" w:line="183" w:lineRule="exact"/>
              <w:rPr>
                <w:sz w:val="20"/>
                <w:szCs w:val="20"/>
                <w:color w:val="auto"/>
              </w:rPr>
            </w:pPr>
            <w:r>
              <w:rPr>
                <w:rFonts w:ascii="Arial" w:cs="Arial" w:eastAsia="Arial" w:hAnsi="Arial"/>
                <w:sz w:val="16"/>
                <w:szCs w:val="16"/>
                <w:color w:val="auto"/>
              </w:rPr>
              <w:t>126,593</w:t>
            </w:r>
          </w:p>
        </w:tc>
        <w:tc>
          <w:tcPr>
            <w:tcW w:w="1080" w:type="dxa"/>
            <w:vAlign w:val="bottom"/>
            <w:tcBorders>
              <w:bottom w:val="single" w:sz="8" w:color="auto"/>
            </w:tcBorders>
            <w:shd w:val="clear" w:color="auto" w:fill="BFBFBF"/>
          </w:tcPr>
          <w:p>
            <w:pPr>
              <w:jc w:val="right"/>
              <w:ind w:right="159"/>
              <w:spacing w:after="0" w:line="183" w:lineRule="exact"/>
              <w:rPr>
                <w:sz w:val="20"/>
                <w:szCs w:val="20"/>
                <w:color w:val="auto"/>
              </w:rPr>
            </w:pPr>
            <w:r>
              <w:rPr>
                <w:rFonts w:ascii="Arial" w:cs="Arial" w:eastAsia="Arial" w:hAnsi="Arial"/>
                <w:sz w:val="16"/>
                <w:szCs w:val="16"/>
                <w:color w:val="auto"/>
              </w:rPr>
              <w:t>61,455</w:t>
            </w:r>
          </w:p>
        </w:tc>
      </w:tr>
      <w:tr>
        <w:trPr>
          <w:trHeight w:val="156"/>
        </w:trPr>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9"/>
        </w:trPr>
        <w:tc>
          <w:tcPr>
            <w:tcW w:w="1100" w:type="dxa"/>
            <w:vAlign w:val="bottom"/>
            <w:shd w:val="clear" w:color="auto" w:fill="BFBFBF"/>
          </w:tcPr>
          <w:p>
            <w:pPr>
              <w:spacing w:after="0"/>
              <w:rPr>
                <w:sz w:val="16"/>
                <w:szCs w:val="16"/>
                <w:color w:val="auto"/>
              </w:rPr>
            </w:pPr>
          </w:p>
        </w:tc>
        <w:tc>
          <w:tcPr>
            <w:tcW w:w="1020" w:type="dxa"/>
            <w:vAlign w:val="bottom"/>
            <w:tcBorders>
              <w:right w:val="single" w:sz="8" w:color="BFBFBF"/>
            </w:tcBorders>
            <w:shd w:val="clear" w:color="auto" w:fill="BFBFBF"/>
          </w:tcPr>
          <w:p>
            <w:pPr>
              <w:spacing w:after="0"/>
              <w:rPr>
                <w:sz w:val="16"/>
                <w:szCs w:val="16"/>
                <w:color w:val="auto"/>
              </w:rPr>
            </w:pPr>
          </w:p>
        </w:tc>
        <w:tc>
          <w:tcPr>
            <w:tcW w:w="7160" w:type="dxa"/>
            <w:vAlign w:val="bottom"/>
            <w:shd w:val="clear" w:color="auto" w:fill="BFBFBF"/>
          </w:tcPr>
          <w:p>
            <w:pPr>
              <w:spacing w:after="0"/>
              <w:rPr>
                <w:sz w:val="20"/>
                <w:szCs w:val="20"/>
                <w:color w:val="auto"/>
              </w:rPr>
            </w:pPr>
            <w:r>
              <w:rPr>
                <w:rFonts w:ascii="Arial" w:cs="Arial" w:eastAsia="Arial" w:hAnsi="Arial"/>
                <w:sz w:val="16"/>
                <w:szCs w:val="16"/>
                <w:color w:val="auto"/>
              </w:rPr>
              <w:t>INVESTING ACTIVITIES</w:t>
            </w:r>
          </w:p>
        </w:tc>
        <w:tc>
          <w:tcPr>
            <w:tcW w:w="1060" w:type="dxa"/>
            <w:vAlign w:val="bottom"/>
            <w:shd w:val="clear" w:color="auto" w:fill="BFBFBF"/>
          </w:tcPr>
          <w:p>
            <w:pPr>
              <w:spacing w:after="0"/>
              <w:rPr>
                <w:sz w:val="16"/>
                <w:szCs w:val="16"/>
                <w:color w:val="auto"/>
              </w:rPr>
            </w:pPr>
          </w:p>
        </w:tc>
        <w:tc>
          <w:tcPr>
            <w:tcW w:w="1080" w:type="dxa"/>
            <w:vAlign w:val="bottom"/>
            <w:shd w:val="clear" w:color="auto" w:fill="BFBFBF"/>
          </w:tcPr>
          <w:p>
            <w:pPr>
              <w:spacing w:after="0"/>
              <w:rPr>
                <w:sz w:val="16"/>
                <w:szCs w:val="16"/>
                <w:color w:val="auto"/>
              </w:rPr>
            </w:pPr>
          </w:p>
        </w:tc>
      </w:tr>
      <w:tr>
        <w:trPr>
          <w:trHeight w:val="189"/>
        </w:trPr>
        <w:tc>
          <w:tcPr>
            <w:tcW w:w="1100" w:type="dxa"/>
            <w:vAlign w:val="bottom"/>
          </w:tcPr>
          <w:p>
            <w:pPr>
              <w:jc w:val="right"/>
              <w:ind w:right="80"/>
              <w:spacing w:after="0"/>
              <w:rPr>
                <w:sz w:val="20"/>
                <w:szCs w:val="20"/>
                <w:color w:val="auto"/>
              </w:rPr>
            </w:pPr>
            <w:r>
              <w:rPr>
                <w:rFonts w:ascii="Arial" w:cs="Arial" w:eastAsia="Arial" w:hAnsi="Arial"/>
                <w:sz w:val="16"/>
                <w:szCs w:val="16"/>
                <w:color w:val="auto"/>
              </w:rPr>
              <w:t>(13,442)</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(21,441)</w:t>
            </w:r>
          </w:p>
        </w:tc>
        <w:tc>
          <w:tcPr>
            <w:tcW w:w="7160" w:type="dxa"/>
            <w:vAlign w:val="bottom"/>
          </w:tcPr>
          <w:p>
            <w:pPr>
              <w:ind w:left="100"/>
              <w:spacing w:after="0"/>
              <w:rPr>
                <w:sz w:val="20"/>
                <w:szCs w:val="20"/>
                <w:color w:val="auto"/>
              </w:rPr>
            </w:pPr>
            <w:r>
              <w:rPr>
                <w:rFonts w:ascii="Arial" w:cs="Arial" w:eastAsia="Arial" w:hAnsi="Arial"/>
                <w:sz w:val="16"/>
                <w:szCs w:val="16"/>
                <w:color w:val="auto"/>
              </w:rPr>
              <w:t>Purchases of property, plant and equipment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(48,846)</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(60,564)</w:t>
            </w:r>
          </w:p>
        </w:tc>
      </w:tr>
      <w:tr>
        <w:trPr>
          <w:trHeight w:val="189"/>
        </w:trPr>
        <w:tc>
          <w:tcPr>
            <w:tcW w:w="1100" w:type="dxa"/>
            <w:vAlign w:val="bottom"/>
            <w:tcBorders>
              <w:bottom w:val="single" w:sz="8" w:color="auto"/>
            </w:tcBorders>
            <w:shd w:val="clear" w:color="auto" w:fill="BFBFBF"/>
          </w:tcPr>
          <w:p>
            <w:pPr>
              <w:jc w:val="right"/>
              <w:ind w:right="80"/>
              <w:spacing w:after="0"/>
              <w:rPr>
                <w:sz w:val="20"/>
                <w:szCs w:val="20"/>
                <w:color w:val="auto"/>
              </w:rPr>
            </w:pPr>
            <w:r>
              <w:rPr>
                <w:rFonts w:ascii="Arial" w:cs="Arial" w:eastAsia="Arial" w:hAnsi="Arial"/>
                <w:sz w:val="16"/>
                <w:szCs w:val="16"/>
                <w:color w:val="auto"/>
              </w:rPr>
              <w:t>(257)</w:t>
            </w:r>
          </w:p>
        </w:tc>
        <w:tc>
          <w:tcPr>
            <w:tcW w:w="1020" w:type="dxa"/>
            <w:vAlign w:val="bottom"/>
            <w:tcBorders>
              <w:bottom w:val="single" w:sz="8" w:color="auto"/>
              <w:right w:val="single" w:sz="8" w:color="BFBFBF"/>
            </w:tcBorders>
            <w:shd w:val="clear" w:color="auto" w:fill="BFBFBF"/>
          </w:tcPr>
          <w:p>
            <w:pPr>
              <w:jc w:val="right"/>
              <w:ind w:right="39"/>
              <w:spacing w:after="0"/>
              <w:rPr>
                <w:sz w:val="20"/>
                <w:szCs w:val="20"/>
                <w:color w:val="auto"/>
              </w:rPr>
            </w:pPr>
            <w:r>
              <w:rPr>
                <w:rFonts w:ascii="Arial" w:cs="Arial" w:eastAsia="Arial" w:hAnsi="Arial"/>
                <w:sz w:val="16"/>
                <w:szCs w:val="16"/>
                <w:color w:val="auto"/>
              </w:rPr>
              <w:t>(78)</w:t>
            </w:r>
          </w:p>
        </w:tc>
        <w:tc>
          <w:tcPr>
            <w:tcW w:w="7160" w:type="dxa"/>
            <w:vAlign w:val="bottom"/>
            <w:shd w:val="clear" w:color="auto" w:fill="BFBFBF"/>
          </w:tcPr>
          <w:p>
            <w:pPr>
              <w:ind w:left="100"/>
              <w:spacing w:after="0"/>
              <w:rPr>
                <w:sz w:val="20"/>
                <w:szCs w:val="20"/>
                <w:color w:val="auto"/>
              </w:rPr>
            </w:pPr>
            <w:r>
              <w:rPr>
                <w:rFonts w:ascii="Arial" w:cs="Arial" w:eastAsia="Arial" w:hAnsi="Arial"/>
                <w:sz w:val="16"/>
                <w:szCs w:val="16"/>
                <w:color w:val="auto"/>
              </w:rPr>
              <w:t>Purchased software</w:t>
            </w:r>
          </w:p>
        </w:tc>
        <w:tc>
          <w:tcPr>
            <w:tcW w:w="1060" w:type="dxa"/>
            <w:vAlign w:val="bottom"/>
            <w:tcBorders>
              <w:bottom w:val="single" w:sz="8" w:color="auto"/>
            </w:tcBorders>
            <w:shd w:val="clear" w:color="auto" w:fill="BFBFBF"/>
          </w:tcPr>
          <w:p>
            <w:pPr>
              <w:jc w:val="right"/>
              <w:ind w:right="80"/>
              <w:spacing w:after="0"/>
              <w:rPr>
                <w:sz w:val="20"/>
                <w:szCs w:val="20"/>
                <w:color w:val="auto"/>
              </w:rPr>
            </w:pPr>
            <w:r>
              <w:rPr>
                <w:rFonts w:ascii="Arial" w:cs="Arial" w:eastAsia="Arial" w:hAnsi="Arial"/>
                <w:sz w:val="16"/>
                <w:szCs w:val="16"/>
                <w:color w:val="auto"/>
              </w:rPr>
              <w:t>(306)</w:t>
            </w:r>
          </w:p>
        </w:tc>
        <w:tc>
          <w:tcPr>
            <w:tcW w:w="1080" w:type="dxa"/>
            <w:vAlign w:val="bottom"/>
            <w:tcBorders>
              <w:bottom w:val="single" w:sz="8" w:color="auto"/>
            </w:tcBorders>
            <w:shd w:val="clear" w:color="auto" w:fill="BFBFBF"/>
          </w:tcPr>
          <w:p>
            <w:pPr>
              <w:jc w:val="right"/>
              <w:ind w:right="99"/>
              <w:spacing w:after="0"/>
              <w:rPr>
                <w:sz w:val="20"/>
                <w:szCs w:val="20"/>
                <w:color w:val="auto"/>
              </w:rPr>
            </w:pPr>
            <w:r>
              <w:rPr>
                <w:rFonts w:ascii="Arial" w:cs="Arial" w:eastAsia="Arial" w:hAnsi="Arial"/>
                <w:sz w:val="16"/>
                <w:szCs w:val="16"/>
                <w:color w:val="auto"/>
              </w:rPr>
              <w:t>(130)</w:t>
            </w:r>
          </w:p>
        </w:tc>
      </w:tr>
      <w:tr>
        <w:trPr>
          <w:trHeight w:val="183"/>
        </w:trPr>
        <w:tc>
          <w:tcPr>
            <w:tcW w:w="1100" w:type="dxa"/>
            <w:vAlign w:val="bottom"/>
            <w:tcBorders>
              <w:bottom w:val="single" w:sz="8" w:color="auto"/>
            </w:tcBorders>
          </w:tcPr>
          <w:p>
            <w:pPr>
              <w:jc w:val="right"/>
              <w:ind w:right="80"/>
              <w:spacing w:after="0" w:line="183" w:lineRule="exact"/>
              <w:rPr>
                <w:sz w:val="20"/>
                <w:szCs w:val="20"/>
                <w:color w:val="auto"/>
              </w:rPr>
            </w:pPr>
            <w:r>
              <w:rPr>
                <w:rFonts w:ascii="Arial" w:cs="Arial" w:eastAsia="Arial" w:hAnsi="Arial"/>
                <w:sz w:val="16"/>
                <w:szCs w:val="16"/>
                <w:color w:val="auto"/>
              </w:rPr>
              <w:t>(13,699)</w:t>
            </w:r>
          </w:p>
        </w:tc>
        <w:tc>
          <w:tcPr>
            <w:tcW w:w="10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(21,519)</w:t>
            </w:r>
          </w:p>
        </w:tc>
        <w:tc>
          <w:tcPr>
            <w:tcW w:w="7160" w:type="dxa"/>
            <w:vAlign w:val="bottom"/>
            <w:tcBorders>
              <w:bottom w:val="single" w:sz="8" w:color="BFBFBF"/>
            </w:tcBorders>
          </w:tcPr>
          <w:p>
            <w:pPr>
              <w:ind w:left="100"/>
              <w:spacing w:after="0" w:line="183" w:lineRule="exact"/>
              <w:rPr>
                <w:sz w:val="20"/>
                <w:szCs w:val="20"/>
                <w:color w:val="auto"/>
              </w:rPr>
            </w:pPr>
            <w:r>
              <w:rPr>
                <w:rFonts w:ascii="Arial" w:cs="Arial" w:eastAsia="Arial" w:hAnsi="Arial"/>
                <w:sz w:val="16"/>
                <w:szCs w:val="16"/>
                <w:color w:val="auto"/>
              </w:rPr>
              <w:t>Net cash used in investing activities</w:t>
            </w:r>
          </w:p>
        </w:tc>
        <w:tc>
          <w:tcPr>
            <w:tcW w:w="1060" w:type="dxa"/>
            <w:vAlign w:val="bottom"/>
            <w:tcBorders>
              <w:bottom w:val="single" w:sz="8" w:color="auto"/>
            </w:tcBorders>
          </w:tcPr>
          <w:p>
            <w:pPr>
              <w:jc w:val="right"/>
              <w:ind w:right="80"/>
              <w:spacing w:after="0" w:line="183" w:lineRule="exact"/>
              <w:rPr>
                <w:sz w:val="20"/>
                <w:szCs w:val="20"/>
                <w:color w:val="auto"/>
              </w:rPr>
            </w:pPr>
            <w:r>
              <w:rPr>
                <w:rFonts w:ascii="Arial" w:cs="Arial" w:eastAsia="Arial" w:hAnsi="Arial"/>
                <w:sz w:val="16"/>
                <w:szCs w:val="16"/>
                <w:color w:val="auto"/>
              </w:rPr>
              <w:t>(49,152)</w:t>
            </w:r>
          </w:p>
        </w:tc>
        <w:tc>
          <w:tcPr>
            <w:tcW w:w="10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(60,694)</w:t>
            </w:r>
          </w:p>
        </w:tc>
      </w:tr>
      <w:tr>
        <w:trPr>
          <w:trHeight w:val="156"/>
        </w:trPr>
        <w:tc>
          <w:tcPr>
            <w:tcW w:w="1100" w:type="dxa"/>
            <w:vAlign w:val="bottom"/>
            <w:shd w:val="clear" w:color="auto" w:fill="BFBFBF"/>
          </w:tcPr>
          <w:p>
            <w:pPr>
              <w:spacing w:after="0"/>
              <w:rPr>
                <w:sz w:val="13"/>
                <w:szCs w:val="13"/>
                <w:color w:val="auto"/>
              </w:rPr>
            </w:pPr>
          </w:p>
        </w:tc>
        <w:tc>
          <w:tcPr>
            <w:tcW w:w="1020" w:type="dxa"/>
            <w:vAlign w:val="bottom"/>
            <w:tcBorders>
              <w:right w:val="single" w:sz="8" w:color="BFBFBF"/>
            </w:tcBorders>
            <w:shd w:val="clear" w:color="auto" w:fill="BFBFBF"/>
          </w:tcPr>
          <w:p>
            <w:pPr>
              <w:spacing w:after="0"/>
              <w:rPr>
                <w:sz w:val="13"/>
                <w:szCs w:val="13"/>
                <w:color w:val="auto"/>
              </w:rPr>
            </w:pPr>
          </w:p>
        </w:tc>
        <w:tc>
          <w:tcPr>
            <w:tcW w:w="7160" w:type="dxa"/>
            <w:vAlign w:val="bottom"/>
            <w:shd w:val="clear" w:color="auto" w:fill="BFBFBF"/>
          </w:tcPr>
          <w:p>
            <w:pPr>
              <w:spacing w:after="0"/>
              <w:rPr>
                <w:sz w:val="13"/>
                <w:szCs w:val="13"/>
                <w:color w:val="auto"/>
              </w:rPr>
            </w:pPr>
          </w:p>
        </w:tc>
        <w:tc>
          <w:tcPr>
            <w:tcW w:w="1060" w:type="dxa"/>
            <w:vAlign w:val="bottom"/>
            <w:shd w:val="clear" w:color="auto" w:fill="BFBFBF"/>
          </w:tcPr>
          <w:p>
            <w:pPr>
              <w:spacing w:after="0"/>
              <w:rPr>
                <w:sz w:val="13"/>
                <w:szCs w:val="13"/>
                <w:color w:val="auto"/>
              </w:rPr>
            </w:pPr>
          </w:p>
        </w:tc>
        <w:tc>
          <w:tcPr>
            <w:tcW w:w="1080" w:type="dxa"/>
            <w:vAlign w:val="bottom"/>
            <w:shd w:val="clear" w:color="auto" w:fill="BFBFBF"/>
          </w:tcPr>
          <w:p>
            <w:pPr>
              <w:spacing w:after="0"/>
              <w:rPr>
                <w:sz w:val="13"/>
                <w:szCs w:val="13"/>
                <w:color w:val="auto"/>
              </w:rPr>
            </w:pPr>
          </w:p>
        </w:tc>
      </w:tr>
      <w:tr>
        <w:trPr>
          <w:trHeight w:val="189"/>
        </w:trPr>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160" w:type="dxa"/>
            <w:vAlign w:val="bottom"/>
          </w:tcPr>
          <w:p>
            <w:pPr>
              <w:spacing w:after="0"/>
              <w:rPr>
                <w:sz w:val="20"/>
                <w:szCs w:val="20"/>
                <w:color w:val="auto"/>
              </w:rPr>
            </w:pPr>
            <w:r>
              <w:rPr>
                <w:rFonts w:ascii="Arial" w:cs="Arial" w:eastAsia="Arial" w:hAnsi="Arial"/>
                <w:sz w:val="16"/>
                <w:szCs w:val="16"/>
                <w:color w:val="auto"/>
              </w:rPr>
              <w:t>FINANCING ACTIVITIES</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1100" w:type="dxa"/>
            <w:vAlign w:val="bottom"/>
            <w:shd w:val="clear" w:color="auto" w:fill="BFBFB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BFBFBF"/>
            </w:tcBorders>
            <w:shd w:val="clear" w:color="auto" w:fill="BFBFBF"/>
          </w:tcPr>
          <w:p>
            <w:pPr>
              <w:jc w:val="right"/>
              <w:ind w:right="79"/>
              <w:spacing w:after="0"/>
              <w:rPr>
                <w:sz w:val="20"/>
                <w:szCs w:val="20"/>
                <w:color w:val="auto"/>
              </w:rPr>
            </w:pPr>
            <w:r>
              <w:rPr>
                <w:rFonts w:ascii="Arial" w:cs="Arial" w:eastAsia="Arial" w:hAnsi="Arial"/>
                <w:sz w:val="16"/>
                <w:szCs w:val="16"/>
                <w:color w:val="auto"/>
              </w:rPr>
              <w:t>3,000</w:t>
            </w:r>
          </w:p>
        </w:tc>
        <w:tc>
          <w:tcPr>
            <w:tcW w:w="7160" w:type="dxa"/>
            <w:vAlign w:val="bottom"/>
            <w:shd w:val="clear" w:color="auto" w:fill="BFBFBF"/>
          </w:tcPr>
          <w:p>
            <w:pPr>
              <w:ind w:left="100"/>
              <w:spacing w:after="0"/>
              <w:rPr>
                <w:sz w:val="20"/>
                <w:szCs w:val="20"/>
                <w:color w:val="auto"/>
              </w:rPr>
            </w:pPr>
            <w:r>
              <w:rPr>
                <w:rFonts w:ascii="Arial" w:cs="Arial" w:eastAsia="Arial" w:hAnsi="Arial"/>
                <w:sz w:val="16"/>
                <w:szCs w:val="16"/>
                <w:color w:val="auto"/>
              </w:rPr>
              <w:t>Proceeds from borrowings</w:t>
            </w:r>
          </w:p>
        </w:tc>
        <w:tc>
          <w:tcPr>
            <w:tcW w:w="1060" w:type="dxa"/>
            <w:vAlign w:val="bottom"/>
            <w:shd w:val="clear" w:color="auto" w:fill="BFBFBF"/>
          </w:tcPr>
          <w:p>
            <w:pPr>
              <w:jc w:val="right"/>
              <w:ind w:right="140"/>
              <w:spacing w:after="0"/>
              <w:rPr>
                <w:sz w:val="20"/>
                <w:szCs w:val="20"/>
                <w:color w:val="auto"/>
              </w:rPr>
            </w:pPr>
            <w:r>
              <w:rPr>
                <w:rFonts w:ascii="Arial" w:cs="Arial" w:eastAsia="Arial" w:hAnsi="Arial"/>
                <w:sz w:val="16"/>
                <w:szCs w:val="16"/>
                <w:color w:val="auto"/>
              </w:rPr>
              <w:t>20,000</w:t>
            </w:r>
          </w:p>
        </w:tc>
        <w:tc>
          <w:tcPr>
            <w:tcW w:w="1080" w:type="dxa"/>
            <w:vAlign w:val="bottom"/>
            <w:shd w:val="clear" w:color="auto" w:fill="BFBFBF"/>
          </w:tcPr>
          <w:p>
            <w:pPr>
              <w:jc w:val="right"/>
              <w:ind w:right="159"/>
              <w:spacing w:after="0"/>
              <w:rPr>
                <w:sz w:val="20"/>
                <w:szCs w:val="20"/>
                <w:color w:val="auto"/>
              </w:rPr>
            </w:pPr>
            <w:r>
              <w:rPr>
                <w:rFonts w:ascii="Arial" w:cs="Arial" w:eastAsia="Arial" w:hAnsi="Arial"/>
                <w:sz w:val="16"/>
                <w:szCs w:val="16"/>
                <w:color w:val="auto"/>
              </w:rPr>
              <w:t>26,031</w:t>
            </w:r>
          </w:p>
        </w:tc>
      </w:tr>
      <w:tr>
        <w:trPr>
          <w:trHeight w:val="189"/>
        </w:trPr>
        <w:tc>
          <w:tcPr>
            <w:tcW w:w="1100" w:type="dxa"/>
            <w:vAlign w:val="bottom"/>
          </w:tcPr>
          <w:p>
            <w:pPr>
              <w:jc w:val="right"/>
              <w:ind w:right="80"/>
              <w:spacing w:after="0"/>
              <w:rPr>
                <w:sz w:val="20"/>
                <w:szCs w:val="20"/>
                <w:color w:val="auto"/>
              </w:rPr>
            </w:pPr>
            <w:r>
              <w:rPr>
                <w:rFonts w:ascii="Arial" w:cs="Arial" w:eastAsia="Arial" w:hAnsi="Arial"/>
                <w:sz w:val="16"/>
                <w:szCs w:val="16"/>
                <w:color w:val="auto"/>
              </w:rPr>
              <w:t>(58,006)</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(10,471)</w:t>
            </w:r>
          </w:p>
        </w:tc>
        <w:tc>
          <w:tcPr>
            <w:tcW w:w="7160" w:type="dxa"/>
            <w:vAlign w:val="bottom"/>
          </w:tcPr>
          <w:p>
            <w:pPr>
              <w:ind w:left="100"/>
              <w:spacing w:after="0"/>
              <w:rPr>
                <w:sz w:val="20"/>
                <w:szCs w:val="20"/>
                <w:color w:val="auto"/>
              </w:rPr>
            </w:pPr>
            <w:r>
              <w:rPr>
                <w:rFonts w:ascii="Arial" w:cs="Arial" w:eastAsia="Arial" w:hAnsi="Arial"/>
                <w:sz w:val="16"/>
                <w:szCs w:val="16"/>
                <w:color w:val="auto"/>
              </w:rPr>
              <w:t>Principal payments on debt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(95,014)</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(24,614)</w:t>
            </w:r>
          </w:p>
        </w:tc>
      </w:tr>
      <w:tr>
        <w:trPr>
          <w:trHeight w:val="189"/>
        </w:trPr>
        <w:tc>
          <w:tcPr>
            <w:tcW w:w="1100" w:type="dxa"/>
            <w:vAlign w:val="bottom"/>
            <w:shd w:val="clear" w:color="auto" w:fill="BFBFBF"/>
          </w:tcPr>
          <w:p>
            <w:pPr>
              <w:jc w:val="right"/>
              <w:ind w:right="80"/>
              <w:spacing w:after="0"/>
              <w:rPr>
                <w:sz w:val="20"/>
                <w:szCs w:val="20"/>
                <w:color w:val="auto"/>
              </w:rPr>
            </w:pPr>
            <w:r>
              <w:rPr>
                <w:rFonts w:ascii="Arial" w:cs="Arial" w:eastAsia="Arial" w:hAnsi="Arial"/>
                <w:sz w:val="16"/>
                <w:szCs w:val="16"/>
                <w:color w:val="auto"/>
              </w:rPr>
              <w:t>(298)</w:t>
            </w:r>
          </w:p>
        </w:tc>
        <w:tc>
          <w:tcPr>
            <w:tcW w:w="1020" w:type="dxa"/>
            <w:vAlign w:val="bottom"/>
            <w:tcBorders>
              <w:right w:val="single" w:sz="8" w:color="BFBFBF"/>
            </w:tcBorders>
            <w:shd w:val="clear" w:color="auto" w:fill="BFBFBF"/>
          </w:tcPr>
          <w:p>
            <w:pPr>
              <w:jc w:val="right"/>
              <w:ind w:right="79"/>
              <w:spacing w:after="0"/>
              <w:rPr>
                <w:sz w:val="20"/>
                <w:szCs w:val="20"/>
                <w:color w:val="auto"/>
              </w:rPr>
            </w:pPr>
            <w:r>
              <w:rPr>
                <w:rFonts w:ascii="Arial" w:cs="Arial" w:eastAsia="Arial" w:hAnsi="Arial"/>
                <w:sz w:val="16"/>
                <w:szCs w:val="16"/>
                <w:color w:val="auto"/>
              </w:rPr>
              <w:t>—</w:t>
            </w:r>
          </w:p>
        </w:tc>
        <w:tc>
          <w:tcPr>
            <w:tcW w:w="7160" w:type="dxa"/>
            <w:vAlign w:val="bottom"/>
            <w:shd w:val="clear" w:color="auto" w:fill="BFBFBF"/>
          </w:tcPr>
          <w:p>
            <w:pPr>
              <w:ind w:left="100"/>
              <w:spacing w:after="0"/>
              <w:rPr>
                <w:sz w:val="20"/>
                <w:szCs w:val="20"/>
                <w:color w:val="auto"/>
              </w:rPr>
            </w:pPr>
            <w:r>
              <w:rPr>
                <w:rFonts w:ascii="Arial" w:cs="Arial" w:eastAsia="Arial" w:hAnsi="Arial"/>
                <w:sz w:val="16"/>
                <w:szCs w:val="16"/>
                <w:color w:val="auto"/>
              </w:rPr>
              <w:t>Principal payments on finance lease liabilities</w:t>
            </w:r>
          </w:p>
        </w:tc>
        <w:tc>
          <w:tcPr>
            <w:tcW w:w="1060" w:type="dxa"/>
            <w:vAlign w:val="bottom"/>
            <w:shd w:val="clear" w:color="auto" w:fill="BFBFBF"/>
          </w:tcPr>
          <w:p>
            <w:pPr>
              <w:jc w:val="right"/>
              <w:ind w:right="80"/>
              <w:spacing w:after="0"/>
              <w:rPr>
                <w:sz w:val="20"/>
                <w:szCs w:val="20"/>
                <w:color w:val="auto"/>
              </w:rPr>
            </w:pPr>
            <w:r>
              <w:rPr>
                <w:rFonts w:ascii="Arial" w:cs="Arial" w:eastAsia="Arial" w:hAnsi="Arial"/>
                <w:sz w:val="16"/>
                <w:szCs w:val="16"/>
                <w:color w:val="auto"/>
              </w:rPr>
              <w:t>(876)</w:t>
            </w:r>
          </w:p>
        </w:tc>
        <w:tc>
          <w:tcPr>
            <w:tcW w:w="1080" w:type="dxa"/>
            <w:vAlign w:val="bottom"/>
            <w:shd w:val="clear" w:color="auto" w:fill="BFBFBF"/>
          </w:tcPr>
          <w:p>
            <w:pPr>
              <w:jc w:val="right"/>
              <w:ind w:right="139"/>
              <w:spacing w:after="0"/>
              <w:rPr>
                <w:sz w:val="20"/>
                <w:szCs w:val="20"/>
                <w:color w:val="auto"/>
              </w:rPr>
            </w:pPr>
            <w:r>
              <w:rPr>
                <w:rFonts w:ascii="Arial" w:cs="Arial" w:eastAsia="Arial" w:hAnsi="Arial"/>
                <w:sz w:val="16"/>
                <w:szCs w:val="16"/>
                <w:color w:val="auto"/>
              </w:rPr>
              <w:t>—</w:t>
            </w:r>
          </w:p>
        </w:tc>
      </w:tr>
      <w:tr>
        <w:trPr>
          <w:trHeight w:val="189"/>
        </w:trPr>
        <w:tc>
          <w:tcPr>
            <w:tcW w:w="11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160" w:type="dxa"/>
            <w:vAlign w:val="bottom"/>
          </w:tcPr>
          <w:p>
            <w:pPr>
              <w:ind w:left="100"/>
              <w:spacing w:after="0"/>
              <w:rPr>
                <w:sz w:val="20"/>
                <w:szCs w:val="20"/>
                <w:color w:val="auto"/>
              </w:rPr>
            </w:pPr>
            <w:r>
              <w:rPr>
                <w:rFonts w:ascii="Arial" w:cs="Arial" w:eastAsia="Arial" w:hAnsi="Arial"/>
                <w:sz w:val="16"/>
                <w:szCs w:val="16"/>
                <w:color w:val="auto"/>
              </w:rPr>
              <w:t>Taxes paid in lieu of share issuance</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(971)</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(1,652)</w:t>
            </w:r>
          </w:p>
        </w:tc>
      </w:tr>
      <w:tr>
        <w:trPr>
          <w:trHeight w:val="189"/>
        </w:trPr>
        <w:tc>
          <w:tcPr>
            <w:tcW w:w="1100" w:type="dxa"/>
            <w:vAlign w:val="bottom"/>
            <w:shd w:val="clear" w:color="auto" w:fill="BFBFBF"/>
          </w:tcPr>
          <w:p>
            <w:pPr>
              <w:jc w:val="right"/>
              <w:ind w:right="120"/>
              <w:spacing w:after="0"/>
              <w:rPr>
                <w:sz w:val="20"/>
                <w:szCs w:val="20"/>
                <w:color w:val="auto"/>
              </w:rPr>
            </w:pPr>
            <w:r>
              <w:rPr>
                <w:rFonts w:ascii="Arial" w:cs="Arial" w:eastAsia="Arial" w:hAnsi="Arial"/>
                <w:sz w:val="16"/>
                <w:szCs w:val="16"/>
                <w:color w:val="auto"/>
              </w:rPr>
              <w:t>33</w:t>
            </w:r>
          </w:p>
        </w:tc>
        <w:tc>
          <w:tcPr>
            <w:tcW w:w="1020" w:type="dxa"/>
            <w:vAlign w:val="bottom"/>
            <w:tcBorders>
              <w:right w:val="single" w:sz="8" w:color="BFBFBF"/>
            </w:tcBorders>
            <w:shd w:val="clear" w:color="auto" w:fill="BFBFBF"/>
          </w:tcPr>
          <w:p>
            <w:pPr>
              <w:jc w:val="right"/>
              <w:ind w:right="79"/>
              <w:spacing w:after="0"/>
              <w:rPr>
                <w:sz w:val="20"/>
                <w:szCs w:val="20"/>
                <w:color w:val="auto"/>
              </w:rPr>
            </w:pPr>
            <w:r>
              <w:rPr>
                <w:rFonts w:ascii="Arial" w:cs="Arial" w:eastAsia="Arial" w:hAnsi="Arial"/>
                <w:sz w:val="16"/>
                <w:szCs w:val="16"/>
                <w:color w:val="auto"/>
              </w:rPr>
              <w:t>52</w:t>
            </w:r>
          </w:p>
        </w:tc>
        <w:tc>
          <w:tcPr>
            <w:tcW w:w="7160" w:type="dxa"/>
            <w:vAlign w:val="bottom"/>
            <w:shd w:val="clear" w:color="auto" w:fill="BFBFBF"/>
          </w:tcPr>
          <w:p>
            <w:pPr>
              <w:ind w:left="100"/>
              <w:spacing w:after="0"/>
              <w:rPr>
                <w:sz w:val="20"/>
                <w:szCs w:val="20"/>
                <w:color w:val="auto"/>
              </w:rPr>
            </w:pPr>
            <w:r>
              <w:rPr>
                <w:rFonts w:ascii="Arial" w:cs="Arial" w:eastAsia="Arial" w:hAnsi="Arial"/>
                <w:sz w:val="16"/>
                <w:szCs w:val="16"/>
                <w:color w:val="auto"/>
              </w:rPr>
              <w:t>Proceeds from options exercised</w:t>
            </w:r>
          </w:p>
        </w:tc>
        <w:tc>
          <w:tcPr>
            <w:tcW w:w="1060" w:type="dxa"/>
            <w:vAlign w:val="bottom"/>
            <w:shd w:val="clear" w:color="auto" w:fill="BFBFBF"/>
          </w:tcPr>
          <w:p>
            <w:pPr>
              <w:jc w:val="right"/>
              <w:ind w:right="140"/>
              <w:spacing w:after="0"/>
              <w:rPr>
                <w:sz w:val="20"/>
                <w:szCs w:val="20"/>
                <w:color w:val="auto"/>
              </w:rPr>
            </w:pPr>
            <w:r>
              <w:rPr>
                <w:rFonts w:ascii="Arial" w:cs="Arial" w:eastAsia="Arial" w:hAnsi="Arial"/>
                <w:sz w:val="16"/>
                <w:szCs w:val="16"/>
                <w:color w:val="auto"/>
              </w:rPr>
              <w:t>105</w:t>
            </w:r>
          </w:p>
        </w:tc>
        <w:tc>
          <w:tcPr>
            <w:tcW w:w="1080" w:type="dxa"/>
            <w:vAlign w:val="bottom"/>
            <w:shd w:val="clear" w:color="auto" w:fill="BFBFBF"/>
          </w:tcPr>
          <w:p>
            <w:pPr>
              <w:jc w:val="right"/>
              <w:ind w:right="139"/>
              <w:spacing w:after="0"/>
              <w:rPr>
                <w:sz w:val="20"/>
                <w:szCs w:val="20"/>
                <w:color w:val="auto"/>
              </w:rPr>
            </w:pPr>
            <w:r>
              <w:rPr>
                <w:rFonts w:ascii="Arial" w:cs="Arial" w:eastAsia="Arial" w:hAnsi="Arial"/>
                <w:sz w:val="16"/>
                <w:szCs w:val="16"/>
                <w:color w:val="auto"/>
              </w:rPr>
              <w:t>202</w:t>
            </w:r>
          </w:p>
        </w:tc>
      </w:tr>
      <w:tr>
        <w:trPr>
          <w:trHeight w:val="189"/>
        </w:trPr>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(5,814)</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(5,485)</w:t>
            </w:r>
          </w:p>
        </w:tc>
        <w:tc>
          <w:tcPr>
            <w:tcW w:w="7160" w:type="dxa"/>
            <w:vAlign w:val="bottom"/>
            <w:tcBorders>
              <w:bottom w:val="single" w:sz="8" w:color="BFBFBF"/>
            </w:tcBorders>
          </w:tcPr>
          <w:p>
            <w:pPr>
              <w:ind w:left="100"/>
              <w:spacing w:after="0"/>
              <w:rPr>
                <w:sz w:val="20"/>
                <w:szCs w:val="20"/>
                <w:color w:val="auto"/>
              </w:rPr>
            </w:pPr>
            <w:r>
              <w:rPr>
                <w:rFonts w:ascii="Arial" w:cs="Arial" w:eastAsia="Arial" w:hAnsi="Arial"/>
                <w:sz w:val="16"/>
                <w:szCs w:val="16"/>
                <w:color w:val="auto"/>
              </w:rPr>
              <w:t>Dividends paid</w:t>
            </w: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(17,435)</w:t>
            </w: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(16,441)</w:t>
            </w:r>
          </w:p>
        </w:tc>
      </w:tr>
      <w:tr>
        <w:trPr>
          <w:trHeight w:val="183"/>
        </w:trPr>
        <w:tc>
          <w:tcPr>
            <w:tcW w:w="1100" w:type="dxa"/>
            <w:vAlign w:val="bottom"/>
            <w:tcBorders>
              <w:bottom w:val="single" w:sz="8" w:color="auto"/>
            </w:tcBorders>
            <w:shd w:val="clear" w:color="auto" w:fill="BFBFBF"/>
          </w:tcPr>
          <w:p>
            <w:pPr>
              <w:jc w:val="right"/>
              <w:ind w:right="80"/>
              <w:spacing w:after="0" w:line="183" w:lineRule="exact"/>
              <w:rPr>
                <w:sz w:val="20"/>
                <w:szCs w:val="20"/>
                <w:color w:val="auto"/>
              </w:rPr>
            </w:pPr>
            <w:r>
              <w:rPr>
                <w:rFonts w:ascii="Arial" w:cs="Arial" w:eastAsia="Arial" w:hAnsi="Arial"/>
                <w:sz w:val="16"/>
                <w:szCs w:val="16"/>
                <w:color w:val="auto"/>
              </w:rPr>
              <w:t>(64,085)</w:t>
            </w:r>
          </w:p>
        </w:tc>
        <w:tc>
          <w:tcPr>
            <w:tcW w:w="1020" w:type="dxa"/>
            <w:vAlign w:val="bottom"/>
            <w:tcBorders>
              <w:bottom w:val="single" w:sz="8" w:color="auto"/>
              <w:right w:val="single" w:sz="8" w:color="BFBFBF"/>
            </w:tcBorders>
            <w:shd w:val="clear" w:color="auto" w:fill="BFBFBF"/>
          </w:tcPr>
          <w:p>
            <w:pPr>
              <w:jc w:val="right"/>
              <w:ind w:right="19"/>
              <w:spacing w:after="0" w:line="183" w:lineRule="exact"/>
              <w:rPr>
                <w:sz w:val="20"/>
                <w:szCs w:val="20"/>
                <w:color w:val="auto"/>
              </w:rPr>
            </w:pPr>
            <w:r>
              <w:rPr>
                <w:rFonts w:ascii="Arial" w:cs="Arial" w:eastAsia="Arial" w:hAnsi="Arial"/>
                <w:sz w:val="16"/>
                <w:szCs w:val="16"/>
                <w:color w:val="auto"/>
              </w:rPr>
              <w:t>(12,904)</w:t>
            </w:r>
          </w:p>
        </w:tc>
        <w:tc>
          <w:tcPr>
            <w:tcW w:w="7160" w:type="dxa"/>
            <w:vAlign w:val="bottom"/>
            <w:shd w:val="clear" w:color="auto" w:fill="BFBFBF"/>
          </w:tcPr>
          <w:p>
            <w:pPr>
              <w:ind w:left="100"/>
              <w:spacing w:after="0" w:line="183" w:lineRule="exact"/>
              <w:rPr>
                <w:sz w:val="20"/>
                <w:szCs w:val="20"/>
                <w:color w:val="auto"/>
              </w:rPr>
            </w:pPr>
            <w:r>
              <w:rPr>
                <w:rFonts w:ascii="Arial" w:cs="Arial" w:eastAsia="Arial" w:hAnsi="Arial"/>
                <w:sz w:val="16"/>
                <w:szCs w:val="16"/>
                <w:color w:val="auto"/>
              </w:rPr>
              <w:t>Net cash used in financing activities</w:t>
            </w:r>
          </w:p>
        </w:tc>
        <w:tc>
          <w:tcPr>
            <w:tcW w:w="1060" w:type="dxa"/>
            <w:vAlign w:val="bottom"/>
            <w:tcBorders>
              <w:bottom w:val="single" w:sz="8" w:color="auto"/>
            </w:tcBorders>
            <w:shd w:val="clear" w:color="auto" w:fill="BFBFBF"/>
          </w:tcPr>
          <w:p>
            <w:pPr>
              <w:jc w:val="right"/>
              <w:ind w:right="80"/>
              <w:spacing w:after="0" w:line="183" w:lineRule="exact"/>
              <w:rPr>
                <w:sz w:val="20"/>
                <w:szCs w:val="20"/>
                <w:color w:val="auto"/>
              </w:rPr>
            </w:pPr>
            <w:r>
              <w:rPr>
                <w:rFonts w:ascii="Arial" w:cs="Arial" w:eastAsia="Arial" w:hAnsi="Arial"/>
                <w:sz w:val="16"/>
                <w:szCs w:val="16"/>
                <w:color w:val="auto"/>
              </w:rPr>
              <w:t>(94,191)</w:t>
            </w:r>
          </w:p>
        </w:tc>
        <w:tc>
          <w:tcPr>
            <w:tcW w:w="1080" w:type="dxa"/>
            <w:vAlign w:val="bottom"/>
            <w:tcBorders>
              <w:bottom w:val="single" w:sz="8" w:color="auto"/>
            </w:tcBorders>
            <w:shd w:val="clear" w:color="auto" w:fill="BFBFBF"/>
          </w:tcPr>
          <w:p>
            <w:pPr>
              <w:jc w:val="right"/>
              <w:ind w:right="99"/>
              <w:spacing w:after="0" w:line="183" w:lineRule="exact"/>
              <w:rPr>
                <w:sz w:val="20"/>
                <w:szCs w:val="20"/>
                <w:color w:val="auto"/>
              </w:rPr>
            </w:pPr>
            <w:r>
              <w:rPr>
                <w:rFonts w:ascii="Arial" w:cs="Arial" w:eastAsia="Arial" w:hAnsi="Arial"/>
                <w:sz w:val="16"/>
                <w:szCs w:val="16"/>
                <w:color w:val="auto"/>
              </w:rPr>
              <w:t>(16,474)</w:t>
            </w:r>
          </w:p>
        </w:tc>
      </w:tr>
      <w:tr>
        <w:trPr>
          <w:trHeight w:val="156"/>
        </w:trPr>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9"/>
        </w:trPr>
        <w:tc>
          <w:tcPr>
            <w:tcW w:w="1100" w:type="dxa"/>
            <w:vAlign w:val="bottom"/>
            <w:shd w:val="clear" w:color="auto" w:fill="BFBFBF"/>
          </w:tcPr>
          <w:p>
            <w:pPr>
              <w:jc w:val="right"/>
              <w:ind w:right="80"/>
              <w:spacing w:after="0"/>
              <w:rPr>
                <w:sz w:val="20"/>
                <w:szCs w:val="20"/>
                <w:color w:val="auto"/>
              </w:rPr>
            </w:pPr>
            <w:r>
              <w:rPr>
                <w:rFonts w:ascii="Arial" w:cs="Arial" w:eastAsia="Arial" w:hAnsi="Arial"/>
                <w:sz w:val="16"/>
                <w:szCs w:val="16"/>
                <w:color w:val="auto"/>
              </w:rPr>
              <w:t>(7,207)</w:t>
            </w:r>
          </w:p>
        </w:tc>
        <w:tc>
          <w:tcPr>
            <w:tcW w:w="1020" w:type="dxa"/>
            <w:vAlign w:val="bottom"/>
            <w:tcBorders>
              <w:right w:val="single" w:sz="8" w:color="BFBFBF"/>
            </w:tcBorders>
            <w:shd w:val="clear" w:color="auto" w:fill="BFBFBF"/>
          </w:tcPr>
          <w:p>
            <w:pPr>
              <w:jc w:val="right"/>
              <w:ind w:right="19"/>
              <w:spacing w:after="0"/>
              <w:rPr>
                <w:sz w:val="20"/>
                <w:szCs w:val="20"/>
                <w:color w:val="auto"/>
              </w:rPr>
            </w:pPr>
            <w:r>
              <w:rPr>
                <w:rFonts w:ascii="Arial" w:cs="Arial" w:eastAsia="Arial" w:hAnsi="Arial"/>
                <w:sz w:val="16"/>
                <w:szCs w:val="16"/>
                <w:color w:val="auto"/>
              </w:rPr>
              <w:t>(4,443)</w:t>
            </w:r>
          </w:p>
        </w:tc>
        <w:tc>
          <w:tcPr>
            <w:tcW w:w="7160" w:type="dxa"/>
            <w:vAlign w:val="bottom"/>
            <w:shd w:val="clear" w:color="auto" w:fill="BFBFB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060" w:type="dxa"/>
            <w:vAlign w:val="bottom"/>
            <w:shd w:val="clear" w:color="auto" w:fill="BFBFBF"/>
          </w:tcPr>
          <w:p>
            <w:pPr>
              <w:jc w:val="right"/>
              <w:ind w:right="80"/>
              <w:spacing w:after="0"/>
              <w:rPr>
                <w:sz w:val="20"/>
                <w:szCs w:val="20"/>
                <w:color w:val="auto"/>
              </w:rPr>
            </w:pPr>
            <w:r>
              <w:rPr>
                <w:rFonts w:ascii="Arial" w:cs="Arial" w:eastAsia="Arial" w:hAnsi="Arial"/>
                <w:sz w:val="16"/>
                <w:szCs w:val="16"/>
                <w:color w:val="auto"/>
              </w:rPr>
              <w:t>(7,266)</w:t>
            </w:r>
          </w:p>
        </w:tc>
        <w:tc>
          <w:tcPr>
            <w:tcW w:w="1080" w:type="dxa"/>
            <w:vAlign w:val="bottom"/>
            <w:shd w:val="clear" w:color="auto" w:fill="BFBFBF"/>
          </w:tcPr>
          <w:p>
            <w:pPr>
              <w:jc w:val="right"/>
              <w:ind w:right="99"/>
              <w:spacing w:after="0"/>
              <w:rPr>
                <w:sz w:val="20"/>
                <w:szCs w:val="20"/>
                <w:color w:val="auto"/>
              </w:rPr>
            </w:pPr>
            <w:r>
              <w:rPr>
                <w:rFonts w:ascii="Arial" w:cs="Arial" w:eastAsia="Arial" w:hAnsi="Arial"/>
                <w:sz w:val="16"/>
                <w:szCs w:val="16"/>
                <w:color w:val="auto"/>
              </w:rPr>
              <w:t>(7,421)</w:t>
            </w:r>
          </w:p>
        </w:tc>
      </w:tr>
      <w:tr>
        <w:trPr>
          <w:trHeight w:val="156"/>
        </w:trPr>
        <w:tc>
          <w:tcPr>
            <w:tcW w:w="1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716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r>
      <w:tr>
        <w:trPr>
          <w:trHeight w:val="189"/>
        </w:trPr>
        <w:tc>
          <w:tcPr>
            <w:tcW w:w="1100" w:type="dxa"/>
            <w:vAlign w:val="bottom"/>
            <w:shd w:val="clear" w:color="auto" w:fill="BFBFBF"/>
          </w:tcPr>
          <w:p>
            <w:pPr>
              <w:jc w:val="right"/>
              <w:ind w:right="120"/>
              <w:spacing w:after="0"/>
              <w:rPr>
                <w:sz w:val="20"/>
                <w:szCs w:val="20"/>
                <w:color w:val="auto"/>
              </w:rPr>
            </w:pPr>
            <w:r>
              <w:rPr>
                <w:rFonts w:ascii="Arial" w:cs="Arial" w:eastAsia="Arial" w:hAnsi="Arial"/>
                <w:sz w:val="16"/>
                <w:szCs w:val="16"/>
                <w:color w:val="auto"/>
              </w:rPr>
              <w:t>41,494</w:t>
            </w:r>
          </w:p>
        </w:tc>
        <w:tc>
          <w:tcPr>
            <w:tcW w:w="1020" w:type="dxa"/>
            <w:vAlign w:val="bottom"/>
            <w:tcBorders>
              <w:right w:val="single" w:sz="8" w:color="BFBFBF"/>
            </w:tcBorders>
            <w:shd w:val="clear" w:color="auto" w:fill="BFBFBF"/>
          </w:tcPr>
          <w:p>
            <w:pPr>
              <w:jc w:val="right"/>
              <w:ind w:right="79"/>
              <w:spacing w:after="0"/>
              <w:rPr>
                <w:sz w:val="20"/>
                <w:szCs w:val="20"/>
                <w:color w:val="auto"/>
              </w:rPr>
            </w:pPr>
            <w:r>
              <w:rPr>
                <w:rFonts w:ascii="Arial" w:cs="Arial" w:eastAsia="Arial" w:hAnsi="Arial"/>
                <w:sz w:val="16"/>
                <w:szCs w:val="16"/>
                <w:color w:val="auto"/>
              </w:rPr>
              <w:t>5,849</w:t>
            </w:r>
          </w:p>
        </w:tc>
        <w:tc>
          <w:tcPr>
            <w:tcW w:w="7160" w:type="dxa"/>
            <w:vAlign w:val="bottom"/>
            <w:shd w:val="clear" w:color="auto" w:fill="BFBFBF"/>
          </w:tcPr>
          <w:p>
            <w:pPr>
              <w:spacing w:after="0"/>
              <w:rPr>
                <w:sz w:val="20"/>
                <w:szCs w:val="20"/>
                <w:color w:val="auto"/>
              </w:rPr>
            </w:pPr>
            <w:r>
              <w:rPr>
                <w:rFonts w:ascii="Arial" w:cs="Arial" w:eastAsia="Arial" w:hAnsi="Arial"/>
                <w:sz w:val="16"/>
                <w:szCs w:val="16"/>
                <w:color w:val="auto"/>
              </w:rPr>
              <w:t>Increase/decrease in cash and cash equivalents</w:t>
            </w:r>
          </w:p>
        </w:tc>
        <w:tc>
          <w:tcPr>
            <w:tcW w:w="1060" w:type="dxa"/>
            <w:vAlign w:val="bottom"/>
            <w:shd w:val="clear" w:color="auto" w:fill="BFBFBF"/>
          </w:tcPr>
          <w:p>
            <w:pPr>
              <w:jc w:val="right"/>
              <w:ind w:right="80"/>
              <w:spacing w:after="0"/>
              <w:rPr>
                <w:sz w:val="20"/>
                <w:szCs w:val="20"/>
                <w:color w:val="auto"/>
              </w:rPr>
            </w:pPr>
            <w:r>
              <w:rPr>
                <w:rFonts w:ascii="Arial" w:cs="Arial" w:eastAsia="Arial" w:hAnsi="Arial"/>
                <w:sz w:val="16"/>
                <w:szCs w:val="16"/>
                <w:color w:val="auto"/>
              </w:rPr>
              <w:t>(24,016)</w:t>
            </w:r>
          </w:p>
        </w:tc>
        <w:tc>
          <w:tcPr>
            <w:tcW w:w="1080" w:type="dxa"/>
            <w:vAlign w:val="bottom"/>
            <w:shd w:val="clear" w:color="auto" w:fill="BFBFBF"/>
          </w:tcPr>
          <w:p>
            <w:pPr>
              <w:jc w:val="right"/>
              <w:ind w:right="99"/>
              <w:spacing w:after="0"/>
              <w:rPr>
                <w:sz w:val="20"/>
                <w:szCs w:val="20"/>
                <w:color w:val="auto"/>
              </w:rPr>
            </w:pPr>
            <w:r>
              <w:rPr>
                <w:rFonts w:ascii="Arial" w:cs="Arial" w:eastAsia="Arial" w:hAnsi="Arial"/>
                <w:sz w:val="16"/>
                <w:szCs w:val="16"/>
                <w:color w:val="auto"/>
              </w:rPr>
              <w:t>(23,134)</w:t>
            </w:r>
          </w:p>
        </w:tc>
      </w:tr>
      <w:tr>
        <w:trPr>
          <w:trHeight w:val="189"/>
        </w:trPr>
        <w:tc>
          <w:tcPr>
            <w:tcW w:w="1100" w:type="dxa"/>
            <w:vAlign w:val="bottom"/>
          </w:tcPr>
          <w:p>
            <w:pPr>
              <w:jc w:val="right"/>
              <w:ind w:right="120"/>
              <w:spacing w:after="0"/>
              <w:rPr>
                <w:sz w:val="20"/>
                <w:szCs w:val="20"/>
                <w:color w:val="auto"/>
              </w:rPr>
            </w:pPr>
            <w:r>
              <w:rPr>
                <w:rFonts w:ascii="Arial" w:cs="Arial" w:eastAsia="Arial" w:hAnsi="Arial"/>
                <w:sz w:val="16"/>
                <w:szCs w:val="16"/>
                <w:color w:val="auto"/>
              </w:rPr>
              <w:t>215,233</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154,744</w:t>
            </w:r>
          </w:p>
        </w:tc>
        <w:tc>
          <w:tcPr>
            <w:tcW w:w="716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197,755</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183,727</w:t>
            </w: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7160" w:type="dxa"/>
            <w:vAlign w:val="bottom"/>
            <w:shd w:val="clear" w:color="auto" w:fill="BFBFB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183"/>
        </w:trPr>
        <w:tc>
          <w:tcPr>
            <w:tcW w:w="1100" w:type="dxa"/>
            <w:vAlign w:val="bottom"/>
            <w:shd w:val="clear" w:color="auto" w:fill="BFBFBF"/>
          </w:tcPr>
          <w:p>
            <w:pPr>
              <w:jc w:val="right"/>
              <w:ind w:right="120"/>
              <w:spacing w:after="0" w:line="183" w:lineRule="exact"/>
              <w:rPr>
                <w:sz w:val="20"/>
                <w:szCs w:val="20"/>
                <w:color w:val="auto"/>
              </w:rPr>
            </w:pPr>
            <w:r>
              <w:rPr>
                <w:rFonts w:ascii="Arial" w:cs="Arial" w:eastAsia="Arial" w:hAnsi="Arial"/>
                <w:sz w:val="16"/>
                <w:szCs w:val="16"/>
                <w:color w:val="auto"/>
              </w:rPr>
              <w:t>$173,739</w:t>
            </w:r>
          </w:p>
        </w:tc>
        <w:tc>
          <w:tcPr>
            <w:tcW w:w="1020" w:type="dxa"/>
            <w:vAlign w:val="bottom"/>
            <w:tcBorders>
              <w:right w:val="single" w:sz="8" w:color="BFBFBF"/>
            </w:tcBorders>
            <w:shd w:val="clear" w:color="auto" w:fill="BFBFBF"/>
          </w:tcPr>
          <w:p>
            <w:pPr>
              <w:jc w:val="right"/>
              <w:ind w:right="79"/>
              <w:spacing w:after="0" w:line="183" w:lineRule="exact"/>
              <w:rPr>
                <w:sz w:val="20"/>
                <w:szCs w:val="20"/>
                <w:color w:val="auto"/>
              </w:rPr>
            </w:pPr>
            <w:r>
              <w:rPr>
                <w:rFonts w:ascii="Arial" w:cs="Arial" w:eastAsia="Arial" w:hAnsi="Arial"/>
                <w:sz w:val="16"/>
                <w:szCs w:val="16"/>
                <w:color w:val="auto"/>
              </w:rPr>
              <w:t>$160,593</w:t>
            </w:r>
          </w:p>
        </w:tc>
        <w:tc>
          <w:tcPr>
            <w:tcW w:w="7160" w:type="dxa"/>
            <w:vAlign w:val="bottom"/>
            <w:shd w:val="clear" w:color="auto" w:fill="BFBFBF"/>
          </w:tcPr>
          <w:p>
            <w:pPr>
              <w:spacing w:after="0" w:line="183" w:lineRule="exact"/>
              <w:rPr>
                <w:sz w:val="20"/>
                <w:szCs w:val="20"/>
                <w:color w:val="auto"/>
              </w:rPr>
            </w:pPr>
            <w:r>
              <w:rPr>
                <w:rFonts w:ascii="Arial" w:cs="Arial" w:eastAsia="Arial" w:hAnsi="Arial"/>
                <w:sz w:val="16"/>
                <w:szCs w:val="16"/>
                <w:color w:val="auto"/>
              </w:rPr>
              <w:t>Cash and cash equivalents at end of period</w:t>
            </w:r>
          </w:p>
        </w:tc>
        <w:tc>
          <w:tcPr>
            <w:tcW w:w="1060" w:type="dxa"/>
            <w:vAlign w:val="bottom"/>
            <w:shd w:val="clear" w:color="auto" w:fill="BFBFBF"/>
          </w:tcPr>
          <w:p>
            <w:pPr>
              <w:jc w:val="right"/>
              <w:ind w:right="140"/>
              <w:spacing w:after="0" w:line="183" w:lineRule="exact"/>
              <w:rPr>
                <w:sz w:val="20"/>
                <w:szCs w:val="20"/>
                <w:color w:val="auto"/>
              </w:rPr>
            </w:pPr>
            <w:r>
              <w:rPr>
                <w:rFonts w:ascii="Arial" w:cs="Arial" w:eastAsia="Arial" w:hAnsi="Arial"/>
                <w:sz w:val="16"/>
                <w:szCs w:val="16"/>
                <w:color w:val="auto"/>
              </w:rPr>
              <w:t>$173,739</w:t>
            </w:r>
          </w:p>
        </w:tc>
        <w:tc>
          <w:tcPr>
            <w:tcW w:w="1080" w:type="dxa"/>
            <w:vAlign w:val="bottom"/>
            <w:shd w:val="clear" w:color="auto" w:fill="BFBFBF"/>
          </w:tcPr>
          <w:p>
            <w:pPr>
              <w:jc w:val="right"/>
              <w:ind w:right="139"/>
              <w:spacing w:after="0" w:line="183" w:lineRule="exact"/>
              <w:rPr>
                <w:sz w:val="20"/>
                <w:szCs w:val="20"/>
                <w:color w:val="auto"/>
              </w:rPr>
            </w:pPr>
            <w:r>
              <w:rPr>
                <w:rFonts w:ascii="Arial" w:cs="Arial" w:eastAsia="Arial" w:hAnsi="Arial"/>
                <w:sz w:val="16"/>
                <w:szCs w:val="16"/>
                <w:color w:val="auto"/>
              </w:rPr>
              <w:t>$160,593</w:t>
            </w:r>
          </w:p>
        </w:tc>
      </w:tr>
      <w:tr>
        <w:trPr>
          <w:trHeight w:val="20"/>
        </w:trPr>
        <w:tc>
          <w:tcPr>
            <w:tcW w:w="1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160" w:type="dxa"/>
            <w:vAlign w:val="bottom"/>
            <w:tcBorders>
              <w:top w:val="single" w:sz="8" w:color="BFBFB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2" w:lineRule="exact"/>
        <w:rPr>
          <w:sz w:val="20"/>
          <w:szCs w:val="20"/>
          <w:color w:val="auto"/>
        </w:rPr>
      </w:pPr>
    </w:p>
    <w:p>
      <w:pPr>
        <w:ind w:left="340" w:right="8520" w:hanging="332"/>
        <w:spacing w:after="0" w:line="394" w:lineRule="auto"/>
        <w:tabs>
          <w:tab w:leader="none" w:pos="216"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Significant Accounting Policies Basis of Presentation</w:t>
      </w:r>
    </w:p>
    <w:p>
      <w:pPr>
        <w:spacing w:after="0" w:line="1"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necessary for a fair presentation of results for such periods. Albany International Corp. (Albany, the Registrant, the Company, we, us, or our) consolidates the financial results of its subsidiaries for all periods presented. The results for any interim period are not necessarily indicative of results for the full year.</w:t>
      </w:r>
    </w:p>
    <w:p>
      <w:pPr>
        <w:spacing w:after="0" w:line="94"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preparation of financial statements in accordance with U.S. generally accepted accounting principles (“GAAP”) requires management to make estimates and assumptions that affect the amounts reported in Albany International Corp.’s Consolidated Financial Statements and accompanying Notes. Actual results could differ materially from those estimates.</w:t>
      </w:r>
    </w:p>
    <w:p>
      <w:pPr>
        <w:spacing w:after="0" w:line="9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information included in this Quarterly Report on Form 10-Q should be read in conjunction with “Risk Factors,” “Legal Proceedings,” “Management’s Discussion and Analysis of Financial Condition and Results of Operation,” “Quantitative and Qualitative Disclosures about Market Risk” and the Consolidated Financial Statements and Notes thereto included in Items 1A, 3, 7, 7A and 8, respectively, of the Albany International Corp. Annual Report on Form 10-K for the year ended December 31, 2018. Certain quarterly results for 2018 contained within this report have been revised to correct immaterial errors, as described in Note 24 of Item 8 in that same Annual Report on Form 10-K.</w:t>
      </w:r>
    </w:p>
    <w:p>
      <w:pPr>
        <w:spacing w:after="0" w:line="7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Effective January 1, 2019, we adopted the provisions of ASC 842, </w:t>
      </w:r>
      <w:r>
        <w:rPr>
          <w:rFonts w:ascii="Arial" w:cs="Arial" w:eastAsia="Arial" w:hAnsi="Arial"/>
          <w:sz w:val="18"/>
          <w:szCs w:val="18"/>
          <w:i w:val="1"/>
          <w:iCs w:val="1"/>
          <w:color w:val="auto"/>
        </w:rPr>
        <w:t>Leases</w:t>
      </w:r>
      <w:r>
        <w:rPr>
          <w:rFonts w:ascii="Arial" w:cs="Arial" w:eastAsia="Arial" w:hAnsi="Arial"/>
          <w:sz w:val="18"/>
          <w:szCs w:val="18"/>
          <w:color w:val="auto"/>
        </w:rPr>
        <w:t>, using the effective date approach for transition as discussed in Note 3, Leases. Accounting policies have been applied consistently to periods presented, except for the application of ASC 842, as further described in Note 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Reportable Segments</w:t>
      </w:r>
    </w:p>
    <w:p>
      <w:pPr>
        <w:spacing w:after="0" w:line="12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w:t>
      </w:r>
    </w:p>
    <w:p>
      <w:pPr>
        <w:spacing w:after="0" w:line="89"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The Machine Clothing (MC) segment designs and manufactures fabrics and process felts used in the manufacture of all grades of paper products and other industrial products. We sell our MC products directly to customer end-users in countries across the globe. Our products, manufacturing processes, and distribution channels for MC are substantially the same in each region of the world in which we operate. We design, manufacture, and market paper machine clothing (used in the manufacturing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spacing w:after="0" w:line="97"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(Safran) owns a 10 percent noncontrolling interest, is a designer and manufacturer of advanced materials-based engineered components for jet engine and airframe applications, and provides highly engineered, advanced composite structures to customers in the commercial and defense aerospace industries. AEC’s largest program relates to CFM International’s LEAP engine. Under this program, AEC through ASC, is the exclusive supplier of advanced composite fan blades and cases under a long-term supply contract. The manufacturing spaces used for the production of parts under the long-term supply agreement are owned by Safran, and leased to the Company at either a market rent or a minimal cost. All lease expense is reimbursable by Safran to the Company due to the cost-plus nature of the supply agreement. AEC net sales to Safran were $ 175.2 million and $136.9 million in the first nine months of 2019 and 2018, respectively. The total of Accounts receivable, Contract assets and Noncurrent receivables due from Safran amounted to $107.5 million and $96.2 million as of September 30, 2019 and December 31, 2018,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520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216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21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520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tcPr>
          <w:p>
            <w:pPr>
              <w:jc w:val="right"/>
              <w:ind w:right="321"/>
              <w:spacing w:after="0" w:line="155" w:lineRule="exact"/>
              <w:rPr>
                <w:sz w:val="20"/>
                <w:szCs w:val="20"/>
                <w:color w:val="auto"/>
              </w:rPr>
            </w:pPr>
            <w:r>
              <w:rPr>
                <w:rFonts w:ascii="Arial" w:cs="Arial" w:eastAsia="Arial" w:hAnsi="Arial"/>
                <w:sz w:val="14"/>
                <w:szCs w:val="14"/>
                <w:b w:val="1"/>
                <w:bCs w:val="1"/>
                <w:color w:val="auto"/>
              </w:rPr>
              <w:t>2019</w:t>
            </w:r>
          </w:p>
        </w:tc>
        <w:tc>
          <w:tcPr>
            <w:tcW w:w="108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2018</w:t>
            </w:r>
          </w:p>
        </w:tc>
        <w:tc>
          <w:tcPr>
            <w:tcW w:w="106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2019</w:t>
            </w:r>
          </w:p>
        </w:tc>
        <w:tc>
          <w:tcPr>
            <w:tcW w:w="1100" w:type="dxa"/>
            <w:vAlign w:val="bottom"/>
            <w:tcBorders>
              <w:bottom w:val="single" w:sz="8" w:color="auto"/>
            </w:tcBorders>
          </w:tcPr>
          <w:p>
            <w:pPr>
              <w:jc w:val="right"/>
              <w:ind w:right="380"/>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4"/>
        </w:trPr>
        <w:tc>
          <w:tcPr>
            <w:tcW w:w="520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980" w:type="dxa"/>
            <w:vAlign w:val="bottom"/>
            <w:vMerge w:val="restart"/>
          </w:tcPr>
          <w:p>
            <w:pPr>
              <w:jc w:val="right"/>
              <w:ind w:right="141"/>
              <w:spacing w:after="0"/>
              <w:rPr>
                <w:sz w:val="20"/>
                <w:szCs w:val="20"/>
                <w:color w:val="auto"/>
              </w:rPr>
            </w:pPr>
            <w:r>
              <w:rPr>
                <w:rFonts w:ascii="Arial" w:cs="Arial" w:eastAsia="Arial" w:hAnsi="Arial"/>
                <w:sz w:val="16"/>
                <w:szCs w:val="16"/>
                <w:b w:val="1"/>
                <w:bCs w:val="1"/>
                <w:color w:val="auto"/>
              </w:rPr>
              <w:t>$151,324</w:t>
            </w:r>
          </w:p>
        </w:tc>
        <w:tc>
          <w:tcPr>
            <w:tcW w:w="1080" w:type="dxa"/>
            <w:vAlign w:val="bottom"/>
          </w:tcPr>
          <w:p>
            <w:pPr>
              <w:spacing w:after="0"/>
              <w:rPr>
                <w:sz w:val="16"/>
                <w:szCs w:val="16"/>
                <w:color w:val="auto"/>
              </w:rPr>
            </w:pPr>
          </w:p>
        </w:tc>
        <w:tc>
          <w:tcPr>
            <w:tcW w:w="106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$450,673</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line="169" w:lineRule="exact"/>
              <w:rPr>
                <w:sz w:val="20"/>
                <w:szCs w:val="20"/>
                <w:color w:val="auto"/>
              </w:rPr>
            </w:pPr>
            <w:r>
              <w:rPr>
                <w:rFonts w:ascii="Arial" w:cs="Arial" w:eastAsia="Arial" w:hAnsi="Arial"/>
                <w:sz w:val="16"/>
                <w:szCs w:val="16"/>
                <w:color w:val="auto"/>
              </w:rPr>
              <w:t>Machine Clothing</w:t>
            </w:r>
          </w:p>
        </w:tc>
        <w:tc>
          <w:tcPr>
            <w:tcW w:w="980" w:type="dxa"/>
            <w:vAlign w:val="bottom"/>
            <w:vMerge w:val="continue"/>
          </w:tcPr>
          <w:p>
            <w:pPr>
              <w:spacing w:after="0"/>
              <w:rPr>
                <w:sz w:val="14"/>
                <w:szCs w:val="14"/>
                <w:color w:val="auto"/>
              </w:rPr>
            </w:pPr>
          </w:p>
        </w:tc>
        <w:tc>
          <w:tcPr>
            <w:tcW w:w="1080" w:type="dxa"/>
            <w:vAlign w:val="bottom"/>
          </w:tcPr>
          <w:p>
            <w:pPr>
              <w:jc w:val="right"/>
              <w:ind w:right="140"/>
              <w:spacing w:after="0" w:line="169" w:lineRule="exact"/>
              <w:rPr>
                <w:sz w:val="20"/>
                <w:szCs w:val="20"/>
                <w:color w:val="auto"/>
              </w:rPr>
            </w:pPr>
            <w:r>
              <w:rPr>
                <w:rFonts w:ascii="Arial" w:cs="Arial" w:eastAsia="Arial" w:hAnsi="Arial"/>
                <w:sz w:val="16"/>
                <w:szCs w:val="16"/>
                <w:color w:val="auto"/>
              </w:rPr>
              <w:t>$157,608</w:t>
            </w:r>
          </w:p>
        </w:tc>
        <w:tc>
          <w:tcPr>
            <w:tcW w:w="1060" w:type="dxa"/>
            <w:vAlign w:val="bottom"/>
            <w:vMerge w:val="continue"/>
          </w:tcPr>
          <w:p>
            <w:pPr>
              <w:spacing w:after="0"/>
              <w:rPr>
                <w:sz w:val="14"/>
                <w:szCs w:val="14"/>
                <w:color w:val="auto"/>
              </w:rPr>
            </w:pPr>
          </w:p>
        </w:tc>
        <w:tc>
          <w:tcPr>
            <w:tcW w:w="1100" w:type="dxa"/>
            <w:vAlign w:val="bottom"/>
          </w:tcPr>
          <w:p>
            <w:pPr>
              <w:jc w:val="right"/>
              <w:ind w:right="200"/>
              <w:spacing w:after="0" w:line="169" w:lineRule="exact"/>
              <w:rPr>
                <w:sz w:val="20"/>
                <w:szCs w:val="20"/>
                <w:color w:val="auto"/>
              </w:rPr>
            </w:pPr>
            <w:r>
              <w:rPr>
                <w:rFonts w:ascii="Arial" w:cs="Arial" w:eastAsia="Arial" w:hAnsi="Arial"/>
                <w:sz w:val="16"/>
                <w:szCs w:val="16"/>
                <w:color w:val="auto"/>
              </w:rPr>
              <w:t>$461,165</w:t>
            </w:r>
          </w:p>
        </w:tc>
        <w:tc>
          <w:tcPr>
            <w:tcW w:w="0" w:type="dxa"/>
            <w:vAlign w:val="bottom"/>
          </w:tcPr>
          <w:p>
            <w:pPr>
              <w:spacing w:after="0"/>
              <w:rPr>
                <w:sz w:val="1"/>
                <w:szCs w:val="1"/>
                <w:color w:val="auto"/>
              </w:rPr>
            </w:pPr>
          </w:p>
        </w:tc>
      </w:tr>
      <w:tr>
        <w:trPr>
          <w:trHeight w:val="207"/>
        </w:trPr>
        <w:tc>
          <w:tcPr>
            <w:tcW w:w="5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Albany Engineered Composites</w:t>
            </w: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119,809</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94,281</w:t>
            </w:r>
          </w:p>
        </w:tc>
        <w:tc>
          <w:tcPr>
            <w:tcW w:w="10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345,781</w:t>
            </w:r>
          </w:p>
        </w:tc>
        <w:tc>
          <w:tcPr>
            <w:tcW w:w="11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269,701</w:t>
            </w:r>
          </w:p>
        </w:tc>
        <w:tc>
          <w:tcPr>
            <w:tcW w:w="0" w:type="dxa"/>
            <w:vAlign w:val="bottom"/>
          </w:tcPr>
          <w:p>
            <w:pPr>
              <w:spacing w:after="0"/>
              <w:rPr>
                <w:sz w:val="1"/>
                <w:szCs w:val="1"/>
                <w:color w:val="auto"/>
              </w:rPr>
            </w:pPr>
          </w:p>
        </w:tc>
      </w:tr>
      <w:tr>
        <w:trPr>
          <w:trHeight w:val="183"/>
        </w:trPr>
        <w:tc>
          <w:tcPr>
            <w:tcW w:w="52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Consolidated total</w:t>
            </w:r>
          </w:p>
        </w:tc>
        <w:tc>
          <w:tcPr>
            <w:tcW w:w="980" w:type="dxa"/>
            <w:vAlign w:val="bottom"/>
            <w:tcBorders>
              <w:bottom w:val="single" w:sz="8" w:color="auto"/>
            </w:tcBorders>
          </w:tcPr>
          <w:p>
            <w:pPr>
              <w:jc w:val="right"/>
              <w:ind w:right="141"/>
              <w:spacing w:after="0" w:line="183" w:lineRule="exact"/>
              <w:rPr>
                <w:sz w:val="20"/>
                <w:szCs w:val="20"/>
                <w:color w:val="auto"/>
              </w:rPr>
            </w:pPr>
            <w:r>
              <w:rPr>
                <w:rFonts w:ascii="Arial" w:cs="Arial" w:eastAsia="Arial" w:hAnsi="Arial"/>
                <w:sz w:val="16"/>
                <w:szCs w:val="16"/>
                <w:b w:val="1"/>
                <w:bCs w:val="1"/>
                <w:color w:val="auto"/>
              </w:rPr>
              <w:t>$271,133</w:t>
            </w:r>
          </w:p>
        </w:tc>
        <w:tc>
          <w:tcPr>
            <w:tcW w:w="1080" w:type="dxa"/>
            <w:vAlign w:val="bottom"/>
            <w:tcBorders>
              <w:bottom w:val="single" w:sz="8" w:color="auto"/>
            </w:tcBorders>
          </w:tcPr>
          <w:p>
            <w:pPr>
              <w:jc w:val="right"/>
              <w:ind w:right="140"/>
              <w:spacing w:after="0" w:line="183" w:lineRule="exact"/>
              <w:rPr>
                <w:sz w:val="20"/>
                <w:szCs w:val="20"/>
                <w:color w:val="auto"/>
              </w:rPr>
            </w:pPr>
            <w:r>
              <w:rPr>
                <w:rFonts w:ascii="Arial" w:cs="Arial" w:eastAsia="Arial" w:hAnsi="Arial"/>
                <w:sz w:val="16"/>
                <w:szCs w:val="16"/>
                <w:color w:val="auto"/>
              </w:rPr>
              <w:t>$251,889</w:t>
            </w:r>
          </w:p>
        </w:tc>
        <w:tc>
          <w:tcPr>
            <w:tcW w:w="1060" w:type="dxa"/>
            <w:vAlign w:val="bottom"/>
            <w:tcBorders>
              <w:bottom w:val="single" w:sz="8" w:color="auto"/>
            </w:tcBorders>
          </w:tcPr>
          <w:p>
            <w:pPr>
              <w:jc w:val="right"/>
              <w:ind w:right="121"/>
              <w:spacing w:after="0" w:line="183" w:lineRule="exact"/>
              <w:rPr>
                <w:sz w:val="20"/>
                <w:szCs w:val="20"/>
                <w:color w:val="auto"/>
              </w:rPr>
            </w:pPr>
            <w:r>
              <w:rPr>
                <w:rFonts w:ascii="Arial" w:cs="Arial" w:eastAsia="Arial" w:hAnsi="Arial"/>
                <w:sz w:val="16"/>
                <w:szCs w:val="16"/>
                <w:b w:val="1"/>
                <w:bCs w:val="1"/>
                <w:color w:val="auto"/>
              </w:rPr>
              <w:t>$796,454</w:t>
            </w:r>
          </w:p>
        </w:tc>
        <w:tc>
          <w:tcPr>
            <w:tcW w:w="1100" w:type="dxa"/>
            <w:vAlign w:val="bottom"/>
            <w:tcBorders>
              <w:bottom w:val="single" w:sz="8" w:color="auto"/>
            </w:tcBorders>
          </w:tcPr>
          <w:p>
            <w:pPr>
              <w:jc w:val="right"/>
              <w:ind w:right="200"/>
              <w:spacing w:after="0" w:line="183" w:lineRule="exact"/>
              <w:rPr>
                <w:sz w:val="20"/>
                <w:szCs w:val="20"/>
                <w:color w:val="auto"/>
              </w:rPr>
            </w:pPr>
            <w:r>
              <w:rPr>
                <w:rFonts w:ascii="Arial" w:cs="Arial" w:eastAsia="Arial" w:hAnsi="Arial"/>
                <w:sz w:val="16"/>
                <w:szCs w:val="16"/>
                <w:color w:val="auto"/>
              </w:rPr>
              <w:t>$730,866</w:t>
            </w:r>
          </w:p>
        </w:tc>
        <w:tc>
          <w:tcPr>
            <w:tcW w:w="0" w:type="dxa"/>
            <w:vAlign w:val="bottom"/>
          </w:tcPr>
          <w:p>
            <w:pPr>
              <w:spacing w:after="0"/>
              <w:rPr>
                <w:sz w:val="1"/>
                <w:szCs w:val="1"/>
                <w:color w:val="auto"/>
              </w:rPr>
            </w:pPr>
          </w:p>
        </w:tc>
      </w:tr>
      <w:tr>
        <w:trPr>
          <w:trHeight w:val="184"/>
        </w:trPr>
        <w:tc>
          <w:tcPr>
            <w:tcW w:w="5200" w:type="dxa"/>
            <w:vAlign w:val="bottom"/>
          </w:tcPr>
          <w:p>
            <w:pPr>
              <w:spacing w:after="0"/>
              <w:rPr>
                <w:sz w:val="20"/>
                <w:szCs w:val="20"/>
                <w:color w:val="auto"/>
              </w:rPr>
            </w:pPr>
            <w:r>
              <w:rPr>
                <w:rFonts w:ascii="Arial" w:cs="Arial" w:eastAsia="Arial" w:hAnsi="Arial"/>
                <w:sz w:val="16"/>
                <w:szCs w:val="16"/>
                <w:b w:val="1"/>
                <w:bCs w:val="1"/>
                <w:color w:val="auto"/>
              </w:rPr>
              <w:t>Operating income/(loss)</w:t>
            </w:r>
          </w:p>
        </w:tc>
        <w:tc>
          <w:tcPr>
            <w:tcW w:w="980" w:type="dxa"/>
            <w:vAlign w:val="bottom"/>
            <w:vMerge w:val="restart"/>
          </w:tcPr>
          <w:p>
            <w:pPr>
              <w:jc w:val="right"/>
              <w:ind w:right="141"/>
              <w:spacing w:after="0"/>
              <w:rPr>
                <w:sz w:val="20"/>
                <w:szCs w:val="20"/>
                <w:color w:val="auto"/>
              </w:rPr>
            </w:pPr>
            <w:r>
              <w:rPr>
                <w:rFonts w:ascii="Arial" w:cs="Arial" w:eastAsia="Arial" w:hAnsi="Arial"/>
                <w:sz w:val="16"/>
                <w:szCs w:val="16"/>
                <w:b w:val="1"/>
                <w:bCs w:val="1"/>
                <w:color w:val="auto"/>
              </w:rPr>
              <w:t>$ 51,906</w:t>
            </w:r>
          </w:p>
        </w:tc>
        <w:tc>
          <w:tcPr>
            <w:tcW w:w="1080" w:type="dxa"/>
            <w:vAlign w:val="bottom"/>
          </w:tcPr>
          <w:p>
            <w:pPr>
              <w:spacing w:after="0"/>
              <w:rPr>
                <w:sz w:val="16"/>
                <w:szCs w:val="16"/>
                <w:color w:val="auto"/>
              </w:rPr>
            </w:pPr>
          </w:p>
        </w:tc>
        <w:tc>
          <w:tcPr>
            <w:tcW w:w="106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$145,688</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line="169" w:lineRule="exact"/>
              <w:rPr>
                <w:sz w:val="20"/>
                <w:szCs w:val="20"/>
                <w:color w:val="auto"/>
              </w:rPr>
            </w:pPr>
            <w:r>
              <w:rPr>
                <w:rFonts w:ascii="Arial" w:cs="Arial" w:eastAsia="Arial" w:hAnsi="Arial"/>
                <w:sz w:val="16"/>
                <w:szCs w:val="16"/>
                <w:color w:val="auto"/>
              </w:rPr>
              <w:t>Machine Clothing</w:t>
            </w:r>
          </w:p>
        </w:tc>
        <w:tc>
          <w:tcPr>
            <w:tcW w:w="980" w:type="dxa"/>
            <w:vAlign w:val="bottom"/>
            <w:vMerge w:val="continue"/>
          </w:tcPr>
          <w:p>
            <w:pPr>
              <w:spacing w:after="0"/>
              <w:rPr>
                <w:sz w:val="14"/>
                <w:szCs w:val="14"/>
                <w:color w:val="auto"/>
              </w:rPr>
            </w:pPr>
          </w:p>
        </w:tc>
        <w:tc>
          <w:tcPr>
            <w:tcW w:w="1080" w:type="dxa"/>
            <w:vAlign w:val="bottom"/>
          </w:tcPr>
          <w:p>
            <w:pPr>
              <w:jc w:val="right"/>
              <w:ind w:right="140"/>
              <w:spacing w:after="0" w:line="169" w:lineRule="exact"/>
              <w:rPr>
                <w:sz w:val="20"/>
                <w:szCs w:val="20"/>
                <w:color w:val="auto"/>
              </w:rPr>
            </w:pPr>
            <w:r>
              <w:rPr>
                <w:rFonts w:ascii="Arial" w:cs="Arial" w:eastAsia="Arial" w:hAnsi="Arial"/>
                <w:sz w:val="16"/>
                <w:szCs w:val="16"/>
                <w:color w:val="auto"/>
              </w:rPr>
              <w:t>$ 49,695</w:t>
            </w:r>
          </w:p>
        </w:tc>
        <w:tc>
          <w:tcPr>
            <w:tcW w:w="1060" w:type="dxa"/>
            <w:vAlign w:val="bottom"/>
            <w:vMerge w:val="continue"/>
          </w:tcPr>
          <w:p>
            <w:pPr>
              <w:spacing w:after="0"/>
              <w:rPr>
                <w:sz w:val="14"/>
                <w:szCs w:val="14"/>
                <w:color w:val="auto"/>
              </w:rPr>
            </w:pPr>
          </w:p>
        </w:tc>
        <w:tc>
          <w:tcPr>
            <w:tcW w:w="1100" w:type="dxa"/>
            <w:vAlign w:val="bottom"/>
          </w:tcPr>
          <w:p>
            <w:pPr>
              <w:jc w:val="right"/>
              <w:ind w:right="200"/>
              <w:spacing w:after="0" w:line="169" w:lineRule="exact"/>
              <w:rPr>
                <w:sz w:val="20"/>
                <w:szCs w:val="20"/>
                <w:color w:val="auto"/>
              </w:rPr>
            </w:pPr>
            <w:r>
              <w:rPr>
                <w:rFonts w:ascii="Arial" w:cs="Arial" w:eastAsia="Arial" w:hAnsi="Arial"/>
                <w:sz w:val="16"/>
                <w:szCs w:val="16"/>
                <w:color w:val="auto"/>
              </w:rPr>
              <w:t>$126,952</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6"/>
                <w:szCs w:val="16"/>
                <w:color w:val="auto"/>
              </w:rPr>
              <w:t>Albany Engineered Composites</w:t>
            </w: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17,345</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3,613</w:t>
            </w:r>
          </w:p>
        </w:tc>
        <w:tc>
          <w:tcPr>
            <w:tcW w:w="1060" w:type="dxa"/>
            <w:vAlign w:val="bottom"/>
          </w:tcPr>
          <w:p>
            <w:pPr>
              <w:jc w:val="right"/>
              <w:ind w:right="141"/>
              <w:spacing w:after="0"/>
              <w:rPr>
                <w:sz w:val="20"/>
                <w:szCs w:val="20"/>
                <w:color w:val="auto"/>
              </w:rPr>
            </w:pPr>
            <w:r>
              <w:rPr>
                <w:rFonts w:ascii="Arial" w:cs="Arial" w:eastAsia="Arial" w:hAnsi="Arial"/>
                <w:sz w:val="16"/>
                <w:szCs w:val="16"/>
                <w:b w:val="1"/>
                <w:bCs w:val="1"/>
                <w:color w:val="auto"/>
              </w:rPr>
              <w:t>44,598</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9,980</w:t>
            </w:r>
          </w:p>
        </w:tc>
        <w:tc>
          <w:tcPr>
            <w:tcW w:w="0" w:type="dxa"/>
            <w:vAlign w:val="bottom"/>
          </w:tcPr>
          <w:p>
            <w:pPr>
              <w:spacing w:after="0"/>
              <w:rPr>
                <w:sz w:val="1"/>
                <w:szCs w:val="1"/>
                <w:color w:val="auto"/>
              </w:rPr>
            </w:pPr>
          </w:p>
        </w:tc>
      </w:tr>
      <w:tr>
        <w:trPr>
          <w:trHeight w:val="207"/>
        </w:trPr>
        <w:tc>
          <w:tcPr>
            <w:tcW w:w="5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Corporate expenses</w:t>
            </w:r>
          </w:p>
        </w:tc>
        <w:tc>
          <w:tcPr>
            <w:tcW w:w="9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(13,573)</w:t>
            </w:r>
          </w:p>
        </w:tc>
        <w:tc>
          <w:tcPr>
            <w:tcW w:w="10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(12,474)</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(40,290)</w:t>
            </w: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(36,938)</w:t>
            </w:r>
          </w:p>
        </w:tc>
        <w:tc>
          <w:tcPr>
            <w:tcW w:w="0" w:type="dxa"/>
            <w:vAlign w:val="bottom"/>
          </w:tcPr>
          <w:p>
            <w:pPr>
              <w:spacing w:after="0"/>
              <w:rPr>
                <w:sz w:val="1"/>
                <w:szCs w:val="1"/>
                <w:color w:val="auto"/>
              </w:rPr>
            </w:pPr>
          </w:p>
        </w:tc>
      </w:tr>
      <w:tr>
        <w:trPr>
          <w:trHeight w:val="184"/>
        </w:trPr>
        <w:tc>
          <w:tcPr>
            <w:tcW w:w="5200" w:type="dxa"/>
            <w:vAlign w:val="bottom"/>
          </w:tcPr>
          <w:p>
            <w:pPr>
              <w:spacing w:after="0"/>
              <w:rPr>
                <w:sz w:val="20"/>
                <w:szCs w:val="20"/>
                <w:color w:val="auto"/>
              </w:rPr>
            </w:pPr>
            <w:r>
              <w:rPr>
                <w:rFonts w:ascii="Arial" w:cs="Arial" w:eastAsia="Arial" w:hAnsi="Arial"/>
                <w:sz w:val="16"/>
                <w:szCs w:val="16"/>
                <w:color w:val="auto"/>
              </w:rPr>
              <w:t>Operating income</w:t>
            </w: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$ 55,678</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$ 40,834</w:t>
            </w:r>
          </w:p>
        </w:tc>
        <w:tc>
          <w:tcPr>
            <w:tcW w:w="1060" w:type="dxa"/>
            <w:vAlign w:val="bottom"/>
          </w:tcPr>
          <w:p>
            <w:pPr>
              <w:jc w:val="right"/>
              <w:ind w:right="121"/>
              <w:spacing w:after="0"/>
              <w:rPr>
                <w:sz w:val="20"/>
                <w:szCs w:val="20"/>
                <w:color w:val="auto"/>
              </w:rPr>
            </w:pPr>
            <w:r>
              <w:rPr>
                <w:rFonts w:ascii="Arial" w:cs="Arial" w:eastAsia="Arial" w:hAnsi="Arial"/>
                <w:sz w:val="16"/>
                <w:szCs w:val="16"/>
                <w:b w:val="1"/>
                <w:bCs w:val="1"/>
                <w:color w:val="auto"/>
              </w:rPr>
              <w:t>$149,996</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$ 99,994</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6"/>
                <w:szCs w:val="16"/>
                <w:color w:val="auto"/>
              </w:rPr>
              <w:t>Reconciling items:</w:t>
            </w:r>
          </w:p>
        </w:tc>
        <w:tc>
          <w:tcPr>
            <w:tcW w:w="98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(851)</w:t>
            </w:r>
          </w:p>
        </w:tc>
        <w:tc>
          <w:tcPr>
            <w:tcW w:w="1080" w:type="dxa"/>
            <w:vAlign w:val="bottom"/>
          </w:tcPr>
          <w:p>
            <w:pPr>
              <w:spacing w:after="0"/>
              <w:rPr>
                <w:sz w:val="16"/>
                <w:szCs w:val="16"/>
                <w:color w:val="auto"/>
              </w:rPr>
            </w:pPr>
          </w:p>
        </w:tc>
        <w:tc>
          <w:tcPr>
            <w:tcW w:w="106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(2,037)</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00" w:type="dxa"/>
            <w:vAlign w:val="bottom"/>
          </w:tcPr>
          <w:p>
            <w:pPr>
              <w:ind w:left="120"/>
              <w:spacing w:after="0" w:line="169" w:lineRule="exact"/>
              <w:rPr>
                <w:sz w:val="20"/>
                <w:szCs w:val="20"/>
                <w:color w:val="auto"/>
              </w:rPr>
            </w:pPr>
            <w:r>
              <w:rPr>
                <w:rFonts w:ascii="Arial" w:cs="Arial" w:eastAsia="Arial" w:hAnsi="Arial"/>
                <w:sz w:val="16"/>
                <w:szCs w:val="16"/>
                <w:color w:val="auto"/>
              </w:rPr>
              <w:t>Interest income</w:t>
            </w:r>
          </w:p>
        </w:tc>
        <w:tc>
          <w:tcPr>
            <w:tcW w:w="980" w:type="dxa"/>
            <w:vAlign w:val="bottom"/>
            <w:vMerge w:val="continue"/>
          </w:tcPr>
          <w:p>
            <w:pPr>
              <w:spacing w:after="0"/>
              <w:rPr>
                <w:sz w:val="14"/>
                <w:szCs w:val="14"/>
                <w:color w:val="auto"/>
              </w:rPr>
            </w:pPr>
          </w:p>
        </w:tc>
        <w:tc>
          <w:tcPr>
            <w:tcW w:w="1080" w:type="dxa"/>
            <w:vAlign w:val="bottom"/>
          </w:tcPr>
          <w:p>
            <w:pPr>
              <w:jc w:val="right"/>
              <w:ind w:right="80"/>
              <w:spacing w:after="0" w:line="169" w:lineRule="exact"/>
              <w:rPr>
                <w:sz w:val="20"/>
                <w:szCs w:val="20"/>
                <w:color w:val="auto"/>
              </w:rPr>
            </w:pPr>
            <w:r>
              <w:rPr>
                <w:rFonts w:ascii="Arial" w:cs="Arial" w:eastAsia="Arial" w:hAnsi="Arial"/>
                <w:sz w:val="16"/>
                <w:szCs w:val="16"/>
                <w:color w:val="auto"/>
              </w:rPr>
              <w:t>(579)</w:t>
            </w:r>
          </w:p>
        </w:tc>
        <w:tc>
          <w:tcPr>
            <w:tcW w:w="1060" w:type="dxa"/>
            <w:vAlign w:val="bottom"/>
            <w:vMerge w:val="continue"/>
          </w:tcPr>
          <w:p>
            <w:pPr>
              <w:spacing w:after="0"/>
              <w:rPr>
                <w:sz w:val="14"/>
                <w:szCs w:val="14"/>
                <w:color w:val="auto"/>
              </w:rPr>
            </w:pPr>
          </w:p>
        </w:tc>
        <w:tc>
          <w:tcPr>
            <w:tcW w:w="1100" w:type="dxa"/>
            <w:vAlign w:val="bottom"/>
          </w:tcPr>
          <w:p>
            <w:pPr>
              <w:jc w:val="right"/>
              <w:ind w:right="140"/>
              <w:spacing w:after="0" w:line="169" w:lineRule="exact"/>
              <w:rPr>
                <w:sz w:val="20"/>
                <w:szCs w:val="20"/>
                <w:color w:val="auto"/>
              </w:rPr>
            </w:pPr>
            <w:r>
              <w:rPr>
                <w:rFonts w:ascii="Arial" w:cs="Arial" w:eastAsia="Arial" w:hAnsi="Arial"/>
                <w:sz w:val="16"/>
                <w:szCs w:val="16"/>
                <w:color w:val="auto"/>
              </w:rPr>
              <w:t>(1,399)</w:t>
            </w:r>
          </w:p>
        </w:tc>
        <w:tc>
          <w:tcPr>
            <w:tcW w:w="0" w:type="dxa"/>
            <w:vAlign w:val="bottom"/>
          </w:tcPr>
          <w:p>
            <w:pPr>
              <w:spacing w:after="0"/>
              <w:rPr>
                <w:sz w:val="1"/>
                <w:szCs w:val="1"/>
                <w:color w:val="auto"/>
              </w:rPr>
            </w:pPr>
          </w:p>
        </w:tc>
      </w:tr>
      <w:tr>
        <w:trPr>
          <w:trHeight w:val="189"/>
        </w:trPr>
        <w:tc>
          <w:tcPr>
            <w:tcW w:w="520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4,838</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5,200</w:t>
            </w:r>
          </w:p>
        </w:tc>
        <w:tc>
          <w:tcPr>
            <w:tcW w:w="1060" w:type="dxa"/>
            <w:vAlign w:val="bottom"/>
          </w:tcPr>
          <w:p>
            <w:pPr>
              <w:jc w:val="right"/>
              <w:ind w:right="141"/>
              <w:spacing w:after="0"/>
              <w:rPr>
                <w:sz w:val="20"/>
                <w:szCs w:val="20"/>
                <w:color w:val="auto"/>
              </w:rPr>
            </w:pPr>
            <w:r>
              <w:rPr>
                <w:rFonts w:ascii="Arial" w:cs="Arial" w:eastAsia="Arial" w:hAnsi="Arial"/>
                <w:sz w:val="16"/>
                <w:szCs w:val="16"/>
                <w:b w:val="1"/>
                <w:bCs w:val="1"/>
                <w:color w:val="auto"/>
              </w:rPr>
              <w:t>15,072</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14,929</w:t>
            </w:r>
          </w:p>
        </w:tc>
        <w:tc>
          <w:tcPr>
            <w:tcW w:w="0" w:type="dxa"/>
            <w:vAlign w:val="bottom"/>
          </w:tcPr>
          <w:p>
            <w:pPr>
              <w:spacing w:after="0"/>
              <w:rPr>
                <w:sz w:val="1"/>
                <w:szCs w:val="1"/>
                <w:color w:val="auto"/>
              </w:rPr>
            </w:pPr>
          </w:p>
        </w:tc>
      </w:tr>
      <w:tr>
        <w:trPr>
          <w:trHeight w:val="207"/>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Other income, net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(1,628)</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(3,151)</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(1,906)</w:t>
            </w: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(973)</w:t>
            </w:r>
          </w:p>
        </w:tc>
        <w:tc>
          <w:tcPr>
            <w:tcW w:w="0" w:type="dxa"/>
            <w:vAlign w:val="bottom"/>
          </w:tcPr>
          <w:p>
            <w:pPr>
              <w:spacing w:after="0"/>
              <w:rPr>
                <w:sz w:val="1"/>
                <w:szCs w:val="1"/>
                <w:color w:val="auto"/>
              </w:rPr>
            </w:pPr>
          </w:p>
        </w:tc>
      </w:tr>
      <w:tr>
        <w:trPr>
          <w:trHeight w:val="183"/>
        </w:trPr>
        <w:tc>
          <w:tcPr>
            <w:tcW w:w="52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Income before income taxes</w:t>
            </w:r>
          </w:p>
        </w:tc>
        <w:tc>
          <w:tcPr>
            <w:tcW w:w="980" w:type="dxa"/>
            <w:vAlign w:val="bottom"/>
            <w:tcBorders>
              <w:bottom w:val="single" w:sz="8" w:color="auto"/>
            </w:tcBorders>
          </w:tcPr>
          <w:p>
            <w:pPr>
              <w:jc w:val="right"/>
              <w:ind w:right="141"/>
              <w:spacing w:after="0" w:line="183" w:lineRule="exact"/>
              <w:rPr>
                <w:sz w:val="20"/>
                <w:szCs w:val="20"/>
                <w:color w:val="auto"/>
              </w:rPr>
            </w:pPr>
            <w:r>
              <w:rPr>
                <w:rFonts w:ascii="Arial" w:cs="Arial" w:eastAsia="Arial" w:hAnsi="Arial"/>
                <w:sz w:val="16"/>
                <w:szCs w:val="16"/>
                <w:b w:val="1"/>
                <w:bCs w:val="1"/>
                <w:color w:val="auto"/>
              </w:rPr>
              <w:t>$ 53,319</w:t>
            </w:r>
          </w:p>
        </w:tc>
        <w:tc>
          <w:tcPr>
            <w:tcW w:w="1080" w:type="dxa"/>
            <w:vAlign w:val="bottom"/>
            <w:tcBorders>
              <w:bottom w:val="single" w:sz="8" w:color="auto"/>
            </w:tcBorders>
          </w:tcPr>
          <w:p>
            <w:pPr>
              <w:jc w:val="right"/>
              <w:ind w:right="140"/>
              <w:spacing w:after="0" w:line="183" w:lineRule="exact"/>
              <w:rPr>
                <w:sz w:val="20"/>
                <w:szCs w:val="20"/>
                <w:color w:val="auto"/>
              </w:rPr>
            </w:pPr>
            <w:r>
              <w:rPr>
                <w:rFonts w:ascii="Arial" w:cs="Arial" w:eastAsia="Arial" w:hAnsi="Arial"/>
                <w:sz w:val="16"/>
                <w:szCs w:val="16"/>
                <w:color w:val="auto"/>
              </w:rPr>
              <w:t>$ 39,364</w:t>
            </w:r>
          </w:p>
        </w:tc>
        <w:tc>
          <w:tcPr>
            <w:tcW w:w="1060" w:type="dxa"/>
            <w:vAlign w:val="bottom"/>
            <w:tcBorders>
              <w:bottom w:val="single" w:sz="8" w:color="auto"/>
            </w:tcBorders>
          </w:tcPr>
          <w:p>
            <w:pPr>
              <w:jc w:val="right"/>
              <w:ind w:right="121"/>
              <w:spacing w:after="0" w:line="183" w:lineRule="exact"/>
              <w:rPr>
                <w:sz w:val="20"/>
                <w:szCs w:val="20"/>
                <w:color w:val="auto"/>
              </w:rPr>
            </w:pPr>
            <w:r>
              <w:rPr>
                <w:rFonts w:ascii="Arial" w:cs="Arial" w:eastAsia="Arial" w:hAnsi="Arial"/>
                <w:sz w:val="16"/>
                <w:szCs w:val="16"/>
                <w:b w:val="1"/>
                <w:bCs w:val="1"/>
                <w:color w:val="auto"/>
              </w:rPr>
              <w:t>$138,867</w:t>
            </w:r>
          </w:p>
        </w:tc>
        <w:tc>
          <w:tcPr>
            <w:tcW w:w="1100" w:type="dxa"/>
            <w:vAlign w:val="bottom"/>
            <w:tcBorders>
              <w:bottom w:val="single" w:sz="8" w:color="auto"/>
            </w:tcBorders>
          </w:tcPr>
          <w:p>
            <w:pPr>
              <w:jc w:val="right"/>
              <w:ind w:right="200"/>
              <w:spacing w:after="0" w:line="183" w:lineRule="exact"/>
              <w:rPr>
                <w:sz w:val="20"/>
                <w:szCs w:val="20"/>
                <w:color w:val="auto"/>
              </w:rPr>
            </w:pPr>
            <w:r>
              <w:rPr>
                <w:rFonts w:ascii="Arial" w:cs="Arial" w:eastAsia="Arial" w:hAnsi="Arial"/>
                <w:sz w:val="16"/>
                <w:szCs w:val="16"/>
                <w:color w:val="auto"/>
              </w:rPr>
              <w:t>$ 87,437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restructuring costs by reportable segment (also see Note 5):</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520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rPr>
              <w:t>Three months ended</w:t>
            </w:r>
          </w:p>
        </w:tc>
        <w:tc>
          <w:tcPr>
            <w:tcW w:w="2160" w:type="dxa"/>
            <w:vAlign w:val="bottom"/>
            <w:tcBorders>
              <w:top w:val="single" w:sz="8" w:color="auto"/>
            </w:tcBorders>
            <w:gridSpan w:val="2"/>
          </w:tcPr>
          <w:p>
            <w:pPr>
              <w:jc w:val="right"/>
              <w:ind w:right="28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September 30,</w:t>
            </w:r>
          </w:p>
        </w:tc>
        <w:tc>
          <w:tcPr>
            <w:tcW w:w="2160" w:type="dxa"/>
            <w:vAlign w:val="bottom"/>
            <w:tcBorders>
              <w:bottom w:val="single" w:sz="8" w:color="auto"/>
            </w:tcBorders>
            <w:gridSpan w:val="2"/>
          </w:tcPr>
          <w:p>
            <w:pPr>
              <w:jc w:val="right"/>
              <w:ind w:right="46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520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tcPr>
          <w:p>
            <w:pPr>
              <w:jc w:val="right"/>
              <w:ind w:right="303"/>
              <w:spacing w:after="0" w:line="155" w:lineRule="exact"/>
              <w:rPr>
                <w:sz w:val="20"/>
                <w:szCs w:val="20"/>
                <w:color w:val="auto"/>
              </w:rPr>
            </w:pPr>
            <w:r>
              <w:rPr>
                <w:rFonts w:ascii="Arial" w:cs="Arial" w:eastAsia="Arial" w:hAnsi="Arial"/>
                <w:sz w:val="14"/>
                <w:szCs w:val="14"/>
                <w:b w:val="1"/>
                <w:bCs w:val="1"/>
                <w:color w:val="auto"/>
              </w:rPr>
              <w:t>2019</w:t>
            </w:r>
          </w:p>
        </w:tc>
        <w:tc>
          <w:tcPr>
            <w:tcW w:w="1100" w:type="dxa"/>
            <w:vAlign w:val="bottom"/>
            <w:tcBorders>
              <w:bottom w:val="single" w:sz="8" w:color="auto"/>
            </w:tcBorders>
            <w:gridSpan w:val="2"/>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1040" w:type="dxa"/>
            <w:vAlign w:val="bottom"/>
            <w:tcBorders>
              <w:bottom w:val="single" w:sz="8" w:color="auto"/>
            </w:tcBorders>
          </w:tcPr>
          <w:p>
            <w:pPr>
              <w:jc w:val="right"/>
              <w:ind w:right="283"/>
              <w:spacing w:after="0" w:line="155" w:lineRule="exact"/>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auto"/>
            </w:tcBorders>
          </w:tcPr>
          <w:p>
            <w:pPr>
              <w:jc w:val="right"/>
              <w:ind w:right="38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4"/>
        </w:trPr>
        <w:tc>
          <w:tcPr>
            <w:tcW w:w="5200" w:type="dxa"/>
            <w:vAlign w:val="bottom"/>
          </w:tcPr>
          <w:p>
            <w:pPr>
              <w:spacing w:after="0" w:line="165" w:lineRule="exact"/>
              <w:rPr>
                <w:sz w:val="20"/>
                <w:szCs w:val="20"/>
                <w:color w:val="auto"/>
              </w:rPr>
            </w:pPr>
            <w:r>
              <w:rPr>
                <w:rFonts w:ascii="Arial" w:cs="Arial" w:eastAsia="Arial" w:hAnsi="Arial"/>
                <w:sz w:val="16"/>
                <w:szCs w:val="16"/>
                <w:color w:val="auto"/>
              </w:rPr>
              <w:t>Machine Clothing</w:t>
            </w:r>
          </w:p>
        </w:tc>
        <w:tc>
          <w:tcPr>
            <w:tcW w:w="960" w:type="dxa"/>
            <w:vAlign w:val="bottom"/>
          </w:tcPr>
          <w:p>
            <w:pPr>
              <w:jc w:val="right"/>
              <w:ind w:right="203"/>
              <w:spacing w:after="0" w:line="165" w:lineRule="exact"/>
              <w:rPr>
                <w:sz w:val="20"/>
                <w:szCs w:val="20"/>
                <w:color w:val="auto"/>
              </w:rPr>
            </w:pPr>
            <w:r>
              <w:rPr>
                <w:rFonts w:ascii="Arial" w:cs="Arial" w:eastAsia="Arial" w:hAnsi="Arial"/>
                <w:sz w:val="16"/>
                <w:szCs w:val="16"/>
                <w:b w:val="1"/>
                <w:bCs w:val="1"/>
                <w:color w:val="auto"/>
              </w:rPr>
              <w:t>$ (211)</w:t>
            </w:r>
          </w:p>
        </w:tc>
        <w:tc>
          <w:tcPr>
            <w:tcW w:w="380" w:type="dxa"/>
            <w:vAlign w:val="bottom"/>
          </w:tcPr>
          <w:p>
            <w:pPr>
              <w:jc w:val="right"/>
              <w:spacing w:after="0" w:line="165"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239"/>
              <w:spacing w:after="0" w:line="165" w:lineRule="exact"/>
              <w:rPr>
                <w:sz w:val="20"/>
                <w:szCs w:val="20"/>
                <w:color w:val="auto"/>
              </w:rPr>
            </w:pPr>
            <w:r>
              <w:rPr>
                <w:rFonts w:ascii="Arial" w:cs="Arial" w:eastAsia="Arial" w:hAnsi="Arial"/>
                <w:sz w:val="16"/>
                <w:szCs w:val="16"/>
                <w:color w:val="auto"/>
              </w:rPr>
              <w:t>370</w:t>
            </w:r>
          </w:p>
        </w:tc>
        <w:tc>
          <w:tcPr>
            <w:tcW w:w="1040" w:type="dxa"/>
            <w:vAlign w:val="bottom"/>
          </w:tcPr>
          <w:p>
            <w:pPr>
              <w:jc w:val="right"/>
              <w:ind w:right="203"/>
              <w:spacing w:after="0" w:line="165" w:lineRule="exact"/>
              <w:rPr>
                <w:sz w:val="20"/>
                <w:szCs w:val="20"/>
                <w:color w:val="auto"/>
              </w:rPr>
            </w:pPr>
            <w:r>
              <w:rPr>
                <w:rFonts w:ascii="Arial" w:cs="Arial" w:eastAsia="Arial" w:hAnsi="Arial"/>
                <w:sz w:val="16"/>
                <w:szCs w:val="16"/>
                <w:b w:val="1"/>
                <w:bCs w:val="1"/>
                <w:color w:val="auto"/>
              </w:rPr>
              <w:t>$1,125</w:t>
            </w:r>
          </w:p>
        </w:tc>
        <w:tc>
          <w:tcPr>
            <w:tcW w:w="1120" w:type="dxa"/>
            <w:vAlign w:val="bottom"/>
          </w:tcPr>
          <w:p>
            <w:pPr>
              <w:jc w:val="right"/>
              <w:ind w:right="241"/>
              <w:spacing w:after="0" w:line="165" w:lineRule="exact"/>
              <w:rPr>
                <w:sz w:val="20"/>
                <w:szCs w:val="20"/>
                <w:color w:val="auto"/>
              </w:rPr>
            </w:pPr>
            <w:r>
              <w:rPr>
                <w:rFonts w:ascii="Arial" w:cs="Arial" w:eastAsia="Arial" w:hAnsi="Arial"/>
                <w:sz w:val="16"/>
                <w:szCs w:val="16"/>
                <w:color w:val="auto"/>
              </w:rPr>
              <w:t>$10,522</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6"/>
                <w:szCs w:val="16"/>
                <w:color w:val="auto"/>
              </w:rPr>
              <w:t>Albany Engineered Composites</w:t>
            </w:r>
          </w:p>
        </w:tc>
        <w:tc>
          <w:tcPr>
            <w:tcW w:w="960" w:type="dxa"/>
            <w:vAlign w:val="bottom"/>
          </w:tcPr>
          <w:p>
            <w:pPr>
              <w:jc w:val="right"/>
              <w:ind w:right="203"/>
              <w:spacing w:after="0"/>
              <w:rPr>
                <w:sz w:val="20"/>
                <w:szCs w:val="20"/>
                <w:color w:val="auto"/>
              </w:rPr>
            </w:pPr>
            <w:r>
              <w:rPr>
                <w:rFonts w:ascii="Arial" w:cs="Arial" w:eastAsia="Arial" w:hAnsi="Arial"/>
                <w:sz w:val="16"/>
                <w:szCs w:val="16"/>
                <w:b w:val="1"/>
                <w:bCs w:val="1"/>
                <w:color w:val="auto"/>
              </w:rPr>
              <w:t>(33)</w:t>
            </w:r>
          </w:p>
        </w:tc>
        <w:tc>
          <w:tcPr>
            <w:tcW w:w="1100" w:type="dxa"/>
            <w:vAlign w:val="bottom"/>
            <w:gridSpan w:val="2"/>
          </w:tcPr>
          <w:p>
            <w:pPr>
              <w:jc w:val="right"/>
              <w:ind w:right="239"/>
              <w:spacing w:after="0"/>
              <w:rPr>
                <w:sz w:val="20"/>
                <w:szCs w:val="20"/>
                <w:color w:val="auto"/>
              </w:rPr>
            </w:pPr>
            <w:r>
              <w:rPr>
                <w:rFonts w:ascii="Arial" w:cs="Arial" w:eastAsia="Arial" w:hAnsi="Arial"/>
                <w:sz w:val="16"/>
                <w:szCs w:val="16"/>
                <w:color w:val="auto"/>
              </w:rPr>
              <w:t>2,189</w:t>
            </w:r>
          </w:p>
        </w:tc>
        <w:tc>
          <w:tcPr>
            <w:tcW w:w="1040" w:type="dxa"/>
            <w:vAlign w:val="bottom"/>
          </w:tcPr>
          <w:p>
            <w:pPr>
              <w:jc w:val="right"/>
              <w:ind w:right="203"/>
              <w:spacing w:after="0"/>
              <w:rPr>
                <w:sz w:val="20"/>
                <w:szCs w:val="20"/>
                <w:color w:val="auto"/>
              </w:rPr>
            </w:pPr>
            <w:r>
              <w:rPr>
                <w:rFonts w:ascii="Arial" w:cs="Arial" w:eastAsia="Arial" w:hAnsi="Arial"/>
                <w:sz w:val="16"/>
                <w:szCs w:val="16"/>
                <w:b w:val="1"/>
                <w:bCs w:val="1"/>
                <w:color w:val="auto"/>
              </w:rPr>
              <w:t>18</w:t>
            </w:r>
          </w:p>
        </w:tc>
        <w:tc>
          <w:tcPr>
            <w:tcW w:w="1120" w:type="dxa"/>
            <w:vAlign w:val="bottom"/>
          </w:tcPr>
          <w:p>
            <w:pPr>
              <w:jc w:val="right"/>
              <w:ind w:right="241"/>
              <w:spacing w:after="0"/>
              <w:rPr>
                <w:sz w:val="20"/>
                <w:szCs w:val="20"/>
                <w:color w:val="auto"/>
              </w:rPr>
            </w:pPr>
            <w:r>
              <w:rPr>
                <w:rFonts w:ascii="Arial" w:cs="Arial" w:eastAsia="Arial" w:hAnsi="Arial"/>
                <w:sz w:val="16"/>
                <w:szCs w:val="16"/>
                <w:color w:val="auto"/>
              </w:rPr>
              <w:t>2,968</w:t>
            </w:r>
          </w:p>
        </w:tc>
        <w:tc>
          <w:tcPr>
            <w:tcW w:w="0" w:type="dxa"/>
            <w:vAlign w:val="bottom"/>
          </w:tcPr>
          <w:p>
            <w:pPr>
              <w:spacing w:after="0"/>
              <w:rPr>
                <w:sz w:val="1"/>
                <w:szCs w:val="1"/>
                <w:color w:val="auto"/>
              </w:rPr>
            </w:pPr>
          </w:p>
        </w:tc>
      </w:tr>
      <w:tr>
        <w:trPr>
          <w:trHeight w:val="207"/>
        </w:trPr>
        <w:tc>
          <w:tcPr>
            <w:tcW w:w="5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Corporate expenses</w:t>
            </w:r>
          </w:p>
        </w:tc>
        <w:tc>
          <w:tcPr>
            <w:tcW w:w="96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w:t>
            </w:r>
          </w:p>
        </w:tc>
        <w:tc>
          <w:tcPr>
            <w:tcW w:w="104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(4)</w:t>
            </w:r>
          </w:p>
        </w:tc>
        <w:tc>
          <w:tcPr>
            <w:tcW w:w="11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183"/>
        </w:trPr>
        <w:tc>
          <w:tcPr>
            <w:tcW w:w="52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tcPr>
          <w:p>
            <w:pPr>
              <w:jc w:val="right"/>
              <w:ind w:right="223"/>
              <w:spacing w:after="0" w:line="183" w:lineRule="exact"/>
              <w:rPr>
                <w:sz w:val="20"/>
                <w:szCs w:val="20"/>
                <w:color w:val="auto"/>
              </w:rPr>
            </w:pPr>
            <w:r>
              <w:rPr>
                <w:rFonts w:ascii="Arial" w:cs="Arial" w:eastAsia="Arial" w:hAnsi="Arial"/>
                <w:sz w:val="16"/>
                <w:szCs w:val="16"/>
                <w:b w:val="1"/>
                <w:bCs w:val="1"/>
                <w:color w:val="auto"/>
              </w:rPr>
              <w:t>$(244)</w:t>
            </w:r>
          </w:p>
        </w:tc>
        <w:tc>
          <w:tcPr>
            <w:tcW w:w="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w w:val="94"/>
              </w:rPr>
              <w:t>2,552</w:t>
            </w:r>
          </w:p>
        </w:tc>
        <w:tc>
          <w:tcPr>
            <w:tcW w:w="1040" w:type="dxa"/>
            <w:vAlign w:val="bottom"/>
            <w:tcBorders>
              <w:bottom w:val="single" w:sz="8" w:color="auto"/>
            </w:tcBorders>
          </w:tcPr>
          <w:p>
            <w:pPr>
              <w:jc w:val="right"/>
              <w:ind w:right="203"/>
              <w:spacing w:after="0" w:line="183" w:lineRule="exact"/>
              <w:rPr>
                <w:sz w:val="20"/>
                <w:szCs w:val="20"/>
                <w:color w:val="auto"/>
              </w:rPr>
            </w:pPr>
            <w:r>
              <w:rPr>
                <w:rFonts w:ascii="Arial" w:cs="Arial" w:eastAsia="Arial" w:hAnsi="Arial"/>
                <w:sz w:val="16"/>
                <w:szCs w:val="16"/>
                <w:b w:val="1"/>
                <w:bCs w:val="1"/>
                <w:color w:val="auto"/>
              </w:rPr>
              <w:t>$1,139</w:t>
            </w:r>
          </w:p>
        </w:tc>
        <w:tc>
          <w:tcPr>
            <w:tcW w:w="1120" w:type="dxa"/>
            <w:vAlign w:val="bottom"/>
            <w:tcBorders>
              <w:bottom w:val="single" w:sz="8" w:color="auto"/>
            </w:tcBorders>
          </w:tcPr>
          <w:p>
            <w:pPr>
              <w:jc w:val="right"/>
              <w:ind w:right="241"/>
              <w:spacing w:after="0" w:line="183" w:lineRule="exact"/>
              <w:rPr>
                <w:sz w:val="20"/>
                <w:szCs w:val="20"/>
                <w:color w:val="auto"/>
              </w:rPr>
            </w:pPr>
            <w:r>
              <w:rPr>
                <w:rFonts w:ascii="Arial" w:cs="Arial" w:eastAsia="Arial" w:hAnsi="Arial"/>
                <w:sz w:val="16"/>
                <w:szCs w:val="16"/>
                <w:color w:val="auto"/>
              </w:rPr>
              <w:t>$13,714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Products and services provided under long-term contracts represent a significant portion of sales in the Albany Engineered Composites segment and we account for these contracts using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The sum of net adjustments to the estimated profitability of long-term contracts during the first three quarters increased AEC operating income by $8.8 million and $0.5 million in 2019 and 2018, respectively.</w:t>
      </w:r>
    </w:p>
    <w:p>
      <w:pPr>
        <w:spacing w:after="0" w:line="97"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We disaggregate revenue earned from contracts with customers for each of our business segments and reporting units based on the timing of revenue recognition, and groupings used for internal review purposes.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disaggregates revenue for each reporting unit by timing of revenue recognition: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20" w:type="dxa"/>
            <w:vAlign w:val="bottom"/>
            <w:tcBorders>
              <w:top w:val="single" w:sz="8" w:color="auto"/>
            </w:tcBorders>
          </w:tcPr>
          <w:p>
            <w:pPr>
              <w:spacing w:after="0"/>
              <w:rPr>
                <w:sz w:val="15"/>
                <w:szCs w:val="15"/>
                <w:color w:val="auto"/>
              </w:rPr>
            </w:pPr>
          </w:p>
        </w:tc>
        <w:tc>
          <w:tcPr>
            <w:tcW w:w="44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For the three months ended September 30, 2019</w:t>
            </w:r>
          </w:p>
        </w:tc>
        <w:tc>
          <w:tcPr>
            <w:tcW w:w="15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2060" w:type="dxa"/>
            <w:vAlign w:val="bottom"/>
          </w:tcPr>
          <w:p>
            <w:pPr>
              <w:jc w:val="center"/>
              <w:ind w:left="82"/>
              <w:spacing w:after="0" w:line="143" w:lineRule="exact"/>
              <w:rPr>
                <w:sz w:val="20"/>
                <w:szCs w:val="20"/>
                <w:color w:val="auto"/>
              </w:rPr>
            </w:pPr>
            <w:r>
              <w:rPr>
                <w:rFonts w:ascii="Arial" w:cs="Arial" w:eastAsia="Arial" w:hAnsi="Arial"/>
                <w:sz w:val="14"/>
                <w:szCs w:val="14"/>
                <w:b w:val="1"/>
                <w:bCs w:val="1"/>
                <w:color w:val="auto"/>
              </w:rPr>
              <w:t>Point in Time Revenue</w:t>
            </w:r>
          </w:p>
        </w:tc>
        <w:tc>
          <w:tcPr>
            <w:tcW w:w="2400" w:type="dxa"/>
            <w:vAlign w:val="bottom"/>
            <w:gridSpan w:val="2"/>
          </w:tcPr>
          <w:p>
            <w:pPr>
              <w:jc w:val="center"/>
              <w:ind w:left="101"/>
              <w:spacing w:after="0" w:line="143" w:lineRule="exact"/>
              <w:rPr>
                <w:sz w:val="20"/>
                <w:szCs w:val="20"/>
                <w:color w:val="auto"/>
              </w:rPr>
            </w:pPr>
            <w:r>
              <w:rPr>
                <w:rFonts w:ascii="Arial" w:cs="Arial" w:eastAsia="Arial" w:hAnsi="Arial"/>
                <w:sz w:val="14"/>
                <w:szCs w:val="14"/>
                <w:b w:val="1"/>
                <w:bCs w:val="1"/>
                <w:color w:val="auto"/>
              </w:rPr>
              <w:t>Over Time Revenue</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tcBorders>
              <w:bottom w:val="single" w:sz="8" w:color="auto"/>
            </w:tcBorders>
          </w:tcPr>
          <w:p>
            <w:pPr>
              <w:jc w:val="center"/>
              <w:ind w:left="102"/>
              <w:spacing w:after="0"/>
              <w:rPr>
                <w:sz w:val="20"/>
                <w:szCs w:val="20"/>
                <w:color w:val="auto"/>
              </w:rPr>
            </w:pPr>
            <w:r>
              <w:rPr>
                <w:rFonts w:ascii="Arial" w:cs="Arial" w:eastAsia="Arial" w:hAnsi="Arial"/>
                <w:sz w:val="14"/>
                <w:szCs w:val="14"/>
                <w:b w:val="1"/>
                <w:bCs w:val="1"/>
                <w:color w:val="auto"/>
              </w:rPr>
              <w:t>Recognition</w:t>
            </w:r>
          </w:p>
        </w:tc>
        <w:tc>
          <w:tcPr>
            <w:tcW w:w="2400" w:type="dxa"/>
            <w:vAlign w:val="bottom"/>
            <w:tcBorders>
              <w:bottom w:val="single" w:sz="8" w:color="auto"/>
            </w:tcBorders>
            <w:gridSpan w:val="2"/>
          </w:tcPr>
          <w:p>
            <w:pPr>
              <w:jc w:val="center"/>
              <w:ind w:left="101"/>
              <w:spacing w:after="0"/>
              <w:rPr>
                <w:sz w:val="20"/>
                <w:szCs w:val="20"/>
                <w:color w:val="auto"/>
              </w:rPr>
            </w:pPr>
            <w:r>
              <w:rPr>
                <w:rFonts w:ascii="Arial" w:cs="Arial" w:eastAsia="Arial" w:hAnsi="Arial"/>
                <w:sz w:val="14"/>
                <w:szCs w:val="14"/>
                <w:b w:val="1"/>
                <w:bCs w:val="1"/>
                <w:color w:val="auto"/>
              </w:rPr>
              <w:t>Recognition</w:t>
            </w:r>
          </w:p>
        </w:tc>
        <w:tc>
          <w:tcPr>
            <w:tcW w:w="15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54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Machine Clothing</w:t>
            </w:r>
          </w:p>
        </w:tc>
        <w:tc>
          <w:tcPr>
            <w:tcW w:w="2060" w:type="dxa"/>
            <w:vAlign w:val="bottom"/>
            <w:tcBorders>
              <w:bottom w:val="single" w:sz="8" w:color="auto"/>
            </w:tcBorders>
          </w:tcPr>
          <w:p>
            <w:pPr>
              <w:jc w:val="right"/>
              <w:ind w:right="522"/>
              <w:spacing w:after="0" w:line="183" w:lineRule="exact"/>
              <w:rPr>
                <w:sz w:val="20"/>
                <w:szCs w:val="20"/>
                <w:color w:val="auto"/>
              </w:rPr>
            </w:pPr>
            <w:r>
              <w:rPr>
                <w:rFonts w:ascii="Arial" w:cs="Arial" w:eastAsia="Arial" w:hAnsi="Arial"/>
                <w:sz w:val="16"/>
                <w:szCs w:val="16"/>
                <w:b w:val="1"/>
                <w:bCs w:val="1"/>
                <w:color w:val="auto"/>
              </w:rPr>
              <w:t>$150,524</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699"/>
              <w:spacing w:after="0" w:line="183" w:lineRule="exact"/>
              <w:rPr>
                <w:sz w:val="20"/>
                <w:szCs w:val="20"/>
                <w:color w:val="auto"/>
              </w:rPr>
            </w:pPr>
            <w:r>
              <w:rPr>
                <w:rFonts w:ascii="Arial" w:cs="Arial" w:eastAsia="Arial" w:hAnsi="Arial"/>
                <w:sz w:val="16"/>
                <w:szCs w:val="16"/>
                <w:b w:val="1"/>
                <w:bCs w:val="1"/>
                <w:color w:val="auto"/>
              </w:rPr>
              <w:t>800</w:t>
            </w:r>
          </w:p>
        </w:tc>
        <w:tc>
          <w:tcPr>
            <w:tcW w:w="1540" w:type="dxa"/>
            <w:vAlign w:val="bottom"/>
            <w:tcBorders>
              <w:bottom w:val="single" w:sz="8" w:color="auto"/>
            </w:tcBorders>
          </w:tcPr>
          <w:p>
            <w:pPr>
              <w:jc w:val="right"/>
              <w:ind w:right="360"/>
              <w:spacing w:after="0" w:line="183" w:lineRule="exact"/>
              <w:rPr>
                <w:sz w:val="20"/>
                <w:szCs w:val="20"/>
                <w:color w:val="auto"/>
              </w:rPr>
            </w:pPr>
            <w:r>
              <w:rPr>
                <w:rFonts w:ascii="Arial" w:cs="Arial" w:eastAsia="Arial" w:hAnsi="Arial"/>
                <w:sz w:val="16"/>
                <w:szCs w:val="16"/>
                <w:b w:val="1"/>
                <w:bCs w:val="1"/>
                <w:color w:val="auto"/>
              </w:rPr>
              <w:t>$151,324</w:t>
            </w:r>
          </w:p>
        </w:tc>
        <w:tc>
          <w:tcPr>
            <w:tcW w:w="0" w:type="dxa"/>
            <w:vAlign w:val="bottom"/>
          </w:tcPr>
          <w:p>
            <w:pPr>
              <w:spacing w:after="0"/>
              <w:rPr>
                <w:sz w:val="1"/>
                <w:szCs w:val="1"/>
                <w:color w:val="auto"/>
              </w:rPr>
            </w:pPr>
          </w:p>
        </w:tc>
      </w:tr>
      <w:tr>
        <w:trPr>
          <w:trHeight w:val="347"/>
        </w:trPr>
        <w:tc>
          <w:tcPr>
            <w:tcW w:w="5420" w:type="dxa"/>
            <w:vAlign w:val="bottom"/>
          </w:tcPr>
          <w:p>
            <w:pPr>
              <w:spacing w:after="0"/>
              <w:rPr>
                <w:sz w:val="20"/>
                <w:szCs w:val="20"/>
                <w:color w:val="auto"/>
              </w:rPr>
            </w:pPr>
            <w:r>
              <w:rPr>
                <w:rFonts w:ascii="Arial" w:cs="Arial" w:eastAsia="Arial" w:hAnsi="Arial"/>
                <w:sz w:val="16"/>
                <w:szCs w:val="16"/>
                <w:color w:val="auto"/>
              </w:rPr>
              <w:t>Albany Engineered Composites</w:t>
            </w:r>
          </w:p>
        </w:tc>
        <w:tc>
          <w:tcPr>
            <w:tcW w:w="2060" w:type="dxa"/>
            <w:vAlign w:val="bottom"/>
            <w:vMerge w:val="restart"/>
          </w:tcPr>
          <w:p>
            <w:pPr>
              <w:jc w:val="right"/>
              <w:ind w:right="522"/>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spacing w:after="0"/>
              <w:rPr>
                <w:sz w:val="24"/>
                <w:szCs w:val="24"/>
                <w:color w:val="auto"/>
              </w:rPr>
            </w:pPr>
          </w:p>
        </w:tc>
        <w:tc>
          <w:tcPr>
            <w:tcW w:w="1300" w:type="dxa"/>
            <w:vAlign w:val="bottom"/>
            <w:vMerge w:val="restart"/>
          </w:tcPr>
          <w:p>
            <w:pPr>
              <w:jc w:val="right"/>
              <w:ind w:right="699"/>
              <w:spacing w:after="0"/>
              <w:rPr>
                <w:sz w:val="20"/>
                <w:szCs w:val="20"/>
                <w:color w:val="auto"/>
              </w:rPr>
            </w:pPr>
            <w:r>
              <w:rPr>
                <w:rFonts w:ascii="Arial" w:cs="Arial" w:eastAsia="Arial" w:hAnsi="Arial"/>
                <w:sz w:val="16"/>
                <w:szCs w:val="16"/>
                <w:b w:val="1"/>
                <w:bCs w:val="1"/>
                <w:color w:val="auto"/>
              </w:rPr>
              <w:t>56,414</w:t>
            </w:r>
          </w:p>
        </w:tc>
        <w:tc>
          <w:tcPr>
            <w:tcW w:w="1540" w:type="dxa"/>
            <w:vAlign w:val="bottom"/>
            <w:vMerge w:val="restart"/>
          </w:tcPr>
          <w:p>
            <w:pPr>
              <w:jc w:val="right"/>
              <w:ind w:right="360"/>
              <w:spacing w:after="0"/>
              <w:rPr>
                <w:sz w:val="20"/>
                <w:szCs w:val="20"/>
                <w:color w:val="auto"/>
              </w:rPr>
            </w:pPr>
            <w:r>
              <w:rPr>
                <w:rFonts w:ascii="Arial" w:cs="Arial" w:eastAsia="Arial" w:hAnsi="Arial"/>
                <w:sz w:val="16"/>
                <w:szCs w:val="16"/>
                <w:b w:val="1"/>
                <w:bCs w:val="1"/>
                <w:color w:val="auto"/>
              </w:rPr>
              <w:t>56,414</w:t>
            </w:r>
          </w:p>
        </w:tc>
        <w:tc>
          <w:tcPr>
            <w:tcW w:w="0" w:type="dxa"/>
            <w:vAlign w:val="bottom"/>
          </w:tcPr>
          <w:p>
            <w:pPr>
              <w:spacing w:after="0"/>
              <w:rPr>
                <w:sz w:val="1"/>
                <w:szCs w:val="1"/>
                <w:color w:val="auto"/>
              </w:rPr>
            </w:pPr>
          </w:p>
        </w:tc>
      </w:tr>
      <w:tr>
        <w:trPr>
          <w:trHeight w:val="169"/>
        </w:trPr>
        <w:tc>
          <w:tcPr>
            <w:tcW w:w="5420" w:type="dxa"/>
            <w:vAlign w:val="bottom"/>
          </w:tcPr>
          <w:p>
            <w:pPr>
              <w:spacing w:after="0" w:line="169" w:lineRule="exact"/>
              <w:rPr>
                <w:sz w:val="20"/>
                <w:szCs w:val="20"/>
                <w:color w:val="auto"/>
              </w:rPr>
            </w:pPr>
            <w:r>
              <w:rPr>
                <w:rFonts w:ascii="Arial" w:cs="Arial" w:eastAsia="Arial" w:hAnsi="Arial"/>
                <w:sz w:val="16"/>
                <w:szCs w:val="16"/>
                <w:color w:val="auto"/>
              </w:rPr>
              <w:t>ASC</w:t>
            </w:r>
          </w:p>
        </w:tc>
        <w:tc>
          <w:tcPr>
            <w:tcW w:w="20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AEC</w:t>
            </w:r>
          </w:p>
        </w:tc>
        <w:tc>
          <w:tcPr>
            <w:tcW w:w="206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6,708</w:t>
            </w:r>
          </w:p>
        </w:tc>
        <w:tc>
          <w:tcPr>
            <w:tcW w:w="1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56,687</w:t>
            </w:r>
          </w:p>
        </w:tc>
        <w:tc>
          <w:tcPr>
            <w:tcW w:w="15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63,395</w:t>
            </w:r>
          </w:p>
        </w:tc>
        <w:tc>
          <w:tcPr>
            <w:tcW w:w="0" w:type="dxa"/>
            <w:vAlign w:val="bottom"/>
          </w:tcPr>
          <w:p>
            <w:pPr>
              <w:spacing w:after="0"/>
              <w:rPr>
                <w:sz w:val="1"/>
                <w:szCs w:val="1"/>
                <w:color w:val="auto"/>
              </w:rPr>
            </w:pPr>
          </w:p>
        </w:tc>
      </w:tr>
      <w:tr>
        <w:trPr>
          <w:trHeight w:val="183"/>
        </w:trPr>
        <w:tc>
          <w:tcPr>
            <w:tcW w:w="54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Albany Engineered Composites</w:t>
            </w:r>
          </w:p>
        </w:tc>
        <w:tc>
          <w:tcPr>
            <w:tcW w:w="2060" w:type="dxa"/>
            <w:vAlign w:val="bottom"/>
            <w:tcBorders>
              <w:bottom w:val="single" w:sz="8" w:color="auto"/>
            </w:tcBorders>
          </w:tcPr>
          <w:p>
            <w:pPr>
              <w:jc w:val="right"/>
              <w:ind w:right="522"/>
              <w:spacing w:after="0" w:line="183" w:lineRule="exact"/>
              <w:rPr>
                <w:sz w:val="20"/>
                <w:szCs w:val="20"/>
                <w:color w:val="auto"/>
              </w:rPr>
            </w:pPr>
            <w:r>
              <w:rPr>
                <w:rFonts w:ascii="Arial" w:cs="Arial" w:eastAsia="Arial" w:hAnsi="Arial"/>
                <w:sz w:val="16"/>
                <w:szCs w:val="16"/>
                <w:b w:val="1"/>
                <w:bCs w:val="1"/>
                <w:color w:val="auto"/>
              </w:rPr>
              <w:t>6,708</w:t>
            </w:r>
          </w:p>
        </w:tc>
        <w:tc>
          <w:tcPr>
            <w:tcW w:w="2400" w:type="dxa"/>
            <w:vAlign w:val="bottom"/>
            <w:tcBorders>
              <w:bottom w:val="single" w:sz="8" w:color="auto"/>
            </w:tcBorders>
            <w:gridSpan w:val="2"/>
          </w:tcPr>
          <w:p>
            <w:pPr>
              <w:jc w:val="right"/>
              <w:ind w:right="699"/>
              <w:spacing w:after="0" w:line="183" w:lineRule="exact"/>
              <w:rPr>
                <w:sz w:val="20"/>
                <w:szCs w:val="20"/>
                <w:color w:val="auto"/>
              </w:rPr>
            </w:pPr>
            <w:r>
              <w:rPr>
                <w:rFonts w:ascii="Arial" w:cs="Arial" w:eastAsia="Arial" w:hAnsi="Arial"/>
                <w:sz w:val="16"/>
                <w:szCs w:val="16"/>
                <w:b w:val="1"/>
                <w:bCs w:val="1"/>
                <w:color w:val="auto"/>
              </w:rPr>
              <w:t>113,101</w:t>
            </w:r>
          </w:p>
        </w:tc>
        <w:tc>
          <w:tcPr>
            <w:tcW w:w="1540" w:type="dxa"/>
            <w:vAlign w:val="bottom"/>
            <w:tcBorders>
              <w:bottom w:val="single" w:sz="8" w:color="auto"/>
            </w:tcBorders>
          </w:tcPr>
          <w:p>
            <w:pPr>
              <w:jc w:val="right"/>
              <w:ind w:right="340"/>
              <w:spacing w:after="0" w:line="183" w:lineRule="exact"/>
              <w:rPr>
                <w:sz w:val="20"/>
                <w:szCs w:val="20"/>
                <w:color w:val="auto"/>
              </w:rPr>
            </w:pPr>
            <w:r>
              <w:rPr>
                <w:rFonts w:ascii="Arial" w:cs="Arial" w:eastAsia="Arial" w:hAnsi="Arial"/>
                <w:sz w:val="16"/>
                <w:szCs w:val="16"/>
                <w:b w:val="1"/>
                <w:bCs w:val="1"/>
                <w:color w:val="auto"/>
              </w:rPr>
              <w:t>119,809</w:t>
            </w:r>
          </w:p>
        </w:tc>
        <w:tc>
          <w:tcPr>
            <w:tcW w:w="0" w:type="dxa"/>
            <w:vAlign w:val="bottom"/>
          </w:tcPr>
          <w:p>
            <w:pPr>
              <w:spacing w:after="0"/>
              <w:rPr>
                <w:sz w:val="1"/>
                <w:szCs w:val="1"/>
                <w:color w:val="auto"/>
              </w:rPr>
            </w:pPr>
          </w:p>
        </w:tc>
      </w:tr>
      <w:tr>
        <w:trPr>
          <w:trHeight w:val="156"/>
        </w:trPr>
        <w:tc>
          <w:tcPr>
            <w:tcW w:w="54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4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revenue</w:t>
            </w:r>
          </w:p>
        </w:tc>
        <w:tc>
          <w:tcPr>
            <w:tcW w:w="2060" w:type="dxa"/>
            <w:vAlign w:val="bottom"/>
            <w:tcBorders>
              <w:bottom w:val="single" w:sz="8" w:color="auto"/>
            </w:tcBorders>
          </w:tcPr>
          <w:p>
            <w:pPr>
              <w:jc w:val="right"/>
              <w:ind w:right="522"/>
              <w:spacing w:after="0" w:line="183" w:lineRule="exact"/>
              <w:rPr>
                <w:sz w:val="20"/>
                <w:szCs w:val="20"/>
                <w:color w:val="auto"/>
              </w:rPr>
            </w:pPr>
            <w:r>
              <w:rPr>
                <w:rFonts w:ascii="Arial" w:cs="Arial" w:eastAsia="Arial" w:hAnsi="Arial"/>
                <w:sz w:val="16"/>
                <w:szCs w:val="16"/>
                <w:b w:val="1"/>
                <w:bCs w:val="1"/>
                <w:color w:val="auto"/>
              </w:rPr>
              <w:t>$157,232</w:t>
            </w:r>
          </w:p>
        </w:tc>
        <w:tc>
          <w:tcPr>
            <w:tcW w:w="2400" w:type="dxa"/>
            <w:vAlign w:val="bottom"/>
            <w:tcBorders>
              <w:bottom w:val="single" w:sz="8" w:color="auto"/>
            </w:tcBorders>
            <w:gridSpan w:val="2"/>
          </w:tcPr>
          <w:p>
            <w:pPr>
              <w:jc w:val="right"/>
              <w:ind w:right="699"/>
              <w:spacing w:after="0" w:line="183" w:lineRule="exact"/>
              <w:rPr>
                <w:sz w:val="20"/>
                <w:szCs w:val="20"/>
                <w:color w:val="auto"/>
              </w:rPr>
            </w:pPr>
            <w:r>
              <w:rPr>
                <w:rFonts w:ascii="Arial" w:cs="Arial" w:eastAsia="Arial" w:hAnsi="Arial"/>
                <w:sz w:val="16"/>
                <w:szCs w:val="16"/>
                <w:b w:val="1"/>
                <w:bCs w:val="1"/>
                <w:color w:val="auto"/>
              </w:rPr>
              <w:t>$113,901</w:t>
            </w:r>
          </w:p>
        </w:tc>
        <w:tc>
          <w:tcPr>
            <w:tcW w:w="1540" w:type="dxa"/>
            <w:vAlign w:val="bottom"/>
            <w:tcBorders>
              <w:bottom w:val="single" w:sz="8" w:color="auto"/>
            </w:tcBorders>
          </w:tcPr>
          <w:p>
            <w:pPr>
              <w:jc w:val="right"/>
              <w:ind w:right="360"/>
              <w:spacing w:after="0" w:line="183" w:lineRule="exact"/>
              <w:rPr>
                <w:sz w:val="20"/>
                <w:szCs w:val="20"/>
                <w:color w:val="auto"/>
              </w:rPr>
            </w:pPr>
            <w:r>
              <w:rPr>
                <w:rFonts w:ascii="Arial" w:cs="Arial" w:eastAsia="Arial" w:hAnsi="Arial"/>
                <w:sz w:val="16"/>
                <w:szCs w:val="16"/>
                <w:b w:val="1"/>
                <w:bCs w:val="1"/>
                <w:color w:val="auto"/>
              </w:rPr>
              <w:t>$271,133</w:t>
            </w:r>
          </w:p>
        </w:tc>
        <w:tc>
          <w:tcPr>
            <w:tcW w:w="0" w:type="dxa"/>
            <w:vAlign w:val="bottom"/>
          </w:tcPr>
          <w:p>
            <w:pPr>
              <w:spacing w:after="0"/>
              <w:rPr>
                <w:sz w:val="1"/>
                <w:szCs w:val="1"/>
                <w:color w:val="auto"/>
              </w:rPr>
            </w:pPr>
          </w:p>
        </w:tc>
      </w:tr>
      <w:tr>
        <w:trPr>
          <w:trHeight w:val="156"/>
        </w:trPr>
        <w:tc>
          <w:tcPr>
            <w:tcW w:w="5420" w:type="dxa"/>
            <w:vAlign w:val="bottom"/>
            <w:tcBorders>
              <w:bottom w:val="single" w:sz="8" w:color="auto"/>
            </w:tcBorders>
          </w:tcPr>
          <w:p>
            <w:pPr>
              <w:spacing w:after="0"/>
              <w:rPr>
                <w:sz w:val="13"/>
                <w:szCs w:val="13"/>
                <w:color w:val="auto"/>
              </w:rPr>
            </w:pPr>
          </w:p>
        </w:tc>
        <w:tc>
          <w:tcPr>
            <w:tcW w:w="4460" w:type="dxa"/>
            <w:vAlign w:val="bottom"/>
            <w:tcBorders>
              <w:bottom w:val="single" w:sz="8" w:color="auto"/>
            </w:tcBorders>
            <w:gridSpan w:val="3"/>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446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For the nine months ended September 30, 2019</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2060" w:type="dxa"/>
            <w:vAlign w:val="bottom"/>
          </w:tcPr>
          <w:p>
            <w:pPr>
              <w:jc w:val="center"/>
              <w:ind w:left="82"/>
              <w:spacing w:after="0" w:line="143" w:lineRule="exact"/>
              <w:rPr>
                <w:sz w:val="20"/>
                <w:szCs w:val="20"/>
                <w:color w:val="auto"/>
              </w:rPr>
            </w:pPr>
            <w:r>
              <w:rPr>
                <w:rFonts w:ascii="Arial" w:cs="Arial" w:eastAsia="Arial" w:hAnsi="Arial"/>
                <w:sz w:val="14"/>
                <w:szCs w:val="14"/>
                <w:b w:val="1"/>
                <w:bCs w:val="1"/>
                <w:color w:val="auto"/>
              </w:rPr>
              <w:t>Point in Time Revenue</w:t>
            </w:r>
          </w:p>
        </w:tc>
        <w:tc>
          <w:tcPr>
            <w:tcW w:w="1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tcBorders>
              <w:bottom w:val="single" w:sz="8" w:color="auto"/>
            </w:tcBorders>
          </w:tcPr>
          <w:p>
            <w:pPr>
              <w:jc w:val="center"/>
              <w:ind w:left="102"/>
              <w:spacing w:after="0"/>
              <w:rPr>
                <w:sz w:val="20"/>
                <w:szCs w:val="20"/>
                <w:color w:val="auto"/>
              </w:rPr>
            </w:pPr>
            <w:r>
              <w:rPr>
                <w:rFonts w:ascii="Arial" w:cs="Arial" w:eastAsia="Arial" w:hAnsi="Arial"/>
                <w:sz w:val="14"/>
                <w:szCs w:val="14"/>
                <w:b w:val="1"/>
                <w:bCs w:val="1"/>
                <w:color w:val="auto"/>
              </w:rPr>
              <w:t>Recognition</w:t>
            </w:r>
          </w:p>
        </w:tc>
        <w:tc>
          <w:tcPr>
            <w:tcW w:w="2400" w:type="dxa"/>
            <w:vAlign w:val="bottom"/>
            <w:tcBorders>
              <w:bottom w:val="single" w:sz="8" w:color="auto"/>
            </w:tcBorders>
            <w:gridSpan w:val="2"/>
          </w:tcPr>
          <w:p>
            <w:pPr>
              <w:jc w:val="center"/>
              <w:ind w:left="101"/>
              <w:spacing w:after="0"/>
              <w:rPr>
                <w:sz w:val="20"/>
                <w:szCs w:val="20"/>
                <w:color w:val="auto"/>
              </w:rPr>
            </w:pPr>
            <w:r>
              <w:rPr>
                <w:rFonts w:ascii="Arial" w:cs="Arial" w:eastAsia="Arial" w:hAnsi="Arial"/>
                <w:sz w:val="14"/>
                <w:szCs w:val="14"/>
                <w:b w:val="1"/>
                <w:bCs w:val="1"/>
                <w:color w:val="auto"/>
              </w:rPr>
              <w:t>Over Time Revenue Recognition</w:t>
            </w:r>
          </w:p>
        </w:tc>
        <w:tc>
          <w:tcPr>
            <w:tcW w:w="15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54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Machine Clothing</w:t>
            </w:r>
          </w:p>
        </w:tc>
        <w:tc>
          <w:tcPr>
            <w:tcW w:w="2060" w:type="dxa"/>
            <w:vAlign w:val="bottom"/>
            <w:tcBorders>
              <w:bottom w:val="single" w:sz="8" w:color="auto"/>
            </w:tcBorders>
          </w:tcPr>
          <w:p>
            <w:pPr>
              <w:jc w:val="right"/>
              <w:ind w:right="522"/>
              <w:spacing w:after="0" w:line="183" w:lineRule="exact"/>
              <w:rPr>
                <w:sz w:val="20"/>
                <w:szCs w:val="20"/>
                <w:color w:val="auto"/>
              </w:rPr>
            </w:pPr>
            <w:r>
              <w:rPr>
                <w:rFonts w:ascii="Arial" w:cs="Arial" w:eastAsia="Arial" w:hAnsi="Arial"/>
                <w:sz w:val="16"/>
                <w:szCs w:val="16"/>
                <w:b w:val="1"/>
                <w:bCs w:val="1"/>
                <w:color w:val="auto"/>
              </w:rPr>
              <w:t>$448,273</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699"/>
              <w:spacing w:after="0" w:line="183" w:lineRule="exact"/>
              <w:rPr>
                <w:sz w:val="20"/>
                <w:szCs w:val="20"/>
                <w:color w:val="auto"/>
              </w:rPr>
            </w:pPr>
            <w:r>
              <w:rPr>
                <w:rFonts w:ascii="Arial" w:cs="Arial" w:eastAsia="Arial" w:hAnsi="Arial"/>
                <w:sz w:val="16"/>
                <w:szCs w:val="16"/>
                <w:b w:val="1"/>
                <w:bCs w:val="1"/>
                <w:color w:val="auto"/>
              </w:rPr>
              <w:t>2,400</w:t>
            </w:r>
          </w:p>
        </w:tc>
        <w:tc>
          <w:tcPr>
            <w:tcW w:w="1540" w:type="dxa"/>
            <w:vAlign w:val="bottom"/>
            <w:tcBorders>
              <w:bottom w:val="single" w:sz="8" w:color="auto"/>
            </w:tcBorders>
          </w:tcPr>
          <w:p>
            <w:pPr>
              <w:jc w:val="right"/>
              <w:ind w:right="360"/>
              <w:spacing w:after="0" w:line="183" w:lineRule="exact"/>
              <w:rPr>
                <w:sz w:val="20"/>
                <w:szCs w:val="20"/>
                <w:color w:val="auto"/>
              </w:rPr>
            </w:pPr>
            <w:r>
              <w:rPr>
                <w:rFonts w:ascii="Arial" w:cs="Arial" w:eastAsia="Arial" w:hAnsi="Arial"/>
                <w:sz w:val="16"/>
                <w:szCs w:val="16"/>
                <w:b w:val="1"/>
                <w:bCs w:val="1"/>
                <w:color w:val="auto"/>
              </w:rPr>
              <w:t>$450,673</w:t>
            </w:r>
          </w:p>
        </w:tc>
        <w:tc>
          <w:tcPr>
            <w:tcW w:w="0" w:type="dxa"/>
            <w:vAlign w:val="bottom"/>
          </w:tcPr>
          <w:p>
            <w:pPr>
              <w:spacing w:after="0"/>
              <w:rPr>
                <w:sz w:val="1"/>
                <w:szCs w:val="1"/>
                <w:color w:val="auto"/>
              </w:rPr>
            </w:pPr>
          </w:p>
        </w:tc>
      </w:tr>
      <w:tr>
        <w:trPr>
          <w:trHeight w:val="347"/>
        </w:trPr>
        <w:tc>
          <w:tcPr>
            <w:tcW w:w="5420" w:type="dxa"/>
            <w:vAlign w:val="bottom"/>
          </w:tcPr>
          <w:p>
            <w:pPr>
              <w:spacing w:after="0"/>
              <w:rPr>
                <w:sz w:val="20"/>
                <w:szCs w:val="20"/>
                <w:color w:val="auto"/>
              </w:rPr>
            </w:pPr>
            <w:r>
              <w:rPr>
                <w:rFonts w:ascii="Arial" w:cs="Arial" w:eastAsia="Arial" w:hAnsi="Arial"/>
                <w:sz w:val="16"/>
                <w:szCs w:val="16"/>
                <w:color w:val="auto"/>
              </w:rPr>
              <w:t>Albany Engineered Composites</w:t>
            </w:r>
          </w:p>
        </w:tc>
        <w:tc>
          <w:tcPr>
            <w:tcW w:w="2060" w:type="dxa"/>
            <w:vAlign w:val="bottom"/>
            <w:vMerge w:val="restart"/>
          </w:tcPr>
          <w:p>
            <w:pPr>
              <w:jc w:val="right"/>
              <w:ind w:right="522"/>
              <w:spacing w:after="0"/>
              <w:rPr>
                <w:sz w:val="20"/>
                <w:szCs w:val="20"/>
                <w:color w:val="auto"/>
              </w:rPr>
            </w:pPr>
            <w:r>
              <w:rPr>
                <w:rFonts w:ascii="Arial" w:cs="Arial" w:eastAsia="Arial" w:hAnsi="Arial"/>
                <w:sz w:val="16"/>
                <w:szCs w:val="16"/>
                <w:b w:val="1"/>
                <w:bCs w:val="1"/>
                <w:color w:val="auto"/>
              </w:rPr>
              <w:t>—</w:t>
            </w:r>
          </w:p>
        </w:tc>
        <w:tc>
          <w:tcPr>
            <w:tcW w:w="2400" w:type="dxa"/>
            <w:vAlign w:val="bottom"/>
            <w:gridSpan w:val="2"/>
            <w:vMerge w:val="restart"/>
          </w:tcPr>
          <w:p>
            <w:pPr>
              <w:jc w:val="right"/>
              <w:ind w:right="699"/>
              <w:spacing w:after="0"/>
              <w:rPr>
                <w:sz w:val="20"/>
                <w:szCs w:val="20"/>
                <w:color w:val="auto"/>
              </w:rPr>
            </w:pPr>
            <w:r>
              <w:rPr>
                <w:rFonts w:ascii="Arial" w:cs="Arial" w:eastAsia="Arial" w:hAnsi="Arial"/>
                <w:sz w:val="16"/>
                <w:szCs w:val="16"/>
                <w:b w:val="1"/>
                <w:bCs w:val="1"/>
                <w:color w:val="auto"/>
              </w:rPr>
              <w:t>170,551</w:t>
            </w:r>
          </w:p>
        </w:tc>
        <w:tc>
          <w:tcPr>
            <w:tcW w:w="1540" w:type="dxa"/>
            <w:vAlign w:val="bottom"/>
            <w:vMerge w:val="restart"/>
          </w:tcPr>
          <w:p>
            <w:pPr>
              <w:jc w:val="right"/>
              <w:ind w:right="360"/>
              <w:spacing w:after="0"/>
              <w:rPr>
                <w:sz w:val="20"/>
                <w:szCs w:val="20"/>
                <w:color w:val="auto"/>
              </w:rPr>
            </w:pPr>
            <w:r>
              <w:rPr>
                <w:rFonts w:ascii="Arial" w:cs="Arial" w:eastAsia="Arial" w:hAnsi="Arial"/>
                <w:sz w:val="16"/>
                <w:szCs w:val="16"/>
                <w:b w:val="1"/>
                <w:bCs w:val="1"/>
                <w:color w:val="auto"/>
              </w:rPr>
              <w:t>170,551</w:t>
            </w:r>
          </w:p>
        </w:tc>
        <w:tc>
          <w:tcPr>
            <w:tcW w:w="0" w:type="dxa"/>
            <w:vAlign w:val="bottom"/>
          </w:tcPr>
          <w:p>
            <w:pPr>
              <w:spacing w:after="0"/>
              <w:rPr>
                <w:sz w:val="1"/>
                <w:szCs w:val="1"/>
                <w:color w:val="auto"/>
              </w:rPr>
            </w:pPr>
          </w:p>
        </w:tc>
      </w:tr>
      <w:tr>
        <w:trPr>
          <w:trHeight w:val="169"/>
        </w:trPr>
        <w:tc>
          <w:tcPr>
            <w:tcW w:w="5420" w:type="dxa"/>
            <w:vAlign w:val="bottom"/>
          </w:tcPr>
          <w:p>
            <w:pPr>
              <w:spacing w:after="0" w:line="169" w:lineRule="exact"/>
              <w:rPr>
                <w:sz w:val="20"/>
                <w:szCs w:val="20"/>
                <w:color w:val="auto"/>
              </w:rPr>
            </w:pPr>
            <w:r>
              <w:rPr>
                <w:rFonts w:ascii="Arial" w:cs="Arial" w:eastAsia="Arial" w:hAnsi="Arial"/>
                <w:sz w:val="16"/>
                <w:szCs w:val="16"/>
                <w:color w:val="auto"/>
              </w:rPr>
              <w:t>ASC</w:t>
            </w:r>
          </w:p>
        </w:tc>
        <w:tc>
          <w:tcPr>
            <w:tcW w:w="2060" w:type="dxa"/>
            <w:vAlign w:val="bottom"/>
            <w:vMerge w:val="continue"/>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AEC</w:t>
            </w:r>
          </w:p>
        </w:tc>
        <w:tc>
          <w:tcPr>
            <w:tcW w:w="206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22,850</w:t>
            </w:r>
          </w:p>
        </w:tc>
        <w:tc>
          <w:tcPr>
            <w:tcW w:w="240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6"/>
                <w:szCs w:val="16"/>
                <w:b w:val="1"/>
                <w:bCs w:val="1"/>
                <w:color w:val="auto"/>
              </w:rPr>
              <w:t>152,380</w:t>
            </w:r>
          </w:p>
        </w:tc>
        <w:tc>
          <w:tcPr>
            <w:tcW w:w="15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175,230</w:t>
            </w:r>
          </w:p>
        </w:tc>
        <w:tc>
          <w:tcPr>
            <w:tcW w:w="0" w:type="dxa"/>
            <w:vAlign w:val="bottom"/>
          </w:tcPr>
          <w:p>
            <w:pPr>
              <w:spacing w:after="0"/>
              <w:rPr>
                <w:sz w:val="1"/>
                <w:szCs w:val="1"/>
                <w:color w:val="auto"/>
              </w:rPr>
            </w:pPr>
          </w:p>
        </w:tc>
      </w:tr>
      <w:tr>
        <w:trPr>
          <w:trHeight w:val="183"/>
        </w:trPr>
        <w:tc>
          <w:tcPr>
            <w:tcW w:w="54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Albany Engineered Composites</w:t>
            </w:r>
          </w:p>
        </w:tc>
        <w:tc>
          <w:tcPr>
            <w:tcW w:w="2060" w:type="dxa"/>
            <w:vAlign w:val="bottom"/>
            <w:tcBorders>
              <w:bottom w:val="single" w:sz="8" w:color="auto"/>
            </w:tcBorders>
          </w:tcPr>
          <w:p>
            <w:pPr>
              <w:jc w:val="right"/>
              <w:ind w:right="522"/>
              <w:spacing w:after="0" w:line="183" w:lineRule="exact"/>
              <w:rPr>
                <w:sz w:val="20"/>
                <w:szCs w:val="20"/>
                <w:color w:val="auto"/>
              </w:rPr>
            </w:pPr>
            <w:r>
              <w:rPr>
                <w:rFonts w:ascii="Arial" w:cs="Arial" w:eastAsia="Arial" w:hAnsi="Arial"/>
                <w:sz w:val="16"/>
                <w:szCs w:val="16"/>
                <w:b w:val="1"/>
                <w:bCs w:val="1"/>
                <w:color w:val="auto"/>
              </w:rPr>
              <w:t>22,850</w:t>
            </w:r>
          </w:p>
        </w:tc>
        <w:tc>
          <w:tcPr>
            <w:tcW w:w="2400" w:type="dxa"/>
            <w:vAlign w:val="bottom"/>
            <w:tcBorders>
              <w:bottom w:val="single" w:sz="8" w:color="auto"/>
            </w:tcBorders>
            <w:gridSpan w:val="2"/>
          </w:tcPr>
          <w:p>
            <w:pPr>
              <w:jc w:val="right"/>
              <w:ind w:right="699"/>
              <w:spacing w:after="0" w:line="183" w:lineRule="exact"/>
              <w:rPr>
                <w:sz w:val="20"/>
                <w:szCs w:val="20"/>
                <w:color w:val="auto"/>
              </w:rPr>
            </w:pPr>
            <w:r>
              <w:rPr>
                <w:rFonts w:ascii="Arial" w:cs="Arial" w:eastAsia="Arial" w:hAnsi="Arial"/>
                <w:sz w:val="16"/>
                <w:szCs w:val="16"/>
                <w:b w:val="1"/>
                <w:bCs w:val="1"/>
                <w:color w:val="auto"/>
              </w:rPr>
              <w:t>322,931</w:t>
            </w:r>
          </w:p>
        </w:tc>
        <w:tc>
          <w:tcPr>
            <w:tcW w:w="1540" w:type="dxa"/>
            <w:vAlign w:val="bottom"/>
            <w:tcBorders>
              <w:bottom w:val="single" w:sz="8" w:color="auto"/>
            </w:tcBorders>
          </w:tcPr>
          <w:p>
            <w:pPr>
              <w:jc w:val="right"/>
              <w:ind w:right="360"/>
              <w:spacing w:after="0" w:line="183" w:lineRule="exact"/>
              <w:rPr>
                <w:sz w:val="20"/>
                <w:szCs w:val="20"/>
                <w:color w:val="auto"/>
              </w:rPr>
            </w:pPr>
            <w:r>
              <w:rPr>
                <w:rFonts w:ascii="Arial" w:cs="Arial" w:eastAsia="Arial" w:hAnsi="Arial"/>
                <w:sz w:val="16"/>
                <w:szCs w:val="16"/>
                <w:b w:val="1"/>
                <w:bCs w:val="1"/>
                <w:color w:val="auto"/>
              </w:rPr>
              <w:t>345,781</w:t>
            </w:r>
          </w:p>
        </w:tc>
        <w:tc>
          <w:tcPr>
            <w:tcW w:w="0" w:type="dxa"/>
            <w:vAlign w:val="bottom"/>
          </w:tcPr>
          <w:p>
            <w:pPr>
              <w:spacing w:after="0"/>
              <w:rPr>
                <w:sz w:val="1"/>
                <w:szCs w:val="1"/>
                <w:color w:val="auto"/>
              </w:rPr>
            </w:pPr>
          </w:p>
        </w:tc>
      </w:tr>
      <w:tr>
        <w:trPr>
          <w:trHeight w:val="156"/>
        </w:trPr>
        <w:tc>
          <w:tcPr>
            <w:tcW w:w="54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4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revenue</w:t>
            </w:r>
          </w:p>
        </w:tc>
        <w:tc>
          <w:tcPr>
            <w:tcW w:w="2060" w:type="dxa"/>
            <w:vAlign w:val="bottom"/>
            <w:tcBorders>
              <w:bottom w:val="single" w:sz="8" w:color="auto"/>
            </w:tcBorders>
          </w:tcPr>
          <w:p>
            <w:pPr>
              <w:jc w:val="right"/>
              <w:ind w:right="522"/>
              <w:spacing w:after="0" w:line="183" w:lineRule="exact"/>
              <w:rPr>
                <w:sz w:val="20"/>
                <w:szCs w:val="20"/>
                <w:color w:val="auto"/>
              </w:rPr>
            </w:pPr>
            <w:r>
              <w:rPr>
                <w:rFonts w:ascii="Arial" w:cs="Arial" w:eastAsia="Arial" w:hAnsi="Arial"/>
                <w:sz w:val="16"/>
                <w:szCs w:val="16"/>
                <w:b w:val="1"/>
                <w:bCs w:val="1"/>
                <w:color w:val="auto"/>
              </w:rPr>
              <w:t>$471,123</w:t>
            </w:r>
          </w:p>
        </w:tc>
        <w:tc>
          <w:tcPr>
            <w:tcW w:w="2400" w:type="dxa"/>
            <w:vAlign w:val="bottom"/>
            <w:tcBorders>
              <w:bottom w:val="single" w:sz="8" w:color="auto"/>
            </w:tcBorders>
            <w:gridSpan w:val="2"/>
          </w:tcPr>
          <w:p>
            <w:pPr>
              <w:jc w:val="right"/>
              <w:ind w:right="699"/>
              <w:spacing w:after="0" w:line="183" w:lineRule="exact"/>
              <w:rPr>
                <w:sz w:val="20"/>
                <w:szCs w:val="20"/>
                <w:color w:val="auto"/>
              </w:rPr>
            </w:pPr>
            <w:r>
              <w:rPr>
                <w:rFonts w:ascii="Arial" w:cs="Arial" w:eastAsia="Arial" w:hAnsi="Arial"/>
                <w:sz w:val="16"/>
                <w:szCs w:val="16"/>
                <w:b w:val="1"/>
                <w:bCs w:val="1"/>
                <w:color w:val="auto"/>
              </w:rPr>
              <w:t>$325,331</w:t>
            </w:r>
          </w:p>
        </w:tc>
        <w:tc>
          <w:tcPr>
            <w:tcW w:w="1540" w:type="dxa"/>
            <w:vAlign w:val="bottom"/>
            <w:tcBorders>
              <w:bottom w:val="single" w:sz="8" w:color="auto"/>
            </w:tcBorders>
          </w:tcPr>
          <w:p>
            <w:pPr>
              <w:jc w:val="right"/>
              <w:ind w:right="360"/>
              <w:spacing w:after="0" w:line="183" w:lineRule="exact"/>
              <w:rPr>
                <w:sz w:val="20"/>
                <w:szCs w:val="20"/>
                <w:color w:val="auto"/>
              </w:rPr>
            </w:pPr>
            <w:r>
              <w:rPr>
                <w:rFonts w:ascii="Arial" w:cs="Arial" w:eastAsia="Arial" w:hAnsi="Arial"/>
                <w:sz w:val="16"/>
                <w:szCs w:val="16"/>
                <w:b w:val="1"/>
                <w:bCs w:val="1"/>
                <w:color w:val="auto"/>
              </w:rPr>
              <w:t>$796,454</w:t>
            </w:r>
          </w:p>
        </w:tc>
        <w:tc>
          <w:tcPr>
            <w:tcW w:w="0" w:type="dxa"/>
            <w:vAlign w:val="bottom"/>
          </w:tcPr>
          <w:p>
            <w:pPr>
              <w:spacing w:after="0"/>
              <w:rPr>
                <w:sz w:val="1"/>
                <w:szCs w:val="1"/>
                <w:color w:val="auto"/>
              </w:rPr>
            </w:pPr>
          </w:p>
        </w:tc>
      </w:tr>
      <w:tr>
        <w:trPr>
          <w:trHeight w:val="156"/>
        </w:trPr>
        <w:tc>
          <w:tcPr>
            <w:tcW w:w="5420" w:type="dxa"/>
            <w:vAlign w:val="bottom"/>
            <w:tcBorders>
              <w:bottom w:val="single" w:sz="8" w:color="auto"/>
            </w:tcBorders>
          </w:tcPr>
          <w:p>
            <w:pPr>
              <w:spacing w:after="0"/>
              <w:rPr>
                <w:sz w:val="13"/>
                <w:szCs w:val="13"/>
                <w:color w:val="auto"/>
              </w:rPr>
            </w:pPr>
          </w:p>
        </w:tc>
        <w:tc>
          <w:tcPr>
            <w:tcW w:w="4460" w:type="dxa"/>
            <w:vAlign w:val="bottom"/>
            <w:tcBorders>
              <w:bottom w:val="single" w:sz="8" w:color="auto"/>
            </w:tcBorders>
            <w:gridSpan w:val="3"/>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446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For the three months ended September 30, 2018</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2060" w:type="dxa"/>
            <w:vAlign w:val="bottom"/>
          </w:tcPr>
          <w:p>
            <w:pPr>
              <w:jc w:val="center"/>
              <w:ind w:left="82"/>
              <w:spacing w:after="0" w:line="143" w:lineRule="exact"/>
              <w:rPr>
                <w:sz w:val="20"/>
                <w:szCs w:val="20"/>
                <w:color w:val="auto"/>
              </w:rPr>
            </w:pPr>
            <w:r>
              <w:rPr>
                <w:rFonts w:ascii="Arial" w:cs="Arial" w:eastAsia="Arial" w:hAnsi="Arial"/>
                <w:sz w:val="14"/>
                <w:szCs w:val="14"/>
                <w:b w:val="1"/>
                <w:bCs w:val="1"/>
                <w:color w:val="auto"/>
              </w:rPr>
              <w:t>Point in Time Revenue</w:t>
            </w:r>
          </w:p>
        </w:tc>
        <w:tc>
          <w:tcPr>
            <w:tcW w:w="2400" w:type="dxa"/>
            <w:vAlign w:val="bottom"/>
            <w:gridSpan w:val="2"/>
          </w:tcPr>
          <w:p>
            <w:pPr>
              <w:jc w:val="center"/>
              <w:ind w:left="101"/>
              <w:spacing w:after="0" w:line="143" w:lineRule="exact"/>
              <w:rPr>
                <w:sz w:val="20"/>
                <w:szCs w:val="20"/>
                <w:color w:val="auto"/>
              </w:rPr>
            </w:pPr>
            <w:r>
              <w:rPr>
                <w:rFonts w:ascii="Arial" w:cs="Arial" w:eastAsia="Arial" w:hAnsi="Arial"/>
                <w:sz w:val="14"/>
                <w:szCs w:val="14"/>
                <w:b w:val="1"/>
                <w:bCs w:val="1"/>
                <w:color w:val="auto"/>
              </w:rPr>
              <w:t>Over Time Revenue</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tcBorders>
              <w:bottom w:val="single" w:sz="8" w:color="auto"/>
            </w:tcBorders>
          </w:tcPr>
          <w:p>
            <w:pPr>
              <w:jc w:val="center"/>
              <w:ind w:left="102"/>
              <w:spacing w:after="0"/>
              <w:rPr>
                <w:sz w:val="20"/>
                <w:szCs w:val="20"/>
                <w:color w:val="auto"/>
              </w:rPr>
            </w:pPr>
            <w:r>
              <w:rPr>
                <w:rFonts w:ascii="Arial" w:cs="Arial" w:eastAsia="Arial" w:hAnsi="Arial"/>
                <w:sz w:val="14"/>
                <w:szCs w:val="14"/>
                <w:b w:val="1"/>
                <w:bCs w:val="1"/>
                <w:color w:val="auto"/>
              </w:rPr>
              <w:t>Recognition</w:t>
            </w:r>
          </w:p>
        </w:tc>
        <w:tc>
          <w:tcPr>
            <w:tcW w:w="2400" w:type="dxa"/>
            <w:vAlign w:val="bottom"/>
            <w:tcBorders>
              <w:bottom w:val="single" w:sz="8" w:color="auto"/>
            </w:tcBorders>
            <w:gridSpan w:val="2"/>
          </w:tcPr>
          <w:p>
            <w:pPr>
              <w:jc w:val="center"/>
              <w:ind w:left="101"/>
              <w:spacing w:after="0"/>
              <w:rPr>
                <w:sz w:val="20"/>
                <w:szCs w:val="20"/>
                <w:color w:val="auto"/>
              </w:rPr>
            </w:pPr>
            <w:r>
              <w:rPr>
                <w:rFonts w:ascii="Arial" w:cs="Arial" w:eastAsia="Arial" w:hAnsi="Arial"/>
                <w:sz w:val="14"/>
                <w:szCs w:val="14"/>
                <w:b w:val="1"/>
                <w:bCs w:val="1"/>
                <w:color w:val="auto"/>
              </w:rPr>
              <w:t>Recognition</w:t>
            </w:r>
          </w:p>
        </w:tc>
        <w:tc>
          <w:tcPr>
            <w:tcW w:w="15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54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Machine Clothing</w:t>
            </w:r>
          </w:p>
        </w:tc>
        <w:tc>
          <w:tcPr>
            <w:tcW w:w="2060" w:type="dxa"/>
            <w:vAlign w:val="bottom"/>
            <w:tcBorders>
              <w:bottom w:val="single" w:sz="8" w:color="auto"/>
            </w:tcBorders>
          </w:tcPr>
          <w:p>
            <w:pPr>
              <w:jc w:val="right"/>
              <w:ind w:right="522"/>
              <w:spacing w:after="0" w:line="183" w:lineRule="exact"/>
              <w:rPr>
                <w:sz w:val="20"/>
                <w:szCs w:val="20"/>
                <w:color w:val="auto"/>
              </w:rPr>
            </w:pPr>
            <w:r>
              <w:rPr>
                <w:rFonts w:ascii="Arial" w:cs="Arial" w:eastAsia="Arial" w:hAnsi="Arial"/>
                <w:sz w:val="16"/>
                <w:szCs w:val="16"/>
                <w:color w:val="auto"/>
              </w:rPr>
              <w:t>$156,808</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739"/>
              <w:spacing w:after="0" w:line="183" w:lineRule="exact"/>
              <w:rPr>
                <w:sz w:val="20"/>
                <w:szCs w:val="20"/>
                <w:color w:val="auto"/>
              </w:rPr>
            </w:pPr>
            <w:r>
              <w:rPr>
                <w:rFonts w:ascii="Arial" w:cs="Arial" w:eastAsia="Arial" w:hAnsi="Arial"/>
                <w:sz w:val="16"/>
                <w:szCs w:val="16"/>
                <w:color w:val="auto"/>
              </w:rPr>
              <w:t>800</w:t>
            </w:r>
          </w:p>
        </w:tc>
        <w:tc>
          <w:tcPr>
            <w:tcW w:w="1540" w:type="dxa"/>
            <w:vAlign w:val="bottom"/>
            <w:tcBorders>
              <w:bottom w:val="single" w:sz="8" w:color="auto"/>
            </w:tcBorders>
          </w:tcPr>
          <w:p>
            <w:pPr>
              <w:jc w:val="right"/>
              <w:ind w:right="360"/>
              <w:spacing w:after="0" w:line="183" w:lineRule="exact"/>
              <w:rPr>
                <w:sz w:val="20"/>
                <w:szCs w:val="20"/>
                <w:color w:val="auto"/>
              </w:rPr>
            </w:pPr>
            <w:r>
              <w:rPr>
                <w:rFonts w:ascii="Arial" w:cs="Arial" w:eastAsia="Arial" w:hAnsi="Arial"/>
                <w:sz w:val="16"/>
                <w:szCs w:val="16"/>
                <w:color w:val="auto"/>
              </w:rPr>
              <w:t>$157,608</w:t>
            </w:r>
          </w:p>
        </w:tc>
        <w:tc>
          <w:tcPr>
            <w:tcW w:w="0" w:type="dxa"/>
            <w:vAlign w:val="bottom"/>
          </w:tcPr>
          <w:p>
            <w:pPr>
              <w:spacing w:after="0"/>
              <w:rPr>
                <w:sz w:val="1"/>
                <w:szCs w:val="1"/>
                <w:color w:val="auto"/>
              </w:rPr>
            </w:pPr>
          </w:p>
        </w:tc>
      </w:tr>
      <w:tr>
        <w:trPr>
          <w:trHeight w:val="347"/>
        </w:trPr>
        <w:tc>
          <w:tcPr>
            <w:tcW w:w="5420" w:type="dxa"/>
            <w:vAlign w:val="bottom"/>
          </w:tcPr>
          <w:p>
            <w:pPr>
              <w:spacing w:after="0"/>
              <w:rPr>
                <w:sz w:val="20"/>
                <w:szCs w:val="20"/>
                <w:color w:val="auto"/>
              </w:rPr>
            </w:pPr>
            <w:r>
              <w:rPr>
                <w:rFonts w:ascii="Arial" w:cs="Arial" w:eastAsia="Arial" w:hAnsi="Arial"/>
                <w:sz w:val="16"/>
                <w:szCs w:val="16"/>
                <w:color w:val="auto"/>
              </w:rPr>
              <w:t>Albany Engineered Composites</w:t>
            </w:r>
          </w:p>
        </w:tc>
        <w:tc>
          <w:tcPr>
            <w:tcW w:w="2060" w:type="dxa"/>
            <w:vAlign w:val="bottom"/>
            <w:vMerge w:val="restart"/>
          </w:tcPr>
          <w:p>
            <w:pPr>
              <w:jc w:val="right"/>
              <w:ind w:right="522"/>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420" w:type="dxa"/>
            <w:vAlign w:val="bottom"/>
          </w:tcPr>
          <w:p>
            <w:pPr>
              <w:spacing w:after="0"/>
              <w:rPr>
                <w:sz w:val="20"/>
                <w:szCs w:val="20"/>
                <w:color w:val="auto"/>
              </w:rPr>
            </w:pPr>
            <w:r>
              <w:rPr>
                <w:rFonts w:ascii="Arial" w:cs="Arial" w:eastAsia="Arial" w:hAnsi="Arial"/>
                <w:sz w:val="16"/>
                <w:szCs w:val="16"/>
                <w:color w:val="auto"/>
              </w:rPr>
              <w:t>ASC</w:t>
            </w:r>
          </w:p>
        </w:tc>
        <w:tc>
          <w:tcPr>
            <w:tcW w:w="2060" w:type="dxa"/>
            <w:vAlign w:val="bottom"/>
            <w:vMerge w:val="continue"/>
          </w:tcPr>
          <w:p>
            <w:pPr>
              <w:spacing w:after="0"/>
              <w:rPr>
                <w:sz w:val="16"/>
                <w:szCs w:val="16"/>
                <w:color w:val="auto"/>
              </w:rPr>
            </w:pPr>
          </w:p>
        </w:tc>
        <w:tc>
          <w:tcPr>
            <w:tcW w:w="2400" w:type="dxa"/>
            <w:vAlign w:val="bottom"/>
            <w:gridSpan w:val="2"/>
          </w:tcPr>
          <w:p>
            <w:pPr>
              <w:jc w:val="right"/>
              <w:ind w:right="739"/>
              <w:spacing w:after="0"/>
              <w:rPr>
                <w:sz w:val="20"/>
                <w:szCs w:val="20"/>
                <w:color w:val="auto"/>
              </w:rPr>
            </w:pPr>
            <w:r>
              <w:rPr>
                <w:rFonts w:ascii="Arial" w:cs="Arial" w:eastAsia="Arial" w:hAnsi="Arial"/>
                <w:sz w:val="16"/>
                <w:szCs w:val="16"/>
                <w:color w:val="auto"/>
              </w:rPr>
              <w:t>47,166</w:t>
            </w:r>
          </w:p>
        </w:tc>
        <w:tc>
          <w:tcPr>
            <w:tcW w:w="1540" w:type="dxa"/>
            <w:vAlign w:val="bottom"/>
          </w:tcPr>
          <w:p>
            <w:pPr>
              <w:jc w:val="right"/>
              <w:ind w:right="360"/>
              <w:spacing w:after="0"/>
              <w:rPr>
                <w:sz w:val="20"/>
                <w:szCs w:val="20"/>
                <w:color w:val="auto"/>
              </w:rPr>
            </w:pPr>
            <w:r>
              <w:rPr>
                <w:rFonts w:ascii="Arial" w:cs="Arial" w:eastAsia="Arial" w:hAnsi="Arial"/>
                <w:sz w:val="16"/>
                <w:szCs w:val="16"/>
                <w:color w:val="auto"/>
              </w:rPr>
              <w:t>47,166</w:t>
            </w:r>
          </w:p>
        </w:tc>
        <w:tc>
          <w:tcPr>
            <w:tcW w:w="0" w:type="dxa"/>
            <w:vAlign w:val="bottom"/>
          </w:tcPr>
          <w:p>
            <w:pPr>
              <w:spacing w:after="0"/>
              <w:rPr>
                <w:sz w:val="1"/>
                <w:szCs w:val="1"/>
                <w:color w:val="auto"/>
              </w:rPr>
            </w:pPr>
          </w:p>
        </w:tc>
      </w:tr>
      <w:tr>
        <w:trPr>
          <w:trHeight w:val="187"/>
        </w:trPr>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AEC</w:t>
            </w:r>
          </w:p>
        </w:tc>
        <w:tc>
          <w:tcPr>
            <w:tcW w:w="206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color w:val="auto"/>
              </w:rPr>
              <w:t>4,165</w:t>
            </w:r>
          </w:p>
        </w:tc>
        <w:tc>
          <w:tcPr>
            <w:tcW w:w="2400" w:type="dxa"/>
            <w:vAlign w:val="bottom"/>
            <w:tcBorders>
              <w:bottom w:val="single" w:sz="8" w:color="auto"/>
            </w:tcBorders>
            <w:gridSpan w:val="2"/>
          </w:tcPr>
          <w:p>
            <w:pPr>
              <w:jc w:val="right"/>
              <w:ind w:right="739"/>
              <w:spacing w:after="0"/>
              <w:rPr>
                <w:sz w:val="20"/>
                <w:szCs w:val="20"/>
                <w:color w:val="auto"/>
              </w:rPr>
            </w:pPr>
            <w:r>
              <w:rPr>
                <w:rFonts w:ascii="Arial" w:cs="Arial" w:eastAsia="Arial" w:hAnsi="Arial"/>
                <w:sz w:val="16"/>
                <w:szCs w:val="16"/>
                <w:color w:val="auto"/>
              </w:rPr>
              <w:t>42,950</w:t>
            </w:r>
          </w:p>
        </w:tc>
        <w:tc>
          <w:tcPr>
            <w:tcW w:w="15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47,115</w:t>
            </w:r>
          </w:p>
        </w:tc>
        <w:tc>
          <w:tcPr>
            <w:tcW w:w="0" w:type="dxa"/>
            <w:vAlign w:val="bottom"/>
          </w:tcPr>
          <w:p>
            <w:pPr>
              <w:spacing w:after="0"/>
              <w:rPr>
                <w:sz w:val="1"/>
                <w:szCs w:val="1"/>
                <w:color w:val="auto"/>
              </w:rPr>
            </w:pPr>
          </w:p>
        </w:tc>
      </w:tr>
      <w:tr>
        <w:trPr>
          <w:trHeight w:val="183"/>
        </w:trPr>
        <w:tc>
          <w:tcPr>
            <w:tcW w:w="54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Albany Engineered Composites</w:t>
            </w:r>
          </w:p>
        </w:tc>
        <w:tc>
          <w:tcPr>
            <w:tcW w:w="2060" w:type="dxa"/>
            <w:vAlign w:val="bottom"/>
            <w:tcBorders>
              <w:bottom w:val="single" w:sz="8" w:color="auto"/>
            </w:tcBorders>
          </w:tcPr>
          <w:p>
            <w:pPr>
              <w:jc w:val="right"/>
              <w:ind w:right="522"/>
              <w:spacing w:after="0" w:line="183" w:lineRule="exact"/>
              <w:rPr>
                <w:sz w:val="20"/>
                <w:szCs w:val="20"/>
                <w:color w:val="auto"/>
              </w:rPr>
            </w:pPr>
            <w:r>
              <w:rPr>
                <w:rFonts w:ascii="Arial" w:cs="Arial" w:eastAsia="Arial" w:hAnsi="Arial"/>
                <w:sz w:val="16"/>
                <w:szCs w:val="16"/>
                <w:color w:val="auto"/>
              </w:rPr>
              <w:t>4,165</w:t>
            </w:r>
          </w:p>
        </w:tc>
        <w:tc>
          <w:tcPr>
            <w:tcW w:w="2400" w:type="dxa"/>
            <w:vAlign w:val="bottom"/>
            <w:tcBorders>
              <w:bottom w:val="single" w:sz="8" w:color="auto"/>
            </w:tcBorders>
            <w:gridSpan w:val="2"/>
          </w:tcPr>
          <w:p>
            <w:pPr>
              <w:jc w:val="right"/>
              <w:ind w:right="739"/>
              <w:spacing w:after="0" w:line="183" w:lineRule="exact"/>
              <w:rPr>
                <w:sz w:val="20"/>
                <w:szCs w:val="20"/>
                <w:color w:val="auto"/>
              </w:rPr>
            </w:pPr>
            <w:r>
              <w:rPr>
                <w:rFonts w:ascii="Arial" w:cs="Arial" w:eastAsia="Arial" w:hAnsi="Arial"/>
                <w:sz w:val="16"/>
                <w:szCs w:val="16"/>
                <w:color w:val="auto"/>
              </w:rPr>
              <w:t>90,116</w:t>
            </w:r>
          </w:p>
        </w:tc>
        <w:tc>
          <w:tcPr>
            <w:tcW w:w="1540" w:type="dxa"/>
            <w:vAlign w:val="bottom"/>
            <w:tcBorders>
              <w:bottom w:val="single" w:sz="8" w:color="auto"/>
            </w:tcBorders>
          </w:tcPr>
          <w:p>
            <w:pPr>
              <w:jc w:val="right"/>
              <w:ind w:right="360"/>
              <w:spacing w:after="0" w:line="183" w:lineRule="exact"/>
              <w:rPr>
                <w:sz w:val="20"/>
                <w:szCs w:val="20"/>
                <w:color w:val="auto"/>
              </w:rPr>
            </w:pPr>
            <w:r>
              <w:rPr>
                <w:rFonts w:ascii="Arial" w:cs="Arial" w:eastAsia="Arial" w:hAnsi="Arial"/>
                <w:sz w:val="16"/>
                <w:szCs w:val="16"/>
                <w:color w:val="auto"/>
              </w:rPr>
              <w:t>94,281</w:t>
            </w:r>
          </w:p>
        </w:tc>
        <w:tc>
          <w:tcPr>
            <w:tcW w:w="0" w:type="dxa"/>
            <w:vAlign w:val="bottom"/>
          </w:tcPr>
          <w:p>
            <w:pPr>
              <w:spacing w:after="0"/>
              <w:rPr>
                <w:sz w:val="1"/>
                <w:szCs w:val="1"/>
                <w:color w:val="auto"/>
              </w:rPr>
            </w:pPr>
          </w:p>
        </w:tc>
      </w:tr>
      <w:tr>
        <w:trPr>
          <w:trHeight w:val="156"/>
        </w:trPr>
        <w:tc>
          <w:tcPr>
            <w:tcW w:w="54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4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revenue</w:t>
            </w:r>
          </w:p>
        </w:tc>
        <w:tc>
          <w:tcPr>
            <w:tcW w:w="2060" w:type="dxa"/>
            <w:vAlign w:val="bottom"/>
            <w:tcBorders>
              <w:bottom w:val="single" w:sz="8" w:color="auto"/>
            </w:tcBorders>
          </w:tcPr>
          <w:p>
            <w:pPr>
              <w:jc w:val="right"/>
              <w:ind w:right="522"/>
              <w:spacing w:after="0" w:line="183" w:lineRule="exact"/>
              <w:rPr>
                <w:sz w:val="20"/>
                <w:szCs w:val="20"/>
                <w:color w:val="auto"/>
              </w:rPr>
            </w:pPr>
            <w:r>
              <w:rPr>
                <w:rFonts w:ascii="Arial" w:cs="Arial" w:eastAsia="Arial" w:hAnsi="Arial"/>
                <w:sz w:val="16"/>
                <w:szCs w:val="16"/>
                <w:color w:val="auto"/>
              </w:rPr>
              <w:t>$160,973</w:t>
            </w:r>
          </w:p>
        </w:tc>
        <w:tc>
          <w:tcPr>
            <w:tcW w:w="2400" w:type="dxa"/>
            <w:vAlign w:val="bottom"/>
            <w:tcBorders>
              <w:bottom w:val="single" w:sz="8" w:color="auto"/>
            </w:tcBorders>
            <w:gridSpan w:val="2"/>
          </w:tcPr>
          <w:p>
            <w:pPr>
              <w:jc w:val="right"/>
              <w:ind w:right="739"/>
              <w:spacing w:after="0" w:line="183" w:lineRule="exact"/>
              <w:rPr>
                <w:sz w:val="20"/>
                <w:szCs w:val="20"/>
                <w:color w:val="auto"/>
              </w:rPr>
            </w:pPr>
            <w:r>
              <w:rPr>
                <w:rFonts w:ascii="Arial" w:cs="Arial" w:eastAsia="Arial" w:hAnsi="Arial"/>
                <w:sz w:val="16"/>
                <w:szCs w:val="16"/>
                <w:color w:val="auto"/>
              </w:rPr>
              <w:t>$90,916</w:t>
            </w:r>
          </w:p>
        </w:tc>
        <w:tc>
          <w:tcPr>
            <w:tcW w:w="1540" w:type="dxa"/>
            <w:vAlign w:val="bottom"/>
            <w:tcBorders>
              <w:bottom w:val="single" w:sz="8" w:color="auto"/>
            </w:tcBorders>
          </w:tcPr>
          <w:p>
            <w:pPr>
              <w:jc w:val="right"/>
              <w:ind w:right="360"/>
              <w:spacing w:after="0" w:line="183" w:lineRule="exact"/>
              <w:rPr>
                <w:sz w:val="20"/>
                <w:szCs w:val="20"/>
                <w:color w:val="auto"/>
              </w:rPr>
            </w:pPr>
            <w:r>
              <w:rPr>
                <w:rFonts w:ascii="Arial" w:cs="Arial" w:eastAsia="Arial" w:hAnsi="Arial"/>
                <w:sz w:val="16"/>
                <w:szCs w:val="16"/>
                <w:color w:val="auto"/>
              </w:rPr>
              <w:t>$251,889</w:t>
            </w:r>
          </w:p>
        </w:tc>
        <w:tc>
          <w:tcPr>
            <w:tcW w:w="0" w:type="dxa"/>
            <w:vAlign w:val="bottom"/>
          </w:tcPr>
          <w:p>
            <w:pPr>
              <w:spacing w:after="0"/>
              <w:rPr>
                <w:sz w:val="1"/>
                <w:szCs w:val="1"/>
                <w:color w:val="auto"/>
              </w:rPr>
            </w:pPr>
          </w:p>
        </w:tc>
      </w:tr>
      <w:tr>
        <w:trPr>
          <w:trHeight w:val="156"/>
        </w:trPr>
        <w:tc>
          <w:tcPr>
            <w:tcW w:w="5420" w:type="dxa"/>
            <w:vAlign w:val="bottom"/>
            <w:tcBorders>
              <w:bottom w:val="single" w:sz="8" w:color="auto"/>
            </w:tcBorders>
          </w:tcPr>
          <w:p>
            <w:pPr>
              <w:spacing w:after="0"/>
              <w:rPr>
                <w:sz w:val="13"/>
                <w:szCs w:val="13"/>
                <w:color w:val="auto"/>
              </w:rPr>
            </w:pPr>
          </w:p>
        </w:tc>
        <w:tc>
          <w:tcPr>
            <w:tcW w:w="4460" w:type="dxa"/>
            <w:vAlign w:val="bottom"/>
            <w:tcBorders>
              <w:bottom w:val="single" w:sz="8" w:color="auto"/>
            </w:tcBorders>
            <w:gridSpan w:val="3"/>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446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For the nine months ended September 30, 2018</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2060" w:type="dxa"/>
            <w:vAlign w:val="bottom"/>
          </w:tcPr>
          <w:p>
            <w:pPr>
              <w:jc w:val="center"/>
              <w:ind w:left="82"/>
              <w:spacing w:after="0" w:line="143" w:lineRule="exact"/>
              <w:rPr>
                <w:sz w:val="20"/>
                <w:szCs w:val="20"/>
                <w:color w:val="auto"/>
              </w:rPr>
            </w:pPr>
            <w:r>
              <w:rPr>
                <w:rFonts w:ascii="Arial" w:cs="Arial" w:eastAsia="Arial" w:hAnsi="Arial"/>
                <w:sz w:val="14"/>
                <w:szCs w:val="14"/>
                <w:b w:val="1"/>
                <w:bCs w:val="1"/>
                <w:color w:val="auto"/>
              </w:rPr>
              <w:t>Point in Time Revenue</w:t>
            </w:r>
          </w:p>
        </w:tc>
        <w:tc>
          <w:tcPr>
            <w:tcW w:w="1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tcBorders>
              <w:bottom w:val="single" w:sz="8" w:color="auto"/>
            </w:tcBorders>
          </w:tcPr>
          <w:p>
            <w:pPr>
              <w:jc w:val="center"/>
              <w:ind w:left="102"/>
              <w:spacing w:after="0"/>
              <w:rPr>
                <w:sz w:val="20"/>
                <w:szCs w:val="20"/>
                <w:color w:val="auto"/>
              </w:rPr>
            </w:pPr>
            <w:r>
              <w:rPr>
                <w:rFonts w:ascii="Arial" w:cs="Arial" w:eastAsia="Arial" w:hAnsi="Arial"/>
                <w:sz w:val="14"/>
                <w:szCs w:val="14"/>
                <w:b w:val="1"/>
                <w:bCs w:val="1"/>
                <w:color w:val="auto"/>
              </w:rPr>
              <w:t>Recognition</w:t>
            </w:r>
          </w:p>
        </w:tc>
        <w:tc>
          <w:tcPr>
            <w:tcW w:w="2400" w:type="dxa"/>
            <w:vAlign w:val="bottom"/>
            <w:tcBorders>
              <w:bottom w:val="single" w:sz="8" w:color="auto"/>
            </w:tcBorders>
            <w:gridSpan w:val="2"/>
          </w:tcPr>
          <w:p>
            <w:pPr>
              <w:jc w:val="center"/>
              <w:ind w:left="101"/>
              <w:spacing w:after="0"/>
              <w:rPr>
                <w:sz w:val="20"/>
                <w:szCs w:val="20"/>
                <w:color w:val="auto"/>
              </w:rPr>
            </w:pPr>
            <w:r>
              <w:rPr>
                <w:rFonts w:ascii="Arial" w:cs="Arial" w:eastAsia="Arial" w:hAnsi="Arial"/>
                <w:sz w:val="14"/>
                <w:szCs w:val="14"/>
                <w:b w:val="1"/>
                <w:bCs w:val="1"/>
                <w:color w:val="auto"/>
              </w:rPr>
              <w:t>Over Time Revenue Recognition</w:t>
            </w:r>
          </w:p>
        </w:tc>
        <w:tc>
          <w:tcPr>
            <w:tcW w:w="15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54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Machine Clothing</w:t>
            </w:r>
          </w:p>
        </w:tc>
        <w:tc>
          <w:tcPr>
            <w:tcW w:w="2060" w:type="dxa"/>
            <w:vAlign w:val="bottom"/>
            <w:tcBorders>
              <w:bottom w:val="single" w:sz="8" w:color="auto"/>
            </w:tcBorders>
          </w:tcPr>
          <w:p>
            <w:pPr>
              <w:jc w:val="right"/>
              <w:ind w:right="522"/>
              <w:spacing w:after="0" w:line="183" w:lineRule="exact"/>
              <w:rPr>
                <w:sz w:val="20"/>
                <w:szCs w:val="20"/>
                <w:color w:val="auto"/>
              </w:rPr>
            </w:pPr>
            <w:r>
              <w:rPr>
                <w:rFonts w:ascii="Arial" w:cs="Arial" w:eastAsia="Arial" w:hAnsi="Arial"/>
                <w:sz w:val="16"/>
                <w:szCs w:val="16"/>
                <w:color w:val="auto"/>
              </w:rPr>
              <w:t>$458,765</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699"/>
              <w:spacing w:after="0" w:line="183" w:lineRule="exact"/>
              <w:rPr>
                <w:sz w:val="20"/>
                <w:szCs w:val="20"/>
                <w:color w:val="auto"/>
              </w:rPr>
            </w:pPr>
            <w:r>
              <w:rPr>
                <w:rFonts w:ascii="Arial" w:cs="Arial" w:eastAsia="Arial" w:hAnsi="Arial"/>
                <w:sz w:val="16"/>
                <w:szCs w:val="16"/>
                <w:color w:val="auto"/>
              </w:rPr>
              <w:t>2,400</w:t>
            </w:r>
          </w:p>
        </w:tc>
        <w:tc>
          <w:tcPr>
            <w:tcW w:w="1540" w:type="dxa"/>
            <w:vAlign w:val="bottom"/>
            <w:tcBorders>
              <w:bottom w:val="single" w:sz="8" w:color="auto"/>
            </w:tcBorders>
          </w:tcPr>
          <w:p>
            <w:pPr>
              <w:jc w:val="right"/>
              <w:ind w:right="360"/>
              <w:spacing w:after="0" w:line="183" w:lineRule="exact"/>
              <w:rPr>
                <w:sz w:val="20"/>
                <w:szCs w:val="20"/>
                <w:color w:val="auto"/>
              </w:rPr>
            </w:pPr>
            <w:r>
              <w:rPr>
                <w:rFonts w:ascii="Arial" w:cs="Arial" w:eastAsia="Arial" w:hAnsi="Arial"/>
                <w:sz w:val="16"/>
                <w:szCs w:val="16"/>
                <w:color w:val="auto"/>
              </w:rPr>
              <w:t>$461,165</w:t>
            </w:r>
          </w:p>
        </w:tc>
        <w:tc>
          <w:tcPr>
            <w:tcW w:w="0" w:type="dxa"/>
            <w:vAlign w:val="bottom"/>
          </w:tcPr>
          <w:p>
            <w:pPr>
              <w:spacing w:after="0"/>
              <w:rPr>
                <w:sz w:val="1"/>
                <w:szCs w:val="1"/>
                <w:color w:val="auto"/>
              </w:rPr>
            </w:pPr>
          </w:p>
        </w:tc>
      </w:tr>
      <w:tr>
        <w:trPr>
          <w:trHeight w:val="347"/>
        </w:trPr>
        <w:tc>
          <w:tcPr>
            <w:tcW w:w="5420" w:type="dxa"/>
            <w:vAlign w:val="bottom"/>
          </w:tcPr>
          <w:p>
            <w:pPr>
              <w:spacing w:after="0"/>
              <w:rPr>
                <w:sz w:val="20"/>
                <w:szCs w:val="20"/>
                <w:color w:val="auto"/>
              </w:rPr>
            </w:pPr>
            <w:r>
              <w:rPr>
                <w:rFonts w:ascii="Arial" w:cs="Arial" w:eastAsia="Arial" w:hAnsi="Arial"/>
                <w:sz w:val="16"/>
                <w:szCs w:val="16"/>
                <w:color w:val="auto"/>
              </w:rPr>
              <w:t>Albany Engineered Composites</w:t>
            </w:r>
          </w:p>
        </w:tc>
        <w:tc>
          <w:tcPr>
            <w:tcW w:w="2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420" w:type="dxa"/>
            <w:vAlign w:val="bottom"/>
          </w:tcPr>
          <w:p>
            <w:pPr>
              <w:spacing w:after="0"/>
              <w:rPr>
                <w:sz w:val="20"/>
                <w:szCs w:val="20"/>
                <w:color w:val="auto"/>
              </w:rPr>
            </w:pPr>
            <w:r>
              <w:rPr>
                <w:rFonts w:ascii="Arial" w:cs="Arial" w:eastAsia="Arial" w:hAnsi="Arial"/>
                <w:sz w:val="16"/>
                <w:szCs w:val="16"/>
                <w:color w:val="auto"/>
              </w:rPr>
              <w:t>ASC</w:t>
            </w:r>
          </w:p>
        </w:tc>
        <w:tc>
          <w:tcPr>
            <w:tcW w:w="2060" w:type="dxa"/>
            <w:vAlign w:val="bottom"/>
          </w:tcPr>
          <w:p>
            <w:pPr>
              <w:jc w:val="right"/>
              <w:ind w:right="522"/>
              <w:spacing w:after="0"/>
              <w:rPr>
                <w:sz w:val="20"/>
                <w:szCs w:val="20"/>
                <w:color w:val="auto"/>
              </w:rPr>
            </w:pPr>
            <w:r>
              <w:rPr>
                <w:rFonts w:ascii="Arial" w:cs="Arial" w:eastAsia="Arial" w:hAnsi="Arial"/>
                <w:sz w:val="16"/>
                <w:szCs w:val="16"/>
                <w:color w:val="auto"/>
              </w:rPr>
              <w:t>—</w:t>
            </w:r>
          </w:p>
        </w:tc>
        <w:tc>
          <w:tcPr>
            <w:tcW w:w="2400" w:type="dxa"/>
            <w:vAlign w:val="bottom"/>
            <w:gridSpan w:val="2"/>
          </w:tcPr>
          <w:p>
            <w:pPr>
              <w:jc w:val="right"/>
              <w:ind w:right="699"/>
              <w:spacing w:after="0"/>
              <w:rPr>
                <w:sz w:val="20"/>
                <w:szCs w:val="20"/>
                <w:color w:val="auto"/>
              </w:rPr>
            </w:pPr>
            <w:r>
              <w:rPr>
                <w:rFonts w:ascii="Arial" w:cs="Arial" w:eastAsia="Arial" w:hAnsi="Arial"/>
                <w:sz w:val="16"/>
                <w:szCs w:val="16"/>
                <w:color w:val="auto"/>
              </w:rPr>
              <w:t>134,972</w:t>
            </w:r>
          </w:p>
        </w:tc>
        <w:tc>
          <w:tcPr>
            <w:tcW w:w="1540" w:type="dxa"/>
            <w:vAlign w:val="bottom"/>
          </w:tcPr>
          <w:p>
            <w:pPr>
              <w:jc w:val="right"/>
              <w:ind w:right="360"/>
              <w:spacing w:after="0"/>
              <w:rPr>
                <w:sz w:val="20"/>
                <w:szCs w:val="20"/>
                <w:color w:val="auto"/>
              </w:rPr>
            </w:pPr>
            <w:r>
              <w:rPr>
                <w:rFonts w:ascii="Arial" w:cs="Arial" w:eastAsia="Arial" w:hAnsi="Arial"/>
                <w:sz w:val="16"/>
                <w:szCs w:val="16"/>
                <w:color w:val="auto"/>
              </w:rPr>
              <w:t>134,972</w:t>
            </w:r>
          </w:p>
        </w:tc>
        <w:tc>
          <w:tcPr>
            <w:tcW w:w="0" w:type="dxa"/>
            <w:vAlign w:val="bottom"/>
          </w:tcPr>
          <w:p>
            <w:pPr>
              <w:spacing w:after="0"/>
              <w:rPr>
                <w:sz w:val="1"/>
                <w:szCs w:val="1"/>
                <w:color w:val="auto"/>
              </w:rPr>
            </w:pPr>
          </w:p>
        </w:tc>
      </w:tr>
      <w:tr>
        <w:trPr>
          <w:trHeight w:val="187"/>
        </w:trPr>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AEC</w:t>
            </w:r>
          </w:p>
        </w:tc>
        <w:tc>
          <w:tcPr>
            <w:tcW w:w="206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color w:val="auto"/>
              </w:rPr>
              <w:t>15,909</w:t>
            </w:r>
          </w:p>
        </w:tc>
        <w:tc>
          <w:tcPr>
            <w:tcW w:w="240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6"/>
                <w:szCs w:val="16"/>
                <w:color w:val="auto"/>
              </w:rPr>
              <w:t>118,820</w:t>
            </w:r>
          </w:p>
        </w:tc>
        <w:tc>
          <w:tcPr>
            <w:tcW w:w="15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134,729</w:t>
            </w:r>
          </w:p>
        </w:tc>
        <w:tc>
          <w:tcPr>
            <w:tcW w:w="0" w:type="dxa"/>
            <w:vAlign w:val="bottom"/>
          </w:tcPr>
          <w:p>
            <w:pPr>
              <w:spacing w:after="0"/>
              <w:rPr>
                <w:sz w:val="1"/>
                <w:szCs w:val="1"/>
                <w:color w:val="auto"/>
              </w:rPr>
            </w:pPr>
          </w:p>
        </w:tc>
      </w:tr>
      <w:tr>
        <w:trPr>
          <w:trHeight w:val="183"/>
        </w:trPr>
        <w:tc>
          <w:tcPr>
            <w:tcW w:w="54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Albany Engineered Composites</w:t>
            </w:r>
          </w:p>
        </w:tc>
        <w:tc>
          <w:tcPr>
            <w:tcW w:w="2060" w:type="dxa"/>
            <w:vAlign w:val="bottom"/>
            <w:tcBorders>
              <w:bottom w:val="single" w:sz="8" w:color="auto"/>
            </w:tcBorders>
          </w:tcPr>
          <w:p>
            <w:pPr>
              <w:jc w:val="right"/>
              <w:ind w:right="522"/>
              <w:spacing w:after="0" w:line="183" w:lineRule="exact"/>
              <w:rPr>
                <w:sz w:val="20"/>
                <w:szCs w:val="20"/>
                <w:color w:val="auto"/>
              </w:rPr>
            </w:pPr>
            <w:r>
              <w:rPr>
                <w:rFonts w:ascii="Arial" w:cs="Arial" w:eastAsia="Arial" w:hAnsi="Arial"/>
                <w:sz w:val="16"/>
                <w:szCs w:val="16"/>
                <w:color w:val="auto"/>
              </w:rPr>
              <w:t>15,909</w:t>
            </w:r>
          </w:p>
        </w:tc>
        <w:tc>
          <w:tcPr>
            <w:tcW w:w="2400" w:type="dxa"/>
            <w:vAlign w:val="bottom"/>
            <w:tcBorders>
              <w:bottom w:val="single" w:sz="8" w:color="auto"/>
            </w:tcBorders>
            <w:gridSpan w:val="2"/>
          </w:tcPr>
          <w:p>
            <w:pPr>
              <w:jc w:val="right"/>
              <w:ind w:right="699"/>
              <w:spacing w:after="0" w:line="183" w:lineRule="exact"/>
              <w:rPr>
                <w:sz w:val="20"/>
                <w:szCs w:val="20"/>
                <w:color w:val="auto"/>
              </w:rPr>
            </w:pPr>
            <w:r>
              <w:rPr>
                <w:rFonts w:ascii="Arial" w:cs="Arial" w:eastAsia="Arial" w:hAnsi="Arial"/>
                <w:sz w:val="16"/>
                <w:szCs w:val="16"/>
                <w:color w:val="auto"/>
              </w:rPr>
              <w:t>253,792</w:t>
            </w:r>
          </w:p>
        </w:tc>
        <w:tc>
          <w:tcPr>
            <w:tcW w:w="1540" w:type="dxa"/>
            <w:vAlign w:val="bottom"/>
            <w:tcBorders>
              <w:bottom w:val="single" w:sz="8" w:color="auto"/>
            </w:tcBorders>
          </w:tcPr>
          <w:p>
            <w:pPr>
              <w:jc w:val="right"/>
              <w:ind w:right="360"/>
              <w:spacing w:after="0" w:line="183" w:lineRule="exact"/>
              <w:rPr>
                <w:sz w:val="20"/>
                <w:szCs w:val="20"/>
                <w:color w:val="auto"/>
              </w:rPr>
            </w:pPr>
            <w:r>
              <w:rPr>
                <w:rFonts w:ascii="Arial" w:cs="Arial" w:eastAsia="Arial" w:hAnsi="Arial"/>
                <w:sz w:val="16"/>
                <w:szCs w:val="16"/>
                <w:color w:val="auto"/>
              </w:rPr>
              <w:t>269,701</w:t>
            </w:r>
          </w:p>
        </w:tc>
        <w:tc>
          <w:tcPr>
            <w:tcW w:w="0" w:type="dxa"/>
            <w:vAlign w:val="bottom"/>
          </w:tcPr>
          <w:p>
            <w:pPr>
              <w:spacing w:after="0"/>
              <w:rPr>
                <w:sz w:val="1"/>
                <w:szCs w:val="1"/>
                <w:color w:val="auto"/>
              </w:rPr>
            </w:pPr>
          </w:p>
        </w:tc>
      </w:tr>
      <w:tr>
        <w:trPr>
          <w:trHeight w:val="156"/>
        </w:trPr>
        <w:tc>
          <w:tcPr>
            <w:tcW w:w="54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4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revenue</w:t>
            </w:r>
          </w:p>
        </w:tc>
        <w:tc>
          <w:tcPr>
            <w:tcW w:w="2060" w:type="dxa"/>
            <w:vAlign w:val="bottom"/>
            <w:tcBorders>
              <w:bottom w:val="single" w:sz="8" w:color="auto"/>
            </w:tcBorders>
          </w:tcPr>
          <w:p>
            <w:pPr>
              <w:jc w:val="right"/>
              <w:ind w:right="522"/>
              <w:spacing w:after="0" w:line="183" w:lineRule="exact"/>
              <w:rPr>
                <w:sz w:val="20"/>
                <w:szCs w:val="20"/>
                <w:color w:val="auto"/>
              </w:rPr>
            </w:pPr>
            <w:r>
              <w:rPr>
                <w:rFonts w:ascii="Arial" w:cs="Arial" w:eastAsia="Arial" w:hAnsi="Arial"/>
                <w:sz w:val="16"/>
                <w:szCs w:val="16"/>
                <w:color w:val="auto"/>
              </w:rPr>
              <w:t>$474,674</w:t>
            </w:r>
          </w:p>
        </w:tc>
        <w:tc>
          <w:tcPr>
            <w:tcW w:w="2400" w:type="dxa"/>
            <w:vAlign w:val="bottom"/>
            <w:tcBorders>
              <w:bottom w:val="single" w:sz="8" w:color="auto"/>
            </w:tcBorders>
            <w:gridSpan w:val="2"/>
          </w:tcPr>
          <w:p>
            <w:pPr>
              <w:jc w:val="right"/>
              <w:ind w:right="699"/>
              <w:spacing w:after="0" w:line="183" w:lineRule="exact"/>
              <w:rPr>
                <w:sz w:val="20"/>
                <w:szCs w:val="20"/>
                <w:color w:val="auto"/>
              </w:rPr>
            </w:pPr>
            <w:r>
              <w:rPr>
                <w:rFonts w:ascii="Arial" w:cs="Arial" w:eastAsia="Arial" w:hAnsi="Arial"/>
                <w:sz w:val="16"/>
                <w:szCs w:val="16"/>
                <w:color w:val="auto"/>
              </w:rPr>
              <w:t>$256,192</w:t>
            </w:r>
          </w:p>
        </w:tc>
        <w:tc>
          <w:tcPr>
            <w:tcW w:w="1540" w:type="dxa"/>
            <w:vAlign w:val="bottom"/>
            <w:tcBorders>
              <w:bottom w:val="single" w:sz="8" w:color="auto"/>
            </w:tcBorders>
          </w:tcPr>
          <w:p>
            <w:pPr>
              <w:jc w:val="right"/>
              <w:ind w:right="360"/>
              <w:spacing w:after="0" w:line="183" w:lineRule="exact"/>
              <w:rPr>
                <w:sz w:val="20"/>
                <w:szCs w:val="20"/>
                <w:color w:val="auto"/>
              </w:rPr>
            </w:pPr>
            <w:r>
              <w:rPr>
                <w:rFonts w:ascii="Arial" w:cs="Arial" w:eastAsia="Arial" w:hAnsi="Arial"/>
                <w:sz w:val="16"/>
                <w:szCs w:val="16"/>
                <w:color w:val="auto"/>
              </w:rPr>
              <w:t>$730,866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following table disaggregates MC segment revenue by significant product groupings (paper machine clothing (PMC) and engineered fabrics), and, for PMC, the geographical region to which the paper machine clothing was sold:</w:t>
      </w:r>
    </w:p>
    <w:p>
      <w:pPr>
        <w:spacing w:after="0" w:line="124"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4720" w:type="dxa"/>
            <w:vAlign w:val="bottom"/>
            <w:tcBorders>
              <w:top w:val="single" w:sz="8" w:color="auto"/>
            </w:tcBorders>
          </w:tcPr>
          <w:p>
            <w:pPr>
              <w:spacing w:after="0"/>
              <w:rPr>
                <w:sz w:val="14"/>
                <w:szCs w:val="14"/>
                <w:color w:val="auto"/>
              </w:rPr>
            </w:pPr>
          </w:p>
        </w:tc>
        <w:tc>
          <w:tcPr>
            <w:tcW w:w="2420" w:type="dxa"/>
            <w:vAlign w:val="bottom"/>
            <w:tcBorders>
              <w:top w:val="single" w:sz="8" w:color="auto"/>
            </w:tcBorders>
            <w:gridSpan w:val="2"/>
          </w:tcPr>
          <w:p>
            <w:pPr>
              <w:jc w:val="right"/>
              <w:ind w:right="161"/>
              <w:spacing w:after="0"/>
              <w:rPr>
                <w:sz w:val="20"/>
                <w:szCs w:val="20"/>
                <w:color w:val="auto"/>
              </w:rPr>
            </w:pPr>
            <w:r>
              <w:rPr>
                <w:rFonts w:ascii="Arial" w:cs="Arial" w:eastAsia="Arial" w:hAnsi="Arial"/>
                <w:sz w:val="14"/>
                <w:szCs w:val="14"/>
                <w:b w:val="1"/>
                <w:bCs w:val="1"/>
                <w:color w:val="auto"/>
              </w:rPr>
              <w:t>For the three months ended</w:t>
            </w:r>
          </w:p>
        </w:tc>
        <w:tc>
          <w:tcPr>
            <w:tcW w:w="2280" w:type="dxa"/>
            <w:vAlign w:val="bottom"/>
            <w:tcBorders>
              <w:top w:val="single" w:sz="8" w:color="auto"/>
            </w:tcBorders>
            <w:gridSpan w:val="2"/>
          </w:tcPr>
          <w:p>
            <w:pPr>
              <w:jc w:val="right"/>
              <w:ind w:right="121"/>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5"/>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20" w:type="dxa"/>
            <w:vAlign w:val="bottom"/>
            <w:tcBorders>
              <w:bottom w:val="single" w:sz="8" w:color="auto"/>
            </w:tcBorders>
            <w:gridSpan w:val="2"/>
          </w:tcPr>
          <w:p>
            <w:pPr>
              <w:jc w:val="right"/>
              <w:ind w:right="621"/>
              <w:spacing w:after="0"/>
              <w:rPr>
                <w:sz w:val="20"/>
                <w:szCs w:val="20"/>
                <w:color w:val="auto"/>
              </w:rPr>
            </w:pPr>
            <w:r>
              <w:rPr>
                <w:rFonts w:ascii="Arial" w:cs="Arial" w:eastAsia="Arial" w:hAnsi="Arial"/>
                <w:sz w:val="14"/>
                <w:szCs w:val="14"/>
                <w:b w:val="1"/>
                <w:bCs w:val="1"/>
                <w:color w:val="auto"/>
              </w:rPr>
              <w:t>September 30,</w:t>
            </w:r>
          </w:p>
        </w:tc>
        <w:tc>
          <w:tcPr>
            <w:tcW w:w="2280" w:type="dxa"/>
            <w:vAlign w:val="bottom"/>
            <w:tcBorders>
              <w:bottom w:val="single" w:sz="8" w:color="auto"/>
            </w:tcBorders>
            <w:gridSpan w:val="2"/>
          </w:tcPr>
          <w:p>
            <w:pPr>
              <w:jc w:val="right"/>
              <w:ind w:right="56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4720" w:type="dxa"/>
            <w:vAlign w:val="bottom"/>
            <w:tcBorders>
              <w:bottom w:val="single" w:sz="8" w:color="auto"/>
            </w:tcBorders>
            <w:vMerge w:val="continue"/>
          </w:tcPr>
          <w:p>
            <w:pPr>
              <w:spacing w:after="0"/>
              <w:rPr>
                <w:sz w:val="13"/>
                <w:szCs w:val="13"/>
                <w:color w:val="auto"/>
              </w:rPr>
            </w:pPr>
          </w:p>
        </w:tc>
        <w:tc>
          <w:tcPr>
            <w:tcW w:w="1220" w:type="dxa"/>
            <w:vAlign w:val="bottom"/>
            <w:tcBorders>
              <w:bottom w:val="single" w:sz="8" w:color="auto"/>
            </w:tcBorders>
          </w:tcPr>
          <w:p>
            <w:pPr>
              <w:jc w:val="right"/>
              <w:ind w:right="363"/>
              <w:spacing w:after="0" w:line="155" w:lineRule="exact"/>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jc w:val="right"/>
              <w:ind w:right="341"/>
              <w:spacing w:after="0" w:line="155" w:lineRule="exact"/>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jc w:val="right"/>
              <w:ind w:right="323"/>
              <w:spacing w:after="0" w:line="155" w:lineRule="exact"/>
              <w:rPr>
                <w:sz w:val="20"/>
                <w:szCs w:val="20"/>
                <w:color w:val="auto"/>
              </w:rPr>
            </w:pPr>
            <w:r>
              <w:rPr>
                <w:rFonts w:ascii="Arial" w:cs="Arial" w:eastAsia="Arial" w:hAnsi="Arial"/>
                <w:sz w:val="14"/>
                <w:szCs w:val="14"/>
                <w:b w:val="1"/>
                <w:bCs w:val="1"/>
                <w:color w:val="auto"/>
              </w:rPr>
              <w:t>2019</w:t>
            </w:r>
          </w:p>
        </w:tc>
        <w:tc>
          <w:tcPr>
            <w:tcW w:w="1080" w:type="dxa"/>
            <w:vAlign w:val="bottom"/>
            <w:tcBorders>
              <w:bottom w:val="single" w:sz="8" w:color="auto"/>
            </w:tcBorders>
          </w:tcPr>
          <w:p>
            <w:pPr>
              <w:jc w:val="right"/>
              <w:ind w:right="28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4"/>
        </w:trPr>
        <w:tc>
          <w:tcPr>
            <w:tcW w:w="4720" w:type="dxa"/>
            <w:vAlign w:val="bottom"/>
          </w:tcPr>
          <w:p>
            <w:pPr>
              <w:spacing w:after="0" w:line="165" w:lineRule="exact"/>
              <w:rPr>
                <w:sz w:val="20"/>
                <w:szCs w:val="20"/>
                <w:color w:val="auto"/>
              </w:rPr>
            </w:pPr>
            <w:r>
              <w:rPr>
                <w:rFonts w:ascii="Arial" w:cs="Arial" w:eastAsia="Arial" w:hAnsi="Arial"/>
                <w:sz w:val="16"/>
                <w:szCs w:val="16"/>
                <w:color w:val="auto"/>
              </w:rPr>
              <w:t>Americas PMC</w:t>
            </w:r>
          </w:p>
        </w:tc>
        <w:tc>
          <w:tcPr>
            <w:tcW w:w="1220" w:type="dxa"/>
            <w:vAlign w:val="bottom"/>
          </w:tcPr>
          <w:p>
            <w:pPr>
              <w:jc w:val="right"/>
              <w:ind w:right="203"/>
              <w:spacing w:after="0" w:line="165" w:lineRule="exact"/>
              <w:rPr>
                <w:sz w:val="20"/>
                <w:szCs w:val="20"/>
                <w:color w:val="auto"/>
              </w:rPr>
            </w:pPr>
            <w:r>
              <w:rPr>
                <w:rFonts w:ascii="Arial" w:cs="Arial" w:eastAsia="Arial" w:hAnsi="Arial"/>
                <w:sz w:val="16"/>
                <w:szCs w:val="16"/>
                <w:b w:val="1"/>
                <w:bCs w:val="1"/>
                <w:color w:val="auto"/>
              </w:rPr>
              <w:t>$ 82,763</w:t>
            </w:r>
          </w:p>
        </w:tc>
        <w:tc>
          <w:tcPr>
            <w:tcW w:w="1200" w:type="dxa"/>
            <w:vAlign w:val="bottom"/>
          </w:tcPr>
          <w:p>
            <w:pPr>
              <w:jc w:val="right"/>
              <w:ind w:right="161"/>
              <w:spacing w:after="0" w:line="165" w:lineRule="exact"/>
              <w:rPr>
                <w:sz w:val="20"/>
                <w:szCs w:val="20"/>
                <w:color w:val="auto"/>
              </w:rPr>
            </w:pPr>
            <w:r>
              <w:rPr>
                <w:rFonts w:ascii="Arial" w:cs="Arial" w:eastAsia="Arial" w:hAnsi="Arial"/>
                <w:sz w:val="16"/>
                <w:szCs w:val="16"/>
                <w:color w:val="auto"/>
              </w:rPr>
              <w:t>$ 79,246</w:t>
            </w:r>
          </w:p>
        </w:tc>
        <w:tc>
          <w:tcPr>
            <w:tcW w:w="1200" w:type="dxa"/>
            <w:vAlign w:val="bottom"/>
          </w:tcPr>
          <w:p>
            <w:pPr>
              <w:jc w:val="right"/>
              <w:ind w:right="143"/>
              <w:spacing w:after="0" w:line="165" w:lineRule="exact"/>
              <w:rPr>
                <w:sz w:val="20"/>
                <w:szCs w:val="20"/>
                <w:color w:val="auto"/>
              </w:rPr>
            </w:pPr>
            <w:r>
              <w:rPr>
                <w:rFonts w:ascii="Arial" w:cs="Arial" w:eastAsia="Arial" w:hAnsi="Arial"/>
                <w:sz w:val="16"/>
                <w:szCs w:val="16"/>
                <w:b w:val="1"/>
                <w:bCs w:val="1"/>
                <w:color w:val="auto"/>
              </w:rPr>
              <w:t>$239,686</w:t>
            </w:r>
          </w:p>
        </w:tc>
        <w:tc>
          <w:tcPr>
            <w:tcW w:w="1080" w:type="dxa"/>
            <w:vAlign w:val="bottom"/>
          </w:tcPr>
          <w:p>
            <w:pPr>
              <w:jc w:val="right"/>
              <w:ind w:right="101"/>
              <w:spacing w:after="0" w:line="165" w:lineRule="exact"/>
              <w:rPr>
                <w:sz w:val="20"/>
                <w:szCs w:val="20"/>
                <w:color w:val="auto"/>
              </w:rPr>
            </w:pPr>
            <w:r>
              <w:rPr>
                <w:rFonts w:ascii="Arial" w:cs="Arial" w:eastAsia="Arial" w:hAnsi="Arial"/>
                <w:sz w:val="16"/>
                <w:szCs w:val="16"/>
                <w:color w:val="auto"/>
              </w:rPr>
              <w:t>$229,072</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20"/>
                <w:szCs w:val="20"/>
                <w:color w:val="auto"/>
              </w:rPr>
            </w:pPr>
            <w:r>
              <w:rPr>
                <w:rFonts w:ascii="Arial" w:cs="Arial" w:eastAsia="Arial" w:hAnsi="Arial"/>
                <w:sz w:val="16"/>
                <w:szCs w:val="16"/>
                <w:color w:val="auto"/>
              </w:rPr>
              <w:t>Eurasia PMC</w:t>
            </w:r>
          </w:p>
        </w:tc>
        <w:tc>
          <w:tcPr>
            <w:tcW w:w="1220" w:type="dxa"/>
            <w:vAlign w:val="bottom"/>
          </w:tcPr>
          <w:p>
            <w:pPr>
              <w:jc w:val="right"/>
              <w:ind w:right="183"/>
              <w:spacing w:after="0"/>
              <w:rPr>
                <w:sz w:val="20"/>
                <w:szCs w:val="20"/>
                <w:color w:val="auto"/>
              </w:rPr>
            </w:pPr>
            <w:r>
              <w:rPr>
                <w:rFonts w:ascii="Arial" w:cs="Arial" w:eastAsia="Arial" w:hAnsi="Arial"/>
                <w:sz w:val="16"/>
                <w:szCs w:val="16"/>
                <w:b w:val="1"/>
                <w:bCs w:val="1"/>
                <w:color w:val="auto"/>
              </w:rPr>
              <w:t>50,330</w:t>
            </w:r>
          </w:p>
        </w:tc>
        <w:tc>
          <w:tcPr>
            <w:tcW w:w="1200" w:type="dxa"/>
            <w:vAlign w:val="bottom"/>
          </w:tcPr>
          <w:p>
            <w:pPr>
              <w:jc w:val="right"/>
              <w:ind w:right="161"/>
              <w:spacing w:after="0"/>
              <w:rPr>
                <w:sz w:val="20"/>
                <w:szCs w:val="20"/>
                <w:color w:val="auto"/>
              </w:rPr>
            </w:pPr>
            <w:r>
              <w:rPr>
                <w:rFonts w:ascii="Arial" w:cs="Arial" w:eastAsia="Arial" w:hAnsi="Arial"/>
                <w:sz w:val="16"/>
                <w:szCs w:val="16"/>
                <w:color w:val="auto"/>
              </w:rPr>
              <w:t>59,321</w:t>
            </w:r>
          </w:p>
        </w:tc>
        <w:tc>
          <w:tcPr>
            <w:tcW w:w="1200" w:type="dxa"/>
            <w:vAlign w:val="bottom"/>
          </w:tcPr>
          <w:p>
            <w:pPr>
              <w:jc w:val="right"/>
              <w:ind w:right="163"/>
              <w:spacing w:after="0"/>
              <w:rPr>
                <w:sz w:val="20"/>
                <w:szCs w:val="20"/>
                <w:color w:val="auto"/>
              </w:rPr>
            </w:pPr>
            <w:r>
              <w:rPr>
                <w:rFonts w:ascii="Arial" w:cs="Arial" w:eastAsia="Arial" w:hAnsi="Arial"/>
                <w:sz w:val="16"/>
                <w:szCs w:val="16"/>
                <w:b w:val="1"/>
                <w:bCs w:val="1"/>
                <w:color w:val="auto"/>
              </w:rPr>
              <w:t>155,849</w:t>
            </w:r>
          </w:p>
        </w:tc>
        <w:tc>
          <w:tcPr>
            <w:tcW w:w="1080" w:type="dxa"/>
            <w:vAlign w:val="bottom"/>
          </w:tcPr>
          <w:p>
            <w:pPr>
              <w:jc w:val="right"/>
              <w:ind w:right="101"/>
              <w:spacing w:after="0"/>
              <w:rPr>
                <w:sz w:val="20"/>
                <w:szCs w:val="20"/>
                <w:color w:val="auto"/>
              </w:rPr>
            </w:pPr>
            <w:r>
              <w:rPr>
                <w:rFonts w:ascii="Arial" w:cs="Arial" w:eastAsia="Arial" w:hAnsi="Arial"/>
                <w:sz w:val="16"/>
                <w:szCs w:val="16"/>
                <w:color w:val="auto"/>
              </w:rPr>
              <w:t>172,675</w:t>
            </w:r>
          </w:p>
        </w:tc>
        <w:tc>
          <w:tcPr>
            <w:tcW w:w="0" w:type="dxa"/>
            <w:vAlign w:val="bottom"/>
          </w:tcPr>
          <w:p>
            <w:pPr>
              <w:spacing w:after="0"/>
              <w:rPr>
                <w:sz w:val="1"/>
                <w:szCs w:val="1"/>
                <w:color w:val="auto"/>
              </w:rPr>
            </w:pPr>
          </w:p>
        </w:tc>
      </w:tr>
      <w:tr>
        <w:trPr>
          <w:trHeight w:val="207"/>
        </w:trPr>
        <w:tc>
          <w:tcPr>
            <w:tcW w:w="4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Engineered Fabrics</w:t>
            </w:r>
          </w:p>
        </w:tc>
        <w:tc>
          <w:tcPr>
            <w:tcW w:w="122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b w:val="1"/>
                <w:bCs w:val="1"/>
                <w:color w:val="auto"/>
              </w:rPr>
              <w:t>18,231</w:t>
            </w:r>
          </w:p>
        </w:tc>
        <w:tc>
          <w:tcPr>
            <w:tcW w:w="12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19,041</w:t>
            </w:r>
          </w:p>
        </w:tc>
        <w:tc>
          <w:tcPr>
            <w:tcW w:w="120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b w:val="1"/>
                <w:bCs w:val="1"/>
                <w:color w:val="auto"/>
              </w:rPr>
              <w:t>55,138</w:t>
            </w:r>
          </w:p>
        </w:tc>
        <w:tc>
          <w:tcPr>
            <w:tcW w:w="10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59,418</w:t>
            </w:r>
          </w:p>
        </w:tc>
        <w:tc>
          <w:tcPr>
            <w:tcW w:w="0" w:type="dxa"/>
            <w:vAlign w:val="bottom"/>
          </w:tcPr>
          <w:p>
            <w:pPr>
              <w:spacing w:after="0"/>
              <w:rPr>
                <w:sz w:val="1"/>
                <w:szCs w:val="1"/>
                <w:color w:val="auto"/>
              </w:rPr>
            </w:pPr>
          </w:p>
        </w:tc>
      </w:tr>
      <w:tr>
        <w:trPr>
          <w:trHeight w:val="183"/>
        </w:trPr>
        <w:tc>
          <w:tcPr>
            <w:tcW w:w="47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Machine Clothing Net sales</w:t>
            </w:r>
          </w:p>
        </w:tc>
        <w:tc>
          <w:tcPr>
            <w:tcW w:w="1220" w:type="dxa"/>
            <w:vAlign w:val="bottom"/>
            <w:tcBorders>
              <w:bottom w:val="single" w:sz="8" w:color="auto"/>
            </w:tcBorders>
          </w:tcPr>
          <w:p>
            <w:pPr>
              <w:jc w:val="right"/>
              <w:ind w:right="183"/>
              <w:spacing w:after="0" w:line="183" w:lineRule="exact"/>
              <w:rPr>
                <w:sz w:val="20"/>
                <w:szCs w:val="20"/>
                <w:color w:val="auto"/>
              </w:rPr>
            </w:pPr>
            <w:r>
              <w:rPr>
                <w:rFonts w:ascii="Arial" w:cs="Arial" w:eastAsia="Arial" w:hAnsi="Arial"/>
                <w:sz w:val="16"/>
                <w:szCs w:val="16"/>
                <w:b w:val="1"/>
                <w:bCs w:val="1"/>
                <w:color w:val="auto"/>
              </w:rPr>
              <w:t>$151,324</w:t>
            </w:r>
          </w:p>
        </w:tc>
        <w:tc>
          <w:tcPr>
            <w:tcW w:w="1200" w:type="dxa"/>
            <w:vAlign w:val="bottom"/>
            <w:tcBorders>
              <w:bottom w:val="single" w:sz="8" w:color="auto"/>
            </w:tcBorders>
          </w:tcPr>
          <w:p>
            <w:pPr>
              <w:jc w:val="right"/>
              <w:ind w:right="161"/>
              <w:spacing w:after="0" w:line="183" w:lineRule="exact"/>
              <w:rPr>
                <w:sz w:val="20"/>
                <w:szCs w:val="20"/>
                <w:color w:val="auto"/>
              </w:rPr>
            </w:pPr>
            <w:r>
              <w:rPr>
                <w:rFonts w:ascii="Arial" w:cs="Arial" w:eastAsia="Arial" w:hAnsi="Arial"/>
                <w:sz w:val="16"/>
                <w:szCs w:val="16"/>
                <w:color w:val="auto"/>
              </w:rPr>
              <w:t>$157,608</w:t>
            </w:r>
          </w:p>
        </w:tc>
        <w:tc>
          <w:tcPr>
            <w:tcW w:w="1200" w:type="dxa"/>
            <w:vAlign w:val="bottom"/>
            <w:tcBorders>
              <w:bottom w:val="single" w:sz="8" w:color="auto"/>
            </w:tcBorders>
          </w:tcPr>
          <w:p>
            <w:pPr>
              <w:jc w:val="right"/>
              <w:ind w:right="143"/>
              <w:spacing w:after="0" w:line="183" w:lineRule="exact"/>
              <w:rPr>
                <w:sz w:val="20"/>
                <w:szCs w:val="20"/>
                <w:color w:val="auto"/>
              </w:rPr>
            </w:pPr>
            <w:r>
              <w:rPr>
                <w:rFonts w:ascii="Arial" w:cs="Arial" w:eastAsia="Arial" w:hAnsi="Arial"/>
                <w:sz w:val="16"/>
                <w:szCs w:val="16"/>
                <w:b w:val="1"/>
                <w:bCs w:val="1"/>
                <w:color w:val="auto"/>
              </w:rPr>
              <w:t>$450,673</w:t>
            </w:r>
          </w:p>
        </w:tc>
        <w:tc>
          <w:tcPr>
            <w:tcW w:w="1080" w:type="dxa"/>
            <w:vAlign w:val="bottom"/>
            <w:tcBorders>
              <w:bottom w:val="single" w:sz="8" w:color="auto"/>
            </w:tcBorders>
          </w:tcPr>
          <w:p>
            <w:pPr>
              <w:jc w:val="right"/>
              <w:ind w:right="101"/>
              <w:spacing w:after="0" w:line="183" w:lineRule="exact"/>
              <w:rPr>
                <w:sz w:val="20"/>
                <w:szCs w:val="20"/>
                <w:color w:val="auto"/>
              </w:rPr>
            </w:pPr>
            <w:r>
              <w:rPr>
                <w:rFonts w:ascii="Arial" w:cs="Arial" w:eastAsia="Arial" w:hAnsi="Arial"/>
                <w:sz w:val="16"/>
                <w:szCs w:val="16"/>
                <w:color w:val="auto"/>
              </w:rPr>
              <w:t>$461,165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In accordance with ASC 606, we do not disclose the value of unsatisfied performance obligations for contracts with an original expected duration of one year or less. Contracts in the MC segment are generally for periods of less than a year. Most contracts in the AEC segment are short duration firm-fixed-price orders representing performance obligations with an original maturity of less than one year. Remaining performance obligations on contracts that had an original duration of greater than one year totaled $81 million and $95 million as of September 30, 2019 and 2018, respectively, and related primarily to firm contracts in the AEC segment. Of the remaining performance obligations as of September 30, 2019 we expect to recognize as revenue approximately $25 million during 2019, with the remainder to be recognized in between 2020 and 2021.</w:t>
      </w:r>
    </w:p>
    <w:p>
      <w:pPr>
        <w:spacing w:after="0" w:line="7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At the January 1, 2019 date of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MC assets increased by $5.6 million, AEC assets increased by $0.5 million, and Corporate assets increased by $1.0 million. Other than the impact from adoption, noted above, there were no other material changes in the total assets of the reportable segments in the first nine months of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Leases</w:t>
      </w:r>
    </w:p>
    <w:p>
      <w:pPr>
        <w:spacing w:after="0" w:line="10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Effective January 1, 2019, we adopted the provisions of ASC 842, </w:t>
      </w:r>
      <w:r>
        <w:rPr>
          <w:rFonts w:ascii="Arial" w:cs="Arial" w:eastAsia="Arial" w:hAnsi="Arial"/>
          <w:sz w:val="18"/>
          <w:szCs w:val="18"/>
          <w:i w:val="1"/>
          <w:iCs w:val="1"/>
          <w:color w:val="auto"/>
        </w:rPr>
        <w:t>Leases</w:t>
      </w:r>
      <w:r>
        <w:rPr>
          <w:rFonts w:ascii="Arial" w:cs="Arial" w:eastAsia="Arial" w:hAnsi="Arial"/>
          <w:sz w:val="18"/>
          <w:szCs w:val="18"/>
          <w:color w:val="auto"/>
        </w:rPr>
        <w:t>, using the effective date (or modified retrospective) approach for transition. Under this transition method, periods prior to 2019 have not been restated and the cumulative effect of initially applying the new standard was recorded as an adjustment to Retained earnings at January 1, 2019.</w:t>
      </w:r>
    </w:p>
    <w:p>
      <w:pPr>
        <w:spacing w:after="0" w:line="8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new standard is intended to increase transparency and comparability among organizations by requiring the recognition of right of use (“ROU”) assets and lease liabilities on the balance sheet. Most prominent among the changes in the standard is the recognition of ROU assets and lease liabilities by lessees for those leases classified as operating leases. Under the standard, disclosures are required to meet the objective of enabling users of financial statements to assess the amount, timing, and uncertainty of cash flows arising from leases. We applied the new accounting standard to leases existing at the date of initial application on January 1, 2019.</w:t>
      </w:r>
    </w:p>
    <w:p>
      <w:pPr>
        <w:spacing w:after="0" w:line="95"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elected the available package of practical expedients, which permitted us not to reassess under the new standard our prior conclusions about lease identification, lease classification and initial direct costs. We implemented processes and internal controls to enable the preparation of financial information on adoption.</w:t>
      </w:r>
    </w:p>
    <w:p>
      <w:pPr>
        <w:spacing w:after="0" w:line="95"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The most significant impact resulting from the adoption of the new standard was the recognition of ROU assets and lease liabilities for operating leases on our balance sheet for our real estate and automobile operating leases, in addition to the derecognition and reassessment of assets and liabilities related to our primary manufacturing facility in Salt Lake City, Utah (SLC lease), which had been accounted for as a build-to-suit lease with a failed sale leaseback. For that lease, transitional guidance required the derecognition of existing assets and liabilities and a reassessment of lease classification. We determined that the lease met the criteria for recording as a finance lease and we determined the January 1, 2019 values of the ROU asset and lease liability on the basis of that reassessment. The change in the SLC lease-related assets and liabilities resulted in a $0.3 million pre-tax reduction to retained earnings at the date of adoption.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cumulative effect of changes made to our December 31, 2018 Balance Sheet as a result of the adoption of</w:t>
      </w:r>
    </w:p>
    <w:p>
      <w:pPr>
        <w:spacing w:after="0"/>
        <w:rPr>
          <w:sz w:val="20"/>
          <w:szCs w:val="20"/>
          <w:color w:val="auto"/>
        </w:rPr>
      </w:pPr>
      <w:r>
        <w:rPr>
          <w:rFonts w:ascii="Arial" w:cs="Arial" w:eastAsia="Arial" w:hAnsi="Arial"/>
          <w:sz w:val="18"/>
          <w:szCs w:val="18"/>
          <w:color w:val="auto"/>
        </w:rPr>
        <w:t xml:space="preserve">ASC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8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rPr>
              <w:t>As previously</w:t>
            </w: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jc w:val="center"/>
              <w:ind w:right="399"/>
              <w:spacing w:after="0"/>
              <w:rPr>
                <w:sz w:val="20"/>
                <w:szCs w:val="20"/>
                <w:color w:val="auto"/>
              </w:rPr>
            </w:pPr>
            <w:r>
              <w:rPr>
                <w:rFonts w:ascii="Arial" w:cs="Arial" w:eastAsia="Arial" w:hAnsi="Arial"/>
                <w:sz w:val="14"/>
                <w:szCs w:val="14"/>
                <w:b w:val="1"/>
                <w:bCs w:val="1"/>
                <w:color w:val="auto"/>
              </w:rPr>
              <w:t>Opening</w:t>
            </w:r>
          </w:p>
        </w:tc>
      </w:tr>
      <w:tr>
        <w:trPr>
          <w:trHeight w:val="162"/>
        </w:trPr>
        <w:tc>
          <w:tcPr>
            <w:tcW w:w="688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rPr>
              <w:t>reported at</w:t>
            </w:r>
          </w:p>
        </w:tc>
        <w:tc>
          <w:tcPr>
            <w:tcW w:w="142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Adjustments</w:t>
            </w: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rPr>
              <w:t>balance, as</w:t>
            </w:r>
          </w:p>
        </w:tc>
      </w:tr>
      <w:tr>
        <w:trPr>
          <w:trHeight w:val="162"/>
        </w:trPr>
        <w:tc>
          <w:tcPr>
            <w:tcW w:w="688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rPr>
              <w:t>December 31,</w:t>
            </w: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auto"/>
              </w:rPr>
              <w:t>Increase/</w:t>
            </w:r>
          </w:p>
        </w:tc>
        <w:tc>
          <w:tcPr>
            <w:tcW w:w="500" w:type="dxa"/>
            <w:vAlign w:val="bottom"/>
          </w:tcPr>
          <w:p>
            <w:pPr>
              <w:spacing w:after="0"/>
              <w:rPr>
                <w:sz w:val="14"/>
                <w:szCs w:val="14"/>
                <w:color w:val="auto"/>
              </w:rPr>
            </w:pPr>
          </w:p>
        </w:tc>
        <w:tc>
          <w:tcPr>
            <w:tcW w:w="1120" w:type="dxa"/>
            <w:vAlign w:val="bottom"/>
            <w:gridSpan w:val="2"/>
          </w:tcPr>
          <w:p>
            <w:pPr>
              <w:jc w:val="center"/>
              <w:ind w:right="399"/>
              <w:spacing w:after="0"/>
              <w:rPr>
                <w:sz w:val="20"/>
                <w:szCs w:val="20"/>
                <w:color w:val="auto"/>
              </w:rPr>
            </w:pPr>
            <w:r>
              <w:rPr>
                <w:rFonts w:ascii="Arial" w:cs="Arial" w:eastAsia="Arial" w:hAnsi="Arial"/>
                <w:sz w:val="14"/>
                <w:szCs w:val="14"/>
                <w:b w:val="1"/>
                <w:bCs w:val="1"/>
                <w:color w:val="auto"/>
              </w:rPr>
              <w:t>adjusted,</w:t>
            </w:r>
          </w:p>
        </w:tc>
      </w:tr>
      <w:tr>
        <w:trPr>
          <w:trHeight w:val="175"/>
        </w:trPr>
        <w:tc>
          <w:tcPr>
            <w:tcW w:w="6880" w:type="dxa"/>
            <w:vAlign w:val="bottom"/>
            <w:tcBorders>
              <w:bottom w:val="single" w:sz="8" w:color="BFBFB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99"/>
              <w:spacing w:after="0"/>
              <w:rPr>
                <w:sz w:val="20"/>
                <w:szCs w:val="20"/>
                <w:color w:val="auto"/>
              </w:rPr>
            </w:pPr>
            <w:r>
              <w:rPr>
                <w:rFonts w:ascii="Arial" w:cs="Arial" w:eastAsia="Arial" w:hAnsi="Arial"/>
                <w:sz w:val="14"/>
                <w:szCs w:val="14"/>
                <w:b w:val="1"/>
                <w:bCs w:val="1"/>
                <w:color w:val="auto"/>
              </w:rPr>
              <w:t>2018</w:t>
            </w:r>
          </w:p>
        </w:tc>
        <w:tc>
          <w:tcPr>
            <w:tcW w:w="142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(decrease)</w:t>
            </w: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January 1, 2019</w:t>
            </w:r>
          </w:p>
        </w:tc>
      </w:tr>
      <w:tr>
        <w:trPr>
          <w:trHeight w:val="169"/>
        </w:trPr>
        <w:tc>
          <w:tcPr>
            <w:tcW w:w="6880" w:type="dxa"/>
            <w:vAlign w:val="bottom"/>
            <w:shd w:val="clear" w:color="auto" w:fill="BFBFBF"/>
          </w:tcPr>
          <w:p>
            <w:pPr>
              <w:spacing w:after="0" w:line="169" w:lineRule="exact"/>
              <w:rPr>
                <w:sz w:val="20"/>
                <w:szCs w:val="20"/>
                <w:color w:val="auto"/>
              </w:rPr>
            </w:pPr>
            <w:r>
              <w:rPr>
                <w:rFonts w:ascii="Arial" w:cs="Arial" w:eastAsia="Arial" w:hAnsi="Arial"/>
                <w:sz w:val="16"/>
                <w:szCs w:val="16"/>
                <w:color w:val="auto"/>
              </w:rPr>
              <w:t>ASSETS</w:t>
            </w:r>
          </w:p>
        </w:tc>
        <w:tc>
          <w:tcPr>
            <w:tcW w:w="420" w:type="dxa"/>
            <w:vAlign w:val="bottom"/>
            <w:shd w:val="clear" w:color="auto" w:fill="BFBFBF"/>
          </w:tcPr>
          <w:p>
            <w:pPr>
              <w:spacing w:after="0"/>
              <w:rPr>
                <w:sz w:val="14"/>
                <w:szCs w:val="14"/>
                <w:color w:val="auto"/>
              </w:rPr>
            </w:pPr>
          </w:p>
        </w:tc>
        <w:tc>
          <w:tcPr>
            <w:tcW w:w="40" w:type="dxa"/>
            <w:vAlign w:val="bottom"/>
            <w:shd w:val="clear" w:color="auto" w:fill="BFBFBF"/>
          </w:tcPr>
          <w:p>
            <w:pPr>
              <w:spacing w:after="0"/>
              <w:rPr>
                <w:sz w:val="14"/>
                <w:szCs w:val="14"/>
                <w:color w:val="auto"/>
              </w:rPr>
            </w:pPr>
          </w:p>
        </w:tc>
        <w:tc>
          <w:tcPr>
            <w:tcW w:w="1040" w:type="dxa"/>
            <w:vAlign w:val="bottom"/>
            <w:shd w:val="clear" w:color="auto" w:fill="BFBFBF"/>
          </w:tcPr>
          <w:p>
            <w:pPr>
              <w:spacing w:after="0"/>
              <w:rPr>
                <w:sz w:val="14"/>
                <w:szCs w:val="14"/>
                <w:color w:val="auto"/>
              </w:rPr>
            </w:pPr>
          </w:p>
        </w:tc>
        <w:tc>
          <w:tcPr>
            <w:tcW w:w="500" w:type="dxa"/>
            <w:vAlign w:val="bottom"/>
            <w:shd w:val="clear" w:color="auto" w:fill="BFBFBF"/>
          </w:tcPr>
          <w:p>
            <w:pPr>
              <w:spacing w:after="0"/>
              <w:rPr>
                <w:sz w:val="14"/>
                <w:szCs w:val="14"/>
                <w:color w:val="auto"/>
              </w:rPr>
            </w:pPr>
          </w:p>
        </w:tc>
        <w:tc>
          <w:tcPr>
            <w:tcW w:w="920" w:type="dxa"/>
            <w:vAlign w:val="bottom"/>
            <w:shd w:val="clear" w:color="auto" w:fill="BFBFBF"/>
          </w:tcPr>
          <w:p>
            <w:pPr>
              <w:spacing w:after="0"/>
              <w:rPr>
                <w:sz w:val="14"/>
                <w:szCs w:val="14"/>
                <w:color w:val="auto"/>
              </w:rPr>
            </w:pPr>
          </w:p>
        </w:tc>
        <w:tc>
          <w:tcPr>
            <w:tcW w:w="500" w:type="dxa"/>
            <w:vAlign w:val="bottom"/>
            <w:shd w:val="clear" w:color="auto" w:fill="BFBFBF"/>
          </w:tcPr>
          <w:p>
            <w:pPr>
              <w:spacing w:after="0"/>
              <w:rPr>
                <w:sz w:val="14"/>
                <w:szCs w:val="14"/>
                <w:color w:val="auto"/>
              </w:rPr>
            </w:pPr>
          </w:p>
        </w:tc>
        <w:tc>
          <w:tcPr>
            <w:tcW w:w="20" w:type="dxa"/>
            <w:vAlign w:val="bottom"/>
            <w:shd w:val="clear" w:color="auto" w:fill="BFBFBF"/>
          </w:tcPr>
          <w:p>
            <w:pPr>
              <w:spacing w:after="0"/>
              <w:rPr>
                <w:sz w:val="14"/>
                <w:szCs w:val="14"/>
                <w:color w:val="auto"/>
              </w:rPr>
            </w:pPr>
          </w:p>
        </w:tc>
        <w:tc>
          <w:tcPr>
            <w:tcW w:w="1100" w:type="dxa"/>
            <w:vAlign w:val="bottom"/>
            <w:shd w:val="clear" w:color="auto" w:fill="BFBFBF"/>
          </w:tcPr>
          <w:p>
            <w:pPr>
              <w:spacing w:after="0"/>
              <w:rPr>
                <w:sz w:val="14"/>
                <w:szCs w:val="14"/>
                <w:color w:val="auto"/>
              </w:rPr>
            </w:pPr>
          </w:p>
        </w:tc>
      </w:tr>
      <w:tr>
        <w:trPr>
          <w:trHeight w:val="189"/>
        </w:trPr>
        <w:tc>
          <w:tcPr>
            <w:tcW w:w="68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197,755</w:t>
            </w:r>
          </w:p>
        </w:tc>
        <w:tc>
          <w:tcPr>
            <w:tcW w:w="500" w:type="dxa"/>
            <w:vAlign w:val="bottom"/>
          </w:tcPr>
          <w:p>
            <w:pPr>
              <w:ind w:left="40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Pr>
          <w:p>
            <w:pPr>
              <w:ind w:left="420"/>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6"/>
                <w:szCs w:val="16"/>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197,755</w:t>
            </w:r>
          </w:p>
        </w:tc>
      </w:tr>
      <w:tr>
        <w:trPr>
          <w:trHeight w:val="189"/>
        </w:trPr>
        <w:tc>
          <w:tcPr>
            <w:tcW w:w="6880" w:type="dxa"/>
            <w:vAlign w:val="bottom"/>
            <w:shd w:val="clear" w:color="auto" w:fill="BFBFBF"/>
          </w:tcPr>
          <w:p>
            <w:pPr>
              <w:spacing w:after="0"/>
              <w:rPr>
                <w:sz w:val="20"/>
                <w:szCs w:val="20"/>
                <w:color w:val="auto"/>
              </w:rPr>
            </w:pPr>
            <w:r>
              <w:rPr>
                <w:rFonts w:ascii="Arial" w:cs="Arial" w:eastAsia="Arial" w:hAnsi="Arial"/>
                <w:sz w:val="16"/>
                <w:szCs w:val="16"/>
                <w:color w:val="auto"/>
              </w:rPr>
              <w:t>Accounts receivable, net</w:t>
            </w:r>
          </w:p>
        </w:tc>
        <w:tc>
          <w:tcPr>
            <w:tcW w:w="4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040" w:type="dxa"/>
            <w:vAlign w:val="bottom"/>
            <w:shd w:val="clear" w:color="auto" w:fill="BFBFBF"/>
          </w:tcPr>
          <w:p>
            <w:pPr>
              <w:jc w:val="right"/>
              <w:ind w:right="279"/>
              <w:spacing w:after="0"/>
              <w:rPr>
                <w:sz w:val="20"/>
                <w:szCs w:val="20"/>
                <w:color w:val="auto"/>
              </w:rPr>
            </w:pPr>
            <w:r>
              <w:rPr>
                <w:rFonts w:ascii="Arial" w:cs="Arial" w:eastAsia="Arial" w:hAnsi="Arial"/>
                <w:sz w:val="16"/>
                <w:szCs w:val="16"/>
                <w:color w:val="auto"/>
              </w:rPr>
              <w:t>223,176</w:t>
            </w:r>
          </w:p>
        </w:tc>
        <w:tc>
          <w:tcPr>
            <w:tcW w:w="500" w:type="dxa"/>
            <w:vAlign w:val="bottom"/>
            <w:shd w:val="clear" w:color="auto" w:fill="BFBFBF"/>
          </w:tcPr>
          <w:p>
            <w:pPr>
              <w:spacing w:after="0"/>
              <w:rPr>
                <w:sz w:val="16"/>
                <w:szCs w:val="16"/>
                <w:color w:val="auto"/>
              </w:rPr>
            </w:pPr>
          </w:p>
        </w:tc>
        <w:tc>
          <w:tcPr>
            <w:tcW w:w="92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223,176</w:t>
            </w:r>
          </w:p>
        </w:tc>
      </w:tr>
      <w:tr>
        <w:trPr>
          <w:trHeight w:val="189"/>
        </w:trPr>
        <w:tc>
          <w:tcPr>
            <w:tcW w:w="6880" w:type="dxa"/>
            <w:vAlign w:val="bottom"/>
          </w:tcPr>
          <w:p>
            <w:pPr>
              <w:spacing w:after="0"/>
              <w:rPr>
                <w:sz w:val="20"/>
                <w:szCs w:val="20"/>
                <w:color w:val="auto"/>
              </w:rPr>
            </w:pPr>
            <w:r>
              <w:rPr>
                <w:rFonts w:ascii="Arial" w:cs="Arial" w:eastAsia="Arial" w:hAnsi="Arial"/>
                <w:sz w:val="16"/>
                <w:szCs w:val="16"/>
                <w:color w:val="auto"/>
              </w:rPr>
              <w:t>Contract assets</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57,447</w:t>
            </w:r>
          </w:p>
        </w:tc>
        <w:tc>
          <w:tcPr>
            <w:tcW w:w="500" w:type="dxa"/>
            <w:vAlign w:val="bottom"/>
          </w:tcPr>
          <w:p>
            <w:pPr>
              <w:spacing w:after="0"/>
              <w:rPr>
                <w:sz w:val="16"/>
                <w:szCs w:val="16"/>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57,447</w:t>
            </w:r>
          </w:p>
        </w:tc>
      </w:tr>
      <w:tr>
        <w:trPr>
          <w:trHeight w:val="189"/>
        </w:trPr>
        <w:tc>
          <w:tcPr>
            <w:tcW w:w="6880" w:type="dxa"/>
            <w:vAlign w:val="bottom"/>
            <w:shd w:val="clear" w:color="auto" w:fill="BFBFBF"/>
          </w:tcPr>
          <w:p>
            <w:pPr>
              <w:spacing w:after="0"/>
              <w:rPr>
                <w:sz w:val="20"/>
                <w:szCs w:val="20"/>
                <w:color w:val="auto"/>
              </w:rPr>
            </w:pPr>
            <w:r>
              <w:rPr>
                <w:rFonts w:ascii="Arial" w:cs="Arial" w:eastAsia="Arial" w:hAnsi="Arial"/>
                <w:sz w:val="16"/>
                <w:szCs w:val="16"/>
                <w:color w:val="auto"/>
              </w:rPr>
              <w:t>Inventories</w:t>
            </w:r>
          </w:p>
        </w:tc>
        <w:tc>
          <w:tcPr>
            <w:tcW w:w="4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040" w:type="dxa"/>
            <w:vAlign w:val="bottom"/>
            <w:shd w:val="clear" w:color="auto" w:fill="BFBFBF"/>
          </w:tcPr>
          <w:p>
            <w:pPr>
              <w:jc w:val="right"/>
              <w:ind w:right="279"/>
              <w:spacing w:after="0"/>
              <w:rPr>
                <w:sz w:val="20"/>
                <w:szCs w:val="20"/>
                <w:color w:val="auto"/>
              </w:rPr>
            </w:pPr>
            <w:r>
              <w:rPr>
                <w:rFonts w:ascii="Arial" w:cs="Arial" w:eastAsia="Arial" w:hAnsi="Arial"/>
                <w:sz w:val="16"/>
                <w:szCs w:val="16"/>
                <w:color w:val="auto"/>
              </w:rPr>
              <w:t>85,904</w:t>
            </w:r>
          </w:p>
        </w:tc>
        <w:tc>
          <w:tcPr>
            <w:tcW w:w="500" w:type="dxa"/>
            <w:vAlign w:val="bottom"/>
            <w:shd w:val="clear" w:color="auto" w:fill="BFBFBF"/>
          </w:tcPr>
          <w:p>
            <w:pPr>
              <w:spacing w:after="0"/>
              <w:rPr>
                <w:sz w:val="16"/>
                <w:szCs w:val="16"/>
                <w:color w:val="auto"/>
              </w:rPr>
            </w:pPr>
          </w:p>
        </w:tc>
        <w:tc>
          <w:tcPr>
            <w:tcW w:w="92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85,904</w:t>
            </w:r>
          </w:p>
        </w:tc>
      </w:tr>
      <w:tr>
        <w:trPr>
          <w:trHeight w:val="189"/>
        </w:trPr>
        <w:tc>
          <w:tcPr>
            <w:tcW w:w="6880" w:type="dxa"/>
            <w:vAlign w:val="bottom"/>
          </w:tcPr>
          <w:p>
            <w:pPr>
              <w:spacing w:after="0"/>
              <w:rPr>
                <w:sz w:val="20"/>
                <w:szCs w:val="20"/>
                <w:color w:val="auto"/>
              </w:rPr>
            </w:pPr>
            <w:r>
              <w:rPr>
                <w:rFonts w:ascii="Arial" w:cs="Arial" w:eastAsia="Arial" w:hAnsi="Arial"/>
                <w:sz w:val="16"/>
                <w:szCs w:val="16"/>
                <w:color w:val="auto"/>
              </w:rPr>
              <w:t>Income taxes prepaid and receivable</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7,473</w:t>
            </w:r>
          </w:p>
        </w:tc>
        <w:tc>
          <w:tcPr>
            <w:tcW w:w="500" w:type="dxa"/>
            <w:vAlign w:val="bottom"/>
          </w:tcPr>
          <w:p>
            <w:pPr>
              <w:spacing w:after="0"/>
              <w:rPr>
                <w:sz w:val="16"/>
                <w:szCs w:val="16"/>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7,473</w:t>
            </w:r>
          </w:p>
        </w:tc>
      </w:tr>
      <w:tr>
        <w:trPr>
          <w:trHeight w:val="189"/>
        </w:trPr>
        <w:tc>
          <w:tcPr>
            <w:tcW w:w="6880" w:type="dxa"/>
            <w:vAlign w:val="bottom"/>
            <w:shd w:val="clear" w:color="auto" w:fill="BFBFBF"/>
          </w:tcPr>
          <w:p>
            <w:pPr>
              <w:spacing w:after="0"/>
              <w:rPr>
                <w:sz w:val="20"/>
                <w:szCs w:val="20"/>
                <w:color w:val="auto"/>
              </w:rPr>
            </w:pPr>
            <w:r>
              <w:rPr>
                <w:rFonts w:ascii="Arial" w:cs="Arial" w:eastAsia="Arial" w:hAnsi="Arial"/>
                <w:sz w:val="16"/>
                <w:szCs w:val="16"/>
                <w:color w:val="auto"/>
              </w:rPr>
              <w:t>Prepaid expenses and other current assets</w:t>
            </w:r>
          </w:p>
        </w:tc>
        <w:tc>
          <w:tcPr>
            <w:tcW w:w="420" w:type="dxa"/>
            <w:vAlign w:val="bottom"/>
            <w:tcBorders>
              <w:bottom w:val="single" w:sz="8" w:color="auto"/>
            </w:tcBorders>
            <w:shd w:val="clear" w:color="auto" w:fill="BFBFBF"/>
          </w:tcPr>
          <w:p>
            <w:pPr>
              <w:spacing w:after="0"/>
              <w:rPr>
                <w:sz w:val="16"/>
                <w:szCs w:val="16"/>
                <w:color w:val="auto"/>
              </w:rPr>
            </w:pPr>
          </w:p>
        </w:tc>
        <w:tc>
          <w:tcPr>
            <w:tcW w:w="40" w:type="dxa"/>
            <w:vAlign w:val="bottom"/>
            <w:tcBorders>
              <w:bottom w:val="single" w:sz="8" w:color="auto"/>
            </w:tcBorders>
            <w:shd w:val="clear" w:color="auto" w:fill="BFBFBF"/>
          </w:tcPr>
          <w:p>
            <w:pPr>
              <w:spacing w:after="0"/>
              <w:rPr>
                <w:sz w:val="16"/>
                <w:szCs w:val="16"/>
                <w:color w:val="auto"/>
              </w:rPr>
            </w:pPr>
          </w:p>
        </w:tc>
        <w:tc>
          <w:tcPr>
            <w:tcW w:w="1040" w:type="dxa"/>
            <w:vAlign w:val="bottom"/>
            <w:tcBorders>
              <w:bottom w:val="single" w:sz="8" w:color="auto"/>
            </w:tcBorders>
            <w:shd w:val="clear" w:color="auto" w:fill="BFBFBF"/>
          </w:tcPr>
          <w:p>
            <w:pPr>
              <w:jc w:val="right"/>
              <w:ind w:right="279"/>
              <w:spacing w:after="0"/>
              <w:rPr>
                <w:sz w:val="20"/>
                <w:szCs w:val="20"/>
                <w:color w:val="auto"/>
              </w:rPr>
            </w:pPr>
            <w:r>
              <w:rPr>
                <w:rFonts w:ascii="Arial" w:cs="Arial" w:eastAsia="Arial" w:hAnsi="Arial"/>
                <w:sz w:val="16"/>
                <w:szCs w:val="16"/>
                <w:color w:val="auto"/>
              </w:rPr>
              <w:t>21,294</w:t>
            </w:r>
          </w:p>
        </w:tc>
        <w:tc>
          <w:tcPr>
            <w:tcW w:w="500" w:type="dxa"/>
            <w:vAlign w:val="bottom"/>
            <w:tcBorders>
              <w:bottom w:val="single" w:sz="8" w:color="auto"/>
            </w:tcBorders>
            <w:shd w:val="clear" w:color="auto" w:fill="BFBFBF"/>
          </w:tcPr>
          <w:p>
            <w:pPr>
              <w:spacing w:after="0"/>
              <w:rPr>
                <w:sz w:val="16"/>
                <w:szCs w:val="16"/>
                <w:color w:val="auto"/>
              </w:rPr>
            </w:pPr>
          </w:p>
        </w:tc>
        <w:tc>
          <w:tcPr>
            <w:tcW w:w="920" w:type="dxa"/>
            <w:vAlign w:val="bottom"/>
            <w:tcBorders>
              <w:bottom w:val="single" w:sz="8" w:color="auto"/>
            </w:tcBorders>
            <w:shd w:val="clear" w:color="auto" w:fill="BFBFBF"/>
          </w:tcPr>
          <w:p>
            <w:pPr>
              <w:jc w:val="right"/>
              <w:ind w:right="259"/>
              <w:spacing w:after="0"/>
              <w:rPr>
                <w:sz w:val="20"/>
                <w:szCs w:val="20"/>
                <w:color w:val="auto"/>
              </w:rPr>
            </w:pPr>
            <w:r>
              <w:rPr>
                <w:rFonts w:ascii="Arial" w:cs="Arial" w:eastAsia="Arial" w:hAnsi="Arial"/>
                <w:sz w:val="16"/>
                <w:szCs w:val="16"/>
                <w:color w:val="auto"/>
              </w:rPr>
              <w:t>(370)</w:t>
            </w:r>
          </w:p>
        </w:tc>
        <w:tc>
          <w:tcPr>
            <w:tcW w:w="500" w:type="dxa"/>
            <w:vAlign w:val="bottom"/>
            <w:tcBorders>
              <w:bottom w:val="single" w:sz="8" w:color="auto"/>
            </w:tcBorders>
            <w:shd w:val="clear" w:color="auto" w:fill="BFBFBF"/>
          </w:tcPr>
          <w:p>
            <w:pPr>
              <w:spacing w:after="0"/>
              <w:rPr>
                <w:sz w:val="16"/>
                <w:szCs w:val="16"/>
                <w:color w:val="auto"/>
              </w:rPr>
            </w:pPr>
          </w:p>
        </w:tc>
        <w:tc>
          <w:tcPr>
            <w:tcW w:w="20" w:type="dxa"/>
            <w:vAlign w:val="bottom"/>
            <w:tcBorders>
              <w:bottom w:val="single" w:sz="8" w:color="auto"/>
            </w:tcBorders>
            <w:shd w:val="clear" w:color="auto" w:fill="BFBFBF"/>
          </w:tcPr>
          <w:p>
            <w:pPr>
              <w:spacing w:after="0"/>
              <w:rPr>
                <w:sz w:val="16"/>
                <w:szCs w:val="16"/>
                <w:color w:val="auto"/>
              </w:rPr>
            </w:pPr>
          </w:p>
        </w:tc>
        <w:tc>
          <w:tcPr>
            <w:tcW w:w="1100" w:type="dxa"/>
            <w:vAlign w:val="bottom"/>
            <w:tcBorders>
              <w:bottom w:val="single" w:sz="8" w:color="auto"/>
            </w:tcBorders>
            <w:shd w:val="clear" w:color="auto" w:fill="BFBFBF"/>
          </w:tcPr>
          <w:p>
            <w:pPr>
              <w:jc w:val="right"/>
              <w:ind w:right="319"/>
              <w:spacing w:after="0"/>
              <w:rPr>
                <w:sz w:val="20"/>
                <w:szCs w:val="20"/>
                <w:color w:val="auto"/>
              </w:rPr>
            </w:pPr>
            <w:r>
              <w:rPr>
                <w:rFonts w:ascii="Arial" w:cs="Arial" w:eastAsia="Arial" w:hAnsi="Arial"/>
                <w:sz w:val="16"/>
                <w:szCs w:val="16"/>
                <w:color w:val="auto"/>
              </w:rPr>
              <w:t>20,924</w:t>
            </w:r>
          </w:p>
        </w:tc>
      </w:tr>
      <w:tr>
        <w:trPr>
          <w:trHeight w:val="183"/>
        </w:trPr>
        <w:tc>
          <w:tcPr>
            <w:tcW w:w="6880" w:type="dxa"/>
            <w:vAlign w:val="bottom"/>
          </w:tcPr>
          <w:p>
            <w:pPr>
              <w:ind w:left="120"/>
              <w:spacing w:after="0" w:line="183" w:lineRule="exact"/>
              <w:rPr>
                <w:sz w:val="20"/>
                <w:szCs w:val="20"/>
                <w:color w:val="auto"/>
              </w:rPr>
            </w:pPr>
            <w:r>
              <w:rPr>
                <w:rFonts w:ascii="Arial" w:cs="Arial" w:eastAsia="Arial" w:hAnsi="Arial"/>
                <w:sz w:val="16"/>
                <w:szCs w:val="16"/>
                <w:color w:val="auto"/>
              </w:rPr>
              <w:t>Total current assets</w:t>
            </w:r>
          </w:p>
        </w:tc>
        <w:tc>
          <w:tcPr>
            <w:tcW w:w="4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040" w:type="dxa"/>
            <w:vAlign w:val="bottom"/>
          </w:tcPr>
          <w:p>
            <w:pPr>
              <w:jc w:val="right"/>
              <w:ind w:right="279"/>
              <w:spacing w:after="0" w:line="183" w:lineRule="exact"/>
              <w:rPr>
                <w:sz w:val="20"/>
                <w:szCs w:val="20"/>
                <w:color w:val="auto"/>
              </w:rPr>
            </w:pPr>
            <w:r>
              <w:rPr>
                <w:rFonts w:ascii="Arial" w:cs="Arial" w:eastAsia="Arial" w:hAnsi="Arial"/>
                <w:sz w:val="16"/>
                <w:szCs w:val="16"/>
                <w:color w:val="auto"/>
              </w:rPr>
              <w:t>593,049</w:t>
            </w:r>
          </w:p>
        </w:tc>
        <w:tc>
          <w:tcPr>
            <w:tcW w:w="500" w:type="dxa"/>
            <w:vAlign w:val="bottom"/>
          </w:tcPr>
          <w:p>
            <w:pPr>
              <w:ind w:left="340"/>
              <w:spacing w:after="0" w:line="183"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(370)</w:t>
            </w:r>
          </w:p>
        </w:tc>
        <w:tc>
          <w:tcPr>
            <w:tcW w:w="500" w:type="dxa"/>
            <w:vAlign w:val="bottom"/>
          </w:tcPr>
          <w:p>
            <w:pPr>
              <w:ind w:left="420"/>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5"/>
                <w:szCs w:val="15"/>
                <w:color w:val="auto"/>
              </w:rPr>
            </w:pPr>
          </w:p>
        </w:tc>
        <w:tc>
          <w:tcPr>
            <w:tcW w:w="11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592,679</w:t>
            </w:r>
          </w:p>
        </w:tc>
      </w:tr>
      <w:tr>
        <w:trPr>
          <w:trHeight w:val="189"/>
        </w:trPr>
        <w:tc>
          <w:tcPr>
            <w:tcW w:w="6880" w:type="dxa"/>
            <w:vAlign w:val="bottom"/>
            <w:shd w:val="clear" w:color="auto" w:fill="BFBFBF"/>
          </w:tcPr>
          <w:p>
            <w:pPr>
              <w:spacing w:after="0"/>
              <w:rPr>
                <w:sz w:val="16"/>
                <w:szCs w:val="16"/>
                <w:color w:val="auto"/>
              </w:rPr>
            </w:pPr>
          </w:p>
        </w:tc>
        <w:tc>
          <w:tcPr>
            <w:tcW w:w="4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040" w:type="dxa"/>
            <w:vAlign w:val="bottom"/>
            <w:shd w:val="clear" w:color="auto" w:fill="BFBFBF"/>
          </w:tcPr>
          <w:p>
            <w:pPr>
              <w:spacing w:after="0"/>
              <w:rPr>
                <w:sz w:val="16"/>
                <w:szCs w:val="16"/>
                <w:color w:val="auto"/>
              </w:rPr>
            </w:pPr>
          </w:p>
        </w:tc>
        <w:tc>
          <w:tcPr>
            <w:tcW w:w="500" w:type="dxa"/>
            <w:vAlign w:val="bottom"/>
            <w:shd w:val="clear" w:color="auto" w:fill="BFBFBF"/>
          </w:tcPr>
          <w:p>
            <w:pPr>
              <w:spacing w:after="0"/>
              <w:rPr>
                <w:sz w:val="16"/>
                <w:szCs w:val="16"/>
                <w:color w:val="auto"/>
              </w:rPr>
            </w:pPr>
          </w:p>
        </w:tc>
        <w:tc>
          <w:tcPr>
            <w:tcW w:w="920" w:type="dxa"/>
            <w:vAlign w:val="bottom"/>
            <w:shd w:val="clear" w:color="auto" w:fill="BFBFBF"/>
          </w:tcPr>
          <w:p>
            <w:pPr>
              <w:spacing w:after="0"/>
              <w:rPr>
                <w:sz w:val="16"/>
                <w:szCs w:val="16"/>
                <w:color w:val="auto"/>
              </w:rPr>
            </w:pPr>
          </w:p>
        </w:tc>
        <w:tc>
          <w:tcPr>
            <w:tcW w:w="50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1100" w:type="dxa"/>
            <w:vAlign w:val="bottom"/>
            <w:shd w:val="clear" w:color="auto" w:fill="BFBFBF"/>
          </w:tcPr>
          <w:p>
            <w:pPr>
              <w:spacing w:after="0"/>
              <w:rPr>
                <w:sz w:val="16"/>
                <w:szCs w:val="16"/>
                <w:color w:val="auto"/>
              </w:rPr>
            </w:pPr>
          </w:p>
        </w:tc>
      </w:tr>
      <w:tr>
        <w:trPr>
          <w:trHeight w:val="189"/>
        </w:trPr>
        <w:tc>
          <w:tcPr>
            <w:tcW w:w="688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462,055</w:t>
            </w:r>
          </w:p>
        </w:tc>
        <w:tc>
          <w:tcPr>
            <w:tcW w:w="50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color w:val="auto"/>
              </w:rPr>
              <w:t>(6,144)</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455,911</w:t>
            </w:r>
          </w:p>
        </w:tc>
      </w:tr>
      <w:tr>
        <w:trPr>
          <w:trHeight w:val="189"/>
        </w:trPr>
        <w:tc>
          <w:tcPr>
            <w:tcW w:w="6880" w:type="dxa"/>
            <w:vAlign w:val="bottom"/>
            <w:shd w:val="clear" w:color="auto" w:fill="BFBFBF"/>
          </w:tcPr>
          <w:p>
            <w:pPr>
              <w:spacing w:after="0"/>
              <w:rPr>
                <w:sz w:val="20"/>
                <w:szCs w:val="20"/>
                <w:color w:val="auto"/>
              </w:rPr>
            </w:pPr>
            <w:r>
              <w:rPr>
                <w:rFonts w:ascii="Arial" w:cs="Arial" w:eastAsia="Arial" w:hAnsi="Arial"/>
                <w:sz w:val="16"/>
                <w:szCs w:val="16"/>
                <w:color w:val="auto"/>
              </w:rPr>
              <w:t>Intangibles, net</w:t>
            </w:r>
          </w:p>
        </w:tc>
        <w:tc>
          <w:tcPr>
            <w:tcW w:w="4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040" w:type="dxa"/>
            <w:vAlign w:val="bottom"/>
            <w:shd w:val="clear" w:color="auto" w:fill="BFBFBF"/>
          </w:tcPr>
          <w:p>
            <w:pPr>
              <w:jc w:val="right"/>
              <w:ind w:right="279"/>
              <w:spacing w:after="0"/>
              <w:rPr>
                <w:sz w:val="20"/>
                <w:szCs w:val="20"/>
                <w:color w:val="auto"/>
              </w:rPr>
            </w:pPr>
            <w:r>
              <w:rPr>
                <w:rFonts w:ascii="Arial" w:cs="Arial" w:eastAsia="Arial" w:hAnsi="Arial"/>
                <w:sz w:val="16"/>
                <w:szCs w:val="16"/>
                <w:color w:val="auto"/>
              </w:rPr>
              <w:t>49,206</w:t>
            </w:r>
          </w:p>
        </w:tc>
        <w:tc>
          <w:tcPr>
            <w:tcW w:w="500" w:type="dxa"/>
            <w:vAlign w:val="bottom"/>
            <w:shd w:val="clear" w:color="auto" w:fill="BFBFBF"/>
          </w:tcPr>
          <w:p>
            <w:pPr>
              <w:spacing w:after="0"/>
              <w:rPr>
                <w:sz w:val="16"/>
                <w:szCs w:val="16"/>
                <w:color w:val="auto"/>
              </w:rPr>
            </w:pPr>
          </w:p>
        </w:tc>
        <w:tc>
          <w:tcPr>
            <w:tcW w:w="92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49,206</w:t>
            </w:r>
          </w:p>
        </w:tc>
      </w:tr>
      <w:tr>
        <w:trPr>
          <w:trHeight w:val="189"/>
        </w:trPr>
        <w:tc>
          <w:tcPr>
            <w:tcW w:w="6880" w:type="dxa"/>
            <w:vAlign w:val="bottom"/>
          </w:tcPr>
          <w:p>
            <w:pPr>
              <w:spacing w:after="0"/>
              <w:rPr>
                <w:sz w:val="20"/>
                <w:szCs w:val="20"/>
                <w:color w:val="auto"/>
              </w:rPr>
            </w:pPr>
            <w:r>
              <w:rPr>
                <w:rFonts w:ascii="Arial" w:cs="Arial" w:eastAsia="Arial" w:hAnsi="Arial"/>
                <w:sz w:val="16"/>
                <w:szCs w:val="16"/>
                <w:color w:val="auto"/>
              </w:rPr>
              <w:t>Goodwill</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164,382</w:t>
            </w:r>
          </w:p>
        </w:tc>
        <w:tc>
          <w:tcPr>
            <w:tcW w:w="500" w:type="dxa"/>
            <w:vAlign w:val="bottom"/>
          </w:tcPr>
          <w:p>
            <w:pPr>
              <w:spacing w:after="0"/>
              <w:rPr>
                <w:sz w:val="16"/>
                <w:szCs w:val="16"/>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164,382</w:t>
            </w:r>
          </w:p>
        </w:tc>
      </w:tr>
      <w:tr>
        <w:trPr>
          <w:trHeight w:val="189"/>
        </w:trPr>
        <w:tc>
          <w:tcPr>
            <w:tcW w:w="6880" w:type="dxa"/>
            <w:vAlign w:val="bottom"/>
            <w:shd w:val="clear" w:color="auto" w:fill="BFBFBF"/>
          </w:tcPr>
          <w:p>
            <w:pPr>
              <w:spacing w:after="0"/>
              <w:rPr>
                <w:sz w:val="20"/>
                <w:szCs w:val="20"/>
                <w:color w:val="auto"/>
              </w:rPr>
            </w:pPr>
            <w:r>
              <w:rPr>
                <w:rFonts w:ascii="Arial" w:cs="Arial" w:eastAsia="Arial" w:hAnsi="Arial"/>
                <w:sz w:val="16"/>
                <w:szCs w:val="16"/>
                <w:color w:val="auto"/>
              </w:rPr>
              <w:t>Deferred income taxes</w:t>
            </w:r>
          </w:p>
        </w:tc>
        <w:tc>
          <w:tcPr>
            <w:tcW w:w="4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040" w:type="dxa"/>
            <w:vAlign w:val="bottom"/>
            <w:shd w:val="clear" w:color="auto" w:fill="BFBFBF"/>
          </w:tcPr>
          <w:p>
            <w:pPr>
              <w:jc w:val="right"/>
              <w:ind w:right="279"/>
              <w:spacing w:after="0"/>
              <w:rPr>
                <w:sz w:val="20"/>
                <w:szCs w:val="20"/>
                <w:color w:val="auto"/>
              </w:rPr>
            </w:pPr>
            <w:r>
              <w:rPr>
                <w:rFonts w:ascii="Arial" w:cs="Arial" w:eastAsia="Arial" w:hAnsi="Arial"/>
                <w:sz w:val="16"/>
                <w:szCs w:val="16"/>
                <w:color w:val="auto"/>
              </w:rPr>
              <w:t>62,622</w:t>
            </w:r>
          </w:p>
        </w:tc>
        <w:tc>
          <w:tcPr>
            <w:tcW w:w="500" w:type="dxa"/>
            <w:vAlign w:val="bottom"/>
            <w:shd w:val="clear" w:color="auto" w:fill="BFBFBF"/>
          </w:tcPr>
          <w:p>
            <w:pPr>
              <w:spacing w:after="0"/>
              <w:rPr>
                <w:sz w:val="16"/>
                <w:szCs w:val="16"/>
                <w:color w:val="auto"/>
              </w:rPr>
            </w:pPr>
          </w:p>
        </w:tc>
        <w:tc>
          <w:tcPr>
            <w:tcW w:w="920" w:type="dxa"/>
            <w:vAlign w:val="bottom"/>
            <w:shd w:val="clear" w:color="auto" w:fill="BFBFBF"/>
          </w:tcPr>
          <w:p>
            <w:pPr>
              <w:jc w:val="right"/>
              <w:ind w:right="259"/>
              <w:spacing w:after="0"/>
              <w:rPr>
                <w:sz w:val="20"/>
                <w:szCs w:val="20"/>
                <w:color w:val="auto"/>
              </w:rPr>
            </w:pPr>
            <w:r>
              <w:rPr>
                <w:rFonts w:ascii="Arial" w:cs="Arial" w:eastAsia="Arial" w:hAnsi="Arial"/>
                <w:sz w:val="16"/>
                <w:szCs w:val="16"/>
                <w:color w:val="auto"/>
              </w:rPr>
              <w:t>(20)</w:t>
            </w:r>
          </w:p>
        </w:tc>
        <w:tc>
          <w:tcPr>
            <w:tcW w:w="50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62,602</w:t>
            </w:r>
          </w:p>
        </w:tc>
      </w:tr>
      <w:tr>
        <w:trPr>
          <w:trHeight w:val="189"/>
        </w:trPr>
        <w:tc>
          <w:tcPr>
            <w:tcW w:w="6880" w:type="dxa"/>
            <w:vAlign w:val="bottom"/>
          </w:tcPr>
          <w:p>
            <w:pPr>
              <w:spacing w:after="0"/>
              <w:rPr>
                <w:sz w:val="20"/>
                <w:szCs w:val="20"/>
                <w:color w:val="auto"/>
              </w:rPr>
            </w:pPr>
            <w:r>
              <w:rPr>
                <w:rFonts w:ascii="Arial" w:cs="Arial" w:eastAsia="Arial" w:hAnsi="Arial"/>
                <w:sz w:val="16"/>
                <w:szCs w:val="16"/>
                <w:color w:val="auto"/>
              </w:rPr>
              <w:t>Noncurrent receivables</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45,061</w:t>
            </w:r>
          </w:p>
        </w:tc>
        <w:tc>
          <w:tcPr>
            <w:tcW w:w="500" w:type="dxa"/>
            <w:vAlign w:val="bottom"/>
          </w:tcPr>
          <w:p>
            <w:pPr>
              <w:spacing w:after="0"/>
              <w:rPr>
                <w:sz w:val="16"/>
                <w:szCs w:val="16"/>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45,061</w:t>
            </w:r>
          </w:p>
        </w:tc>
      </w:tr>
      <w:tr>
        <w:trPr>
          <w:trHeight w:val="189"/>
        </w:trPr>
        <w:tc>
          <w:tcPr>
            <w:tcW w:w="6880" w:type="dxa"/>
            <w:vAlign w:val="bottom"/>
            <w:shd w:val="clear" w:color="auto" w:fill="BFBFBF"/>
          </w:tcPr>
          <w:p>
            <w:pPr>
              <w:spacing w:after="0"/>
              <w:rPr>
                <w:sz w:val="20"/>
                <w:szCs w:val="20"/>
                <w:color w:val="auto"/>
              </w:rPr>
            </w:pPr>
            <w:r>
              <w:rPr>
                <w:rFonts w:ascii="Arial" w:cs="Arial" w:eastAsia="Arial" w:hAnsi="Arial"/>
                <w:sz w:val="16"/>
                <w:szCs w:val="16"/>
                <w:color w:val="auto"/>
              </w:rPr>
              <w:t>Other assets</w:t>
            </w:r>
          </w:p>
        </w:tc>
        <w:tc>
          <w:tcPr>
            <w:tcW w:w="420" w:type="dxa"/>
            <w:vAlign w:val="bottom"/>
            <w:tcBorders>
              <w:bottom w:val="single" w:sz="8" w:color="auto"/>
            </w:tcBorders>
            <w:shd w:val="clear" w:color="auto" w:fill="BFBFBF"/>
          </w:tcPr>
          <w:p>
            <w:pPr>
              <w:spacing w:after="0"/>
              <w:rPr>
                <w:sz w:val="16"/>
                <w:szCs w:val="16"/>
                <w:color w:val="auto"/>
              </w:rPr>
            </w:pPr>
          </w:p>
        </w:tc>
        <w:tc>
          <w:tcPr>
            <w:tcW w:w="40" w:type="dxa"/>
            <w:vAlign w:val="bottom"/>
            <w:tcBorders>
              <w:bottom w:val="single" w:sz="8" w:color="auto"/>
            </w:tcBorders>
            <w:shd w:val="clear" w:color="auto" w:fill="BFBFBF"/>
          </w:tcPr>
          <w:p>
            <w:pPr>
              <w:spacing w:after="0"/>
              <w:rPr>
                <w:sz w:val="16"/>
                <w:szCs w:val="16"/>
                <w:color w:val="auto"/>
              </w:rPr>
            </w:pPr>
          </w:p>
        </w:tc>
        <w:tc>
          <w:tcPr>
            <w:tcW w:w="1040" w:type="dxa"/>
            <w:vAlign w:val="bottom"/>
            <w:tcBorders>
              <w:bottom w:val="single" w:sz="8" w:color="auto"/>
            </w:tcBorders>
            <w:shd w:val="clear" w:color="auto" w:fill="BFBFBF"/>
          </w:tcPr>
          <w:p>
            <w:pPr>
              <w:jc w:val="right"/>
              <w:ind w:right="279"/>
              <w:spacing w:after="0"/>
              <w:rPr>
                <w:sz w:val="20"/>
                <w:szCs w:val="20"/>
                <w:color w:val="auto"/>
              </w:rPr>
            </w:pPr>
            <w:r>
              <w:rPr>
                <w:rFonts w:ascii="Arial" w:cs="Arial" w:eastAsia="Arial" w:hAnsi="Arial"/>
                <w:sz w:val="16"/>
                <w:szCs w:val="16"/>
                <w:color w:val="auto"/>
              </w:rPr>
              <w:t>41,617</w:t>
            </w:r>
          </w:p>
        </w:tc>
        <w:tc>
          <w:tcPr>
            <w:tcW w:w="500" w:type="dxa"/>
            <w:vAlign w:val="bottom"/>
            <w:tcBorders>
              <w:bottom w:val="single" w:sz="8" w:color="auto"/>
            </w:tcBorders>
            <w:shd w:val="clear" w:color="auto" w:fill="BFBFBF"/>
          </w:tcPr>
          <w:p>
            <w:pPr>
              <w:spacing w:after="0"/>
              <w:rPr>
                <w:sz w:val="16"/>
                <w:szCs w:val="16"/>
                <w:color w:val="auto"/>
              </w:rPr>
            </w:pPr>
          </w:p>
        </w:tc>
        <w:tc>
          <w:tcPr>
            <w:tcW w:w="920" w:type="dxa"/>
            <w:vAlign w:val="bottom"/>
            <w:tcBorders>
              <w:bottom w:val="single" w:sz="8" w:color="auto"/>
            </w:tcBorders>
            <w:shd w:val="clear" w:color="auto" w:fill="BFBFBF"/>
          </w:tcPr>
          <w:p>
            <w:pPr>
              <w:jc w:val="right"/>
              <w:ind w:right="319"/>
              <w:spacing w:after="0"/>
              <w:rPr>
                <w:sz w:val="20"/>
                <w:szCs w:val="20"/>
                <w:color w:val="auto"/>
              </w:rPr>
            </w:pPr>
            <w:r>
              <w:rPr>
                <w:rFonts w:ascii="Arial" w:cs="Arial" w:eastAsia="Arial" w:hAnsi="Arial"/>
                <w:sz w:val="16"/>
                <w:szCs w:val="16"/>
                <w:color w:val="auto"/>
              </w:rPr>
              <w:t>13,615</w:t>
            </w:r>
          </w:p>
        </w:tc>
        <w:tc>
          <w:tcPr>
            <w:tcW w:w="500" w:type="dxa"/>
            <w:vAlign w:val="bottom"/>
            <w:tcBorders>
              <w:bottom w:val="single" w:sz="8" w:color="auto"/>
            </w:tcBorders>
            <w:shd w:val="clear" w:color="auto" w:fill="BFBFBF"/>
          </w:tcPr>
          <w:p>
            <w:pPr>
              <w:spacing w:after="0"/>
              <w:rPr>
                <w:sz w:val="16"/>
                <w:szCs w:val="16"/>
                <w:color w:val="auto"/>
              </w:rPr>
            </w:pPr>
          </w:p>
        </w:tc>
        <w:tc>
          <w:tcPr>
            <w:tcW w:w="20" w:type="dxa"/>
            <w:vAlign w:val="bottom"/>
            <w:tcBorders>
              <w:bottom w:val="single" w:sz="8" w:color="auto"/>
            </w:tcBorders>
            <w:shd w:val="clear" w:color="auto" w:fill="BFBFBF"/>
          </w:tcPr>
          <w:p>
            <w:pPr>
              <w:spacing w:after="0"/>
              <w:rPr>
                <w:sz w:val="16"/>
                <w:szCs w:val="16"/>
                <w:color w:val="auto"/>
              </w:rPr>
            </w:pPr>
          </w:p>
        </w:tc>
        <w:tc>
          <w:tcPr>
            <w:tcW w:w="1100" w:type="dxa"/>
            <w:vAlign w:val="bottom"/>
            <w:tcBorders>
              <w:bottom w:val="single" w:sz="8" w:color="auto"/>
            </w:tcBorders>
            <w:shd w:val="clear" w:color="auto" w:fill="BFBFBF"/>
          </w:tcPr>
          <w:p>
            <w:pPr>
              <w:jc w:val="right"/>
              <w:ind w:right="319"/>
              <w:spacing w:after="0"/>
              <w:rPr>
                <w:sz w:val="20"/>
                <w:szCs w:val="20"/>
                <w:color w:val="auto"/>
              </w:rPr>
            </w:pPr>
            <w:r>
              <w:rPr>
                <w:rFonts w:ascii="Arial" w:cs="Arial" w:eastAsia="Arial" w:hAnsi="Arial"/>
                <w:sz w:val="16"/>
                <w:szCs w:val="16"/>
                <w:color w:val="auto"/>
              </w:rPr>
              <w:t>55,232</w:t>
            </w:r>
          </w:p>
        </w:tc>
      </w:tr>
      <w:tr>
        <w:trPr>
          <w:trHeight w:val="223"/>
        </w:trPr>
        <w:tc>
          <w:tcPr>
            <w:tcW w:w="6880" w:type="dxa"/>
            <w:vAlign w:val="bottom"/>
            <w:tcBorders>
              <w:bottom w:val="single" w:sz="8" w:color="BFBFBF"/>
            </w:tcBorders>
          </w:tcPr>
          <w:p>
            <w:pPr>
              <w:ind w:left="120"/>
              <w:spacing w:after="0" w:line="183" w:lineRule="exact"/>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gridSpan w:val="2"/>
          </w:tcPr>
          <w:p>
            <w:pPr>
              <w:jc w:val="right"/>
              <w:ind w:right="279"/>
              <w:spacing w:after="0" w:line="183" w:lineRule="exact"/>
              <w:rPr>
                <w:sz w:val="20"/>
                <w:szCs w:val="20"/>
                <w:color w:val="auto"/>
              </w:rPr>
            </w:pPr>
            <w:r>
              <w:rPr>
                <w:rFonts w:ascii="Arial" w:cs="Arial" w:eastAsia="Arial" w:hAnsi="Arial"/>
                <w:sz w:val="16"/>
                <w:szCs w:val="16"/>
                <w:color w:val="auto"/>
                <w:w w:val="98"/>
              </w:rPr>
              <w:t>1,417,992</w:t>
            </w:r>
          </w:p>
        </w:tc>
        <w:tc>
          <w:tcPr>
            <w:tcW w:w="500" w:type="dxa"/>
            <w:vAlign w:val="bottom"/>
            <w:tcBorders>
              <w:bottom w:val="single" w:sz="8" w:color="auto"/>
            </w:tcBorders>
          </w:tcPr>
          <w:p>
            <w:pPr>
              <w:ind w:left="400"/>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7,081</w:t>
            </w:r>
          </w:p>
        </w:tc>
        <w:tc>
          <w:tcPr>
            <w:tcW w:w="500" w:type="dxa"/>
            <w:vAlign w:val="bottom"/>
            <w:tcBorders>
              <w:bottom w:val="single" w:sz="8" w:color="auto"/>
            </w:tcBorders>
          </w:tcPr>
          <w:p>
            <w:pPr>
              <w:ind w:left="420"/>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tcPr>
          <w:p>
            <w:pPr>
              <w:jc w:val="right"/>
              <w:ind w:right="319"/>
              <w:spacing w:after="0" w:line="183" w:lineRule="exact"/>
              <w:rPr>
                <w:sz w:val="20"/>
                <w:szCs w:val="20"/>
                <w:color w:val="auto"/>
              </w:rPr>
            </w:pPr>
            <w:r>
              <w:rPr>
                <w:rFonts w:ascii="Arial" w:cs="Arial" w:eastAsia="Arial" w:hAnsi="Arial"/>
                <w:sz w:val="16"/>
                <w:szCs w:val="16"/>
                <w:color w:val="auto"/>
                <w:w w:val="98"/>
              </w:rPr>
              <w:t>1,425,073</w:t>
            </w:r>
          </w:p>
        </w:tc>
      </w:tr>
      <w:tr>
        <w:trPr>
          <w:trHeight w:val="156"/>
        </w:trPr>
        <w:tc>
          <w:tcPr>
            <w:tcW w:w="6880" w:type="dxa"/>
            <w:vAlign w:val="bottom"/>
            <w:shd w:val="clear" w:color="auto" w:fill="BFBFBF"/>
          </w:tcPr>
          <w:p>
            <w:pPr>
              <w:spacing w:after="0"/>
              <w:rPr>
                <w:sz w:val="13"/>
                <w:szCs w:val="13"/>
                <w:color w:val="auto"/>
              </w:rPr>
            </w:pPr>
          </w:p>
        </w:tc>
        <w:tc>
          <w:tcPr>
            <w:tcW w:w="420" w:type="dxa"/>
            <w:vAlign w:val="bottom"/>
            <w:shd w:val="clear" w:color="auto" w:fill="BFBFBF"/>
          </w:tcPr>
          <w:p>
            <w:pPr>
              <w:spacing w:after="0"/>
              <w:rPr>
                <w:sz w:val="13"/>
                <w:szCs w:val="13"/>
                <w:color w:val="auto"/>
              </w:rPr>
            </w:pPr>
          </w:p>
        </w:tc>
        <w:tc>
          <w:tcPr>
            <w:tcW w:w="40" w:type="dxa"/>
            <w:vAlign w:val="bottom"/>
            <w:shd w:val="clear" w:color="auto" w:fill="BFBFBF"/>
          </w:tcPr>
          <w:p>
            <w:pPr>
              <w:spacing w:after="0"/>
              <w:rPr>
                <w:sz w:val="13"/>
                <w:szCs w:val="13"/>
                <w:color w:val="auto"/>
              </w:rPr>
            </w:pPr>
          </w:p>
        </w:tc>
        <w:tc>
          <w:tcPr>
            <w:tcW w:w="1040" w:type="dxa"/>
            <w:vAlign w:val="bottom"/>
            <w:shd w:val="clear" w:color="auto" w:fill="BFBFBF"/>
          </w:tcPr>
          <w:p>
            <w:pPr>
              <w:spacing w:after="0"/>
              <w:rPr>
                <w:sz w:val="13"/>
                <w:szCs w:val="13"/>
                <w:color w:val="auto"/>
              </w:rPr>
            </w:pPr>
          </w:p>
        </w:tc>
        <w:tc>
          <w:tcPr>
            <w:tcW w:w="500" w:type="dxa"/>
            <w:vAlign w:val="bottom"/>
            <w:shd w:val="clear" w:color="auto" w:fill="BFBFBF"/>
          </w:tcPr>
          <w:p>
            <w:pPr>
              <w:spacing w:after="0"/>
              <w:rPr>
                <w:sz w:val="13"/>
                <w:szCs w:val="13"/>
                <w:color w:val="auto"/>
              </w:rPr>
            </w:pPr>
          </w:p>
        </w:tc>
        <w:tc>
          <w:tcPr>
            <w:tcW w:w="920" w:type="dxa"/>
            <w:vAlign w:val="bottom"/>
            <w:shd w:val="clear" w:color="auto" w:fill="BFBFBF"/>
          </w:tcPr>
          <w:p>
            <w:pPr>
              <w:spacing w:after="0"/>
              <w:rPr>
                <w:sz w:val="13"/>
                <w:szCs w:val="13"/>
                <w:color w:val="auto"/>
              </w:rPr>
            </w:pPr>
          </w:p>
        </w:tc>
        <w:tc>
          <w:tcPr>
            <w:tcW w:w="500" w:type="dxa"/>
            <w:vAlign w:val="bottom"/>
            <w:shd w:val="clear" w:color="auto" w:fill="BFBFBF"/>
          </w:tcPr>
          <w:p>
            <w:pPr>
              <w:spacing w:after="0"/>
              <w:rPr>
                <w:sz w:val="13"/>
                <w:szCs w:val="13"/>
                <w:color w:val="auto"/>
              </w:rPr>
            </w:pPr>
          </w:p>
        </w:tc>
        <w:tc>
          <w:tcPr>
            <w:tcW w:w="20" w:type="dxa"/>
            <w:vAlign w:val="bottom"/>
            <w:shd w:val="clear" w:color="auto" w:fill="BFBFBF"/>
          </w:tcPr>
          <w:p>
            <w:pPr>
              <w:spacing w:after="0"/>
              <w:rPr>
                <w:sz w:val="13"/>
                <w:szCs w:val="13"/>
                <w:color w:val="auto"/>
              </w:rPr>
            </w:pPr>
          </w:p>
        </w:tc>
        <w:tc>
          <w:tcPr>
            <w:tcW w:w="1100" w:type="dxa"/>
            <w:vAlign w:val="bottom"/>
            <w:shd w:val="clear" w:color="auto" w:fill="BFBFBF"/>
          </w:tcPr>
          <w:p>
            <w:pPr>
              <w:spacing w:after="0"/>
              <w:rPr>
                <w:sz w:val="13"/>
                <w:szCs w:val="13"/>
                <w:color w:val="auto"/>
              </w:rPr>
            </w:pPr>
          </w:p>
        </w:tc>
      </w:tr>
      <w:tr>
        <w:trPr>
          <w:trHeight w:val="189"/>
        </w:trPr>
        <w:tc>
          <w:tcPr>
            <w:tcW w:w="6880" w:type="dxa"/>
            <w:vAlign w:val="bottom"/>
          </w:tcPr>
          <w:p>
            <w:pPr>
              <w:spacing w:after="0"/>
              <w:rPr>
                <w:sz w:val="20"/>
                <w:szCs w:val="20"/>
                <w:color w:val="auto"/>
              </w:rPr>
            </w:pPr>
            <w:r>
              <w:rPr>
                <w:rFonts w:ascii="Arial" w:cs="Arial" w:eastAsia="Arial" w:hAnsi="Arial"/>
                <w:sz w:val="16"/>
                <w:szCs w:val="16"/>
                <w:color w:val="auto"/>
              </w:rPr>
              <w:t>LIABILITIES AND SHAREHOLDERS' EQUITY</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6880" w:type="dxa"/>
            <w:vAlign w:val="bottom"/>
            <w:shd w:val="clear" w:color="auto" w:fill="BFBFBF"/>
          </w:tcPr>
          <w:p>
            <w:pPr>
              <w:spacing w:after="0"/>
              <w:rPr>
                <w:sz w:val="20"/>
                <w:szCs w:val="20"/>
                <w:color w:val="auto"/>
              </w:rPr>
            </w:pPr>
            <w:r>
              <w:rPr>
                <w:rFonts w:ascii="Arial" w:cs="Arial" w:eastAsia="Arial" w:hAnsi="Arial"/>
                <w:sz w:val="16"/>
                <w:szCs w:val="16"/>
                <w:color w:val="auto"/>
              </w:rPr>
              <w:t>Notes and loans payable</w:t>
            </w:r>
          </w:p>
        </w:tc>
        <w:tc>
          <w:tcPr>
            <w:tcW w:w="460" w:type="dxa"/>
            <w:vAlign w:val="bottom"/>
            <w:gridSpan w:val="2"/>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BFBFBF"/>
          </w:tcPr>
          <w:p>
            <w:pPr>
              <w:jc w:val="right"/>
              <w:ind w:right="279"/>
              <w:spacing w:after="0"/>
              <w:rPr>
                <w:sz w:val="20"/>
                <w:szCs w:val="20"/>
                <w:color w:val="auto"/>
              </w:rPr>
            </w:pPr>
            <w:r>
              <w:rPr>
                <w:rFonts w:ascii="Arial" w:cs="Arial" w:eastAsia="Arial" w:hAnsi="Arial"/>
                <w:sz w:val="16"/>
                <w:szCs w:val="16"/>
                <w:color w:val="auto"/>
              </w:rPr>
              <w:t>—</w:t>
            </w:r>
          </w:p>
        </w:tc>
        <w:tc>
          <w:tcPr>
            <w:tcW w:w="500" w:type="dxa"/>
            <w:vAlign w:val="bottom"/>
            <w:shd w:val="clear" w:color="auto" w:fill="BFBFBF"/>
          </w:tcPr>
          <w:p>
            <w:pPr>
              <w:ind w:left="40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BFBFBF"/>
          </w:tcPr>
          <w:p>
            <w:pPr>
              <w:ind w:left="42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w:t>
            </w:r>
          </w:p>
        </w:tc>
      </w:tr>
      <w:tr>
        <w:trPr>
          <w:trHeight w:val="189"/>
        </w:trPr>
        <w:tc>
          <w:tcPr>
            <w:tcW w:w="6880" w:type="dxa"/>
            <w:vAlign w:val="bottom"/>
          </w:tcPr>
          <w:p>
            <w:pPr>
              <w:spacing w:after="0"/>
              <w:rPr>
                <w:sz w:val="20"/>
                <w:szCs w:val="20"/>
                <w:color w:val="auto"/>
              </w:rPr>
            </w:pPr>
            <w:r>
              <w:rPr>
                <w:rFonts w:ascii="Arial" w:cs="Arial" w:eastAsia="Arial" w:hAnsi="Arial"/>
                <w:sz w:val="16"/>
                <w:szCs w:val="16"/>
                <w:color w:val="auto"/>
              </w:rPr>
              <w:t>Accounts payable</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52,246</w:t>
            </w:r>
          </w:p>
        </w:tc>
        <w:tc>
          <w:tcPr>
            <w:tcW w:w="500" w:type="dxa"/>
            <w:vAlign w:val="bottom"/>
          </w:tcPr>
          <w:p>
            <w:pPr>
              <w:spacing w:after="0"/>
              <w:rPr>
                <w:sz w:val="16"/>
                <w:szCs w:val="16"/>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52,246</w:t>
            </w:r>
          </w:p>
        </w:tc>
      </w:tr>
      <w:tr>
        <w:trPr>
          <w:trHeight w:val="189"/>
        </w:trPr>
        <w:tc>
          <w:tcPr>
            <w:tcW w:w="6880" w:type="dxa"/>
            <w:vAlign w:val="bottom"/>
            <w:shd w:val="clear" w:color="auto" w:fill="BFBFBF"/>
          </w:tcPr>
          <w:p>
            <w:pPr>
              <w:spacing w:after="0"/>
              <w:rPr>
                <w:sz w:val="20"/>
                <w:szCs w:val="20"/>
                <w:color w:val="auto"/>
              </w:rPr>
            </w:pPr>
            <w:r>
              <w:rPr>
                <w:rFonts w:ascii="Arial" w:cs="Arial" w:eastAsia="Arial" w:hAnsi="Arial"/>
                <w:sz w:val="16"/>
                <w:szCs w:val="16"/>
                <w:color w:val="auto"/>
              </w:rPr>
              <w:t>Accrued liabilities</w:t>
            </w:r>
          </w:p>
        </w:tc>
        <w:tc>
          <w:tcPr>
            <w:tcW w:w="4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040" w:type="dxa"/>
            <w:vAlign w:val="bottom"/>
            <w:shd w:val="clear" w:color="auto" w:fill="BFBFBF"/>
          </w:tcPr>
          <w:p>
            <w:pPr>
              <w:jc w:val="right"/>
              <w:ind w:right="279"/>
              <w:spacing w:after="0"/>
              <w:rPr>
                <w:sz w:val="20"/>
                <w:szCs w:val="20"/>
                <w:color w:val="auto"/>
              </w:rPr>
            </w:pPr>
            <w:r>
              <w:rPr>
                <w:rFonts w:ascii="Arial" w:cs="Arial" w:eastAsia="Arial" w:hAnsi="Arial"/>
                <w:sz w:val="16"/>
                <w:szCs w:val="16"/>
                <w:color w:val="auto"/>
              </w:rPr>
              <w:t>129,030</w:t>
            </w:r>
          </w:p>
        </w:tc>
        <w:tc>
          <w:tcPr>
            <w:tcW w:w="500" w:type="dxa"/>
            <w:vAlign w:val="bottom"/>
            <w:shd w:val="clear" w:color="auto" w:fill="BFBFBF"/>
          </w:tcPr>
          <w:p>
            <w:pPr>
              <w:spacing w:after="0"/>
              <w:rPr>
                <w:sz w:val="16"/>
                <w:szCs w:val="16"/>
                <w:color w:val="auto"/>
              </w:rPr>
            </w:pPr>
          </w:p>
        </w:tc>
        <w:tc>
          <w:tcPr>
            <w:tcW w:w="92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4,964</w:t>
            </w:r>
          </w:p>
        </w:tc>
        <w:tc>
          <w:tcPr>
            <w:tcW w:w="50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133,994</w:t>
            </w:r>
          </w:p>
        </w:tc>
      </w:tr>
      <w:tr>
        <w:trPr>
          <w:trHeight w:val="189"/>
        </w:trPr>
        <w:tc>
          <w:tcPr>
            <w:tcW w:w="6880" w:type="dxa"/>
            <w:vAlign w:val="bottom"/>
          </w:tcPr>
          <w:p>
            <w:pPr>
              <w:spacing w:after="0"/>
              <w:rPr>
                <w:sz w:val="20"/>
                <w:szCs w:val="20"/>
                <w:color w:val="auto"/>
              </w:rPr>
            </w:pPr>
            <w:r>
              <w:rPr>
                <w:rFonts w:ascii="Arial" w:cs="Arial" w:eastAsia="Arial" w:hAnsi="Arial"/>
                <w:sz w:val="16"/>
                <w:szCs w:val="16"/>
                <w:color w:val="auto"/>
              </w:rPr>
              <w:t>Current maturities of long-term debt</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1,224</w:t>
            </w:r>
          </w:p>
        </w:tc>
        <w:tc>
          <w:tcPr>
            <w:tcW w:w="50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color w:val="auto"/>
              </w:rPr>
              <w:t>(1,206)</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18</w:t>
            </w:r>
          </w:p>
        </w:tc>
      </w:tr>
      <w:tr>
        <w:trPr>
          <w:trHeight w:val="189"/>
        </w:trPr>
        <w:tc>
          <w:tcPr>
            <w:tcW w:w="6880" w:type="dxa"/>
            <w:vAlign w:val="bottom"/>
            <w:shd w:val="clear" w:color="auto" w:fill="BFBFBF"/>
          </w:tcPr>
          <w:p>
            <w:pPr>
              <w:spacing w:after="0"/>
              <w:rPr>
                <w:sz w:val="20"/>
                <w:szCs w:val="20"/>
                <w:color w:val="auto"/>
              </w:rPr>
            </w:pPr>
            <w:r>
              <w:rPr>
                <w:rFonts w:ascii="Arial" w:cs="Arial" w:eastAsia="Arial" w:hAnsi="Arial"/>
                <w:sz w:val="16"/>
                <w:szCs w:val="16"/>
                <w:color w:val="auto"/>
              </w:rPr>
              <w:t>Income taxes payable</w:t>
            </w:r>
          </w:p>
        </w:tc>
        <w:tc>
          <w:tcPr>
            <w:tcW w:w="420" w:type="dxa"/>
            <w:vAlign w:val="bottom"/>
            <w:tcBorders>
              <w:bottom w:val="single" w:sz="8" w:color="auto"/>
            </w:tcBorders>
            <w:shd w:val="clear" w:color="auto" w:fill="BFBFBF"/>
          </w:tcPr>
          <w:p>
            <w:pPr>
              <w:spacing w:after="0"/>
              <w:rPr>
                <w:sz w:val="16"/>
                <w:szCs w:val="16"/>
                <w:color w:val="auto"/>
              </w:rPr>
            </w:pPr>
          </w:p>
        </w:tc>
        <w:tc>
          <w:tcPr>
            <w:tcW w:w="40" w:type="dxa"/>
            <w:vAlign w:val="bottom"/>
            <w:tcBorders>
              <w:bottom w:val="single" w:sz="8" w:color="auto"/>
            </w:tcBorders>
            <w:shd w:val="clear" w:color="auto" w:fill="BFBFBF"/>
          </w:tcPr>
          <w:p>
            <w:pPr>
              <w:spacing w:after="0"/>
              <w:rPr>
                <w:sz w:val="16"/>
                <w:szCs w:val="16"/>
                <w:color w:val="auto"/>
              </w:rPr>
            </w:pPr>
          </w:p>
        </w:tc>
        <w:tc>
          <w:tcPr>
            <w:tcW w:w="1040" w:type="dxa"/>
            <w:vAlign w:val="bottom"/>
            <w:tcBorders>
              <w:bottom w:val="single" w:sz="8" w:color="auto"/>
            </w:tcBorders>
            <w:shd w:val="clear" w:color="auto" w:fill="BFBFBF"/>
          </w:tcPr>
          <w:p>
            <w:pPr>
              <w:jc w:val="right"/>
              <w:ind w:right="279"/>
              <w:spacing w:after="0"/>
              <w:rPr>
                <w:sz w:val="20"/>
                <w:szCs w:val="20"/>
                <w:color w:val="auto"/>
              </w:rPr>
            </w:pPr>
            <w:r>
              <w:rPr>
                <w:rFonts w:ascii="Arial" w:cs="Arial" w:eastAsia="Arial" w:hAnsi="Arial"/>
                <w:sz w:val="16"/>
                <w:szCs w:val="16"/>
                <w:color w:val="auto"/>
              </w:rPr>
              <w:t>6,806</w:t>
            </w:r>
          </w:p>
        </w:tc>
        <w:tc>
          <w:tcPr>
            <w:tcW w:w="500" w:type="dxa"/>
            <w:vAlign w:val="bottom"/>
            <w:tcBorders>
              <w:bottom w:val="single" w:sz="8" w:color="auto"/>
            </w:tcBorders>
            <w:shd w:val="clear" w:color="auto" w:fill="BFBFBF"/>
          </w:tcPr>
          <w:p>
            <w:pPr>
              <w:spacing w:after="0"/>
              <w:rPr>
                <w:sz w:val="16"/>
                <w:szCs w:val="16"/>
                <w:color w:val="auto"/>
              </w:rPr>
            </w:pPr>
          </w:p>
        </w:tc>
        <w:tc>
          <w:tcPr>
            <w:tcW w:w="920" w:type="dxa"/>
            <w:vAlign w:val="bottom"/>
            <w:tcBorders>
              <w:bottom w:val="single" w:sz="8" w:color="auto"/>
            </w:tcBorders>
            <w:shd w:val="clear" w:color="auto" w:fill="BFBFBF"/>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BFBFBF"/>
          </w:tcPr>
          <w:p>
            <w:pPr>
              <w:spacing w:after="0"/>
              <w:rPr>
                <w:sz w:val="16"/>
                <w:szCs w:val="16"/>
                <w:color w:val="auto"/>
              </w:rPr>
            </w:pPr>
          </w:p>
        </w:tc>
        <w:tc>
          <w:tcPr>
            <w:tcW w:w="20" w:type="dxa"/>
            <w:vAlign w:val="bottom"/>
            <w:tcBorders>
              <w:bottom w:val="single" w:sz="8" w:color="auto"/>
            </w:tcBorders>
            <w:shd w:val="clear" w:color="auto" w:fill="BFBFBF"/>
          </w:tcPr>
          <w:p>
            <w:pPr>
              <w:spacing w:after="0"/>
              <w:rPr>
                <w:sz w:val="16"/>
                <w:szCs w:val="16"/>
                <w:color w:val="auto"/>
              </w:rPr>
            </w:pPr>
          </w:p>
        </w:tc>
        <w:tc>
          <w:tcPr>
            <w:tcW w:w="1100" w:type="dxa"/>
            <w:vAlign w:val="bottom"/>
            <w:tcBorders>
              <w:bottom w:val="single" w:sz="8" w:color="auto"/>
            </w:tcBorders>
            <w:shd w:val="clear" w:color="auto" w:fill="BFBFBF"/>
          </w:tcPr>
          <w:p>
            <w:pPr>
              <w:jc w:val="right"/>
              <w:ind w:right="319"/>
              <w:spacing w:after="0"/>
              <w:rPr>
                <w:sz w:val="20"/>
                <w:szCs w:val="20"/>
                <w:color w:val="auto"/>
              </w:rPr>
            </w:pPr>
            <w:r>
              <w:rPr>
                <w:rFonts w:ascii="Arial" w:cs="Arial" w:eastAsia="Arial" w:hAnsi="Arial"/>
                <w:sz w:val="16"/>
                <w:szCs w:val="16"/>
                <w:color w:val="auto"/>
              </w:rPr>
              <w:t>6,806</w:t>
            </w:r>
          </w:p>
        </w:tc>
      </w:tr>
      <w:tr>
        <w:trPr>
          <w:trHeight w:val="183"/>
        </w:trPr>
        <w:tc>
          <w:tcPr>
            <w:tcW w:w="6880" w:type="dxa"/>
            <w:vAlign w:val="bottom"/>
          </w:tcPr>
          <w:p>
            <w:pPr>
              <w:ind w:left="120"/>
              <w:spacing w:after="0" w:line="183" w:lineRule="exact"/>
              <w:rPr>
                <w:sz w:val="20"/>
                <w:szCs w:val="20"/>
                <w:color w:val="auto"/>
              </w:rPr>
            </w:pPr>
            <w:r>
              <w:rPr>
                <w:rFonts w:ascii="Arial" w:cs="Arial" w:eastAsia="Arial" w:hAnsi="Arial"/>
                <w:sz w:val="16"/>
                <w:szCs w:val="16"/>
                <w:color w:val="auto"/>
              </w:rPr>
              <w:t>Total current liabilities</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jc w:val="right"/>
              <w:ind w:right="279"/>
              <w:spacing w:after="0" w:line="183" w:lineRule="exact"/>
              <w:rPr>
                <w:sz w:val="20"/>
                <w:szCs w:val="20"/>
                <w:color w:val="auto"/>
              </w:rPr>
            </w:pPr>
            <w:r>
              <w:rPr>
                <w:rFonts w:ascii="Arial" w:cs="Arial" w:eastAsia="Arial" w:hAnsi="Arial"/>
                <w:sz w:val="16"/>
                <w:szCs w:val="16"/>
                <w:color w:val="auto"/>
              </w:rPr>
              <w:t>189,306</w:t>
            </w:r>
          </w:p>
        </w:tc>
        <w:tc>
          <w:tcPr>
            <w:tcW w:w="500" w:type="dxa"/>
            <w:vAlign w:val="bottom"/>
          </w:tcPr>
          <w:p>
            <w:pPr>
              <w:spacing w:after="0"/>
              <w:rPr>
                <w:sz w:val="15"/>
                <w:szCs w:val="15"/>
                <w:color w:val="auto"/>
              </w:rPr>
            </w:pPr>
          </w:p>
        </w:tc>
        <w:tc>
          <w:tcPr>
            <w:tcW w:w="92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3,758</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193,064</w:t>
            </w:r>
          </w:p>
        </w:tc>
      </w:tr>
      <w:tr>
        <w:trPr>
          <w:trHeight w:val="189"/>
        </w:trPr>
        <w:tc>
          <w:tcPr>
            <w:tcW w:w="6880" w:type="dxa"/>
            <w:vAlign w:val="bottom"/>
            <w:shd w:val="clear" w:color="auto" w:fill="BFBFBF"/>
          </w:tcPr>
          <w:p>
            <w:pPr>
              <w:spacing w:after="0"/>
              <w:rPr>
                <w:sz w:val="16"/>
                <w:szCs w:val="16"/>
                <w:color w:val="auto"/>
              </w:rPr>
            </w:pPr>
          </w:p>
        </w:tc>
        <w:tc>
          <w:tcPr>
            <w:tcW w:w="4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040" w:type="dxa"/>
            <w:vAlign w:val="bottom"/>
            <w:shd w:val="clear" w:color="auto" w:fill="BFBFBF"/>
          </w:tcPr>
          <w:p>
            <w:pPr>
              <w:spacing w:after="0"/>
              <w:rPr>
                <w:sz w:val="16"/>
                <w:szCs w:val="16"/>
                <w:color w:val="auto"/>
              </w:rPr>
            </w:pPr>
          </w:p>
        </w:tc>
        <w:tc>
          <w:tcPr>
            <w:tcW w:w="1420" w:type="dxa"/>
            <w:vAlign w:val="bottom"/>
            <w:gridSpan w:val="2"/>
            <w:shd w:val="clear" w:color="auto" w:fill="BFBFBF"/>
          </w:tcPr>
          <w:p>
            <w:pPr>
              <w:spacing w:after="0"/>
              <w:rPr>
                <w:sz w:val="16"/>
                <w:szCs w:val="16"/>
                <w:color w:val="auto"/>
              </w:rPr>
            </w:pPr>
          </w:p>
        </w:tc>
        <w:tc>
          <w:tcPr>
            <w:tcW w:w="50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1100" w:type="dxa"/>
            <w:vAlign w:val="bottom"/>
            <w:shd w:val="clear" w:color="auto" w:fill="BFBFBF"/>
          </w:tcPr>
          <w:p>
            <w:pPr>
              <w:spacing w:after="0"/>
              <w:rPr>
                <w:sz w:val="16"/>
                <w:szCs w:val="16"/>
                <w:color w:val="auto"/>
              </w:rPr>
            </w:pPr>
          </w:p>
        </w:tc>
      </w:tr>
      <w:tr>
        <w:trPr>
          <w:trHeight w:val="189"/>
        </w:trPr>
        <w:tc>
          <w:tcPr>
            <w:tcW w:w="6880" w:type="dxa"/>
            <w:vAlign w:val="bottom"/>
          </w:tcPr>
          <w:p>
            <w:pPr>
              <w:spacing w:after="0"/>
              <w:rPr>
                <w:sz w:val="20"/>
                <w:szCs w:val="20"/>
                <w:color w:val="auto"/>
              </w:rPr>
            </w:pPr>
            <w:r>
              <w:rPr>
                <w:rFonts w:ascii="Arial" w:cs="Arial" w:eastAsia="Arial" w:hAnsi="Arial"/>
                <w:sz w:val="16"/>
                <w:szCs w:val="16"/>
                <w:color w:val="auto"/>
              </w:rPr>
              <w:t>Long-term debt</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523,707</w:t>
            </w:r>
          </w:p>
        </w:tc>
        <w:tc>
          <w:tcPr>
            <w:tcW w:w="1420" w:type="dxa"/>
            <w:vAlign w:val="bottom"/>
            <w:gridSpan w:val="2"/>
          </w:tcPr>
          <w:p>
            <w:pPr>
              <w:jc w:val="right"/>
              <w:ind w:right="259"/>
              <w:spacing w:after="0"/>
              <w:rPr>
                <w:sz w:val="20"/>
                <w:szCs w:val="20"/>
                <w:color w:val="auto"/>
              </w:rPr>
            </w:pPr>
            <w:r>
              <w:rPr>
                <w:rFonts w:ascii="Arial" w:cs="Arial" w:eastAsia="Arial" w:hAnsi="Arial"/>
                <w:sz w:val="16"/>
                <w:szCs w:val="16"/>
                <w:color w:val="auto"/>
              </w:rPr>
              <w:t>(24,680)</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499,027</w:t>
            </w:r>
          </w:p>
        </w:tc>
      </w:tr>
      <w:tr>
        <w:trPr>
          <w:trHeight w:val="189"/>
        </w:trPr>
        <w:tc>
          <w:tcPr>
            <w:tcW w:w="6880" w:type="dxa"/>
            <w:vAlign w:val="bottom"/>
            <w:shd w:val="clear" w:color="auto" w:fill="BFBFBF"/>
          </w:tcPr>
          <w:p>
            <w:pPr>
              <w:spacing w:after="0"/>
              <w:rPr>
                <w:sz w:val="20"/>
                <w:szCs w:val="20"/>
                <w:color w:val="auto"/>
              </w:rPr>
            </w:pPr>
            <w:r>
              <w:rPr>
                <w:rFonts w:ascii="Arial" w:cs="Arial" w:eastAsia="Arial" w:hAnsi="Arial"/>
                <w:sz w:val="16"/>
                <w:szCs w:val="16"/>
                <w:color w:val="auto"/>
              </w:rPr>
              <w:t>Other noncurrent liabilities</w:t>
            </w:r>
          </w:p>
        </w:tc>
        <w:tc>
          <w:tcPr>
            <w:tcW w:w="4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040" w:type="dxa"/>
            <w:vAlign w:val="bottom"/>
            <w:shd w:val="clear" w:color="auto" w:fill="BFBFBF"/>
          </w:tcPr>
          <w:p>
            <w:pPr>
              <w:jc w:val="right"/>
              <w:ind w:right="279"/>
              <w:spacing w:after="0"/>
              <w:rPr>
                <w:sz w:val="20"/>
                <w:szCs w:val="20"/>
                <w:color w:val="auto"/>
              </w:rPr>
            </w:pPr>
            <w:r>
              <w:rPr>
                <w:rFonts w:ascii="Arial" w:cs="Arial" w:eastAsia="Arial" w:hAnsi="Arial"/>
                <w:sz w:val="16"/>
                <w:szCs w:val="16"/>
                <w:color w:val="auto"/>
              </w:rPr>
              <w:t>88,277</w:t>
            </w:r>
          </w:p>
        </w:tc>
        <w:tc>
          <w:tcPr>
            <w:tcW w:w="500" w:type="dxa"/>
            <w:vAlign w:val="bottom"/>
            <w:shd w:val="clear" w:color="auto" w:fill="BFBFBF"/>
          </w:tcPr>
          <w:p>
            <w:pPr>
              <w:spacing w:after="0"/>
              <w:rPr>
                <w:sz w:val="16"/>
                <w:szCs w:val="16"/>
                <w:color w:val="auto"/>
              </w:rPr>
            </w:pPr>
          </w:p>
        </w:tc>
        <w:tc>
          <w:tcPr>
            <w:tcW w:w="92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27,968</w:t>
            </w:r>
          </w:p>
        </w:tc>
        <w:tc>
          <w:tcPr>
            <w:tcW w:w="50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1100" w:type="dxa"/>
            <w:vAlign w:val="bottom"/>
            <w:shd w:val="clear" w:color="auto" w:fill="BFBFBF"/>
          </w:tcPr>
          <w:p>
            <w:pPr>
              <w:jc w:val="right"/>
              <w:ind w:right="299"/>
              <w:spacing w:after="0"/>
              <w:rPr>
                <w:sz w:val="20"/>
                <w:szCs w:val="20"/>
                <w:color w:val="auto"/>
              </w:rPr>
            </w:pPr>
            <w:r>
              <w:rPr>
                <w:rFonts w:ascii="Arial" w:cs="Arial" w:eastAsia="Arial" w:hAnsi="Arial"/>
                <w:sz w:val="16"/>
                <w:szCs w:val="16"/>
                <w:color w:val="auto"/>
              </w:rPr>
              <w:t>116,245</w:t>
            </w:r>
          </w:p>
        </w:tc>
      </w:tr>
      <w:tr>
        <w:trPr>
          <w:trHeight w:val="189"/>
        </w:trPr>
        <w:tc>
          <w:tcPr>
            <w:tcW w:w="6880" w:type="dxa"/>
            <w:vAlign w:val="bottom"/>
            <w:tcBorders>
              <w:bottom w:val="single" w:sz="8" w:color="BFBFBF"/>
            </w:tcBorders>
          </w:tcPr>
          <w:p>
            <w:pPr>
              <w:spacing w:after="0"/>
              <w:rPr>
                <w:sz w:val="20"/>
                <w:szCs w:val="20"/>
                <w:color w:val="auto"/>
              </w:rPr>
            </w:pPr>
            <w:r>
              <w:rPr>
                <w:rFonts w:ascii="Arial" w:cs="Arial" w:eastAsia="Arial" w:hAnsi="Arial"/>
                <w:sz w:val="16"/>
                <w:szCs w:val="16"/>
                <w:color w:val="auto"/>
              </w:rPr>
              <w:t>Deferred taxes and other liabilities</w:t>
            </w: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8,422</w:t>
            </w: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8,422</w:t>
            </w:r>
          </w:p>
        </w:tc>
      </w:tr>
      <w:tr>
        <w:trPr>
          <w:trHeight w:val="183"/>
        </w:trPr>
        <w:tc>
          <w:tcPr>
            <w:tcW w:w="6880" w:type="dxa"/>
            <w:vAlign w:val="bottom"/>
            <w:shd w:val="clear" w:color="auto" w:fill="BFBFBF"/>
          </w:tcPr>
          <w:p>
            <w:pPr>
              <w:ind w:left="120"/>
              <w:spacing w:after="0" w:line="183" w:lineRule="exact"/>
              <w:rPr>
                <w:sz w:val="20"/>
                <w:szCs w:val="20"/>
                <w:color w:val="auto"/>
              </w:rPr>
            </w:pPr>
            <w:r>
              <w:rPr>
                <w:rFonts w:ascii="Arial" w:cs="Arial" w:eastAsia="Arial" w:hAnsi="Arial"/>
                <w:sz w:val="16"/>
                <w:szCs w:val="16"/>
                <w:color w:val="auto"/>
              </w:rPr>
              <w:t>Total liabilities</w:t>
            </w:r>
          </w:p>
        </w:tc>
        <w:tc>
          <w:tcPr>
            <w:tcW w:w="420" w:type="dxa"/>
            <w:vAlign w:val="bottom"/>
            <w:tcBorders>
              <w:bottom w:val="single" w:sz="8" w:color="auto"/>
            </w:tcBorders>
            <w:shd w:val="clear" w:color="auto" w:fill="BFBFBF"/>
          </w:tcPr>
          <w:p>
            <w:pPr>
              <w:spacing w:after="0"/>
              <w:rPr>
                <w:sz w:val="15"/>
                <w:szCs w:val="15"/>
                <w:color w:val="auto"/>
              </w:rPr>
            </w:pPr>
          </w:p>
        </w:tc>
        <w:tc>
          <w:tcPr>
            <w:tcW w:w="40" w:type="dxa"/>
            <w:vAlign w:val="bottom"/>
            <w:tcBorders>
              <w:bottom w:val="single" w:sz="8" w:color="auto"/>
            </w:tcBorders>
            <w:shd w:val="clear" w:color="auto" w:fill="BFBFBF"/>
          </w:tcPr>
          <w:p>
            <w:pPr>
              <w:spacing w:after="0"/>
              <w:rPr>
                <w:sz w:val="15"/>
                <w:szCs w:val="15"/>
                <w:color w:val="auto"/>
              </w:rPr>
            </w:pPr>
          </w:p>
        </w:tc>
        <w:tc>
          <w:tcPr>
            <w:tcW w:w="1040" w:type="dxa"/>
            <w:vAlign w:val="bottom"/>
            <w:tcBorders>
              <w:bottom w:val="single" w:sz="8" w:color="auto"/>
            </w:tcBorders>
            <w:shd w:val="clear" w:color="auto" w:fill="BFBFBF"/>
          </w:tcPr>
          <w:p>
            <w:pPr>
              <w:jc w:val="right"/>
              <w:ind w:right="279"/>
              <w:spacing w:after="0" w:line="183" w:lineRule="exact"/>
              <w:rPr>
                <w:sz w:val="20"/>
                <w:szCs w:val="20"/>
                <w:color w:val="auto"/>
              </w:rPr>
            </w:pPr>
            <w:r>
              <w:rPr>
                <w:rFonts w:ascii="Arial" w:cs="Arial" w:eastAsia="Arial" w:hAnsi="Arial"/>
                <w:sz w:val="16"/>
                <w:szCs w:val="16"/>
                <w:color w:val="auto"/>
              </w:rPr>
              <w:t>809,712</w:t>
            </w:r>
          </w:p>
        </w:tc>
        <w:tc>
          <w:tcPr>
            <w:tcW w:w="500" w:type="dxa"/>
            <w:vAlign w:val="bottom"/>
            <w:tcBorders>
              <w:bottom w:val="single" w:sz="8" w:color="auto"/>
            </w:tcBorders>
            <w:shd w:val="clear" w:color="auto" w:fill="BFBFBF"/>
          </w:tcPr>
          <w:p>
            <w:pPr>
              <w:spacing w:after="0"/>
              <w:rPr>
                <w:sz w:val="15"/>
                <w:szCs w:val="15"/>
                <w:color w:val="auto"/>
              </w:rPr>
            </w:pPr>
          </w:p>
        </w:tc>
        <w:tc>
          <w:tcPr>
            <w:tcW w:w="920" w:type="dxa"/>
            <w:vAlign w:val="bottom"/>
            <w:tcBorders>
              <w:bottom w:val="single" w:sz="8" w:color="auto"/>
            </w:tcBorders>
            <w:shd w:val="clear" w:color="auto" w:fill="BFBFBF"/>
          </w:tcPr>
          <w:p>
            <w:pPr>
              <w:jc w:val="right"/>
              <w:ind w:right="319"/>
              <w:spacing w:after="0" w:line="183" w:lineRule="exact"/>
              <w:rPr>
                <w:sz w:val="20"/>
                <w:szCs w:val="20"/>
                <w:color w:val="auto"/>
              </w:rPr>
            </w:pPr>
            <w:r>
              <w:rPr>
                <w:rFonts w:ascii="Arial" w:cs="Arial" w:eastAsia="Arial" w:hAnsi="Arial"/>
                <w:sz w:val="16"/>
                <w:szCs w:val="16"/>
                <w:color w:val="auto"/>
              </w:rPr>
              <w:t>7,046</w:t>
            </w:r>
          </w:p>
        </w:tc>
        <w:tc>
          <w:tcPr>
            <w:tcW w:w="500" w:type="dxa"/>
            <w:vAlign w:val="bottom"/>
            <w:tcBorders>
              <w:bottom w:val="single" w:sz="8" w:color="auto"/>
            </w:tcBorders>
            <w:shd w:val="clear" w:color="auto" w:fill="BFBFBF"/>
          </w:tcPr>
          <w:p>
            <w:pPr>
              <w:spacing w:after="0"/>
              <w:rPr>
                <w:sz w:val="15"/>
                <w:szCs w:val="15"/>
                <w:color w:val="auto"/>
              </w:rPr>
            </w:pPr>
          </w:p>
        </w:tc>
        <w:tc>
          <w:tcPr>
            <w:tcW w:w="20" w:type="dxa"/>
            <w:vAlign w:val="bottom"/>
            <w:tcBorders>
              <w:bottom w:val="single" w:sz="8" w:color="auto"/>
            </w:tcBorders>
            <w:shd w:val="clear" w:color="auto" w:fill="BFBFBF"/>
          </w:tcPr>
          <w:p>
            <w:pPr>
              <w:spacing w:after="0"/>
              <w:rPr>
                <w:sz w:val="15"/>
                <w:szCs w:val="15"/>
                <w:color w:val="auto"/>
              </w:rPr>
            </w:pPr>
          </w:p>
        </w:tc>
        <w:tc>
          <w:tcPr>
            <w:tcW w:w="1100" w:type="dxa"/>
            <w:vAlign w:val="bottom"/>
            <w:tcBorders>
              <w:bottom w:val="single" w:sz="8" w:color="auto"/>
            </w:tcBorders>
            <w:shd w:val="clear" w:color="auto" w:fill="BFBFBF"/>
          </w:tcPr>
          <w:p>
            <w:pPr>
              <w:jc w:val="right"/>
              <w:ind w:right="319"/>
              <w:spacing w:after="0" w:line="183" w:lineRule="exact"/>
              <w:rPr>
                <w:sz w:val="20"/>
                <w:szCs w:val="20"/>
                <w:color w:val="auto"/>
              </w:rPr>
            </w:pPr>
            <w:r>
              <w:rPr>
                <w:rFonts w:ascii="Arial" w:cs="Arial" w:eastAsia="Arial" w:hAnsi="Arial"/>
                <w:sz w:val="16"/>
                <w:szCs w:val="16"/>
                <w:color w:val="auto"/>
              </w:rPr>
              <w:t>816,758</w:t>
            </w:r>
          </w:p>
        </w:tc>
      </w:tr>
      <w:tr>
        <w:trPr>
          <w:trHeight w:val="169"/>
        </w:trPr>
        <w:tc>
          <w:tcPr>
            <w:tcW w:w="6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9"/>
        </w:trPr>
        <w:tc>
          <w:tcPr>
            <w:tcW w:w="6880" w:type="dxa"/>
            <w:vAlign w:val="bottom"/>
            <w:shd w:val="clear" w:color="auto" w:fill="BFBFBF"/>
          </w:tcPr>
          <w:p>
            <w:pPr>
              <w:spacing w:after="0"/>
              <w:rPr>
                <w:sz w:val="20"/>
                <w:szCs w:val="20"/>
                <w:color w:val="auto"/>
              </w:rPr>
            </w:pPr>
            <w:r>
              <w:rPr>
                <w:rFonts w:ascii="Arial" w:cs="Arial" w:eastAsia="Arial" w:hAnsi="Arial"/>
                <w:sz w:val="16"/>
                <w:szCs w:val="16"/>
                <w:color w:val="auto"/>
              </w:rPr>
              <w:t>SHAREHOLDERS' EQUITY</w:t>
            </w:r>
          </w:p>
        </w:tc>
        <w:tc>
          <w:tcPr>
            <w:tcW w:w="4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040" w:type="dxa"/>
            <w:vAlign w:val="bottom"/>
            <w:shd w:val="clear" w:color="auto" w:fill="BFBFBF"/>
          </w:tcPr>
          <w:p>
            <w:pPr>
              <w:spacing w:after="0"/>
              <w:rPr>
                <w:sz w:val="16"/>
                <w:szCs w:val="16"/>
                <w:color w:val="auto"/>
              </w:rPr>
            </w:pPr>
          </w:p>
        </w:tc>
        <w:tc>
          <w:tcPr>
            <w:tcW w:w="500" w:type="dxa"/>
            <w:vAlign w:val="bottom"/>
            <w:shd w:val="clear" w:color="auto" w:fill="BFBFBF"/>
          </w:tcPr>
          <w:p>
            <w:pPr>
              <w:spacing w:after="0"/>
              <w:rPr>
                <w:sz w:val="16"/>
                <w:szCs w:val="16"/>
                <w:color w:val="auto"/>
              </w:rPr>
            </w:pPr>
          </w:p>
        </w:tc>
        <w:tc>
          <w:tcPr>
            <w:tcW w:w="920" w:type="dxa"/>
            <w:vAlign w:val="bottom"/>
            <w:shd w:val="clear" w:color="auto" w:fill="BFBFBF"/>
          </w:tcPr>
          <w:p>
            <w:pPr>
              <w:spacing w:after="0"/>
              <w:rPr>
                <w:sz w:val="16"/>
                <w:szCs w:val="16"/>
                <w:color w:val="auto"/>
              </w:rPr>
            </w:pPr>
          </w:p>
        </w:tc>
        <w:tc>
          <w:tcPr>
            <w:tcW w:w="50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1100" w:type="dxa"/>
            <w:vAlign w:val="bottom"/>
            <w:shd w:val="clear" w:color="auto" w:fill="BFBFBF"/>
          </w:tcPr>
          <w:p>
            <w:pPr>
              <w:spacing w:after="0"/>
              <w:rPr>
                <w:sz w:val="16"/>
                <w:szCs w:val="16"/>
                <w:color w:val="auto"/>
              </w:rPr>
            </w:pPr>
          </w:p>
        </w:tc>
      </w:tr>
      <w:tr>
        <w:trPr>
          <w:trHeight w:val="189"/>
        </w:trPr>
        <w:tc>
          <w:tcPr>
            <w:tcW w:w="6880" w:type="dxa"/>
            <w:vAlign w:val="bottom"/>
          </w:tcPr>
          <w:p>
            <w:pPr>
              <w:spacing w:after="0"/>
              <w:rPr>
                <w:sz w:val="20"/>
                <w:szCs w:val="20"/>
                <w:color w:val="auto"/>
              </w:rPr>
            </w:pPr>
            <w:r>
              <w:rPr>
                <w:rFonts w:ascii="Arial" w:cs="Arial" w:eastAsia="Arial" w:hAnsi="Arial"/>
                <w:sz w:val="16"/>
                <w:szCs w:val="16"/>
                <w:color w:val="auto"/>
              </w:rPr>
              <w:t>Preferred stock, par value $5.00 per share; authorized 2,000,000 shares; none issued</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w:t>
            </w:r>
          </w:p>
        </w:tc>
      </w:tr>
      <w:tr>
        <w:trPr>
          <w:trHeight w:val="191"/>
        </w:trPr>
        <w:tc>
          <w:tcPr>
            <w:tcW w:w="6880" w:type="dxa"/>
            <w:vAlign w:val="bottom"/>
            <w:shd w:val="clear" w:color="auto" w:fill="BFBFBF"/>
          </w:tcPr>
          <w:p>
            <w:pPr>
              <w:spacing w:after="0"/>
              <w:rPr>
                <w:sz w:val="20"/>
                <w:szCs w:val="20"/>
                <w:color w:val="auto"/>
              </w:rPr>
            </w:pPr>
            <w:r>
              <w:rPr>
                <w:rFonts w:ascii="Arial" w:cs="Arial" w:eastAsia="Arial" w:hAnsi="Arial"/>
                <w:sz w:val="16"/>
                <w:szCs w:val="16"/>
                <w:color w:val="auto"/>
              </w:rPr>
              <w:t>Class A Common Stock, par value $.001 per share; authorized 100,000,000 shares; issued</w:t>
            </w:r>
          </w:p>
        </w:tc>
        <w:tc>
          <w:tcPr>
            <w:tcW w:w="4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040" w:type="dxa"/>
            <w:vAlign w:val="bottom"/>
            <w:shd w:val="clear" w:color="auto" w:fill="BFBFBF"/>
          </w:tcPr>
          <w:p>
            <w:pPr>
              <w:spacing w:after="0"/>
              <w:rPr>
                <w:sz w:val="16"/>
                <w:szCs w:val="16"/>
                <w:color w:val="auto"/>
              </w:rPr>
            </w:pPr>
          </w:p>
        </w:tc>
        <w:tc>
          <w:tcPr>
            <w:tcW w:w="500" w:type="dxa"/>
            <w:vAlign w:val="bottom"/>
            <w:shd w:val="clear" w:color="auto" w:fill="BFBFBF"/>
          </w:tcPr>
          <w:p>
            <w:pPr>
              <w:spacing w:after="0"/>
              <w:rPr>
                <w:sz w:val="16"/>
                <w:szCs w:val="16"/>
                <w:color w:val="auto"/>
              </w:rPr>
            </w:pPr>
          </w:p>
        </w:tc>
        <w:tc>
          <w:tcPr>
            <w:tcW w:w="920" w:type="dxa"/>
            <w:vAlign w:val="bottom"/>
            <w:shd w:val="clear" w:color="auto" w:fill="BFBFBF"/>
          </w:tcPr>
          <w:p>
            <w:pPr>
              <w:spacing w:after="0"/>
              <w:rPr>
                <w:sz w:val="16"/>
                <w:szCs w:val="16"/>
                <w:color w:val="auto"/>
              </w:rPr>
            </w:pPr>
          </w:p>
        </w:tc>
        <w:tc>
          <w:tcPr>
            <w:tcW w:w="50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1100" w:type="dxa"/>
            <w:vAlign w:val="bottom"/>
            <w:shd w:val="clear" w:color="auto" w:fill="BFBFBF"/>
          </w:tcPr>
          <w:p>
            <w:pPr>
              <w:spacing w:after="0"/>
              <w:rPr>
                <w:sz w:val="16"/>
                <w:szCs w:val="16"/>
                <w:color w:val="auto"/>
              </w:rPr>
            </w:pPr>
          </w:p>
        </w:tc>
      </w:tr>
      <w:tr>
        <w:trPr>
          <w:trHeight w:val="187"/>
        </w:trPr>
        <w:tc>
          <w:tcPr>
            <w:tcW w:w="6880" w:type="dxa"/>
            <w:vAlign w:val="bottom"/>
            <w:shd w:val="clear" w:color="auto" w:fill="BFBFBF"/>
          </w:tcPr>
          <w:p>
            <w:pPr>
              <w:ind w:left="120"/>
              <w:spacing w:after="0"/>
              <w:rPr>
                <w:sz w:val="20"/>
                <w:szCs w:val="20"/>
                <w:color w:val="auto"/>
              </w:rPr>
            </w:pPr>
            <w:r>
              <w:rPr>
                <w:rFonts w:ascii="Arial" w:cs="Arial" w:eastAsia="Arial" w:hAnsi="Arial"/>
                <w:sz w:val="16"/>
                <w:szCs w:val="16"/>
                <w:color w:val="auto"/>
              </w:rPr>
              <w:t>37,450,329 in 2018 and 37,395,753 in 2017</w:t>
            </w:r>
          </w:p>
        </w:tc>
        <w:tc>
          <w:tcPr>
            <w:tcW w:w="4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040" w:type="dxa"/>
            <w:vAlign w:val="bottom"/>
            <w:shd w:val="clear" w:color="auto" w:fill="BFBFBF"/>
          </w:tcPr>
          <w:p>
            <w:pPr>
              <w:jc w:val="right"/>
              <w:ind w:right="279"/>
              <w:spacing w:after="0"/>
              <w:rPr>
                <w:sz w:val="20"/>
                <w:szCs w:val="20"/>
                <w:color w:val="auto"/>
              </w:rPr>
            </w:pPr>
            <w:r>
              <w:rPr>
                <w:rFonts w:ascii="Arial" w:cs="Arial" w:eastAsia="Arial" w:hAnsi="Arial"/>
                <w:sz w:val="16"/>
                <w:szCs w:val="16"/>
                <w:color w:val="auto"/>
              </w:rPr>
              <w:t>37</w:t>
            </w:r>
          </w:p>
        </w:tc>
        <w:tc>
          <w:tcPr>
            <w:tcW w:w="500" w:type="dxa"/>
            <w:vAlign w:val="bottom"/>
            <w:shd w:val="clear" w:color="auto" w:fill="BFBFBF"/>
          </w:tcPr>
          <w:p>
            <w:pPr>
              <w:spacing w:after="0"/>
              <w:rPr>
                <w:sz w:val="16"/>
                <w:szCs w:val="16"/>
                <w:color w:val="auto"/>
              </w:rPr>
            </w:pPr>
          </w:p>
        </w:tc>
        <w:tc>
          <w:tcPr>
            <w:tcW w:w="92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37</w:t>
            </w:r>
          </w:p>
        </w:tc>
      </w:tr>
      <w:tr>
        <w:trPr>
          <w:trHeight w:val="191"/>
        </w:trPr>
        <w:tc>
          <w:tcPr>
            <w:tcW w:w="6880" w:type="dxa"/>
            <w:vAlign w:val="bottom"/>
          </w:tcPr>
          <w:p>
            <w:pPr>
              <w:spacing w:after="0"/>
              <w:rPr>
                <w:sz w:val="20"/>
                <w:szCs w:val="20"/>
                <w:color w:val="auto"/>
              </w:rPr>
            </w:pPr>
            <w:r>
              <w:rPr>
                <w:rFonts w:ascii="Arial" w:cs="Arial" w:eastAsia="Arial" w:hAnsi="Arial"/>
                <w:sz w:val="16"/>
                <w:szCs w:val="16"/>
                <w:color w:val="auto"/>
              </w:rPr>
              <w:t>Class B Common Stock, par value $.001 per share; authorized 25,000,000 shares; issued and</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7"/>
        </w:trPr>
        <w:tc>
          <w:tcPr>
            <w:tcW w:w="6880" w:type="dxa"/>
            <w:vAlign w:val="bottom"/>
          </w:tcPr>
          <w:p>
            <w:pPr>
              <w:ind w:left="120"/>
              <w:spacing w:after="0"/>
              <w:rPr>
                <w:sz w:val="20"/>
                <w:szCs w:val="20"/>
                <w:color w:val="auto"/>
              </w:rPr>
            </w:pPr>
            <w:r>
              <w:rPr>
                <w:rFonts w:ascii="Arial" w:cs="Arial" w:eastAsia="Arial" w:hAnsi="Arial"/>
                <w:sz w:val="16"/>
                <w:szCs w:val="16"/>
                <w:color w:val="auto"/>
              </w:rPr>
              <w:t>outstanding 3,233,998 in 2018 and 2017</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3</w:t>
            </w:r>
          </w:p>
        </w:tc>
        <w:tc>
          <w:tcPr>
            <w:tcW w:w="500" w:type="dxa"/>
            <w:vAlign w:val="bottom"/>
          </w:tcPr>
          <w:p>
            <w:pPr>
              <w:spacing w:after="0"/>
              <w:rPr>
                <w:sz w:val="16"/>
                <w:szCs w:val="16"/>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3</w:t>
            </w:r>
          </w:p>
        </w:tc>
      </w:tr>
      <w:tr>
        <w:trPr>
          <w:trHeight w:val="189"/>
        </w:trPr>
        <w:tc>
          <w:tcPr>
            <w:tcW w:w="6880" w:type="dxa"/>
            <w:vAlign w:val="bottom"/>
            <w:shd w:val="clear" w:color="auto" w:fill="BFBFBF"/>
          </w:tcPr>
          <w:p>
            <w:pPr>
              <w:spacing w:after="0"/>
              <w:rPr>
                <w:sz w:val="20"/>
                <w:szCs w:val="20"/>
                <w:color w:val="auto"/>
              </w:rPr>
            </w:pPr>
            <w:r>
              <w:rPr>
                <w:rFonts w:ascii="Arial" w:cs="Arial" w:eastAsia="Arial" w:hAnsi="Arial"/>
                <w:sz w:val="16"/>
                <w:szCs w:val="16"/>
                <w:color w:val="auto"/>
              </w:rPr>
              <w:t>Additional paid in capital</w:t>
            </w:r>
          </w:p>
        </w:tc>
        <w:tc>
          <w:tcPr>
            <w:tcW w:w="4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040" w:type="dxa"/>
            <w:vAlign w:val="bottom"/>
            <w:shd w:val="clear" w:color="auto" w:fill="BFBFBF"/>
          </w:tcPr>
          <w:p>
            <w:pPr>
              <w:jc w:val="right"/>
              <w:ind w:right="279"/>
              <w:spacing w:after="0"/>
              <w:rPr>
                <w:sz w:val="20"/>
                <w:szCs w:val="20"/>
                <w:color w:val="auto"/>
              </w:rPr>
            </w:pPr>
            <w:r>
              <w:rPr>
                <w:rFonts w:ascii="Arial" w:cs="Arial" w:eastAsia="Arial" w:hAnsi="Arial"/>
                <w:sz w:val="16"/>
                <w:szCs w:val="16"/>
                <w:color w:val="auto"/>
              </w:rPr>
              <w:t>430,555</w:t>
            </w:r>
          </w:p>
        </w:tc>
        <w:tc>
          <w:tcPr>
            <w:tcW w:w="500" w:type="dxa"/>
            <w:vAlign w:val="bottom"/>
            <w:shd w:val="clear" w:color="auto" w:fill="BFBFBF"/>
          </w:tcPr>
          <w:p>
            <w:pPr>
              <w:spacing w:after="0"/>
              <w:rPr>
                <w:sz w:val="16"/>
                <w:szCs w:val="16"/>
                <w:color w:val="auto"/>
              </w:rPr>
            </w:pPr>
          </w:p>
        </w:tc>
        <w:tc>
          <w:tcPr>
            <w:tcW w:w="92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430,555</w:t>
            </w:r>
          </w:p>
        </w:tc>
      </w:tr>
      <w:tr>
        <w:trPr>
          <w:trHeight w:val="189"/>
        </w:trPr>
        <w:tc>
          <w:tcPr>
            <w:tcW w:w="6880" w:type="dxa"/>
            <w:vAlign w:val="bottom"/>
          </w:tcPr>
          <w:p>
            <w:pPr>
              <w:spacing w:after="0"/>
              <w:rPr>
                <w:sz w:val="20"/>
                <w:szCs w:val="20"/>
                <w:color w:val="auto"/>
              </w:rPr>
            </w:pPr>
            <w:r>
              <w:rPr>
                <w:rFonts w:ascii="Arial" w:cs="Arial" w:eastAsia="Arial" w:hAnsi="Arial"/>
                <w:sz w:val="16"/>
                <w:szCs w:val="16"/>
                <w:color w:val="auto"/>
              </w:rPr>
              <w:t>Retained earnings</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589,645</w:t>
            </w:r>
          </w:p>
        </w:tc>
        <w:tc>
          <w:tcPr>
            <w:tcW w:w="500" w:type="dxa"/>
            <w:vAlign w:val="bottom"/>
          </w:tcPr>
          <w:p>
            <w:pPr>
              <w:spacing w:after="0"/>
              <w:rPr>
                <w:sz w:val="16"/>
                <w:szCs w:val="16"/>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35</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589,680</w:t>
            </w:r>
          </w:p>
        </w:tc>
      </w:tr>
      <w:tr>
        <w:trPr>
          <w:trHeight w:val="189"/>
        </w:trPr>
        <w:tc>
          <w:tcPr>
            <w:tcW w:w="6880" w:type="dxa"/>
            <w:vAlign w:val="bottom"/>
            <w:shd w:val="clear" w:color="auto" w:fill="BFBFBF"/>
          </w:tcPr>
          <w:p>
            <w:pPr>
              <w:spacing w:after="0"/>
              <w:rPr>
                <w:sz w:val="20"/>
                <w:szCs w:val="20"/>
                <w:color w:val="auto"/>
              </w:rPr>
            </w:pPr>
            <w:r>
              <w:rPr>
                <w:rFonts w:ascii="Arial" w:cs="Arial" w:eastAsia="Arial" w:hAnsi="Arial"/>
                <w:sz w:val="16"/>
                <w:szCs w:val="16"/>
                <w:color w:val="auto"/>
              </w:rPr>
              <w:t>Accumulated items of other comprehensive income:</w:t>
            </w:r>
          </w:p>
        </w:tc>
        <w:tc>
          <w:tcPr>
            <w:tcW w:w="4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040" w:type="dxa"/>
            <w:vAlign w:val="bottom"/>
            <w:shd w:val="clear" w:color="auto" w:fill="BFBFBF"/>
          </w:tcPr>
          <w:p>
            <w:pPr>
              <w:spacing w:after="0"/>
              <w:rPr>
                <w:sz w:val="16"/>
                <w:szCs w:val="16"/>
                <w:color w:val="auto"/>
              </w:rPr>
            </w:pPr>
          </w:p>
        </w:tc>
        <w:tc>
          <w:tcPr>
            <w:tcW w:w="500" w:type="dxa"/>
            <w:vAlign w:val="bottom"/>
            <w:shd w:val="clear" w:color="auto" w:fill="BFBFBF"/>
          </w:tcPr>
          <w:p>
            <w:pPr>
              <w:spacing w:after="0"/>
              <w:rPr>
                <w:sz w:val="16"/>
                <w:szCs w:val="16"/>
                <w:color w:val="auto"/>
              </w:rPr>
            </w:pPr>
          </w:p>
        </w:tc>
        <w:tc>
          <w:tcPr>
            <w:tcW w:w="920" w:type="dxa"/>
            <w:vAlign w:val="bottom"/>
            <w:shd w:val="clear" w:color="auto" w:fill="BFBFBF"/>
          </w:tcPr>
          <w:p>
            <w:pPr>
              <w:spacing w:after="0"/>
              <w:rPr>
                <w:sz w:val="16"/>
                <w:szCs w:val="16"/>
                <w:color w:val="auto"/>
              </w:rPr>
            </w:pPr>
          </w:p>
        </w:tc>
        <w:tc>
          <w:tcPr>
            <w:tcW w:w="50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1100" w:type="dxa"/>
            <w:vAlign w:val="bottom"/>
            <w:shd w:val="clear" w:color="auto" w:fill="BFBFBF"/>
          </w:tcPr>
          <w:p>
            <w:pPr>
              <w:spacing w:after="0"/>
              <w:rPr>
                <w:sz w:val="16"/>
                <w:szCs w:val="16"/>
                <w:color w:val="auto"/>
              </w:rPr>
            </w:pPr>
          </w:p>
        </w:tc>
      </w:tr>
      <w:tr>
        <w:trPr>
          <w:trHeight w:val="189"/>
        </w:trPr>
        <w:tc>
          <w:tcPr>
            <w:tcW w:w="6880" w:type="dxa"/>
            <w:vAlign w:val="bottom"/>
          </w:tcPr>
          <w:p>
            <w:pPr>
              <w:spacing w:after="0"/>
              <w:rPr>
                <w:sz w:val="20"/>
                <w:szCs w:val="20"/>
                <w:color w:val="auto"/>
              </w:rPr>
            </w:pPr>
            <w:r>
              <w:rPr>
                <w:rFonts w:ascii="Arial" w:cs="Arial" w:eastAsia="Arial" w:hAnsi="Arial"/>
                <w:sz w:val="16"/>
                <w:szCs w:val="16"/>
                <w:color w:val="auto"/>
              </w:rPr>
              <w:t>Translation adjustments</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(115,976)</w:t>
            </w:r>
          </w:p>
        </w:tc>
        <w:tc>
          <w:tcPr>
            <w:tcW w:w="500" w:type="dxa"/>
            <w:vAlign w:val="bottom"/>
          </w:tcPr>
          <w:p>
            <w:pPr>
              <w:spacing w:after="0"/>
              <w:rPr>
                <w:sz w:val="16"/>
                <w:szCs w:val="16"/>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(115,976)</w:t>
            </w:r>
          </w:p>
        </w:tc>
      </w:tr>
      <w:tr>
        <w:trPr>
          <w:trHeight w:val="189"/>
        </w:trPr>
        <w:tc>
          <w:tcPr>
            <w:tcW w:w="6880" w:type="dxa"/>
            <w:vAlign w:val="bottom"/>
            <w:shd w:val="clear" w:color="auto" w:fill="BFBFBF"/>
          </w:tcPr>
          <w:p>
            <w:pPr>
              <w:spacing w:after="0"/>
              <w:rPr>
                <w:sz w:val="20"/>
                <w:szCs w:val="20"/>
                <w:color w:val="auto"/>
              </w:rPr>
            </w:pPr>
            <w:r>
              <w:rPr>
                <w:rFonts w:ascii="Arial" w:cs="Arial" w:eastAsia="Arial" w:hAnsi="Arial"/>
                <w:sz w:val="16"/>
                <w:szCs w:val="16"/>
                <w:color w:val="auto"/>
              </w:rPr>
              <w:t>Pension and postretirement liability adjustments</w:t>
            </w:r>
          </w:p>
        </w:tc>
        <w:tc>
          <w:tcPr>
            <w:tcW w:w="420" w:type="dxa"/>
            <w:vAlign w:val="bottom"/>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040" w:type="dxa"/>
            <w:vAlign w:val="bottom"/>
            <w:shd w:val="clear" w:color="auto" w:fill="BFBFBF"/>
          </w:tcPr>
          <w:p>
            <w:pPr>
              <w:jc w:val="right"/>
              <w:ind w:right="219"/>
              <w:spacing w:after="0"/>
              <w:rPr>
                <w:sz w:val="20"/>
                <w:szCs w:val="20"/>
                <w:color w:val="auto"/>
              </w:rPr>
            </w:pPr>
            <w:r>
              <w:rPr>
                <w:rFonts w:ascii="Arial" w:cs="Arial" w:eastAsia="Arial" w:hAnsi="Arial"/>
                <w:sz w:val="16"/>
                <w:szCs w:val="16"/>
                <w:color w:val="auto"/>
              </w:rPr>
              <w:t>(47,109)</w:t>
            </w:r>
          </w:p>
        </w:tc>
        <w:tc>
          <w:tcPr>
            <w:tcW w:w="500" w:type="dxa"/>
            <w:vAlign w:val="bottom"/>
            <w:shd w:val="clear" w:color="auto" w:fill="BFBFBF"/>
          </w:tcPr>
          <w:p>
            <w:pPr>
              <w:spacing w:after="0"/>
              <w:rPr>
                <w:sz w:val="16"/>
                <w:szCs w:val="16"/>
                <w:color w:val="auto"/>
              </w:rPr>
            </w:pPr>
          </w:p>
        </w:tc>
        <w:tc>
          <w:tcPr>
            <w:tcW w:w="92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shd w:val="clear" w:color="auto" w:fill="BFBFBF"/>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1100" w:type="dxa"/>
            <w:vAlign w:val="bottom"/>
            <w:shd w:val="clear" w:color="auto" w:fill="BFBFBF"/>
          </w:tcPr>
          <w:p>
            <w:pPr>
              <w:jc w:val="right"/>
              <w:ind w:right="259"/>
              <w:spacing w:after="0"/>
              <w:rPr>
                <w:sz w:val="20"/>
                <w:szCs w:val="20"/>
                <w:color w:val="auto"/>
              </w:rPr>
            </w:pPr>
            <w:r>
              <w:rPr>
                <w:rFonts w:ascii="Arial" w:cs="Arial" w:eastAsia="Arial" w:hAnsi="Arial"/>
                <w:sz w:val="16"/>
                <w:szCs w:val="16"/>
                <w:color w:val="auto"/>
              </w:rPr>
              <w:t>(47,109)</w:t>
            </w:r>
          </w:p>
        </w:tc>
      </w:tr>
      <w:tr>
        <w:trPr>
          <w:trHeight w:val="189"/>
        </w:trPr>
        <w:tc>
          <w:tcPr>
            <w:tcW w:w="6880" w:type="dxa"/>
            <w:vAlign w:val="bottom"/>
          </w:tcPr>
          <w:p>
            <w:pPr>
              <w:spacing w:after="0"/>
              <w:rPr>
                <w:sz w:val="20"/>
                <w:szCs w:val="20"/>
                <w:color w:val="auto"/>
              </w:rPr>
            </w:pPr>
            <w:r>
              <w:rPr>
                <w:rFonts w:ascii="Arial" w:cs="Arial" w:eastAsia="Arial" w:hAnsi="Arial"/>
                <w:sz w:val="16"/>
                <w:szCs w:val="16"/>
                <w:color w:val="auto"/>
              </w:rPr>
              <w:t>Derivative valuation adjustment</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4,697</w:t>
            </w:r>
          </w:p>
        </w:tc>
        <w:tc>
          <w:tcPr>
            <w:tcW w:w="500" w:type="dxa"/>
            <w:vAlign w:val="bottom"/>
          </w:tcPr>
          <w:p>
            <w:pPr>
              <w:spacing w:after="0"/>
              <w:rPr>
                <w:sz w:val="16"/>
                <w:szCs w:val="16"/>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4,697</w:t>
            </w:r>
          </w:p>
        </w:tc>
      </w:tr>
      <w:tr>
        <w:trPr>
          <w:trHeight w:val="189"/>
        </w:trPr>
        <w:tc>
          <w:tcPr>
            <w:tcW w:w="6880" w:type="dxa"/>
            <w:vAlign w:val="bottom"/>
            <w:shd w:val="clear" w:color="auto" w:fill="BFBFBF"/>
          </w:tcPr>
          <w:p>
            <w:pPr>
              <w:spacing w:after="0"/>
              <w:rPr>
                <w:sz w:val="20"/>
                <w:szCs w:val="20"/>
                <w:color w:val="auto"/>
              </w:rPr>
            </w:pPr>
            <w:r>
              <w:rPr>
                <w:rFonts w:ascii="Arial" w:cs="Arial" w:eastAsia="Arial" w:hAnsi="Arial"/>
                <w:sz w:val="16"/>
                <w:szCs w:val="16"/>
                <w:color w:val="auto"/>
              </w:rPr>
              <w:t>Treasury stock (Class A), at cost 8,418,620 shares in 2018 and 8,431,335 shares in 2017</w:t>
            </w:r>
          </w:p>
        </w:tc>
        <w:tc>
          <w:tcPr>
            <w:tcW w:w="420" w:type="dxa"/>
            <w:vAlign w:val="bottom"/>
            <w:tcBorders>
              <w:bottom w:val="single" w:sz="8" w:color="auto"/>
            </w:tcBorders>
            <w:shd w:val="clear" w:color="auto" w:fill="BFBFBF"/>
          </w:tcPr>
          <w:p>
            <w:pPr>
              <w:spacing w:after="0"/>
              <w:rPr>
                <w:sz w:val="16"/>
                <w:szCs w:val="16"/>
                <w:color w:val="auto"/>
              </w:rPr>
            </w:pPr>
          </w:p>
        </w:tc>
        <w:tc>
          <w:tcPr>
            <w:tcW w:w="40" w:type="dxa"/>
            <w:vAlign w:val="bottom"/>
            <w:tcBorders>
              <w:bottom w:val="single" w:sz="8" w:color="auto"/>
            </w:tcBorders>
            <w:shd w:val="clear" w:color="auto" w:fill="BFBFBF"/>
          </w:tcPr>
          <w:p>
            <w:pPr>
              <w:spacing w:after="0"/>
              <w:rPr>
                <w:sz w:val="16"/>
                <w:szCs w:val="16"/>
                <w:color w:val="auto"/>
              </w:rPr>
            </w:pPr>
          </w:p>
        </w:tc>
        <w:tc>
          <w:tcPr>
            <w:tcW w:w="1040" w:type="dxa"/>
            <w:vAlign w:val="bottom"/>
            <w:tcBorders>
              <w:bottom w:val="single" w:sz="8" w:color="auto"/>
            </w:tcBorders>
            <w:shd w:val="clear" w:color="auto" w:fill="BFBFBF"/>
          </w:tcPr>
          <w:p>
            <w:pPr>
              <w:jc w:val="right"/>
              <w:ind w:right="219"/>
              <w:spacing w:after="0"/>
              <w:rPr>
                <w:sz w:val="20"/>
                <w:szCs w:val="20"/>
                <w:color w:val="auto"/>
              </w:rPr>
            </w:pPr>
            <w:r>
              <w:rPr>
                <w:rFonts w:ascii="Arial" w:cs="Arial" w:eastAsia="Arial" w:hAnsi="Arial"/>
                <w:sz w:val="16"/>
                <w:szCs w:val="16"/>
                <w:color w:val="auto"/>
              </w:rPr>
              <w:t>(256,603)</w:t>
            </w:r>
          </w:p>
        </w:tc>
        <w:tc>
          <w:tcPr>
            <w:tcW w:w="500" w:type="dxa"/>
            <w:vAlign w:val="bottom"/>
            <w:tcBorders>
              <w:bottom w:val="single" w:sz="8" w:color="auto"/>
            </w:tcBorders>
            <w:shd w:val="clear" w:color="auto" w:fill="BFBFBF"/>
          </w:tcPr>
          <w:p>
            <w:pPr>
              <w:spacing w:after="0"/>
              <w:rPr>
                <w:sz w:val="16"/>
                <w:szCs w:val="16"/>
                <w:color w:val="auto"/>
              </w:rPr>
            </w:pPr>
          </w:p>
        </w:tc>
        <w:tc>
          <w:tcPr>
            <w:tcW w:w="920" w:type="dxa"/>
            <w:vAlign w:val="bottom"/>
            <w:tcBorders>
              <w:bottom w:val="single" w:sz="8" w:color="auto"/>
            </w:tcBorders>
            <w:shd w:val="clear" w:color="auto" w:fill="BFBFBF"/>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BFBFBF"/>
          </w:tcPr>
          <w:p>
            <w:pPr>
              <w:spacing w:after="0"/>
              <w:rPr>
                <w:sz w:val="16"/>
                <w:szCs w:val="16"/>
                <w:color w:val="auto"/>
              </w:rPr>
            </w:pPr>
          </w:p>
        </w:tc>
        <w:tc>
          <w:tcPr>
            <w:tcW w:w="20" w:type="dxa"/>
            <w:vAlign w:val="bottom"/>
            <w:tcBorders>
              <w:bottom w:val="single" w:sz="8" w:color="auto"/>
            </w:tcBorders>
            <w:shd w:val="clear" w:color="auto" w:fill="BFBFBF"/>
          </w:tcPr>
          <w:p>
            <w:pPr>
              <w:spacing w:after="0"/>
              <w:rPr>
                <w:sz w:val="16"/>
                <w:szCs w:val="16"/>
                <w:color w:val="auto"/>
              </w:rPr>
            </w:pPr>
          </w:p>
        </w:tc>
        <w:tc>
          <w:tcPr>
            <w:tcW w:w="1100" w:type="dxa"/>
            <w:vAlign w:val="bottom"/>
            <w:tcBorders>
              <w:bottom w:val="single" w:sz="8" w:color="auto"/>
            </w:tcBorders>
            <w:shd w:val="clear" w:color="auto" w:fill="BFBFBF"/>
          </w:tcPr>
          <w:p>
            <w:pPr>
              <w:jc w:val="right"/>
              <w:ind w:right="259"/>
              <w:spacing w:after="0"/>
              <w:rPr>
                <w:sz w:val="20"/>
                <w:szCs w:val="20"/>
                <w:color w:val="auto"/>
              </w:rPr>
            </w:pPr>
            <w:r>
              <w:rPr>
                <w:rFonts w:ascii="Arial" w:cs="Arial" w:eastAsia="Arial" w:hAnsi="Arial"/>
                <w:sz w:val="16"/>
                <w:szCs w:val="16"/>
                <w:color w:val="auto"/>
              </w:rPr>
              <w:t>(256,603)</w:t>
            </w:r>
          </w:p>
        </w:tc>
      </w:tr>
      <w:tr>
        <w:trPr>
          <w:trHeight w:val="183"/>
        </w:trPr>
        <w:tc>
          <w:tcPr>
            <w:tcW w:w="6880" w:type="dxa"/>
            <w:vAlign w:val="bottom"/>
          </w:tcPr>
          <w:p>
            <w:pPr>
              <w:ind w:left="220"/>
              <w:spacing w:after="0" w:line="183" w:lineRule="exact"/>
              <w:rPr>
                <w:sz w:val="20"/>
                <w:szCs w:val="20"/>
                <w:color w:val="auto"/>
              </w:rPr>
            </w:pPr>
            <w:r>
              <w:rPr>
                <w:rFonts w:ascii="Arial" w:cs="Arial" w:eastAsia="Arial" w:hAnsi="Arial"/>
                <w:sz w:val="16"/>
                <w:szCs w:val="16"/>
                <w:color w:val="auto"/>
              </w:rPr>
              <w:t>Total Company shareholders' equity</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jc w:val="right"/>
              <w:ind w:right="279"/>
              <w:spacing w:after="0" w:line="183" w:lineRule="exact"/>
              <w:rPr>
                <w:sz w:val="20"/>
                <w:szCs w:val="20"/>
                <w:color w:val="auto"/>
              </w:rPr>
            </w:pPr>
            <w:r>
              <w:rPr>
                <w:rFonts w:ascii="Arial" w:cs="Arial" w:eastAsia="Arial" w:hAnsi="Arial"/>
                <w:sz w:val="16"/>
                <w:szCs w:val="16"/>
                <w:color w:val="auto"/>
              </w:rPr>
              <w:t>605,249</w:t>
            </w:r>
          </w:p>
        </w:tc>
        <w:tc>
          <w:tcPr>
            <w:tcW w:w="500" w:type="dxa"/>
            <w:vAlign w:val="bottom"/>
          </w:tcPr>
          <w:p>
            <w:pPr>
              <w:spacing w:after="0"/>
              <w:rPr>
                <w:sz w:val="15"/>
                <w:szCs w:val="15"/>
                <w:color w:val="auto"/>
              </w:rPr>
            </w:pPr>
          </w:p>
        </w:tc>
        <w:tc>
          <w:tcPr>
            <w:tcW w:w="920" w:type="dxa"/>
            <w:vAlign w:val="bottom"/>
          </w:tcPr>
          <w:p>
            <w:pPr>
              <w:jc w:val="right"/>
              <w:ind w:right="299"/>
              <w:spacing w:after="0" w:line="183" w:lineRule="exact"/>
              <w:rPr>
                <w:sz w:val="20"/>
                <w:szCs w:val="20"/>
                <w:color w:val="auto"/>
              </w:rPr>
            </w:pPr>
            <w:r>
              <w:rPr>
                <w:rFonts w:ascii="Arial" w:cs="Arial" w:eastAsia="Arial" w:hAnsi="Arial"/>
                <w:sz w:val="16"/>
                <w:szCs w:val="16"/>
                <w:color w:val="auto"/>
              </w:rPr>
              <w:t>35</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605,284</w:t>
            </w:r>
          </w:p>
        </w:tc>
      </w:tr>
      <w:tr>
        <w:trPr>
          <w:trHeight w:val="189"/>
        </w:trPr>
        <w:tc>
          <w:tcPr>
            <w:tcW w:w="6880" w:type="dxa"/>
            <w:vAlign w:val="bottom"/>
            <w:shd w:val="clear" w:color="auto" w:fill="BFBFBF"/>
          </w:tcPr>
          <w:p>
            <w:pPr>
              <w:spacing w:after="0"/>
              <w:rPr>
                <w:sz w:val="20"/>
                <w:szCs w:val="20"/>
                <w:color w:val="auto"/>
              </w:rPr>
            </w:pPr>
            <w:r>
              <w:rPr>
                <w:rFonts w:ascii="Arial" w:cs="Arial" w:eastAsia="Arial" w:hAnsi="Arial"/>
                <w:sz w:val="16"/>
                <w:szCs w:val="16"/>
                <w:color w:val="auto"/>
              </w:rPr>
              <w:t>Noncontrolling interest</w:t>
            </w:r>
          </w:p>
        </w:tc>
        <w:tc>
          <w:tcPr>
            <w:tcW w:w="420" w:type="dxa"/>
            <w:vAlign w:val="bottom"/>
            <w:tcBorders>
              <w:bottom w:val="single" w:sz="8" w:color="auto"/>
            </w:tcBorders>
            <w:shd w:val="clear" w:color="auto" w:fill="BFBFBF"/>
          </w:tcPr>
          <w:p>
            <w:pPr>
              <w:spacing w:after="0"/>
              <w:rPr>
                <w:sz w:val="16"/>
                <w:szCs w:val="16"/>
                <w:color w:val="auto"/>
              </w:rPr>
            </w:pPr>
          </w:p>
        </w:tc>
        <w:tc>
          <w:tcPr>
            <w:tcW w:w="40" w:type="dxa"/>
            <w:vAlign w:val="bottom"/>
            <w:tcBorders>
              <w:bottom w:val="single" w:sz="8" w:color="auto"/>
            </w:tcBorders>
            <w:shd w:val="clear" w:color="auto" w:fill="BFBFBF"/>
          </w:tcPr>
          <w:p>
            <w:pPr>
              <w:spacing w:after="0"/>
              <w:rPr>
                <w:sz w:val="16"/>
                <w:szCs w:val="16"/>
                <w:color w:val="auto"/>
              </w:rPr>
            </w:pPr>
          </w:p>
        </w:tc>
        <w:tc>
          <w:tcPr>
            <w:tcW w:w="1040" w:type="dxa"/>
            <w:vAlign w:val="bottom"/>
            <w:tcBorders>
              <w:bottom w:val="single" w:sz="8" w:color="auto"/>
            </w:tcBorders>
            <w:shd w:val="clear" w:color="auto" w:fill="BFBFBF"/>
          </w:tcPr>
          <w:p>
            <w:pPr>
              <w:jc w:val="right"/>
              <w:ind w:right="279"/>
              <w:spacing w:after="0"/>
              <w:rPr>
                <w:sz w:val="20"/>
                <w:szCs w:val="20"/>
                <w:color w:val="auto"/>
              </w:rPr>
            </w:pPr>
            <w:r>
              <w:rPr>
                <w:rFonts w:ascii="Arial" w:cs="Arial" w:eastAsia="Arial" w:hAnsi="Arial"/>
                <w:sz w:val="16"/>
                <w:szCs w:val="16"/>
                <w:color w:val="auto"/>
              </w:rPr>
              <w:t>3,031</w:t>
            </w:r>
          </w:p>
        </w:tc>
        <w:tc>
          <w:tcPr>
            <w:tcW w:w="500" w:type="dxa"/>
            <w:vAlign w:val="bottom"/>
            <w:tcBorders>
              <w:bottom w:val="single" w:sz="8" w:color="auto"/>
            </w:tcBorders>
            <w:shd w:val="clear" w:color="auto" w:fill="BFBFBF"/>
          </w:tcPr>
          <w:p>
            <w:pPr>
              <w:spacing w:after="0"/>
              <w:rPr>
                <w:sz w:val="16"/>
                <w:szCs w:val="16"/>
                <w:color w:val="auto"/>
              </w:rPr>
            </w:pPr>
          </w:p>
        </w:tc>
        <w:tc>
          <w:tcPr>
            <w:tcW w:w="920" w:type="dxa"/>
            <w:vAlign w:val="bottom"/>
            <w:tcBorders>
              <w:bottom w:val="single" w:sz="8" w:color="auto"/>
            </w:tcBorders>
            <w:shd w:val="clear" w:color="auto" w:fill="BFBFBF"/>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BFBFBF"/>
          </w:tcPr>
          <w:p>
            <w:pPr>
              <w:spacing w:after="0"/>
              <w:rPr>
                <w:sz w:val="16"/>
                <w:szCs w:val="16"/>
                <w:color w:val="auto"/>
              </w:rPr>
            </w:pPr>
          </w:p>
        </w:tc>
        <w:tc>
          <w:tcPr>
            <w:tcW w:w="20" w:type="dxa"/>
            <w:vAlign w:val="bottom"/>
            <w:tcBorders>
              <w:bottom w:val="single" w:sz="8" w:color="auto"/>
            </w:tcBorders>
            <w:shd w:val="clear" w:color="auto" w:fill="BFBFBF"/>
          </w:tcPr>
          <w:p>
            <w:pPr>
              <w:spacing w:after="0"/>
              <w:rPr>
                <w:sz w:val="16"/>
                <w:szCs w:val="16"/>
                <w:color w:val="auto"/>
              </w:rPr>
            </w:pPr>
          </w:p>
        </w:tc>
        <w:tc>
          <w:tcPr>
            <w:tcW w:w="1100" w:type="dxa"/>
            <w:vAlign w:val="bottom"/>
            <w:tcBorders>
              <w:bottom w:val="single" w:sz="8" w:color="auto"/>
            </w:tcBorders>
            <w:shd w:val="clear" w:color="auto" w:fill="BFBFBF"/>
          </w:tcPr>
          <w:p>
            <w:pPr>
              <w:jc w:val="right"/>
              <w:ind w:right="319"/>
              <w:spacing w:after="0"/>
              <w:rPr>
                <w:sz w:val="20"/>
                <w:szCs w:val="20"/>
                <w:color w:val="auto"/>
              </w:rPr>
            </w:pPr>
            <w:r>
              <w:rPr>
                <w:rFonts w:ascii="Arial" w:cs="Arial" w:eastAsia="Arial" w:hAnsi="Arial"/>
                <w:sz w:val="16"/>
                <w:szCs w:val="16"/>
                <w:color w:val="auto"/>
              </w:rPr>
              <w:t>3,031</w:t>
            </w:r>
          </w:p>
        </w:tc>
      </w:tr>
      <w:tr>
        <w:trPr>
          <w:trHeight w:val="183"/>
        </w:trPr>
        <w:tc>
          <w:tcPr>
            <w:tcW w:w="6880" w:type="dxa"/>
            <w:vAlign w:val="bottom"/>
            <w:tcBorders>
              <w:bottom w:val="single" w:sz="8" w:color="BFBFBF"/>
            </w:tcBorders>
          </w:tcPr>
          <w:p>
            <w:pPr>
              <w:spacing w:after="0" w:line="183" w:lineRule="exact"/>
              <w:rPr>
                <w:sz w:val="20"/>
                <w:szCs w:val="20"/>
                <w:color w:val="auto"/>
              </w:rPr>
            </w:pPr>
            <w:r>
              <w:rPr>
                <w:rFonts w:ascii="Arial" w:cs="Arial" w:eastAsia="Arial" w:hAnsi="Arial"/>
                <w:sz w:val="16"/>
                <w:szCs w:val="16"/>
                <w:color w:val="auto"/>
              </w:rPr>
              <w:t>Total equity</w:t>
            </w: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608,280</w:t>
            </w: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color w:val="auto"/>
              </w:rPr>
              <w:t>35</w:t>
            </w: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608,315</w:t>
            </w:r>
          </w:p>
        </w:tc>
      </w:tr>
      <w:tr>
        <w:trPr>
          <w:trHeight w:val="183"/>
        </w:trPr>
        <w:tc>
          <w:tcPr>
            <w:tcW w:w="6880" w:type="dxa"/>
            <w:vAlign w:val="bottom"/>
            <w:tcBorders>
              <w:bottom w:val="single" w:sz="8" w:color="BFBFBF"/>
            </w:tcBorders>
            <w:shd w:val="clear" w:color="auto" w:fill="BFBFBF"/>
          </w:tcPr>
          <w:p>
            <w:pPr>
              <w:ind w:left="220"/>
              <w:spacing w:after="0" w:line="183" w:lineRule="exact"/>
              <w:rPr>
                <w:sz w:val="20"/>
                <w:szCs w:val="20"/>
                <w:color w:val="auto"/>
              </w:rPr>
            </w:pPr>
            <w:r>
              <w:rPr>
                <w:rFonts w:ascii="Arial" w:cs="Arial" w:eastAsia="Arial" w:hAnsi="Arial"/>
                <w:sz w:val="16"/>
                <w:szCs w:val="16"/>
                <w:color w:val="auto"/>
              </w:rPr>
              <w:t>Total liabilities and shareholders' equity</w:t>
            </w:r>
          </w:p>
        </w:tc>
        <w:tc>
          <w:tcPr>
            <w:tcW w:w="420" w:type="dxa"/>
            <w:vAlign w:val="bottom"/>
            <w:tcBorders>
              <w:bottom w:val="single" w:sz="8" w:color="auto"/>
            </w:tcBorders>
            <w:shd w:val="clear" w:color="auto" w:fill="BFBFBF"/>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gridSpan w:val="2"/>
            <w:shd w:val="clear" w:color="auto" w:fill="BFBFBF"/>
          </w:tcPr>
          <w:p>
            <w:pPr>
              <w:jc w:val="right"/>
              <w:ind w:right="279"/>
              <w:spacing w:after="0" w:line="183" w:lineRule="exact"/>
              <w:rPr>
                <w:sz w:val="20"/>
                <w:szCs w:val="20"/>
                <w:color w:val="auto"/>
              </w:rPr>
            </w:pPr>
            <w:r>
              <w:rPr>
                <w:rFonts w:ascii="Arial" w:cs="Arial" w:eastAsia="Arial" w:hAnsi="Arial"/>
                <w:sz w:val="16"/>
                <w:szCs w:val="16"/>
                <w:color w:val="auto"/>
                <w:w w:val="98"/>
              </w:rPr>
              <w:t>1,417,992</w:t>
            </w:r>
          </w:p>
        </w:tc>
        <w:tc>
          <w:tcPr>
            <w:tcW w:w="500" w:type="dxa"/>
            <w:vAlign w:val="bottom"/>
            <w:tcBorders>
              <w:bottom w:val="single" w:sz="8" w:color="auto"/>
            </w:tcBorders>
            <w:shd w:val="clear" w:color="auto" w:fill="BFBFBF"/>
          </w:tcPr>
          <w:p>
            <w:pPr>
              <w:ind w:left="400"/>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BFBFBF"/>
          </w:tcPr>
          <w:p>
            <w:pPr>
              <w:jc w:val="right"/>
              <w:ind w:right="319"/>
              <w:spacing w:after="0" w:line="183" w:lineRule="exact"/>
              <w:rPr>
                <w:sz w:val="20"/>
                <w:szCs w:val="20"/>
                <w:color w:val="auto"/>
              </w:rPr>
            </w:pPr>
            <w:r>
              <w:rPr>
                <w:rFonts w:ascii="Arial" w:cs="Arial" w:eastAsia="Arial" w:hAnsi="Arial"/>
                <w:sz w:val="16"/>
                <w:szCs w:val="16"/>
                <w:color w:val="auto"/>
              </w:rPr>
              <w:t>7,081</w:t>
            </w:r>
          </w:p>
        </w:tc>
        <w:tc>
          <w:tcPr>
            <w:tcW w:w="500" w:type="dxa"/>
            <w:vAlign w:val="bottom"/>
            <w:tcBorders>
              <w:bottom w:val="single" w:sz="8" w:color="auto"/>
            </w:tcBorders>
            <w:shd w:val="clear" w:color="auto" w:fill="BFBFBF"/>
          </w:tcPr>
          <w:p>
            <w:pPr>
              <w:ind w:left="420"/>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shd w:val="clear" w:color="auto" w:fill="BFBFBF"/>
          </w:tcPr>
          <w:p>
            <w:pPr>
              <w:jc w:val="right"/>
              <w:ind w:right="319"/>
              <w:spacing w:after="0" w:line="183" w:lineRule="exact"/>
              <w:rPr>
                <w:sz w:val="20"/>
                <w:szCs w:val="20"/>
                <w:color w:val="auto"/>
              </w:rPr>
            </w:pPr>
            <w:r>
              <w:rPr>
                <w:rFonts w:ascii="Arial" w:cs="Arial" w:eastAsia="Arial" w:hAnsi="Arial"/>
                <w:sz w:val="16"/>
                <w:szCs w:val="16"/>
                <w:color w:val="auto"/>
                <w:w w:val="98"/>
              </w:rPr>
              <w:t>1,425,073</w:t>
            </w:r>
          </w:p>
        </w:tc>
      </w:tr>
      <w:tr>
        <w:trPr>
          <w:trHeight w:val="20"/>
        </w:trPr>
        <w:tc>
          <w:tcPr>
            <w:tcW w:w="6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Adoption of the standard had no impact to our Consolidated Statements of Cash Flows.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changes to our accounting policies as a result of adopting the new standard are discussed below.</w:t>
      </w:r>
    </w:p>
    <w:p>
      <w:pPr>
        <w:spacing w:after="0" w:line="104"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determine if an arrangement is a lease at inception. A contract is, or contains a lease if the contract conveys the right to control the use of an identified asset for a period of time in exchange for consideration. To assess whether a contract conveys the right to control the use of an identified asset, we assess whether:</w:t>
      </w:r>
    </w:p>
    <w:p>
      <w:pPr>
        <w:spacing w:after="0" w:line="54" w:lineRule="exact"/>
        <w:rPr>
          <w:sz w:val="20"/>
          <w:szCs w:val="20"/>
          <w:color w:val="auto"/>
        </w:rPr>
      </w:pPr>
    </w:p>
    <w:p>
      <w:pPr>
        <w:ind w:left="580" w:hanging="248"/>
        <w:spacing w:after="0" w:line="246"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contract involves the use of an identified asset. This may be specified explicitly or implicitly, and should be physically distinct or represent substantially all of the capacity of a physically distinct asset,</w:t>
      </w:r>
    </w:p>
    <w:p>
      <w:pPr>
        <w:spacing w:after="0" w:line="34"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lessee has the right to obtain substantially all of the economic benefits from use of the asset throughout the period of use, and</w:t>
      </w:r>
    </w:p>
    <w:p>
      <w:pPr>
        <w:spacing w:after="0" w:line="49" w:lineRule="exact"/>
        <w:rPr>
          <w:rFonts w:ascii="Arial" w:cs="Arial" w:eastAsia="Arial" w:hAnsi="Arial"/>
          <w:sz w:val="18"/>
          <w:szCs w:val="18"/>
          <w:color w:val="auto"/>
        </w:rPr>
      </w:pPr>
    </w:p>
    <w:p>
      <w:pPr>
        <w:ind w:left="580" w:right="20" w:hanging="248"/>
        <w:spacing w:after="0" w:line="246"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lessee has the right to direct the use of the asset, which is demonstrated when the lessee has decision-making rights that are most relevant to changing how and for what purpose the asset is used.</w:t>
      </w:r>
    </w:p>
    <w:p>
      <w:pPr>
        <w:spacing w:after="0" w:line="89"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Judgement is required in the application of ASC 842, including the determination of whether a contract contains a lease, the appropriate classification, allocation of consideration, and the determination of the discount rate for the lease. Key estimates and judgments include how the Company determines (1) the discount rate it uses to discount the unpaid lease payments to present value, (2) lease term and (3) lease payments.</w:t>
      </w:r>
    </w:p>
    <w:p>
      <w:pPr>
        <w:spacing w:after="0" w:line="94"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are generally the lessee in our lease transactions. For periods ending after December 31, 2018, lessees are required to recognize a lease liability and an ROU asset for leases with terms greater than 12 months, in accordance with the practical expedient that is available for ongoing accounting.</w:t>
      </w:r>
    </w:p>
    <w:p>
      <w:pPr>
        <w:spacing w:after="0" w:line="95"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ROU assets represent the right to use an underlying asset for the lease term and lease liabilities represent an obligation to make lease payments arising from the lease. Operating lease ROU assets and liabilities are recognized on the commencement date based on the present value of lease payments over the lease term, using the rate implicit in the lease. If that rate is not readily determinable, the rate is based on the Company’s incremental borrowing rate. The operating lease ROU asset also includes any lease payments made and excludes lease incentives. Our lease terms may include options to extend or terminate the lease. Our ROU assets include the values associated with the additional periods when it is reasonably certain that we will exercise the option. We review the carrying value of ROU assets for impairment whenever events and circumstances indicate that the carrying value of an asset group may not be recoverable from the estimated future cash flows expected to result from its use and eventual disposition.</w:t>
      </w:r>
    </w:p>
    <w:p>
      <w:pPr>
        <w:spacing w:after="0" w:line="100"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We have lease agreements with lease and non -lease components. For most leases, we account for the lease and non-lease components as a single lease component, in accordance with the practical expedient that is available for ongoing accounting. Additionally, for certain leases, such as for vehicles, we apply a portfolio approach. New leases will be classified as financing or operating, with classification affecting the pattern and classification of expense recognition in the income statement. Expenses related to operating leases will be recognized on a straight-line basis, while those determined to be financing leases will be recognized following a front-loaded expense profile, in which interest and amortization are presented separately in the income statement.</w:t>
      </w:r>
    </w:p>
    <w:p>
      <w:pPr>
        <w:spacing w:after="0" w:line="97"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Operating lease ROU assets are included in Other assets in the Consolidated Balance Sheets and Operating lease liabilities are included in Accrued liabilities and Other noncurrent liabilities in the Consolidated Balance Sheets. Finance lease ROU assets are included in Property, plant, and equipment, net in the Consolidated Balance Sheets and Finance lease liabilities are included in Accrued liabilities and Other noncurrent liabilities in the Consolidated Balance Sheets.</w:t>
      </w:r>
    </w:p>
    <w:p>
      <w:pPr>
        <w:spacing w:after="0" w:line="94"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have operating and finance leases for offices, manufacturing facilities, warehouses, vehicles, and certain equipment. Our leases have remaining lease terms of 1 year to 10 years, some of which include options to extend the leases for up to 10 years, and some of which include options to terminate the leases within 1 year.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were as follows:</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4220" w:type="dxa"/>
            <w:vAlign w:val="bottom"/>
            <w:tcBorders>
              <w:top w:val="single" w:sz="8" w:color="auto"/>
            </w:tcBorders>
          </w:tcPr>
          <w:p>
            <w:pPr>
              <w:spacing w:after="0"/>
              <w:rPr>
                <w:sz w:val="14"/>
                <w:szCs w:val="14"/>
                <w:color w:val="auto"/>
              </w:rPr>
            </w:pPr>
          </w:p>
        </w:tc>
        <w:tc>
          <w:tcPr>
            <w:tcW w:w="3320" w:type="dxa"/>
            <w:vAlign w:val="bottom"/>
            <w:tcBorders>
              <w:top w:val="single" w:sz="8" w:color="auto"/>
            </w:tcBorders>
            <w:gridSpan w:val="2"/>
          </w:tcPr>
          <w:p>
            <w:pPr>
              <w:jc w:val="center"/>
              <w:ind w:left="1364"/>
              <w:spacing w:after="0"/>
              <w:rPr>
                <w:sz w:val="20"/>
                <w:szCs w:val="20"/>
                <w:color w:val="auto"/>
              </w:rPr>
            </w:pPr>
            <w:r>
              <w:rPr>
                <w:rFonts w:ascii="Arial" w:cs="Arial" w:eastAsia="Arial" w:hAnsi="Arial"/>
                <w:sz w:val="14"/>
                <w:szCs w:val="14"/>
                <w:b w:val="1"/>
                <w:bCs w:val="1"/>
                <w:color w:val="auto"/>
              </w:rPr>
              <w:t>For the three</w:t>
            </w:r>
          </w:p>
        </w:tc>
        <w:tc>
          <w:tcPr>
            <w:tcW w:w="18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For the nine</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3320" w:type="dxa"/>
            <w:vAlign w:val="bottom"/>
            <w:gridSpan w:val="2"/>
          </w:tcPr>
          <w:p>
            <w:pPr>
              <w:jc w:val="center"/>
              <w:ind w:left="1384"/>
              <w:spacing w:after="0"/>
              <w:rPr>
                <w:sz w:val="20"/>
                <w:szCs w:val="20"/>
                <w:color w:val="auto"/>
              </w:rPr>
            </w:pPr>
            <w:r>
              <w:rPr>
                <w:rFonts w:ascii="Arial" w:cs="Arial" w:eastAsia="Arial" w:hAnsi="Arial"/>
                <w:sz w:val="14"/>
                <w:szCs w:val="14"/>
                <w:b w:val="1"/>
                <w:bCs w:val="1"/>
                <w:color w:val="auto"/>
              </w:rPr>
              <w:t>months ended</w:t>
            </w: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175"/>
        </w:trPr>
        <w:tc>
          <w:tcPr>
            <w:tcW w:w="4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320" w:type="dxa"/>
            <w:vAlign w:val="bottom"/>
            <w:tcBorders>
              <w:bottom w:val="single" w:sz="8" w:color="auto"/>
            </w:tcBorders>
            <w:gridSpan w:val="2"/>
          </w:tcPr>
          <w:p>
            <w:pPr>
              <w:jc w:val="center"/>
              <w:ind w:left="1384"/>
              <w:spacing w:after="0"/>
              <w:rPr>
                <w:sz w:val="20"/>
                <w:szCs w:val="20"/>
                <w:color w:val="auto"/>
              </w:rPr>
            </w:pPr>
            <w:r>
              <w:rPr>
                <w:rFonts w:ascii="Arial" w:cs="Arial" w:eastAsia="Arial" w:hAnsi="Arial"/>
                <w:sz w:val="14"/>
                <w:szCs w:val="14"/>
                <w:b w:val="1"/>
                <w:bCs w:val="1"/>
                <w:color w:val="auto"/>
              </w:rPr>
              <w:t>September 30, 2019</w:t>
            </w: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184"/>
        </w:trPr>
        <w:tc>
          <w:tcPr>
            <w:tcW w:w="4220" w:type="dxa"/>
            <w:vAlign w:val="bottom"/>
          </w:tcPr>
          <w:p>
            <w:pPr>
              <w:spacing w:after="0"/>
              <w:rPr>
                <w:sz w:val="20"/>
                <w:szCs w:val="20"/>
                <w:color w:val="auto"/>
              </w:rPr>
            </w:pPr>
            <w:r>
              <w:rPr>
                <w:rFonts w:ascii="Arial" w:cs="Arial" w:eastAsia="Arial" w:hAnsi="Arial"/>
                <w:sz w:val="16"/>
                <w:szCs w:val="16"/>
                <w:color w:val="auto"/>
              </w:rPr>
              <w:t>Finance lease</w:t>
            </w:r>
          </w:p>
        </w:tc>
        <w:tc>
          <w:tcPr>
            <w:tcW w:w="2300" w:type="dxa"/>
            <w:vAlign w:val="bottom"/>
            <w:vMerge w:val="restart"/>
          </w:tcPr>
          <w:p>
            <w:pPr>
              <w:jc w:val="right"/>
              <w:ind w:right="4"/>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ind w:right="599"/>
              <w:spacing w:after="0"/>
              <w:rPr>
                <w:sz w:val="20"/>
                <w:szCs w:val="20"/>
                <w:color w:val="auto"/>
              </w:rPr>
            </w:pPr>
            <w:r>
              <w:rPr>
                <w:rFonts w:ascii="Arial" w:cs="Arial" w:eastAsia="Arial" w:hAnsi="Arial"/>
                <w:sz w:val="16"/>
                <w:szCs w:val="16"/>
                <w:b w:val="1"/>
                <w:bCs w:val="1"/>
                <w:color w:val="auto"/>
              </w:rPr>
              <w:t>249</w:t>
            </w: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748</w:t>
            </w:r>
          </w:p>
        </w:tc>
        <w:tc>
          <w:tcPr>
            <w:tcW w:w="0" w:type="dxa"/>
            <w:vAlign w:val="bottom"/>
          </w:tcPr>
          <w:p>
            <w:pPr>
              <w:spacing w:after="0"/>
              <w:rPr>
                <w:sz w:val="1"/>
                <w:szCs w:val="1"/>
                <w:color w:val="auto"/>
              </w:rPr>
            </w:pPr>
          </w:p>
        </w:tc>
      </w:tr>
      <w:tr>
        <w:trPr>
          <w:trHeight w:val="169"/>
        </w:trPr>
        <w:tc>
          <w:tcPr>
            <w:tcW w:w="4220" w:type="dxa"/>
            <w:vAlign w:val="bottom"/>
          </w:tcPr>
          <w:p>
            <w:pPr>
              <w:ind w:left="120"/>
              <w:spacing w:after="0" w:line="169" w:lineRule="exact"/>
              <w:rPr>
                <w:sz w:val="20"/>
                <w:szCs w:val="20"/>
                <w:color w:val="auto"/>
              </w:rPr>
            </w:pPr>
            <w:r>
              <w:rPr>
                <w:rFonts w:ascii="Arial" w:cs="Arial" w:eastAsia="Arial" w:hAnsi="Arial"/>
                <w:sz w:val="16"/>
                <w:szCs w:val="16"/>
                <w:color w:val="auto"/>
              </w:rPr>
              <w:t>Amortization of right-of-use asset</w:t>
            </w:r>
          </w:p>
        </w:tc>
        <w:tc>
          <w:tcPr>
            <w:tcW w:w="23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20" w:type="dxa"/>
            <w:vAlign w:val="bottom"/>
          </w:tcPr>
          <w:p>
            <w:pPr>
              <w:ind w:left="120"/>
              <w:spacing w:after="0"/>
              <w:rPr>
                <w:sz w:val="20"/>
                <w:szCs w:val="20"/>
                <w:color w:val="auto"/>
              </w:rPr>
            </w:pPr>
            <w:r>
              <w:rPr>
                <w:rFonts w:ascii="Arial" w:cs="Arial" w:eastAsia="Arial" w:hAnsi="Arial"/>
                <w:sz w:val="16"/>
                <w:szCs w:val="16"/>
                <w:color w:val="auto"/>
              </w:rPr>
              <w:t>Interest on lease liabilities</w:t>
            </w:r>
          </w:p>
        </w:tc>
        <w:tc>
          <w:tcPr>
            <w:tcW w:w="2300" w:type="dxa"/>
            <w:vAlign w:val="bottom"/>
          </w:tcPr>
          <w:p>
            <w:pPr>
              <w:spacing w:after="0"/>
              <w:rPr>
                <w:sz w:val="18"/>
                <w:szCs w:val="18"/>
                <w:color w:val="auto"/>
              </w:rPr>
            </w:pPr>
          </w:p>
        </w:tc>
        <w:tc>
          <w:tcPr>
            <w:tcW w:w="1020" w:type="dxa"/>
            <w:vAlign w:val="bottom"/>
          </w:tcPr>
          <w:p>
            <w:pPr>
              <w:jc w:val="right"/>
              <w:ind w:right="619"/>
              <w:spacing w:after="0"/>
              <w:rPr>
                <w:sz w:val="20"/>
                <w:szCs w:val="20"/>
                <w:color w:val="auto"/>
              </w:rPr>
            </w:pPr>
            <w:r>
              <w:rPr>
                <w:rFonts w:ascii="Arial" w:cs="Arial" w:eastAsia="Arial" w:hAnsi="Arial"/>
                <w:sz w:val="16"/>
                <w:szCs w:val="16"/>
                <w:b w:val="1"/>
                <w:bCs w:val="1"/>
                <w:color w:val="auto"/>
              </w:rPr>
              <w:t>388</w:t>
            </w:r>
          </w:p>
        </w:tc>
        <w:tc>
          <w:tcPr>
            <w:tcW w:w="188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1,181</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20"/>
                <w:szCs w:val="20"/>
                <w:color w:val="auto"/>
              </w:rPr>
            </w:pPr>
            <w:r>
              <w:rPr>
                <w:rFonts w:ascii="Arial" w:cs="Arial" w:eastAsia="Arial" w:hAnsi="Arial"/>
                <w:sz w:val="16"/>
                <w:szCs w:val="16"/>
                <w:color w:val="auto"/>
              </w:rPr>
              <w:t>Operating lease</w:t>
            </w:r>
          </w:p>
        </w:tc>
        <w:tc>
          <w:tcPr>
            <w:tcW w:w="2300" w:type="dxa"/>
            <w:vAlign w:val="bottom"/>
          </w:tcPr>
          <w:p>
            <w:pPr>
              <w:spacing w:after="0"/>
              <w:rPr>
                <w:sz w:val="16"/>
                <w:szCs w:val="16"/>
                <w:color w:val="auto"/>
              </w:rPr>
            </w:pPr>
          </w:p>
        </w:tc>
        <w:tc>
          <w:tcPr>
            <w:tcW w:w="102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991</w:t>
            </w:r>
          </w:p>
        </w:tc>
        <w:tc>
          <w:tcPr>
            <w:tcW w:w="1880" w:type="dxa"/>
            <w:vAlign w:val="bottom"/>
            <w:gridSpan w:val="2"/>
            <w:vMerge w:val="restart"/>
          </w:tcPr>
          <w:p>
            <w:pPr>
              <w:jc w:val="right"/>
              <w:ind w:right="619"/>
              <w:spacing w:after="0"/>
              <w:rPr>
                <w:sz w:val="20"/>
                <w:szCs w:val="20"/>
                <w:color w:val="auto"/>
              </w:rPr>
            </w:pPr>
            <w:r>
              <w:rPr>
                <w:rFonts w:ascii="Arial" w:cs="Arial" w:eastAsia="Arial" w:hAnsi="Arial"/>
                <w:sz w:val="16"/>
                <w:szCs w:val="16"/>
                <w:b w:val="1"/>
                <w:bCs w:val="1"/>
                <w:color w:val="auto"/>
              </w:rPr>
              <w:t>3,416</w:t>
            </w:r>
          </w:p>
        </w:tc>
        <w:tc>
          <w:tcPr>
            <w:tcW w:w="0" w:type="dxa"/>
            <w:vAlign w:val="bottom"/>
          </w:tcPr>
          <w:p>
            <w:pPr>
              <w:spacing w:after="0"/>
              <w:rPr>
                <w:sz w:val="1"/>
                <w:szCs w:val="1"/>
                <w:color w:val="auto"/>
              </w:rPr>
            </w:pPr>
          </w:p>
        </w:tc>
      </w:tr>
      <w:tr>
        <w:trPr>
          <w:trHeight w:val="169"/>
        </w:trPr>
        <w:tc>
          <w:tcPr>
            <w:tcW w:w="4220" w:type="dxa"/>
            <w:vAlign w:val="bottom"/>
          </w:tcPr>
          <w:p>
            <w:pPr>
              <w:ind w:left="120"/>
              <w:spacing w:after="0" w:line="169" w:lineRule="exact"/>
              <w:rPr>
                <w:sz w:val="20"/>
                <w:szCs w:val="20"/>
                <w:color w:val="auto"/>
              </w:rPr>
            </w:pPr>
            <w:r>
              <w:rPr>
                <w:rFonts w:ascii="Arial" w:cs="Arial" w:eastAsia="Arial" w:hAnsi="Arial"/>
                <w:sz w:val="16"/>
                <w:szCs w:val="16"/>
                <w:color w:val="auto"/>
              </w:rPr>
              <w:t>Fixed lease cost</w:t>
            </w:r>
          </w:p>
        </w:tc>
        <w:tc>
          <w:tcPr>
            <w:tcW w:w="2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20" w:type="dxa"/>
            <w:vAlign w:val="bottom"/>
          </w:tcPr>
          <w:p>
            <w:pPr>
              <w:ind w:left="120"/>
              <w:spacing w:after="0"/>
              <w:rPr>
                <w:sz w:val="20"/>
                <w:szCs w:val="20"/>
                <w:color w:val="auto"/>
              </w:rPr>
            </w:pPr>
            <w:r>
              <w:rPr>
                <w:rFonts w:ascii="Arial" w:cs="Arial" w:eastAsia="Arial" w:hAnsi="Arial"/>
                <w:sz w:val="16"/>
                <w:szCs w:val="16"/>
                <w:color w:val="auto"/>
              </w:rPr>
              <w:t>Variable lease cost</w:t>
            </w:r>
          </w:p>
        </w:tc>
        <w:tc>
          <w:tcPr>
            <w:tcW w:w="2300" w:type="dxa"/>
            <w:vAlign w:val="bottom"/>
          </w:tcPr>
          <w:p>
            <w:pPr>
              <w:spacing w:after="0"/>
              <w:rPr>
                <w:sz w:val="16"/>
                <w:szCs w:val="16"/>
                <w:color w:val="auto"/>
              </w:rPr>
            </w:pPr>
          </w:p>
        </w:tc>
        <w:tc>
          <w:tcPr>
            <w:tcW w:w="1020" w:type="dxa"/>
            <w:vAlign w:val="bottom"/>
          </w:tcPr>
          <w:p>
            <w:pPr>
              <w:jc w:val="right"/>
              <w:ind w:right="599"/>
              <w:spacing w:after="0"/>
              <w:rPr>
                <w:sz w:val="20"/>
                <w:szCs w:val="20"/>
                <w:color w:val="auto"/>
              </w:rPr>
            </w:pPr>
            <w:r>
              <w:rPr>
                <w:rFonts w:ascii="Arial" w:cs="Arial" w:eastAsia="Arial" w:hAnsi="Arial"/>
                <w:sz w:val="16"/>
                <w:szCs w:val="16"/>
                <w:b w:val="1"/>
                <w:bCs w:val="1"/>
                <w:color w:val="auto"/>
              </w:rPr>
              <w:t>59</w:t>
            </w:r>
          </w:p>
        </w:tc>
        <w:tc>
          <w:tcPr>
            <w:tcW w:w="840" w:type="dxa"/>
            <w:vAlign w:val="bottom"/>
          </w:tcPr>
          <w:p>
            <w:pPr>
              <w:spacing w:after="0"/>
              <w:rPr>
                <w:sz w:val="16"/>
                <w:szCs w:val="16"/>
                <w:color w:val="auto"/>
              </w:rPr>
            </w:pPr>
          </w:p>
        </w:tc>
        <w:tc>
          <w:tcPr>
            <w:tcW w:w="1040" w:type="dxa"/>
            <w:vAlign w:val="bottom"/>
          </w:tcPr>
          <w:p>
            <w:pPr>
              <w:jc w:val="right"/>
              <w:ind w:right="619"/>
              <w:spacing w:after="0"/>
              <w:rPr>
                <w:sz w:val="20"/>
                <w:szCs w:val="20"/>
                <w:color w:val="auto"/>
              </w:rPr>
            </w:pPr>
            <w:r>
              <w:rPr>
                <w:rFonts w:ascii="Arial" w:cs="Arial" w:eastAsia="Arial" w:hAnsi="Arial"/>
                <w:sz w:val="16"/>
                <w:szCs w:val="16"/>
                <w:b w:val="1"/>
                <w:bCs w:val="1"/>
                <w:color w:val="auto"/>
              </w:rPr>
              <w:t>263</w:t>
            </w:r>
          </w:p>
        </w:tc>
        <w:tc>
          <w:tcPr>
            <w:tcW w:w="0" w:type="dxa"/>
            <w:vAlign w:val="bottom"/>
          </w:tcPr>
          <w:p>
            <w:pPr>
              <w:spacing w:after="0"/>
              <w:rPr>
                <w:sz w:val="1"/>
                <w:szCs w:val="1"/>
                <w:color w:val="auto"/>
              </w:rPr>
            </w:pPr>
          </w:p>
        </w:tc>
      </w:tr>
      <w:tr>
        <w:trPr>
          <w:trHeight w:val="207"/>
        </w:trPr>
        <w:tc>
          <w:tcPr>
            <w:tcW w:w="42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Short-term lease cost</w:t>
            </w:r>
          </w:p>
        </w:tc>
        <w:tc>
          <w:tcPr>
            <w:tcW w:w="2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350</w:t>
            </w:r>
          </w:p>
        </w:tc>
        <w:tc>
          <w:tcPr>
            <w:tcW w:w="1880" w:type="dxa"/>
            <w:vAlign w:val="bottom"/>
            <w:tcBorders>
              <w:bottom w:val="single" w:sz="8" w:color="auto"/>
            </w:tcBorders>
            <w:gridSpan w:val="2"/>
          </w:tcPr>
          <w:p>
            <w:pPr>
              <w:jc w:val="right"/>
              <w:ind w:right="619"/>
              <w:spacing w:after="0"/>
              <w:rPr>
                <w:sz w:val="20"/>
                <w:szCs w:val="20"/>
                <w:color w:val="auto"/>
              </w:rPr>
            </w:pPr>
            <w:r>
              <w:rPr>
                <w:rFonts w:ascii="Arial" w:cs="Arial" w:eastAsia="Arial" w:hAnsi="Arial"/>
                <w:sz w:val="16"/>
                <w:szCs w:val="16"/>
                <w:b w:val="1"/>
                <w:bCs w:val="1"/>
                <w:color w:val="auto"/>
              </w:rPr>
              <w:t>1,022</w:t>
            </w:r>
          </w:p>
        </w:tc>
        <w:tc>
          <w:tcPr>
            <w:tcW w:w="0" w:type="dxa"/>
            <w:vAlign w:val="bottom"/>
          </w:tcPr>
          <w:p>
            <w:pPr>
              <w:spacing w:after="0"/>
              <w:rPr>
                <w:sz w:val="1"/>
                <w:szCs w:val="1"/>
                <w:color w:val="auto"/>
              </w:rPr>
            </w:pPr>
          </w:p>
        </w:tc>
      </w:tr>
      <w:tr>
        <w:trPr>
          <w:trHeight w:val="183"/>
        </w:trPr>
        <w:tc>
          <w:tcPr>
            <w:tcW w:w="42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lease expense</w:t>
            </w:r>
          </w:p>
        </w:tc>
        <w:tc>
          <w:tcPr>
            <w:tcW w:w="3320" w:type="dxa"/>
            <w:vAlign w:val="bottom"/>
            <w:tcBorders>
              <w:bottom w:val="single" w:sz="8" w:color="auto"/>
            </w:tcBorders>
            <w:gridSpan w:val="2"/>
          </w:tcPr>
          <w:p>
            <w:pPr>
              <w:jc w:val="right"/>
              <w:ind w:right="599"/>
              <w:spacing w:after="0" w:line="183" w:lineRule="exact"/>
              <w:rPr>
                <w:sz w:val="20"/>
                <w:szCs w:val="20"/>
                <w:color w:val="auto"/>
              </w:rPr>
            </w:pPr>
            <w:r>
              <w:rPr>
                <w:rFonts w:ascii="Arial" w:cs="Arial" w:eastAsia="Arial" w:hAnsi="Arial"/>
                <w:sz w:val="16"/>
                <w:szCs w:val="16"/>
                <w:b w:val="1"/>
                <w:bCs w:val="1"/>
                <w:color w:val="auto"/>
              </w:rPr>
              <w:t>$2,037</w:t>
            </w:r>
          </w:p>
        </w:tc>
        <w:tc>
          <w:tcPr>
            <w:tcW w:w="1880" w:type="dxa"/>
            <w:vAlign w:val="bottom"/>
            <w:tcBorders>
              <w:bottom w:val="single" w:sz="8" w:color="auto"/>
            </w:tcBorders>
            <w:gridSpan w:val="2"/>
          </w:tcPr>
          <w:p>
            <w:pPr>
              <w:jc w:val="right"/>
              <w:ind w:right="619"/>
              <w:spacing w:after="0" w:line="183" w:lineRule="exact"/>
              <w:rPr>
                <w:sz w:val="20"/>
                <w:szCs w:val="20"/>
                <w:color w:val="auto"/>
              </w:rPr>
            </w:pPr>
            <w:r>
              <w:rPr>
                <w:rFonts w:ascii="Arial" w:cs="Arial" w:eastAsia="Arial" w:hAnsi="Arial"/>
                <w:sz w:val="16"/>
                <w:szCs w:val="16"/>
                <w:b w:val="1"/>
                <w:bCs w:val="1"/>
                <w:color w:val="auto"/>
              </w:rPr>
              <w:t>$6,630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Lease expense for the three and nine month periods ended September 30, 2018 was $2.1 million and $6.1 million, respectively.</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550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tcPr>
          <w:p>
            <w:pPr>
              <w:jc w:val="center"/>
              <w:ind w:left="82"/>
              <w:spacing w:after="0"/>
              <w:rPr>
                <w:sz w:val="20"/>
                <w:szCs w:val="20"/>
                <w:color w:val="auto"/>
              </w:rPr>
            </w:pPr>
            <w:r>
              <w:rPr>
                <w:rFonts w:ascii="Arial" w:cs="Arial" w:eastAsia="Arial" w:hAnsi="Arial"/>
                <w:sz w:val="14"/>
                <w:szCs w:val="14"/>
                <w:b w:val="1"/>
                <w:bCs w:val="1"/>
                <w:color w:val="auto"/>
              </w:rPr>
              <w:t>For the three</w:t>
            </w: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For the nine</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2040" w:type="dxa"/>
            <w:vAlign w:val="bottom"/>
          </w:tcPr>
          <w:p>
            <w:pPr>
              <w:jc w:val="center"/>
              <w:ind w:left="102"/>
              <w:spacing w:after="0"/>
              <w:rPr>
                <w:sz w:val="20"/>
                <w:szCs w:val="20"/>
                <w:color w:val="auto"/>
              </w:rPr>
            </w:pPr>
            <w:r>
              <w:rPr>
                <w:rFonts w:ascii="Arial" w:cs="Arial" w:eastAsia="Arial" w:hAnsi="Arial"/>
                <w:sz w:val="14"/>
                <w:szCs w:val="14"/>
                <w:b w:val="1"/>
                <w:bCs w:val="1"/>
                <w:color w:val="auto"/>
              </w:rPr>
              <w:t>months ended</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175"/>
        </w:trPr>
        <w:tc>
          <w:tcPr>
            <w:tcW w:w="5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40" w:type="dxa"/>
            <w:vAlign w:val="bottom"/>
            <w:tcBorders>
              <w:bottom w:val="single" w:sz="8" w:color="auto"/>
            </w:tcBorders>
          </w:tcPr>
          <w:p>
            <w:pPr>
              <w:jc w:val="center"/>
              <w:ind w:left="102"/>
              <w:spacing w:after="0"/>
              <w:rPr>
                <w:sz w:val="20"/>
                <w:szCs w:val="20"/>
                <w:color w:val="auto"/>
              </w:rPr>
            </w:pPr>
            <w:r>
              <w:rPr>
                <w:rFonts w:ascii="Arial" w:cs="Arial" w:eastAsia="Arial" w:hAnsi="Arial"/>
                <w:sz w:val="14"/>
                <w:szCs w:val="14"/>
                <w:b w:val="1"/>
                <w:bCs w:val="1"/>
                <w:color w:val="auto"/>
              </w:rPr>
              <w:t>September 30, 2019</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184"/>
        </w:trPr>
        <w:tc>
          <w:tcPr>
            <w:tcW w:w="5500" w:type="dxa"/>
            <w:vAlign w:val="bottom"/>
          </w:tcPr>
          <w:p>
            <w:pPr>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040" w:type="dxa"/>
            <w:vAlign w:val="bottom"/>
            <w:vMerge w:val="restart"/>
          </w:tcPr>
          <w:p>
            <w:pPr>
              <w:jc w:val="right"/>
              <w:ind w:right="682"/>
              <w:spacing w:after="0"/>
              <w:rPr>
                <w:sz w:val="20"/>
                <w:szCs w:val="20"/>
                <w:color w:val="auto"/>
              </w:rPr>
            </w:pPr>
            <w:r>
              <w:rPr>
                <w:rFonts w:ascii="Arial" w:cs="Arial" w:eastAsia="Arial" w:hAnsi="Arial"/>
                <w:sz w:val="16"/>
                <w:szCs w:val="16"/>
                <w:b w:val="1"/>
                <w:bCs w:val="1"/>
                <w:color w:val="auto"/>
              </w:rPr>
              <w:t>$974</w:t>
            </w:r>
          </w:p>
        </w:tc>
        <w:tc>
          <w:tcPr>
            <w:tcW w:w="1880" w:type="dxa"/>
            <w:vAlign w:val="bottom"/>
            <w:vMerge w:val="restart"/>
          </w:tcPr>
          <w:p>
            <w:pPr>
              <w:jc w:val="right"/>
              <w:ind w:right="622"/>
              <w:spacing w:after="0"/>
              <w:rPr>
                <w:sz w:val="20"/>
                <w:szCs w:val="20"/>
                <w:color w:val="auto"/>
              </w:rPr>
            </w:pPr>
            <w:r>
              <w:rPr>
                <w:rFonts w:ascii="Arial" w:cs="Arial" w:eastAsia="Arial" w:hAnsi="Arial"/>
                <w:sz w:val="16"/>
                <w:szCs w:val="16"/>
                <w:b w:val="1"/>
                <w:bCs w:val="1"/>
                <w:color w:val="auto"/>
              </w:rPr>
              <w:t>$3,350</w:t>
            </w:r>
          </w:p>
        </w:tc>
        <w:tc>
          <w:tcPr>
            <w:tcW w:w="0" w:type="dxa"/>
            <w:vAlign w:val="bottom"/>
          </w:tcPr>
          <w:p>
            <w:pPr>
              <w:spacing w:after="0"/>
              <w:rPr>
                <w:sz w:val="1"/>
                <w:szCs w:val="1"/>
                <w:color w:val="auto"/>
              </w:rPr>
            </w:pPr>
          </w:p>
        </w:tc>
      </w:tr>
      <w:tr>
        <w:trPr>
          <w:trHeight w:val="169"/>
        </w:trPr>
        <w:tc>
          <w:tcPr>
            <w:tcW w:w="5500" w:type="dxa"/>
            <w:vAlign w:val="bottom"/>
          </w:tcPr>
          <w:p>
            <w:pPr>
              <w:ind w:left="120"/>
              <w:spacing w:after="0" w:line="169" w:lineRule="exact"/>
              <w:rPr>
                <w:sz w:val="20"/>
                <w:szCs w:val="20"/>
                <w:color w:val="auto"/>
              </w:rPr>
            </w:pPr>
            <w:r>
              <w:rPr>
                <w:rFonts w:ascii="Arial" w:cs="Arial" w:eastAsia="Arial" w:hAnsi="Arial"/>
                <w:sz w:val="16"/>
                <w:szCs w:val="16"/>
                <w:color w:val="auto"/>
              </w:rPr>
              <w:t>Operating cash flows from operating leases</w:t>
            </w:r>
          </w:p>
        </w:tc>
        <w:tc>
          <w:tcPr>
            <w:tcW w:w="204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120"/>
              <w:spacing w:after="0"/>
              <w:rPr>
                <w:sz w:val="20"/>
                <w:szCs w:val="20"/>
                <w:color w:val="auto"/>
              </w:rPr>
            </w:pPr>
            <w:r>
              <w:rPr>
                <w:rFonts w:ascii="Arial" w:cs="Arial" w:eastAsia="Arial" w:hAnsi="Arial"/>
                <w:sz w:val="16"/>
                <w:szCs w:val="16"/>
                <w:color w:val="auto"/>
              </w:rPr>
              <w:t>Operating cash flows from finance leases</w:t>
            </w:r>
          </w:p>
        </w:tc>
        <w:tc>
          <w:tcPr>
            <w:tcW w:w="2040" w:type="dxa"/>
            <w:vAlign w:val="bottom"/>
          </w:tcPr>
          <w:p>
            <w:pPr>
              <w:jc w:val="right"/>
              <w:ind w:right="682"/>
              <w:spacing w:after="0"/>
              <w:rPr>
                <w:sz w:val="20"/>
                <w:szCs w:val="20"/>
                <w:color w:val="auto"/>
              </w:rPr>
            </w:pPr>
            <w:r>
              <w:rPr>
                <w:rFonts w:ascii="Arial" w:cs="Arial" w:eastAsia="Arial" w:hAnsi="Arial"/>
                <w:sz w:val="16"/>
                <w:szCs w:val="16"/>
                <w:b w:val="1"/>
                <w:bCs w:val="1"/>
                <w:color w:val="auto"/>
              </w:rPr>
              <w:t>388</w:t>
            </w:r>
          </w:p>
        </w:tc>
        <w:tc>
          <w:tcPr>
            <w:tcW w:w="1880" w:type="dxa"/>
            <w:vAlign w:val="bottom"/>
          </w:tcPr>
          <w:p>
            <w:pPr>
              <w:jc w:val="right"/>
              <w:ind w:right="622"/>
              <w:spacing w:after="0"/>
              <w:rPr>
                <w:sz w:val="20"/>
                <w:szCs w:val="20"/>
                <w:color w:val="auto"/>
              </w:rPr>
            </w:pPr>
            <w:r>
              <w:rPr>
                <w:rFonts w:ascii="Arial" w:cs="Arial" w:eastAsia="Arial" w:hAnsi="Arial"/>
                <w:sz w:val="16"/>
                <w:szCs w:val="16"/>
                <w:b w:val="1"/>
                <w:bCs w:val="1"/>
                <w:color w:val="auto"/>
              </w:rPr>
              <w:t>1,181</w:t>
            </w:r>
          </w:p>
        </w:tc>
        <w:tc>
          <w:tcPr>
            <w:tcW w:w="0" w:type="dxa"/>
            <w:vAlign w:val="bottom"/>
          </w:tcPr>
          <w:p>
            <w:pPr>
              <w:spacing w:after="0"/>
              <w:rPr>
                <w:sz w:val="1"/>
                <w:szCs w:val="1"/>
                <w:color w:val="auto"/>
              </w:rPr>
            </w:pPr>
          </w:p>
        </w:tc>
      </w:tr>
      <w:tr>
        <w:trPr>
          <w:trHeight w:val="215"/>
        </w:trPr>
        <w:tc>
          <w:tcPr>
            <w:tcW w:w="5500" w:type="dxa"/>
            <w:vAlign w:val="bottom"/>
          </w:tcPr>
          <w:p>
            <w:pPr>
              <w:ind w:left="120"/>
              <w:spacing w:after="0"/>
              <w:rPr>
                <w:sz w:val="20"/>
                <w:szCs w:val="20"/>
                <w:color w:val="auto"/>
              </w:rPr>
            </w:pPr>
            <w:r>
              <w:rPr>
                <w:rFonts w:ascii="Arial" w:cs="Arial" w:eastAsia="Arial" w:hAnsi="Arial"/>
                <w:sz w:val="16"/>
                <w:szCs w:val="16"/>
                <w:color w:val="auto"/>
              </w:rPr>
              <w:t>Financing cash flows from finance leases</w:t>
            </w:r>
          </w:p>
        </w:tc>
        <w:tc>
          <w:tcPr>
            <w:tcW w:w="2040" w:type="dxa"/>
            <w:vAlign w:val="bottom"/>
          </w:tcPr>
          <w:p>
            <w:pPr>
              <w:jc w:val="right"/>
              <w:ind w:right="682"/>
              <w:spacing w:after="0"/>
              <w:rPr>
                <w:sz w:val="20"/>
                <w:szCs w:val="20"/>
                <w:color w:val="auto"/>
              </w:rPr>
            </w:pPr>
            <w:r>
              <w:rPr>
                <w:rFonts w:ascii="Arial" w:cs="Arial" w:eastAsia="Arial" w:hAnsi="Arial"/>
                <w:sz w:val="16"/>
                <w:szCs w:val="16"/>
                <w:b w:val="1"/>
                <w:bCs w:val="1"/>
                <w:color w:val="auto"/>
              </w:rPr>
              <w:t>298</w:t>
            </w:r>
          </w:p>
        </w:tc>
        <w:tc>
          <w:tcPr>
            <w:tcW w:w="1880" w:type="dxa"/>
            <w:vAlign w:val="bottom"/>
          </w:tcPr>
          <w:p>
            <w:pPr>
              <w:jc w:val="right"/>
              <w:ind w:right="622"/>
              <w:spacing w:after="0"/>
              <w:rPr>
                <w:sz w:val="20"/>
                <w:szCs w:val="20"/>
                <w:color w:val="auto"/>
              </w:rPr>
            </w:pPr>
            <w:r>
              <w:rPr>
                <w:rFonts w:ascii="Arial" w:cs="Arial" w:eastAsia="Arial" w:hAnsi="Arial"/>
                <w:sz w:val="16"/>
                <w:szCs w:val="16"/>
                <w:b w:val="1"/>
                <w:bCs w:val="1"/>
                <w:color w:val="auto"/>
              </w:rPr>
              <w:t>876</w:t>
            </w:r>
          </w:p>
        </w:tc>
        <w:tc>
          <w:tcPr>
            <w:tcW w:w="0" w:type="dxa"/>
            <w:vAlign w:val="bottom"/>
          </w:tcPr>
          <w:p>
            <w:pPr>
              <w:spacing w:after="0"/>
              <w:rPr>
                <w:sz w:val="1"/>
                <w:szCs w:val="1"/>
                <w:color w:val="auto"/>
              </w:rPr>
            </w:pPr>
          </w:p>
        </w:tc>
      </w:tr>
      <w:tr>
        <w:trPr>
          <w:trHeight w:val="346"/>
        </w:trPr>
        <w:tc>
          <w:tcPr>
            <w:tcW w:w="5500" w:type="dxa"/>
            <w:vAlign w:val="bottom"/>
          </w:tcPr>
          <w:p>
            <w:pPr>
              <w:spacing w:after="0"/>
              <w:rPr>
                <w:sz w:val="20"/>
                <w:szCs w:val="20"/>
                <w:color w:val="auto"/>
              </w:rPr>
            </w:pPr>
            <w:r>
              <w:rPr>
                <w:rFonts w:ascii="Arial" w:cs="Arial" w:eastAsia="Arial" w:hAnsi="Arial"/>
                <w:sz w:val="16"/>
                <w:szCs w:val="16"/>
                <w:color w:val="auto"/>
              </w:rPr>
              <w:t>Right-of-use assets obtained in exchange for lease obligations:</w:t>
            </w:r>
          </w:p>
        </w:tc>
        <w:tc>
          <w:tcPr>
            <w:tcW w:w="2040" w:type="dxa"/>
            <w:vAlign w:val="bottom"/>
            <w:vMerge w:val="restart"/>
          </w:tcPr>
          <w:p>
            <w:pPr>
              <w:jc w:val="right"/>
              <w:ind w:right="682"/>
              <w:spacing w:after="0"/>
              <w:rPr>
                <w:sz w:val="20"/>
                <w:szCs w:val="20"/>
                <w:color w:val="auto"/>
              </w:rPr>
            </w:pPr>
            <w:r>
              <w:rPr>
                <w:rFonts w:ascii="Arial" w:cs="Arial" w:eastAsia="Arial" w:hAnsi="Arial"/>
                <w:sz w:val="16"/>
                <w:szCs w:val="16"/>
                <w:b w:val="1"/>
                <w:bCs w:val="1"/>
                <w:color w:val="auto"/>
              </w:rPr>
              <w:t>$988</w:t>
            </w:r>
          </w:p>
        </w:tc>
        <w:tc>
          <w:tcPr>
            <w:tcW w:w="1880" w:type="dxa"/>
            <w:vAlign w:val="bottom"/>
            <w:vMerge w:val="restart"/>
          </w:tcPr>
          <w:p>
            <w:pPr>
              <w:jc w:val="right"/>
              <w:ind w:right="622"/>
              <w:spacing w:after="0"/>
              <w:rPr>
                <w:sz w:val="20"/>
                <w:szCs w:val="20"/>
                <w:color w:val="auto"/>
              </w:rPr>
            </w:pPr>
            <w:r>
              <w:rPr>
                <w:rFonts w:ascii="Arial" w:cs="Arial" w:eastAsia="Arial" w:hAnsi="Arial"/>
                <w:sz w:val="16"/>
                <w:szCs w:val="16"/>
                <w:b w:val="1"/>
                <w:bCs w:val="1"/>
                <w:color w:val="auto"/>
              </w:rPr>
              <w:t>$3,990</w:t>
            </w:r>
          </w:p>
        </w:tc>
        <w:tc>
          <w:tcPr>
            <w:tcW w:w="0" w:type="dxa"/>
            <w:vAlign w:val="bottom"/>
          </w:tcPr>
          <w:p>
            <w:pPr>
              <w:spacing w:after="0"/>
              <w:rPr>
                <w:sz w:val="1"/>
                <w:szCs w:val="1"/>
                <w:color w:val="auto"/>
              </w:rPr>
            </w:pPr>
          </w:p>
        </w:tc>
      </w:tr>
      <w:tr>
        <w:trPr>
          <w:trHeight w:val="169"/>
        </w:trPr>
        <w:tc>
          <w:tcPr>
            <w:tcW w:w="5500" w:type="dxa"/>
            <w:vAlign w:val="bottom"/>
          </w:tcPr>
          <w:p>
            <w:pPr>
              <w:ind w:left="120"/>
              <w:spacing w:after="0" w:line="169" w:lineRule="exact"/>
              <w:rPr>
                <w:sz w:val="20"/>
                <w:szCs w:val="20"/>
                <w:color w:val="auto"/>
              </w:rPr>
            </w:pPr>
            <w:r>
              <w:rPr>
                <w:rFonts w:ascii="Arial" w:cs="Arial" w:eastAsia="Arial" w:hAnsi="Arial"/>
                <w:sz w:val="16"/>
                <w:szCs w:val="16"/>
                <w:color w:val="auto"/>
              </w:rPr>
              <w:t>Operating leases</w:t>
            </w:r>
          </w:p>
        </w:tc>
        <w:tc>
          <w:tcPr>
            <w:tcW w:w="204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5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Finance leases</w:t>
            </w:r>
          </w:p>
        </w:tc>
        <w:tc>
          <w:tcPr>
            <w:tcW w:w="204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b w:val="1"/>
                <w:bCs w:val="1"/>
                <w:color w:val="auto"/>
              </w:rPr>
              <w:t>—</w:t>
            </w:r>
          </w:p>
        </w:tc>
        <w:tc>
          <w:tcPr>
            <w:tcW w:w="188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The initial recognition of each ROU asset and lease liability at lease commencement is a noncash transaction that is excluded from amounts reported in the Consolidated Statements of Cash Flows.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176"/>
        </w:trPr>
        <w:tc>
          <w:tcPr>
            <w:tcW w:w="6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2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184"/>
        </w:trPr>
        <w:tc>
          <w:tcPr>
            <w:tcW w:w="6180" w:type="dxa"/>
            <w:vAlign w:val="bottom"/>
          </w:tcPr>
          <w:p>
            <w:pPr>
              <w:spacing w:after="0"/>
              <w:rPr>
                <w:sz w:val="20"/>
                <w:szCs w:val="20"/>
                <w:color w:val="auto"/>
              </w:rPr>
            </w:pPr>
            <w:r>
              <w:rPr>
                <w:rFonts w:ascii="Arial" w:cs="Arial" w:eastAsia="Arial" w:hAnsi="Arial"/>
                <w:sz w:val="16"/>
                <w:szCs w:val="16"/>
                <w:b w:val="1"/>
                <w:bCs w:val="1"/>
                <w:color w:val="auto"/>
              </w:rPr>
              <w:t>Operating leases</w:t>
            </w:r>
          </w:p>
        </w:tc>
        <w:tc>
          <w:tcPr>
            <w:tcW w:w="3240" w:type="dxa"/>
            <w:vAlign w:val="bottom"/>
            <w:vMerge w:val="restart"/>
          </w:tcPr>
          <w:p>
            <w:pPr>
              <w:jc w:val="right"/>
              <w:ind w:right="760"/>
              <w:spacing w:after="0"/>
              <w:rPr>
                <w:sz w:val="20"/>
                <w:szCs w:val="20"/>
                <w:color w:val="auto"/>
              </w:rPr>
            </w:pPr>
            <w:r>
              <w:rPr>
                <w:rFonts w:ascii="Arial" w:cs="Arial" w:eastAsia="Arial" w:hAnsi="Arial"/>
                <w:sz w:val="16"/>
                <w:szCs w:val="16"/>
                <w:b w:val="1"/>
                <w:bCs w:val="1"/>
                <w:color w:val="auto"/>
              </w:rPr>
              <w:t>$13,838</w:t>
            </w:r>
          </w:p>
        </w:tc>
        <w:tc>
          <w:tcPr>
            <w:tcW w:w="0" w:type="dxa"/>
            <w:vAlign w:val="bottom"/>
          </w:tcPr>
          <w:p>
            <w:pPr>
              <w:spacing w:after="0"/>
              <w:rPr>
                <w:sz w:val="1"/>
                <w:szCs w:val="1"/>
                <w:color w:val="auto"/>
              </w:rPr>
            </w:pPr>
          </w:p>
        </w:tc>
      </w:tr>
      <w:tr>
        <w:trPr>
          <w:trHeight w:val="187"/>
        </w:trPr>
        <w:tc>
          <w:tcPr>
            <w:tcW w:w="6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Right of use assets included in Other assets</w:t>
            </w:r>
          </w:p>
        </w:tc>
        <w:tc>
          <w:tcPr>
            <w:tcW w:w="3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180" w:type="dxa"/>
            <w:vAlign w:val="bottom"/>
          </w:tcPr>
          <w:p>
            <w:pPr>
              <w:spacing w:after="0"/>
              <w:rPr>
                <w:sz w:val="20"/>
                <w:szCs w:val="20"/>
                <w:color w:val="auto"/>
              </w:rPr>
            </w:pPr>
            <w:r>
              <w:rPr>
                <w:rFonts w:ascii="Arial" w:cs="Arial" w:eastAsia="Arial" w:hAnsi="Arial"/>
                <w:sz w:val="16"/>
                <w:szCs w:val="16"/>
                <w:color w:val="auto"/>
              </w:rPr>
              <w:t>Lease liabilities included in</w:t>
            </w:r>
          </w:p>
        </w:tc>
        <w:tc>
          <w:tcPr>
            <w:tcW w:w="3240" w:type="dxa"/>
            <w:vAlign w:val="bottom"/>
            <w:vMerge w:val="restart"/>
          </w:tcPr>
          <w:p>
            <w:pPr>
              <w:jc w:val="right"/>
              <w:ind w:right="760"/>
              <w:spacing w:after="0"/>
              <w:rPr>
                <w:sz w:val="20"/>
                <w:szCs w:val="20"/>
                <w:color w:val="auto"/>
              </w:rPr>
            </w:pPr>
            <w:r>
              <w:rPr>
                <w:rFonts w:ascii="Arial" w:cs="Arial" w:eastAsia="Arial" w:hAnsi="Arial"/>
                <w:sz w:val="16"/>
                <w:szCs w:val="16"/>
                <w:b w:val="1"/>
                <w:bCs w:val="1"/>
                <w:color w:val="auto"/>
              </w:rPr>
              <w:t>$ 3,780</w:t>
            </w:r>
          </w:p>
        </w:tc>
        <w:tc>
          <w:tcPr>
            <w:tcW w:w="0" w:type="dxa"/>
            <w:vAlign w:val="bottom"/>
          </w:tcPr>
          <w:p>
            <w:pPr>
              <w:spacing w:after="0"/>
              <w:rPr>
                <w:sz w:val="1"/>
                <w:szCs w:val="1"/>
                <w:color w:val="auto"/>
              </w:rPr>
            </w:pPr>
          </w:p>
        </w:tc>
      </w:tr>
      <w:tr>
        <w:trPr>
          <w:trHeight w:val="169"/>
        </w:trPr>
        <w:tc>
          <w:tcPr>
            <w:tcW w:w="6180" w:type="dxa"/>
            <w:vAlign w:val="bottom"/>
          </w:tcPr>
          <w:p>
            <w:pPr>
              <w:ind w:left="120"/>
              <w:spacing w:after="0" w:line="169" w:lineRule="exact"/>
              <w:rPr>
                <w:sz w:val="20"/>
                <w:szCs w:val="20"/>
                <w:color w:val="auto"/>
              </w:rPr>
            </w:pPr>
            <w:r>
              <w:rPr>
                <w:rFonts w:ascii="Arial" w:cs="Arial" w:eastAsia="Arial" w:hAnsi="Arial"/>
                <w:sz w:val="16"/>
                <w:szCs w:val="16"/>
                <w:color w:val="auto"/>
              </w:rPr>
              <w:t>Accrued liabilities</w:t>
            </w:r>
          </w:p>
        </w:tc>
        <w:tc>
          <w:tcPr>
            <w:tcW w:w="3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1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Other noncurrent liabilities</w:t>
            </w:r>
          </w:p>
        </w:tc>
        <w:tc>
          <w:tcPr>
            <w:tcW w:w="3240" w:type="dxa"/>
            <w:vAlign w:val="bottom"/>
            <w:tcBorders>
              <w:bottom w:val="single" w:sz="8" w:color="auto"/>
            </w:tcBorders>
          </w:tcPr>
          <w:p>
            <w:pPr>
              <w:jc w:val="right"/>
              <w:ind w:right="760"/>
              <w:spacing w:after="0"/>
              <w:rPr>
                <w:sz w:val="20"/>
                <w:szCs w:val="20"/>
                <w:color w:val="auto"/>
              </w:rPr>
            </w:pPr>
            <w:r>
              <w:rPr>
                <w:rFonts w:ascii="Arial" w:cs="Arial" w:eastAsia="Arial" w:hAnsi="Arial"/>
                <w:sz w:val="16"/>
                <w:szCs w:val="16"/>
                <w:b w:val="1"/>
                <w:bCs w:val="1"/>
                <w:color w:val="auto"/>
              </w:rPr>
              <w:t>10,131</w:t>
            </w:r>
          </w:p>
        </w:tc>
        <w:tc>
          <w:tcPr>
            <w:tcW w:w="0" w:type="dxa"/>
            <w:vAlign w:val="bottom"/>
          </w:tcPr>
          <w:p>
            <w:pPr>
              <w:spacing w:after="0"/>
              <w:rPr>
                <w:sz w:val="1"/>
                <w:szCs w:val="1"/>
                <w:color w:val="auto"/>
              </w:rPr>
            </w:pPr>
          </w:p>
        </w:tc>
      </w:tr>
      <w:tr>
        <w:trPr>
          <w:trHeight w:val="183"/>
        </w:trPr>
        <w:tc>
          <w:tcPr>
            <w:tcW w:w="61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operating lease liabilities</w:t>
            </w:r>
          </w:p>
        </w:tc>
        <w:tc>
          <w:tcPr>
            <w:tcW w:w="3240" w:type="dxa"/>
            <w:vAlign w:val="bottom"/>
            <w:tcBorders>
              <w:bottom w:val="single" w:sz="8" w:color="auto"/>
            </w:tcBorders>
          </w:tcPr>
          <w:p>
            <w:pPr>
              <w:jc w:val="right"/>
              <w:ind w:right="760"/>
              <w:spacing w:after="0" w:line="183" w:lineRule="exact"/>
              <w:rPr>
                <w:sz w:val="20"/>
                <w:szCs w:val="20"/>
                <w:color w:val="auto"/>
              </w:rPr>
            </w:pPr>
            <w:r>
              <w:rPr>
                <w:rFonts w:ascii="Arial" w:cs="Arial" w:eastAsia="Arial" w:hAnsi="Arial"/>
                <w:sz w:val="16"/>
                <w:szCs w:val="16"/>
                <w:b w:val="1"/>
                <w:bCs w:val="1"/>
                <w:color w:val="auto"/>
              </w:rPr>
              <w:t>$13,911</w:t>
            </w:r>
          </w:p>
        </w:tc>
        <w:tc>
          <w:tcPr>
            <w:tcW w:w="0" w:type="dxa"/>
            <w:vAlign w:val="bottom"/>
          </w:tcPr>
          <w:p>
            <w:pPr>
              <w:spacing w:after="0"/>
              <w:rPr>
                <w:sz w:val="1"/>
                <w:szCs w:val="1"/>
                <w:color w:val="auto"/>
              </w:rPr>
            </w:pPr>
          </w:p>
        </w:tc>
      </w:tr>
      <w:tr>
        <w:trPr>
          <w:trHeight w:val="184"/>
        </w:trPr>
        <w:tc>
          <w:tcPr>
            <w:tcW w:w="6180" w:type="dxa"/>
            <w:vAlign w:val="bottom"/>
          </w:tcPr>
          <w:p>
            <w:pPr>
              <w:spacing w:after="0"/>
              <w:rPr>
                <w:sz w:val="20"/>
                <w:szCs w:val="20"/>
                <w:color w:val="auto"/>
              </w:rPr>
            </w:pPr>
            <w:r>
              <w:rPr>
                <w:rFonts w:ascii="Arial" w:cs="Arial" w:eastAsia="Arial" w:hAnsi="Arial"/>
                <w:sz w:val="16"/>
                <w:szCs w:val="16"/>
                <w:b w:val="1"/>
                <w:bCs w:val="1"/>
                <w:color w:val="auto"/>
              </w:rPr>
              <w:t>Finance leases</w:t>
            </w:r>
          </w:p>
        </w:tc>
        <w:tc>
          <w:tcPr>
            <w:tcW w:w="3240" w:type="dxa"/>
            <w:vAlign w:val="bottom"/>
            <w:vMerge w:val="restart"/>
          </w:tcPr>
          <w:p>
            <w:pPr>
              <w:jc w:val="right"/>
              <w:ind w:right="760"/>
              <w:spacing w:after="0"/>
              <w:rPr>
                <w:sz w:val="20"/>
                <w:szCs w:val="20"/>
                <w:color w:val="auto"/>
              </w:rPr>
            </w:pPr>
            <w:r>
              <w:rPr>
                <w:rFonts w:ascii="Arial" w:cs="Arial" w:eastAsia="Arial" w:hAnsi="Arial"/>
                <w:sz w:val="16"/>
                <w:szCs w:val="16"/>
                <w:b w:val="1"/>
                <w:bCs w:val="1"/>
                <w:color w:val="auto"/>
              </w:rPr>
              <w:t>$10,223</w:t>
            </w:r>
          </w:p>
        </w:tc>
        <w:tc>
          <w:tcPr>
            <w:tcW w:w="0" w:type="dxa"/>
            <w:vAlign w:val="bottom"/>
          </w:tcPr>
          <w:p>
            <w:pPr>
              <w:spacing w:after="0"/>
              <w:rPr>
                <w:sz w:val="1"/>
                <w:szCs w:val="1"/>
                <w:color w:val="auto"/>
              </w:rPr>
            </w:pPr>
          </w:p>
        </w:tc>
      </w:tr>
      <w:tr>
        <w:trPr>
          <w:trHeight w:val="187"/>
        </w:trPr>
        <w:tc>
          <w:tcPr>
            <w:tcW w:w="6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Right of use assets included in Property, plant and equipment, net</w:t>
            </w:r>
          </w:p>
        </w:tc>
        <w:tc>
          <w:tcPr>
            <w:tcW w:w="3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180" w:type="dxa"/>
            <w:vAlign w:val="bottom"/>
          </w:tcPr>
          <w:p>
            <w:pPr>
              <w:spacing w:after="0"/>
              <w:rPr>
                <w:sz w:val="20"/>
                <w:szCs w:val="20"/>
                <w:color w:val="auto"/>
              </w:rPr>
            </w:pPr>
            <w:r>
              <w:rPr>
                <w:rFonts w:ascii="Arial" w:cs="Arial" w:eastAsia="Arial" w:hAnsi="Arial"/>
                <w:sz w:val="16"/>
                <w:szCs w:val="16"/>
                <w:color w:val="auto"/>
              </w:rPr>
              <w:t>Lease liabilities included in</w:t>
            </w:r>
          </w:p>
        </w:tc>
        <w:tc>
          <w:tcPr>
            <w:tcW w:w="3240" w:type="dxa"/>
            <w:vAlign w:val="bottom"/>
            <w:vMerge w:val="restart"/>
          </w:tcPr>
          <w:p>
            <w:pPr>
              <w:jc w:val="right"/>
              <w:ind w:right="760"/>
              <w:spacing w:after="0"/>
              <w:rPr>
                <w:sz w:val="20"/>
                <w:szCs w:val="20"/>
                <w:color w:val="auto"/>
              </w:rPr>
            </w:pPr>
            <w:r>
              <w:rPr>
                <w:rFonts w:ascii="Arial" w:cs="Arial" w:eastAsia="Arial" w:hAnsi="Arial"/>
                <w:sz w:val="16"/>
                <w:szCs w:val="16"/>
                <w:b w:val="1"/>
                <w:bCs w:val="1"/>
                <w:color w:val="auto"/>
              </w:rPr>
              <w:t>$ 1,290</w:t>
            </w:r>
          </w:p>
        </w:tc>
        <w:tc>
          <w:tcPr>
            <w:tcW w:w="0" w:type="dxa"/>
            <w:vAlign w:val="bottom"/>
          </w:tcPr>
          <w:p>
            <w:pPr>
              <w:spacing w:after="0"/>
              <w:rPr>
                <w:sz w:val="1"/>
                <w:szCs w:val="1"/>
                <w:color w:val="auto"/>
              </w:rPr>
            </w:pPr>
          </w:p>
        </w:tc>
      </w:tr>
      <w:tr>
        <w:trPr>
          <w:trHeight w:val="169"/>
        </w:trPr>
        <w:tc>
          <w:tcPr>
            <w:tcW w:w="6180" w:type="dxa"/>
            <w:vAlign w:val="bottom"/>
          </w:tcPr>
          <w:p>
            <w:pPr>
              <w:ind w:left="120"/>
              <w:spacing w:after="0" w:line="169" w:lineRule="exact"/>
              <w:rPr>
                <w:sz w:val="20"/>
                <w:szCs w:val="20"/>
                <w:color w:val="auto"/>
              </w:rPr>
            </w:pPr>
            <w:r>
              <w:rPr>
                <w:rFonts w:ascii="Arial" w:cs="Arial" w:eastAsia="Arial" w:hAnsi="Arial"/>
                <w:sz w:val="16"/>
                <w:szCs w:val="16"/>
                <w:color w:val="auto"/>
              </w:rPr>
              <w:t>Accrued liabilities</w:t>
            </w:r>
          </w:p>
        </w:tc>
        <w:tc>
          <w:tcPr>
            <w:tcW w:w="3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1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Other noncurrent liabilities</w:t>
            </w:r>
          </w:p>
        </w:tc>
        <w:tc>
          <w:tcPr>
            <w:tcW w:w="3240" w:type="dxa"/>
            <w:vAlign w:val="bottom"/>
            <w:tcBorders>
              <w:bottom w:val="single" w:sz="8" w:color="auto"/>
            </w:tcBorders>
          </w:tcPr>
          <w:p>
            <w:pPr>
              <w:jc w:val="right"/>
              <w:ind w:right="760"/>
              <w:spacing w:after="0"/>
              <w:rPr>
                <w:sz w:val="20"/>
                <w:szCs w:val="20"/>
                <w:color w:val="auto"/>
              </w:rPr>
            </w:pPr>
            <w:r>
              <w:rPr>
                <w:rFonts w:ascii="Arial" w:cs="Arial" w:eastAsia="Arial" w:hAnsi="Arial"/>
                <w:sz w:val="16"/>
                <w:szCs w:val="16"/>
                <w:b w:val="1"/>
                <w:bCs w:val="1"/>
                <w:color w:val="auto"/>
              </w:rPr>
              <w:t>17,900</w:t>
            </w:r>
          </w:p>
        </w:tc>
        <w:tc>
          <w:tcPr>
            <w:tcW w:w="0" w:type="dxa"/>
            <w:vAlign w:val="bottom"/>
          </w:tcPr>
          <w:p>
            <w:pPr>
              <w:spacing w:after="0"/>
              <w:rPr>
                <w:sz w:val="1"/>
                <w:szCs w:val="1"/>
                <w:color w:val="auto"/>
              </w:rPr>
            </w:pPr>
          </w:p>
        </w:tc>
      </w:tr>
      <w:tr>
        <w:trPr>
          <w:trHeight w:val="190"/>
        </w:trPr>
        <w:tc>
          <w:tcPr>
            <w:tcW w:w="61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finance lease liabilities</w:t>
            </w:r>
          </w:p>
        </w:tc>
        <w:tc>
          <w:tcPr>
            <w:tcW w:w="3240" w:type="dxa"/>
            <w:vAlign w:val="bottom"/>
            <w:tcBorders>
              <w:bottom w:val="single" w:sz="8" w:color="auto"/>
            </w:tcBorders>
          </w:tcPr>
          <w:p>
            <w:pPr>
              <w:jc w:val="right"/>
              <w:ind w:right="760"/>
              <w:spacing w:after="0" w:line="183" w:lineRule="exact"/>
              <w:rPr>
                <w:sz w:val="20"/>
                <w:szCs w:val="20"/>
                <w:color w:val="auto"/>
              </w:rPr>
            </w:pPr>
            <w:r>
              <w:rPr>
                <w:rFonts w:ascii="Arial" w:cs="Arial" w:eastAsia="Arial" w:hAnsi="Arial"/>
                <w:sz w:val="16"/>
                <w:szCs w:val="16"/>
                <w:b w:val="1"/>
                <w:bCs w:val="1"/>
                <w:color w:val="auto"/>
              </w:rPr>
              <w:t>$19,190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for leases existing at September 30, 2019 was as follows:</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204"/>
        </w:trPr>
        <w:tc>
          <w:tcPr>
            <w:tcW w:w="54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Weighted average remaining lease term</w:t>
            </w:r>
          </w:p>
        </w:tc>
        <w:tc>
          <w:tcPr>
            <w:tcW w:w="3940" w:type="dxa"/>
            <w:vAlign w:val="bottom"/>
            <w:tcBorders>
              <w:top w:val="single" w:sz="8" w:color="auto"/>
            </w:tcBorders>
            <w:vMerge w:val="restart"/>
          </w:tcPr>
          <w:p>
            <w:pPr>
              <w:jc w:val="center"/>
              <w:ind w:left="1499"/>
              <w:spacing w:after="0"/>
              <w:rPr>
                <w:sz w:val="20"/>
                <w:szCs w:val="20"/>
                <w:color w:val="auto"/>
              </w:rPr>
            </w:pPr>
            <w:r>
              <w:rPr>
                <w:rFonts w:ascii="Arial" w:cs="Arial" w:eastAsia="Arial" w:hAnsi="Arial"/>
                <w:sz w:val="16"/>
                <w:szCs w:val="16"/>
                <w:b w:val="1"/>
                <w:bCs w:val="1"/>
                <w:color w:val="auto"/>
              </w:rPr>
              <w:t>4 years</w:t>
            </w:r>
          </w:p>
        </w:tc>
        <w:tc>
          <w:tcPr>
            <w:tcW w:w="0" w:type="dxa"/>
            <w:vAlign w:val="bottom"/>
          </w:tcPr>
          <w:p>
            <w:pPr>
              <w:spacing w:after="0"/>
              <w:rPr>
                <w:sz w:val="1"/>
                <w:szCs w:val="1"/>
                <w:color w:val="auto"/>
              </w:rPr>
            </w:pPr>
          </w:p>
        </w:tc>
      </w:tr>
      <w:tr>
        <w:trPr>
          <w:trHeight w:val="169"/>
        </w:trPr>
        <w:tc>
          <w:tcPr>
            <w:tcW w:w="5480" w:type="dxa"/>
            <w:vAlign w:val="bottom"/>
          </w:tcPr>
          <w:p>
            <w:pPr>
              <w:spacing w:after="0" w:line="169" w:lineRule="exact"/>
              <w:rPr>
                <w:sz w:val="20"/>
                <w:szCs w:val="20"/>
                <w:color w:val="auto"/>
              </w:rPr>
            </w:pPr>
            <w:r>
              <w:rPr>
                <w:rFonts w:ascii="Arial" w:cs="Arial" w:eastAsia="Arial" w:hAnsi="Arial"/>
                <w:sz w:val="16"/>
                <w:szCs w:val="16"/>
                <w:color w:val="auto"/>
              </w:rPr>
              <w:t>Operating leases</w:t>
            </w:r>
          </w:p>
        </w:tc>
        <w:tc>
          <w:tcPr>
            <w:tcW w:w="3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80" w:type="dxa"/>
            <w:vAlign w:val="bottom"/>
          </w:tcPr>
          <w:p>
            <w:pPr>
              <w:spacing w:after="0"/>
              <w:rPr>
                <w:sz w:val="20"/>
                <w:szCs w:val="20"/>
                <w:color w:val="auto"/>
              </w:rPr>
            </w:pPr>
            <w:r>
              <w:rPr>
                <w:rFonts w:ascii="Arial" w:cs="Arial" w:eastAsia="Arial" w:hAnsi="Arial"/>
                <w:sz w:val="16"/>
                <w:szCs w:val="16"/>
                <w:color w:val="auto"/>
              </w:rPr>
              <w:t>Finance leases</w:t>
            </w:r>
          </w:p>
        </w:tc>
        <w:tc>
          <w:tcPr>
            <w:tcW w:w="3940" w:type="dxa"/>
            <w:vAlign w:val="bottom"/>
          </w:tcPr>
          <w:p>
            <w:pPr>
              <w:jc w:val="center"/>
              <w:ind w:left="1519"/>
              <w:spacing w:after="0"/>
              <w:rPr>
                <w:sz w:val="20"/>
                <w:szCs w:val="20"/>
                <w:color w:val="auto"/>
              </w:rPr>
            </w:pPr>
            <w:r>
              <w:rPr>
                <w:rFonts w:ascii="Arial" w:cs="Arial" w:eastAsia="Arial" w:hAnsi="Arial"/>
                <w:sz w:val="16"/>
                <w:szCs w:val="16"/>
                <w:b w:val="1"/>
                <w:bCs w:val="1"/>
                <w:color w:val="auto"/>
              </w:rPr>
              <w:t>10 years</w:t>
            </w:r>
          </w:p>
        </w:tc>
        <w:tc>
          <w:tcPr>
            <w:tcW w:w="0" w:type="dxa"/>
            <w:vAlign w:val="bottom"/>
          </w:tcPr>
          <w:p>
            <w:pPr>
              <w:spacing w:after="0"/>
              <w:rPr>
                <w:sz w:val="1"/>
                <w:szCs w:val="1"/>
                <w:color w:val="auto"/>
              </w:rPr>
            </w:pPr>
          </w:p>
        </w:tc>
      </w:tr>
      <w:tr>
        <w:trPr>
          <w:trHeight w:val="209"/>
        </w:trPr>
        <w:tc>
          <w:tcPr>
            <w:tcW w:w="5480" w:type="dxa"/>
            <w:vAlign w:val="bottom"/>
          </w:tcPr>
          <w:p>
            <w:pPr>
              <w:spacing w:after="0"/>
              <w:rPr>
                <w:sz w:val="20"/>
                <w:szCs w:val="20"/>
                <w:color w:val="auto"/>
              </w:rPr>
            </w:pPr>
            <w:r>
              <w:rPr>
                <w:rFonts w:ascii="Arial" w:cs="Arial" w:eastAsia="Arial" w:hAnsi="Arial"/>
                <w:sz w:val="16"/>
                <w:szCs w:val="16"/>
                <w:b w:val="1"/>
                <w:bCs w:val="1"/>
                <w:color w:val="auto"/>
              </w:rPr>
              <w:t>Weighted average discount rate</w:t>
            </w:r>
          </w:p>
        </w:tc>
        <w:tc>
          <w:tcPr>
            <w:tcW w:w="3940" w:type="dxa"/>
            <w:vAlign w:val="bottom"/>
            <w:vMerge w:val="restart"/>
          </w:tcPr>
          <w:p>
            <w:pPr>
              <w:jc w:val="center"/>
              <w:ind w:left="1519"/>
              <w:spacing w:after="0"/>
              <w:rPr>
                <w:sz w:val="20"/>
                <w:szCs w:val="20"/>
                <w:color w:val="auto"/>
              </w:rPr>
            </w:pPr>
            <w:r>
              <w:rPr>
                <w:rFonts w:ascii="Arial" w:cs="Arial" w:eastAsia="Arial" w:hAnsi="Arial"/>
                <w:sz w:val="16"/>
                <w:szCs w:val="16"/>
                <w:b w:val="1"/>
                <w:bCs w:val="1"/>
                <w:color w:val="auto"/>
              </w:rPr>
              <w:t>5.7%</w:t>
            </w:r>
          </w:p>
        </w:tc>
        <w:tc>
          <w:tcPr>
            <w:tcW w:w="0" w:type="dxa"/>
            <w:vAlign w:val="bottom"/>
          </w:tcPr>
          <w:p>
            <w:pPr>
              <w:spacing w:after="0"/>
              <w:rPr>
                <w:sz w:val="1"/>
                <w:szCs w:val="1"/>
                <w:color w:val="auto"/>
              </w:rPr>
            </w:pPr>
          </w:p>
        </w:tc>
      </w:tr>
      <w:tr>
        <w:trPr>
          <w:trHeight w:val="169"/>
        </w:trPr>
        <w:tc>
          <w:tcPr>
            <w:tcW w:w="5480" w:type="dxa"/>
            <w:vAlign w:val="bottom"/>
          </w:tcPr>
          <w:p>
            <w:pPr>
              <w:spacing w:after="0" w:line="169" w:lineRule="exact"/>
              <w:rPr>
                <w:sz w:val="20"/>
                <w:szCs w:val="20"/>
                <w:color w:val="auto"/>
              </w:rPr>
            </w:pPr>
            <w:r>
              <w:rPr>
                <w:rFonts w:ascii="Arial" w:cs="Arial" w:eastAsia="Arial" w:hAnsi="Arial"/>
                <w:sz w:val="16"/>
                <w:szCs w:val="16"/>
                <w:color w:val="auto"/>
              </w:rPr>
              <w:t>Operating leases</w:t>
            </w:r>
          </w:p>
        </w:tc>
        <w:tc>
          <w:tcPr>
            <w:tcW w:w="3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Finance leases</w:t>
            </w:r>
          </w:p>
        </w:tc>
        <w:tc>
          <w:tcPr>
            <w:tcW w:w="3940" w:type="dxa"/>
            <w:vAlign w:val="bottom"/>
            <w:tcBorders>
              <w:bottom w:val="single" w:sz="8" w:color="auto"/>
            </w:tcBorders>
          </w:tcPr>
          <w:p>
            <w:pPr>
              <w:jc w:val="center"/>
              <w:ind w:left="1519"/>
              <w:spacing w:after="0"/>
              <w:rPr>
                <w:sz w:val="20"/>
                <w:szCs w:val="20"/>
                <w:color w:val="auto"/>
              </w:rPr>
            </w:pPr>
            <w:r>
              <w:rPr>
                <w:rFonts w:ascii="Arial" w:cs="Arial" w:eastAsia="Arial" w:hAnsi="Arial"/>
                <w:sz w:val="16"/>
                <w:szCs w:val="16"/>
                <w:b w:val="1"/>
                <w:bCs w:val="1"/>
                <w:color w:val="auto"/>
              </w:rPr>
              <w:t>8.0%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lease liabilities as of September 30, 2019 were as follows:</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176"/>
        </w:trPr>
        <w:tc>
          <w:tcPr>
            <w:tcW w:w="4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72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Operating leases</w:t>
            </w:r>
          </w:p>
        </w:tc>
        <w:tc>
          <w:tcPr>
            <w:tcW w:w="1420" w:type="dxa"/>
            <w:vAlign w:val="bottom"/>
            <w:tcBorders>
              <w:top w:val="single" w:sz="8" w:color="auto"/>
              <w:bottom w:val="single" w:sz="8" w:color="auto"/>
            </w:tcBorders>
            <w:gridSpan w:val="2"/>
          </w:tcPr>
          <w:p>
            <w:pPr>
              <w:jc w:val="right"/>
              <w:ind w:right="199"/>
              <w:spacing w:after="0"/>
              <w:rPr>
                <w:sz w:val="20"/>
                <w:szCs w:val="20"/>
                <w:color w:val="auto"/>
              </w:rPr>
            </w:pPr>
            <w:r>
              <w:rPr>
                <w:rFonts w:ascii="Arial" w:cs="Arial" w:eastAsia="Arial" w:hAnsi="Arial"/>
                <w:sz w:val="14"/>
                <w:szCs w:val="14"/>
                <w:b w:val="1"/>
                <w:bCs w:val="1"/>
                <w:color w:val="auto"/>
              </w:rPr>
              <w:t>Finance lease</w:t>
            </w:r>
          </w:p>
        </w:tc>
        <w:tc>
          <w:tcPr>
            <w:tcW w:w="0" w:type="dxa"/>
            <w:vAlign w:val="bottom"/>
          </w:tcPr>
          <w:p>
            <w:pPr>
              <w:spacing w:after="0"/>
              <w:rPr>
                <w:sz w:val="1"/>
                <w:szCs w:val="1"/>
                <w:color w:val="auto"/>
              </w:rPr>
            </w:pPr>
          </w:p>
        </w:tc>
      </w:tr>
      <w:tr>
        <w:trPr>
          <w:trHeight w:val="184"/>
        </w:trPr>
        <w:tc>
          <w:tcPr>
            <w:tcW w:w="4280" w:type="dxa"/>
            <w:vAlign w:val="bottom"/>
          </w:tcPr>
          <w:p>
            <w:pPr>
              <w:spacing w:after="0"/>
              <w:rPr>
                <w:sz w:val="20"/>
                <w:szCs w:val="20"/>
                <w:color w:val="auto"/>
              </w:rPr>
            </w:pPr>
            <w:r>
              <w:rPr>
                <w:rFonts w:ascii="Arial" w:cs="Arial" w:eastAsia="Arial" w:hAnsi="Arial"/>
                <w:sz w:val="16"/>
                <w:szCs w:val="16"/>
                <w:color w:val="auto"/>
              </w:rPr>
              <w:t>Year ending December 31,</w:t>
            </w:r>
          </w:p>
        </w:tc>
        <w:tc>
          <w:tcPr>
            <w:tcW w:w="3720" w:type="dxa"/>
            <w:vAlign w:val="bottom"/>
            <w:vMerge w:val="restart"/>
          </w:tcPr>
          <w:p>
            <w:pPr>
              <w:jc w:val="right"/>
              <w:ind w:right="420"/>
              <w:spacing w:after="0"/>
              <w:rPr>
                <w:sz w:val="20"/>
                <w:szCs w:val="20"/>
                <w:color w:val="auto"/>
              </w:rPr>
            </w:pPr>
            <w:r>
              <w:rPr>
                <w:rFonts w:ascii="Arial" w:cs="Arial" w:eastAsia="Arial" w:hAnsi="Arial"/>
                <w:sz w:val="16"/>
                <w:szCs w:val="16"/>
                <w:b w:val="1"/>
                <w:bCs w:val="1"/>
                <w:color w:val="auto"/>
              </w:rPr>
              <w:t>$ 1,316</w:t>
            </w: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686</w:t>
            </w:r>
          </w:p>
        </w:tc>
        <w:tc>
          <w:tcPr>
            <w:tcW w:w="0" w:type="dxa"/>
            <w:vAlign w:val="bottom"/>
          </w:tcPr>
          <w:p>
            <w:pPr>
              <w:spacing w:after="0"/>
              <w:rPr>
                <w:sz w:val="1"/>
                <w:szCs w:val="1"/>
                <w:color w:val="auto"/>
              </w:rPr>
            </w:pPr>
          </w:p>
        </w:tc>
      </w:tr>
      <w:tr>
        <w:trPr>
          <w:trHeight w:val="169"/>
        </w:trPr>
        <w:tc>
          <w:tcPr>
            <w:tcW w:w="4280" w:type="dxa"/>
            <w:vAlign w:val="bottom"/>
          </w:tcPr>
          <w:p>
            <w:pPr>
              <w:spacing w:after="0" w:line="169" w:lineRule="exact"/>
              <w:rPr>
                <w:sz w:val="20"/>
                <w:szCs w:val="20"/>
                <w:color w:val="auto"/>
              </w:rPr>
            </w:pPr>
            <w:r>
              <w:rPr>
                <w:rFonts w:ascii="Arial" w:cs="Arial" w:eastAsia="Arial" w:hAnsi="Arial"/>
                <w:sz w:val="16"/>
                <w:szCs w:val="16"/>
                <w:color w:val="auto"/>
              </w:rPr>
              <w:t>2019</w:t>
            </w:r>
          </w:p>
        </w:tc>
        <w:tc>
          <w:tcPr>
            <w:tcW w:w="37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80" w:type="dxa"/>
            <w:vAlign w:val="bottom"/>
          </w:tcPr>
          <w:p>
            <w:pPr>
              <w:spacing w:after="0"/>
              <w:rPr>
                <w:sz w:val="20"/>
                <w:szCs w:val="20"/>
                <w:color w:val="auto"/>
              </w:rPr>
            </w:pPr>
            <w:r>
              <w:rPr>
                <w:rFonts w:ascii="Arial" w:cs="Arial" w:eastAsia="Arial" w:hAnsi="Arial"/>
                <w:sz w:val="16"/>
                <w:szCs w:val="16"/>
                <w:color w:val="auto"/>
              </w:rPr>
              <w:t>2020</w:t>
            </w:r>
          </w:p>
        </w:tc>
        <w:tc>
          <w:tcPr>
            <w:tcW w:w="3720" w:type="dxa"/>
            <w:vAlign w:val="bottom"/>
          </w:tcPr>
          <w:p>
            <w:pPr>
              <w:jc w:val="right"/>
              <w:ind w:right="420"/>
              <w:spacing w:after="0"/>
              <w:rPr>
                <w:sz w:val="20"/>
                <w:szCs w:val="20"/>
                <w:color w:val="auto"/>
              </w:rPr>
            </w:pPr>
            <w:r>
              <w:rPr>
                <w:rFonts w:ascii="Arial" w:cs="Arial" w:eastAsia="Arial" w:hAnsi="Arial"/>
                <w:sz w:val="16"/>
                <w:szCs w:val="16"/>
                <w:b w:val="1"/>
                <w:bCs w:val="1"/>
                <w:color w:val="auto"/>
              </w:rPr>
              <w:t>4,603</w:t>
            </w:r>
          </w:p>
        </w:tc>
        <w:tc>
          <w:tcPr>
            <w:tcW w:w="48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2,790</w:t>
            </w:r>
          </w:p>
        </w:tc>
        <w:tc>
          <w:tcPr>
            <w:tcW w:w="0" w:type="dxa"/>
            <w:vAlign w:val="bottom"/>
          </w:tcPr>
          <w:p>
            <w:pPr>
              <w:spacing w:after="0"/>
              <w:rPr>
                <w:sz w:val="1"/>
                <w:szCs w:val="1"/>
                <w:color w:val="auto"/>
              </w:rPr>
            </w:pPr>
          </w:p>
        </w:tc>
      </w:tr>
      <w:tr>
        <w:trPr>
          <w:trHeight w:val="189"/>
        </w:trPr>
        <w:tc>
          <w:tcPr>
            <w:tcW w:w="4280" w:type="dxa"/>
            <w:vAlign w:val="bottom"/>
          </w:tcPr>
          <w:p>
            <w:pPr>
              <w:spacing w:after="0"/>
              <w:rPr>
                <w:sz w:val="20"/>
                <w:szCs w:val="20"/>
                <w:color w:val="auto"/>
              </w:rPr>
            </w:pPr>
            <w:r>
              <w:rPr>
                <w:rFonts w:ascii="Arial" w:cs="Arial" w:eastAsia="Arial" w:hAnsi="Arial"/>
                <w:sz w:val="16"/>
                <w:szCs w:val="16"/>
                <w:color w:val="auto"/>
              </w:rPr>
              <w:t>2021</w:t>
            </w:r>
          </w:p>
        </w:tc>
        <w:tc>
          <w:tcPr>
            <w:tcW w:w="3720" w:type="dxa"/>
            <w:vAlign w:val="bottom"/>
          </w:tcPr>
          <w:p>
            <w:pPr>
              <w:jc w:val="right"/>
              <w:ind w:right="420"/>
              <w:spacing w:after="0"/>
              <w:rPr>
                <w:sz w:val="20"/>
                <w:szCs w:val="20"/>
                <w:color w:val="auto"/>
              </w:rPr>
            </w:pPr>
            <w:r>
              <w:rPr>
                <w:rFonts w:ascii="Arial" w:cs="Arial" w:eastAsia="Arial" w:hAnsi="Arial"/>
                <w:sz w:val="16"/>
                <w:szCs w:val="16"/>
                <w:b w:val="1"/>
                <w:bCs w:val="1"/>
                <w:color w:val="auto"/>
              </w:rPr>
              <w:t>3,497</w:t>
            </w:r>
          </w:p>
        </w:tc>
        <w:tc>
          <w:tcPr>
            <w:tcW w:w="48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2,790</w:t>
            </w:r>
          </w:p>
        </w:tc>
        <w:tc>
          <w:tcPr>
            <w:tcW w:w="0" w:type="dxa"/>
            <w:vAlign w:val="bottom"/>
          </w:tcPr>
          <w:p>
            <w:pPr>
              <w:spacing w:after="0"/>
              <w:rPr>
                <w:sz w:val="1"/>
                <w:szCs w:val="1"/>
                <w:color w:val="auto"/>
              </w:rPr>
            </w:pPr>
          </w:p>
        </w:tc>
      </w:tr>
      <w:tr>
        <w:trPr>
          <w:trHeight w:val="189"/>
        </w:trPr>
        <w:tc>
          <w:tcPr>
            <w:tcW w:w="4280" w:type="dxa"/>
            <w:vAlign w:val="bottom"/>
          </w:tcPr>
          <w:p>
            <w:pPr>
              <w:spacing w:after="0"/>
              <w:rPr>
                <w:sz w:val="20"/>
                <w:szCs w:val="20"/>
                <w:color w:val="auto"/>
              </w:rPr>
            </w:pPr>
            <w:r>
              <w:rPr>
                <w:rFonts w:ascii="Arial" w:cs="Arial" w:eastAsia="Arial" w:hAnsi="Arial"/>
                <w:sz w:val="16"/>
                <w:szCs w:val="16"/>
                <w:color w:val="auto"/>
              </w:rPr>
              <w:t>2022</w:t>
            </w:r>
          </w:p>
        </w:tc>
        <w:tc>
          <w:tcPr>
            <w:tcW w:w="3720" w:type="dxa"/>
            <w:vAlign w:val="bottom"/>
          </w:tcPr>
          <w:p>
            <w:pPr>
              <w:jc w:val="right"/>
              <w:ind w:right="420"/>
              <w:spacing w:after="0"/>
              <w:rPr>
                <w:sz w:val="20"/>
                <w:szCs w:val="20"/>
                <w:color w:val="auto"/>
              </w:rPr>
            </w:pPr>
            <w:r>
              <w:rPr>
                <w:rFonts w:ascii="Arial" w:cs="Arial" w:eastAsia="Arial" w:hAnsi="Arial"/>
                <w:sz w:val="16"/>
                <w:szCs w:val="16"/>
                <w:b w:val="1"/>
                <w:bCs w:val="1"/>
                <w:color w:val="auto"/>
              </w:rPr>
              <w:t>2,471</w:t>
            </w:r>
          </w:p>
        </w:tc>
        <w:tc>
          <w:tcPr>
            <w:tcW w:w="48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2,838</w:t>
            </w:r>
          </w:p>
        </w:tc>
        <w:tc>
          <w:tcPr>
            <w:tcW w:w="0" w:type="dxa"/>
            <w:vAlign w:val="bottom"/>
          </w:tcPr>
          <w:p>
            <w:pPr>
              <w:spacing w:after="0"/>
              <w:rPr>
                <w:sz w:val="1"/>
                <w:szCs w:val="1"/>
                <w:color w:val="auto"/>
              </w:rPr>
            </w:pPr>
          </w:p>
        </w:tc>
      </w:tr>
      <w:tr>
        <w:trPr>
          <w:trHeight w:val="189"/>
        </w:trPr>
        <w:tc>
          <w:tcPr>
            <w:tcW w:w="4280" w:type="dxa"/>
            <w:vAlign w:val="bottom"/>
          </w:tcPr>
          <w:p>
            <w:pPr>
              <w:spacing w:after="0"/>
              <w:rPr>
                <w:sz w:val="20"/>
                <w:szCs w:val="20"/>
                <w:color w:val="auto"/>
              </w:rPr>
            </w:pPr>
            <w:r>
              <w:rPr>
                <w:rFonts w:ascii="Arial" w:cs="Arial" w:eastAsia="Arial" w:hAnsi="Arial"/>
                <w:sz w:val="16"/>
                <w:szCs w:val="16"/>
                <w:color w:val="auto"/>
              </w:rPr>
              <w:t>2023</w:t>
            </w:r>
          </w:p>
        </w:tc>
        <w:tc>
          <w:tcPr>
            <w:tcW w:w="3720" w:type="dxa"/>
            <w:vAlign w:val="bottom"/>
          </w:tcPr>
          <w:p>
            <w:pPr>
              <w:jc w:val="right"/>
              <w:ind w:right="420"/>
              <w:spacing w:after="0"/>
              <w:rPr>
                <w:sz w:val="20"/>
                <w:szCs w:val="20"/>
                <w:color w:val="auto"/>
              </w:rPr>
            </w:pPr>
            <w:r>
              <w:rPr>
                <w:rFonts w:ascii="Arial" w:cs="Arial" w:eastAsia="Arial" w:hAnsi="Arial"/>
                <w:sz w:val="16"/>
                <w:szCs w:val="16"/>
                <w:b w:val="1"/>
                <w:bCs w:val="1"/>
                <w:color w:val="auto"/>
              </w:rPr>
              <w:t>1,495</w:t>
            </w:r>
          </w:p>
        </w:tc>
        <w:tc>
          <w:tcPr>
            <w:tcW w:w="48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3,004</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Thereafter</w:t>
            </w:r>
          </w:p>
        </w:tc>
        <w:tc>
          <w:tcPr>
            <w:tcW w:w="37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3,054</w:t>
            </w:r>
          </w:p>
        </w:tc>
        <w:tc>
          <w:tcPr>
            <w:tcW w:w="142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6"/>
                <w:szCs w:val="16"/>
                <w:b w:val="1"/>
                <w:bCs w:val="1"/>
                <w:color w:val="auto"/>
              </w:rPr>
              <w:t>15,512</w:t>
            </w:r>
          </w:p>
        </w:tc>
        <w:tc>
          <w:tcPr>
            <w:tcW w:w="0" w:type="dxa"/>
            <w:vAlign w:val="bottom"/>
          </w:tcPr>
          <w:p>
            <w:pPr>
              <w:spacing w:after="0"/>
              <w:rPr>
                <w:sz w:val="1"/>
                <w:szCs w:val="1"/>
                <w:color w:val="auto"/>
              </w:rPr>
            </w:pPr>
          </w:p>
        </w:tc>
      </w:tr>
      <w:tr>
        <w:trPr>
          <w:trHeight w:val="164"/>
        </w:trPr>
        <w:tc>
          <w:tcPr>
            <w:tcW w:w="4280" w:type="dxa"/>
            <w:vAlign w:val="bottom"/>
          </w:tcPr>
          <w:p>
            <w:pPr>
              <w:spacing w:after="0" w:line="165" w:lineRule="exact"/>
              <w:rPr>
                <w:sz w:val="20"/>
                <w:szCs w:val="20"/>
                <w:color w:val="auto"/>
              </w:rPr>
            </w:pPr>
            <w:r>
              <w:rPr>
                <w:rFonts w:ascii="Arial" w:cs="Arial" w:eastAsia="Arial" w:hAnsi="Arial"/>
                <w:sz w:val="16"/>
                <w:szCs w:val="16"/>
                <w:color w:val="auto"/>
              </w:rPr>
              <w:t>Total lease payments</w:t>
            </w:r>
          </w:p>
        </w:tc>
        <w:tc>
          <w:tcPr>
            <w:tcW w:w="3720" w:type="dxa"/>
            <w:vAlign w:val="bottom"/>
          </w:tcPr>
          <w:p>
            <w:pPr>
              <w:jc w:val="right"/>
              <w:ind w:right="420"/>
              <w:spacing w:after="0" w:line="165" w:lineRule="exact"/>
              <w:rPr>
                <w:sz w:val="20"/>
                <w:szCs w:val="20"/>
                <w:color w:val="auto"/>
              </w:rPr>
            </w:pPr>
            <w:r>
              <w:rPr>
                <w:rFonts w:ascii="Arial" w:cs="Arial" w:eastAsia="Arial" w:hAnsi="Arial"/>
                <w:sz w:val="16"/>
                <w:szCs w:val="16"/>
                <w:b w:val="1"/>
                <w:bCs w:val="1"/>
                <w:color w:val="auto"/>
              </w:rPr>
              <w:t>16,436</w:t>
            </w:r>
          </w:p>
        </w:tc>
        <w:tc>
          <w:tcPr>
            <w:tcW w:w="1420" w:type="dxa"/>
            <w:vAlign w:val="bottom"/>
            <w:gridSpan w:val="2"/>
          </w:tcPr>
          <w:p>
            <w:pPr>
              <w:jc w:val="right"/>
              <w:ind w:right="379"/>
              <w:spacing w:after="0" w:line="165" w:lineRule="exact"/>
              <w:rPr>
                <w:sz w:val="20"/>
                <w:szCs w:val="20"/>
                <w:color w:val="auto"/>
              </w:rPr>
            </w:pPr>
            <w:r>
              <w:rPr>
                <w:rFonts w:ascii="Arial" w:cs="Arial" w:eastAsia="Arial" w:hAnsi="Arial"/>
                <w:sz w:val="16"/>
                <w:szCs w:val="16"/>
                <w:b w:val="1"/>
                <w:bCs w:val="1"/>
                <w:color w:val="auto"/>
              </w:rPr>
              <w:t>27,620</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imputed interest</w:t>
            </w:r>
          </w:p>
        </w:tc>
        <w:tc>
          <w:tcPr>
            <w:tcW w:w="372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(2,525)</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98"/>
              </w:rPr>
              <w:t>(8,430)</w:t>
            </w: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w:t>
            </w:r>
          </w:p>
        </w:tc>
        <w:tc>
          <w:tcPr>
            <w:tcW w:w="3720" w:type="dxa"/>
            <w:vAlign w:val="bottom"/>
            <w:tcBorders>
              <w:bottom w:val="single" w:sz="8" w:color="auto"/>
            </w:tcBorders>
          </w:tcPr>
          <w:p>
            <w:pPr>
              <w:jc w:val="right"/>
              <w:ind w:right="420"/>
              <w:spacing w:after="0" w:line="183" w:lineRule="exact"/>
              <w:rPr>
                <w:sz w:val="20"/>
                <w:szCs w:val="20"/>
                <w:color w:val="auto"/>
              </w:rPr>
            </w:pPr>
            <w:r>
              <w:rPr>
                <w:rFonts w:ascii="Arial" w:cs="Arial" w:eastAsia="Arial" w:hAnsi="Arial"/>
                <w:sz w:val="16"/>
                <w:szCs w:val="16"/>
                <w:b w:val="1"/>
                <w:bCs w:val="1"/>
                <w:color w:val="auto"/>
              </w:rPr>
              <w:t>$13,911</w:t>
            </w:r>
          </w:p>
        </w:tc>
        <w:tc>
          <w:tcPr>
            <w:tcW w:w="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b w:val="1"/>
                <w:bCs w:val="1"/>
                <w:color w:val="auto"/>
                <w:w w:val="98"/>
              </w:rPr>
              <w:t>19,190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The finance lease liability includes the SLC lease described above, but excludes additional manufacturing space that was included in the September 2018 modification of that lease. We expect to take control of the additional space during the fourth quarter of 2019, which would be the commencement of this lease component, at which time the lease liability and ROU asset will be recorded. We expect to have control of the additional space through 2029 and the additional space is expected to increase gross cash outflows during that period by $6.1 million.</w:t>
      </w:r>
    </w:p>
    <w:p>
      <w:pPr>
        <w:spacing w:after="0" w:line="94"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18"/>
          <w:szCs w:val="18"/>
          <w:color w:val="auto"/>
        </w:rPr>
        <w:t>As of December 31, 2018, future rental payments required under operating leases with initial or remaining non-cancelable lease terms in excess of one year, were: 2019, $4.6 million; 2020, $3.2 million; 2021, $2.1 million; 2022, $1.5 million; and 2023 and thereafter, $6.5 million.</w:t>
      </w:r>
    </w:p>
    <w:p>
      <w:pPr>
        <w:spacing w:after="0" w:line="8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As of December 31, 2018, the following schedule presents future minimum annual payments under the SLC lease finance obligation, and the present value of the minimum payments:</w:t>
      </w:r>
    </w:p>
    <w:p>
      <w:pPr>
        <w:spacing w:after="0" w:line="124" w:lineRule="exact"/>
        <w:rPr>
          <w:sz w:val="20"/>
          <w:szCs w:val="20"/>
          <w:color w:val="auto"/>
        </w:rPr>
      </w:pPr>
    </w:p>
    <w:tbl>
      <w:tblPr>
        <w:tblLayout w:type="fixed"/>
        <w:tblInd w:w="1000" w:type="dxa"/>
        <w:tblCellMar>
          <w:top w:w="0" w:type="dxa"/>
          <w:left w:w="0" w:type="dxa"/>
          <w:bottom w:w="0" w:type="dxa"/>
          <w:right w:w="0" w:type="dxa"/>
        </w:tblCellMar>
      </w:tblPr>
      <w:tr>
        <w:trPr>
          <w:trHeight w:val="176"/>
        </w:trPr>
        <w:tc>
          <w:tcPr>
            <w:tcW w:w="4980" w:type="dxa"/>
            <w:vAlign w:val="bottom"/>
            <w:tcBorders>
              <w:top w:val="single" w:sz="8" w:color="auto"/>
              <w:bottom w:val="single" w:sz="8" w:color="auto"/>
            </w:tcBorders>
          </w:tcPr>
          <w:p>
            <w:pPr>
              <w:spacing w:after="0"/>
              <w:rPr>
                <w:sz w:val="15"/>
                <w:szCs w:val="15"/>
                <w:color w:val="auto"/>
              </w:rPr>
            </w:pPr>
          </w:p>
        </w:tc>
        <w:tc>
          <w:tcPr>
            <w:tcW w:w="44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(in thousands)</w:t>
            </w:r>
          </w:p>
        </w:tc>
      </w:tr>
      <w:tr>
        <w:trPr>
          <w:trHeight w:val="184"/>
        </w:trPr>
        <w:tc>
          <w:tcPr>
            <w:tcW w:w="4980" w:type="dxa"/>
            <w:vAlign w:val="bottom"/>
          </w:tcPr>
          <w:p>
            <w:pPr>
              <w:spacing w:after="0"/>
              <w:rPr>
                <w:sz w:val="20"/>
                <w:szCs w:val="20"/>
                <w:color w:val="auto"/>
              </w:rPr>
            </w:pPr>
            <w:r>
              <w:rPr>
                <w:rFonts w:ascii="Arial" w:cs="Arial" w:eastAsia="Arial" w:hAnsi="Arial"/>
                <w:sz w:val="16"/>
                <w:szCs w:val="16"/>
                <w:color w:val="auto"/>
              </w:rPr>
              <w:t>Year ending December 31,</w:t>
            </w:r>
          </w:p>
        </w:tc>
        <w:tc>
          <w:tcPr>
            <w:tcW w:w="4440" w:type="dxa"/>
            <w:vAlign w:val="bottom"/>
          </w:tcPr>
          <w:p>
            <w:pPr>
              <w:spacing w:after="0"/>
              <w:rPr>
                <w:sz w:val="16"/>
                <w:szCs w:val="16"/>
                <w:color w:val="auto"/>
              </w:rPr>
            </w:pPr>
          </w:p>
        </w:tc>
      </w:tr>
      <w:tr>
        <w:trPr>
          <w:trHeight w:val="189"/>
        </w:trPr>
        <w:tc>
          <w:tcPr>
            <w:tcW w:w="4980" w:type="dxa"/>
            <w:vAlign w:val="bottom"/>
          </w:tcPr>
          <w:p>
            <w:pPr>
              <w:spacing w:after="0"/>
              <w:rPr>
                <w:sz w:val="20"/>
                <w:szCs w:val="20"/>
                <w:color w:val="auto"/>
              </w:rPr>
            </w:pPr>
            <w:r>
              <w:rPr>
                <w:rFonts w:ascii="Arial" w:cs="Arial" w:eastAsia="Arial" w:hAnsi="Arial"/>
                <w:sz w:val="16"/>
                <w:szCs w:val="16"/>
                <w:color w:val="auto"/>
              </w:rPr>
              <w:t>2019</w:t>
            </w:r>
          </w:p>
        </w:tc>
        <w:tc>
          <w:tcPr>
            <w:tcW w:w="4440" w:type="dxa"/>
            <w:vAlign w:val="bottom"/>
          </w:tcPr>
          <w:p>
            <w:pPr>
              <w:jc w:val="right"/>
              <w:ind w:right="520"/>
              <w:spacing w:after="0"/>
              <w:rPr>
                <w:sz w:val="20"/>
                <w:szCs w:val="20"/>
                <w:color w:val="auto"/>
              </w:rPr>
            </w:pPr>
            <w:r>
              <w:rPr>
                <w:rFonts w:ascii="Arial" w:cs="Arial" w:eastAsia="Arial" w:hAnsi="Arial"/>
                <w:sz w:val="16"/>
                <w:szCs w:val="16"/>
                <w:color w:val="auto"/>
              </w:rPr>
              <w:t>$ 2,451</w:t>
            </w:r>
          </w:p>
        </w:tc>
      </w:tr>
      <w:tr>
        <w:trPr>
          <w:trHeight w:val="189"/>
        </w:trPr>
        <w:tc>
          <w:tcPr>
            <w:tcW w:w="4980" w:type="dxa"/>
            <w:vAlign w:val="bottom"/>
          </w:tcPr>
          <w:p>
            <w:pPr>
              <w:spacing w:after="0"/>
              <w:rPr>
                <w:sz w:val="20"/>
                <w:szCs w:val="20"/>
                <w:color w:val="auto"/>
              </w:rPr>
            </w:pPr>
            <w:r>
              <w:rPr>
                <w:rFonts w:ascii="Arial" w:cs="Arial" w:eastAsia="Arial" w:hAnsi="Arial"/>
                <w:sz w:val="16"/>
                <w:szCs w:val="16"/>
                <w:color w:val="auto"/>
              </w:rPr>
              <w:t>2020</w:t>
            </w:r>
          </w:p>
        </w:tc>
        <w:tc>
          <w:tcPr>
            <w:tcW w:w="4440" w:type="dxa"/>
            <w:vAlign w:val="bottom"/>
          </w:tcPr>
          <w:p>
            <w:pPr>
              <w:jc w:val="right"/>
              <w:ind w:right="520"/>
              <w:spacing w:after="0"/>
              <w:rPr>
                <w:sz w:val="20"/>
                <w:szCs w:val="20"/>
                <w:color w:val="auto"/>
              </w:rPr>
            </w:pPr>
            <w:r>
              <w:rPr>
                <w:rFonts w:ascii="Arial" w:cs="Arial" w:eastAsia="Arial" w:hAnsi="Arial"/>
                <w:sz w:val="16"/>
                <w:szCs w:val="16"/>
                <w:color w:val="auto"/>
              </w:rPr>
              <w:t>2,974</w:t>
            </w:r>
          </w:p>
        </w:tc>
      </w:tr>
      <w:tr>
        <w:trPr>
          <w:trHeight w:val="189"/>
        </w:trPr>
        <w:tc>
          <w:tcPr>
            <w:tcW w:w="4980" w:type="dxa"/>
            <w:vAlign w:val="bottom"/>
          </w:tcPr>
          <w:p>
            <w:pPr>
              <w:spacing w:after="0"/>
              <w:rPr>
                <w:sz w:val="20"/>
                <w:szCs w:val="20"/>
                <w:color w:val="auto"/>
              </w:rPr>
            </w:pPr>
            <w:r>
              <w:rPr>
                <w:rFonts w:ascii="Arial" w:cs="Arial" w:eastAsia="Arial" w:hAnsi="Arial"/>
                <w:sz w:val="16"/>
                <w:szCs w:val="16"/>
                <w:color w:val="auto"/>
              </w:rPr>
              <w:t>2021</w:t>
            </w:r>
          </w:p>
        </w:tc>
        <w:tc>
          <w:tcPr>
            <w:tcW w:w="4440" w:type="dxa"/>
            <w:vAlign w:val="bottom"/>
          </w:tcPr>
          <w:p>
            <w:pPr>
              <w:jc w:val="right"/>
              <w:ind w:right="520"/>
              <w:spacing w:after="0"/>
              <w:rPr>
                <w:sz w:val="20"/>
                <w:szCs w:val="20"/>
                <w:color w:val="auto"/>
              </w:rPr>
            </w:pPr>
            <w:r>
              <w:rPr>
                <w:rFonts w:ascii="Arial" w:cs="Arial" w:eastAsia="Arial" w:hAnsi="Arial"/>
                <w:sz w:val="16"/>
                <w:szCs w:val="16"/>
                <w:color w:val="auto"/>
              </w:rPr>
              <w:t>2,990</w:t>
            </w:r>
          </w:p>
        </w:tc>
      </w:tr>
      <w:tr>
        <w:trPr>
          <w:trHeight w:val="189"/>
        </w:trPr>
        <w:tc>
          <w:tcPr>
            <w:tcW w:w="4980" w:type="dxa"/>
            <w:vAlign w:val="bottom"/>
          </w:tcPr>
          <w:p>
            <w:pPr>
              <w:spacing w:after="0"/>
              <w:rPr>
                <w:sz w:val="20"/>
                <w:szCs w:val="20"/>
                <w:color w:val="auto"/>
              </w:rPr>
            </w:pPr>
            <w:r>
              <w:rPr>
                <w:rFonts w:ascii="Arial" w:cs="Arial" w:eastAsia="Arial" w:hAnsi="Arial"/>
                <w:sz w:val="16"/>
                <w:szCs w:val="16"/>
                <w:color w:val="auto"/>
              </w:rPr>
              <w:t>2022</w:t>
            </w:r>
          </w:p>
        </w:tc>
        <w:tc>
          <w:tcPr>
            <w:tcW w:w="4440" w:type="dxa"/>
            <w:vAlign w:val="bottom"/>
          </w:tcPr>
          <w:p>
            <w:pPr>
              <w:jc w:val="right"/>
              <w:ind w:right="520"/>
              <w:spacing w:after="0"/>
              <w:rPr>
                <w:sz w:val="20"/>
                <w:szCs w:val="20"/>
                <w:color w:val="auto"/>
              </w:rPr>
            </w:pPr>
            <w:r>
              <w:rPr>
                <w:rFonts w:ascii="Arial" w:cs="Arial" w:eastAsia="Arial" w:hAnsi="Arial"/>
                <w:sz w:val="16"/>
                <w:szCs w:val="16"/>
                <w:color w:val="auto"/>
              </w:rPr>
              <w:t>3,054</w:t>
            </w:r>
          </w:p>
        </w:tc>
      </w:tr>
      <w:tr>
        <w:trPr>
          <w:trHeight w:val="189"/>
        </w:trPr>
        <w:tc>
          <w:tcPr>
            <w:tcW w:w="4980" w:type="dxa"/>
            <w:vAlign w:val="bottom"/>
          </w:tcPr>
          <w:p>
            <w:pPr>
              <w:spacing w:after="0"/>
              <w:rPr>
                <w:sz w:val="20"/>
                <w:szCs w:val="20"/>
                <w:color w:val="auto"/>
              </w:rPr>
            </w:pPr>
            <w:r>
              <w:rPr>
                <w:rFonts w:ascii="Arial" w:cs="Arial" w:eastAsia="Arial" w:hAnsi="Arial"/>
                <w:sz w:val="16"/>
                <w:szCs w:val="16"/>
                <w:color w:val="auto"/>
              </w:rPr>
              <w:t>2023</w:t>
            </w:r>
          </w:p>
        </w:tc>
        <w:tc>
          <w:tcPr>
            <w:tcW w:w="4440" w:type="dxa"/>
            <w:vAlign w:val="bottom"/>
          </w:tcPr>
          <w:p>
            <w:pPr>
              <w:jc w:val="right"/>
              <w:ind w:right="520"/>
              <w:spacing w:after="0"/>
              <w:rPr>
                <w:sz w:val="20"/>
                <w:szCs w:val="20"/>
                <w:color w:val="auto"/>
              </w:rPr>
            </w:pPr>
            <w:r>
              <w:rPr>
                <w:rFonts w:ascii="Arial" w:cs="Arial" w:eastAsia="Arial" w:hAnsi="Arial"/>
                <w:sz w:val="16"/>
                <w:szCs w:val="16"/>
                <w:color w:val="auto"/>
              </w:rPr>
              <w:t>3,277</w:t>
            </w:r>
          </w:p>
        </w:tc>
      </w:tr>
      <w:tr>
        <w:trPr>
          <w:trHeight w:val="187"/>
        </w:trPr>
        <w:tc>
          <w:tcPr>
            <w:tcW w:w="4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Thereafter</w:t>
            </w:r>
          </w:p>
        </w:tc>
        <w:tc>
          <w:tcPr>
            <w:tcW w:w="444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color w:val="auto"/>
              </w:rPr>
              <w:t>18,930</w:t>
            </w:r>
          </w:p>
        </w:tc>
      </w:tr>
      <w:tr>
        <w:trPr>
          <w:trHeight w:val="184"/>
        </w:trPr>
        <w:tc>
          <w:tcPr>
            <w:tcW w:w="4980" w:type="dxa"/>
            <w:vAlign w:val="bottom"/>
          </w:tcPr>
          <w:p>
            <w:pPr>
              <w:spacing w:after="0"/>
              <w:rPr>
                <w:sz w:val="20"/>
                <w:szCs w:val="20"/>
                <w:color w:val="auto"/>
              </w:rPr>
            </w:pPr>
            <w:r>
              <w:rPr>
                <w:rFonts w:ascii="Arial" w:cs="Arial" w:eastAsia="Arial" w:hAnsi="Arial"/>
                <w:sz w:val="16"/>
                <w:szCs w:val="16"/>
                <w:color w:val="auto"/>
              </w:rPr>
              <w:t>Total minimum payments</w:t>
            </w:r>
          </w:p>
        </w:tc>
        <w:tc>
          <w:tcPr>
            <w:tcW w:w="4440" w:type="dxa"/>
            <w:vAlign w:val="bottom"/>
          </w:tcPr>
          <w:p>
            <w:pPr>
              <w:jc w:val="right"/>
              <w:ind w:right="520"/>
              <w:spacing w:after="0"/>
              <w:rPr>
                <w:sz w:val="20"/>
                <w:szCs w:val="20"/>
                <w:color w:val="auto"/>
              </w:rPr>
            </w:pPr>
            <w:r>
              <w:rPr>
                <w:rFonts w:ascii="Arial" w:cs="Arial" w:eastAsia="Arial" w:hAnsi="Arial"/>
                <w:sz w:val="16"/>
                <w:szCs w:val="16"/>
                <w:color w:val="auto"/>
              </w:rPr>
              <w:t>33,676</w:t>
            </w:r>
          </w:p>
        </w:tc>
      </w:tr>
      <w:tr>
        <w:trPr>
          <w:trHeight w:val="187"/>
        </w:trPr>
        <w:tc>
          <w:tcPr>
            <w:tcW w:w="4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imputed interest</w:t>
            </w:r>
          </w:p>
        </w:tc>
        <w:tc>
          <w:tcPr>
            <w:tcW w:w="444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(7,790)</w:t>
            </w:r>
          </w:p>
        </w:tc>
      </w:tr>
      <w:tr>
        <w:trPr>
          <w:trHeight w:val="190"/>
        </w:trPr>
        <w:tc>
          <w:tcPr>
            <w:tcW w:w="49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w:t>
            </w:r>
          </w:p>
        </w:tc>
        <w:tc>
          <w:tcPr>
            <w:tcW w:w="4440" w:type="dxa"/>
            <w:vAlign w:val="bottom"/>
            <w:tcBorders>
              <w:bottom w:val="single" w:sz="8" w:color="auto"/>
            </w:tcBorders>
          </w:tcPr>
          <w:p>
            <w:pPr>
              <w:jc w:val="right"/>
              <w:ind w:right="480"/>
              <w:spacing w:after="0" w:line="183" w:lineRule="exact"/>
              <w:rPr>
                <w:sz w:val="20"/>
                <w:szCs w:val="20"/>
                <w:color w:val="auto"/>
              </w:rPr>
            </w:pPr>
            <w:r>
              <w:rPr>
                <w:rFonts w:ascii="Arial" w:cs="Arial" w:eastAsia="Arial" w:hAnsi="Arial"/>
                <w:sz w:val="16"/>
                <w:szCs w:val="16"/>
                <w:color w:val="auto"/>
              </w:rPr>
              <w:t>$ 25,886</w:t>
            </w:r>
          </w:p>
        </w:tc>
      </w:tr>
    </w:tbl>
    <w:p>
      <w:pPr>
        <w:spacing w:after="0" w:line="188" w:lineRule="exact"/>
        <w:rPr>
          <w:sz w:val="20"/>
          <w:szCs w:val="20"/>
          <w:color w:val="auto"/>
        </w:rPr>
      </w:pPr>
    </w:p>
    <w:p>
      <w:pPr>
        <w:ind w:right="20" w:firstLine="324"/>
        <w:spacing w:after="0" w:line="246" w:lineRule="auto"/>
        <w:rPr>
          <w:sz w:val="20"/>
          <w:szCs w:val="20"/>
          <w:color w:val="auto"/>
        </w:rPr>
      </w:pPr>
      <w:r>
        <w:rPr>
          <w:rFonts w:ascii="Arial" w:cs="Arial" w:eastAsia="Arial" w:hAnsi="Arial"/>
          <w:sz w:val="18"/>
          <w:szCs w:val="18"/>
          <w:color w:val="auto"/>
        </w:rPr>
        <w:t>As of December 31, 2018, the capitalized value associated with the SLC lease was included in Property, plant, and equipment, net at a value of $17.3 million, which included a gross cost of $20.8 million, and Accumulated depreciation of $3.5 million.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ind w:right="7000" w:firstLine="8"/>
        <w:spacing w:after="0" w:line="372" w:lineRule="auto"/>
        <w:tabs>
          <w:tab w:leader="none" w:pos="20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Pensions and Other Postretirement Benefit Plans </w:t>
      </w:r>
      <w:r>
        <w:rPr>
          <w:rFonts w:ascii="Arial" w:cs="Arial" w:eastAsia="Arial" w:hAnsi="Arial"/>
          <w:sz w:val="18"/>
          <w:szCs w:val="18"/>
          <w:i w:val="1"/>
          <w:iCs w:val="1"/>
          <w:color w:val="auto"/>
        </w:rPr>
        <w:t>Pension Plans</w:t>
      </w:r>
    </w:p>
    <w:p>
      <w:pPr>
        <w:spacing w:after="0" w:line="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benefits accrued under this plan have been frozen since February 2009. As a result of the freeze, employees covered by the pension plan will receive, at retirement, benefits already accrued through February 2009 but no new benefits accrue after that date. Benefit accruals under the U.S. Supplemental Executive Retirement Plan ("SERP") were similarly frozen. The eligibility, benefit formulas, and contribution requirements for plans outside of the U.S. vary by location.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Postretirement Benefits</w:t>
      </w:r>
    </w:p>
    <w:p>
      <w:pPr>
        <w:spacing w:after="0" w:line="122"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Company also provides certain postretirement benefits to retired employees in the U.S. and Canada. The Company accrues the cost of providing postretirement benefits during the active service period of the employees. The Company currently funds the plans as claims are paid.</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composition of the net periodic benefit cost for the nine months ended September 30, 2019 and 2018, was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60" w:type="dxa"/>
            <w:vAlign w:val="bottom"/>
            <w:tcBorders>
              <w:top w:val="single" w:sz="8" w:color="auto"/>
              <w:bottom w:val="single" w:sz="8" w:color="auto"/>
            </w:tcBorders>
            <w:gridSpan w:val="2"/>
          </w:tcPr>
          <w:p>
            <w:pPr>
              <w:jc w:val="right"/>
              <w:ind w:right="780"/>
              <w:spacing w:after="0"/>
              <w:rPr>
                <w:sz w:val="20"/>
                <w:szCs w:val="20"/>
                <w:color w:val="auto"/>
              </w:rPr>
            </w:pPr>
            <w:r>
              <w:rPr>
                <w:rFonts w:ascii="Arial" w:cs="Arial" w:eastAsia="Arial" w:hAnsi="Arial"/>
                <w:sz w:val="14"/>
                <w:szCs w:val="14"/>
                <w:b w:val="1"/>
                <w:bCs w:val="1"/>
                <w:color w:val="auto"/>
              </w:rPr>
              <w:t>Pension plans</w:t>
            </w:r>
          </w:p>
        </w:tc>
        <w:tc>
          <w:tcPr>
            <w:tcW w:w="2780" w:type="dxa"/>
            <w:vAlign w:val="bottom"/>
            <w:tcBorders>
              <w:top w:val="single" w:sz="8" w:color="auto"/>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56"/>
        </w:trPr>
        <w:tc>
          <w:tcPr>
            <w:tcW w:w="5980" w:type="dxa"/>
            <w:vAlign w:val="bottom"/>
            <w:tcBorders>
              <w:bottom w:val="single" w:sz="8" w:color="auto"/>
            </w:tcBorders>
            <w:vMerge w:val="continue"/>
          </w:tcPr>
          <w:p>
            <w:pPr>
              <w:spacing w:after="0"/>
              <w:rPr>
                <w:sz w:val="13"/>
                <w:szCs w:val="13"/>
                <w:color w:val="auto"/>
              </w:rPr>
            </w:pPr>
          </w:p>
        </w:tc>
        <w:tc>
          <w:tcPr>
            <w:tcW w:w="1340" w:type="dxa"/>
            <w:vAlign w:val="bottom"/>
            <w:tcBorders>
              <w:bottom w:val="single" w:sz="8" w:color="auto"/>
            </w:tcBorders>
          </w:tcPr>
          <w:p>
            <w:pPr>
              <w:jc w:val="right"/>
              <w:ind w:right="441"/>
              <w:spacing w:after="0" w:line="155" w:lineRule="exact"/>
              <w:rPr>
                <w:sz w:val="20"/>
                <w:szCs w:val="20"/>
                <w:color w:val="auto"/>
              </w:rPr>
            </w:pPr>
            <w:r>
              <w:rPr>
                <w:rFonts w:ascii="Arial" w:cs="Arial" w:eastAsia="Arial" w:hAnsi="Arial"/>
                <w:sz w:val="14"/>
                <w:szCs w:val="14"/>
                <w:b w:val="1"/>
                <w:bCs w:val="1"/>
                <w:color w:val="auto"/>
              </w:rPr>
              <w:t>2019</w:t>
            </w:r>
          </w:p>
        </w:tc>
        <w:tc>
          <w:tcPr>
            <w:tcW w:w="1320" w:type="dxa"/>
            <w:vAlign w:val="bottom"/>
            <w:tcBorders>
              <w:bottom w:val="single" w:sz="8" w:color="auto"/>
            </w:tcBorders>
          </w:tcPr>
          <w:p>
            <w:pPr>
              <w:jc w:val="right"/>
              <w:ind w:right="440"/>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80"/>
              <w:spacing w:after="0" w:line="155" w:lineRule="exact"/>
              <w:rPr>
                <w:sz w:val="20"/>
                <w:szCs w:val="20"/>
                <w:color w:val="auto"/>
              </w:rPr>
            </w:pPr>
            <w:r>
              <w:rPr>
                <w:rFonts w:ascii="Arial" w:cs="Arial" w:eastAsia="Arial" w:hAnsi="Arial"/>
                <w:sz w:val="14"/>
                <w:szCs w:val="14"/>
                <w:b w:val="1"/>
                <w:bCs w:val="1"/>
                <w:color w:val="auto"/>
                <w:w w:val="96"/>
              </w:rPr>
              <w:t>2019</w:t>
            </w: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00"/>
              <w:spacing w:after="0" w:line="155" w:lineRule="exact"/>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184"/>
        </w:trPr>
        <w:tc>
          <w:tcPr>
            <w:tcW w:w="5980" w:type="dxa"/>
            <w:vAlign w:val="bottom"/>
          </w:tcPr>
          <w:p>
            <w:pPr>
              <w:spacing w:after="0"/>
              <w:rPr>
                <w:sz w:val="20"/>
                <w:szCs w:val="20"/>
                <w:color w:val="auto"/>
              </w:rPr>
            </w:pPr>
            <w:r>
              <w:rPr>
                <w:rFonts w:ascii="Arial" w:cs="Arial" w:eastAsia="Arial" w:hAnsi="Arial"/>
                <w:sz w:val="16"/>
                <w:szCs w:val="16"/>
                <w:color w:val="auto"/>
              </w:rPr>
              <w:t>Components of net periodic benefit cost:</w:t>
            </w:r>
          </w:p>
        </w:tc>
        <w:tc>
          <w:tcPr>
            <w:tcW w:w="1340" w:type="dxa"/>
            <w:vAlign w:val="bottom"/>
            <w:vMerge w:val="restart"/>
          </w:tcPr>
          <w:p>
            <w:pPr>
              <w:jc w:val="right"/>
              <w:ind w:right="341"/>
              <w:spacing w:after="0"/>
              <w:rPr>
                <w:sz w:val="20"/>
                <w:szCs w:val="20"/>
                <w:color w:val="auto"/>
              </w:rPr>
            </w:pPr>
            <w:r>
              <w:rPr>
                <w:rFonts w:ascii="Arial" w:cs="Arial" w:eastAsia="Arial" w:hAnsi="Arial"/>
                <w:sz w:val="16"/>
                <w:szCs w:val="16"/>
                <w:b w:val="1"/>
                <w:bCs w:val="1"/>
                <w:color w:val="auto"/>
              </w:rPr>
              <w:t>$ 1,892</w:t>
            </w:r>
          </w:p>
        </w:tc>
        <w:tc>
          <w:tcPr>
            <w:tcW w:w="1320" w:type="dxa"/>
            <w:vAlign w:val="bottom"/>
          </w:tcPr>
          <w:p>
            <w:pPr>
              <w:spacing w:after="0"/>
              <w:rPr>
                <w:sz w:val="16"/>
                <w:szCs w:val="16"/>
                <w:color w:val="auto"/>
              </w:rPr>
            </w:pPr>
          </w:p>
        </w:tc>
        <w:tc>
          <w:tcPr>
            <w:tcW w:w="480" w:type="dxa"/>
            <w:vAlign w:val="bottom"/>
            <w:vMerge w:val="restart"/>
          </w:tcPr>
          <w:p>
            <w:pPr>
              <w:ind w:left="380"/>
              <w:spacing w:after="0"/>
              <w:rPr>
                <w:sz w:val="20"/>
                <w:szCs w:val="20"/>
                <w:color w:val="auto"/>
              </w:rPr>
            </w:pPr>
            <w:r>
              <w:rPr>
                <w:rFonts w:ascii="Arial" w:cs="Arial" w:eastAsia="Arial" w:hAnsi="Arial"/>
                <w:sz w:val="16"/>
                <w:szCs w:val="16"/>
                <w:b w:val="1"/>
                <w:bCs w:val="1"/>
                <w:color w:val="auto"/>
                <w:w w:val="89"/>
              </w:rPr>
              <w:t>$</w:t>
            </w:r>
          </w:p>
        </w:tc>
        <w:tc>
          <w:tcPr>
            <w:tcW w:w="880" w:type="dxa"/>
            <w:vAlign w:val="bottom"/>
            <w:vMerge w:val="restart"/>
          </w:tcPr>
          <w:p>
            <w:pPr>
              <w:jc w:val="right"/>
              <w:ind w:right="360"/>
              <w:spacing w:after="0"/>
              <w:rPr>
                <w:sz w:val="20"/>
                <w:szCs w:val="20"/>
                <w:color w:val="auto"/>
              </w:rPr>
            </w:pPr>
            <w:r>
              <w:rPr>
                <w:rFonts w:ascii="Arial" w:cs="Arial" w:eastAsia="Arial" w:hAnsi="Arial"/>
                <w:sz w:val="16"/>
                <w:szCs w:val="16"/>
                <w:b w:val="1"/>
                <w:bCs w:val="1"/>
                <w:color w:val="auto"/>
              </w:rPr>
              <w:t>142</w:t>
            </w: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80" w:type="dxa"/>
            <w:vAlign w:val="bottom"/>
          </w:tcPr>
          <w:p>
            <w:pPr>
              <w:spacing w:after="0" w:line="169" w:lineRule="exact"/>
              <w:rPr>
                <w:sz w:val="20"/>
                <w:szCs w:val="20"/>
                <w:color w:val="auto"/>
              </w:rPr>
            </w:pPr>
            <w:r>
              <w:rPr>
                <w:rFonts w:ascii="Arial" w:cs="Arial" w:eastAsia="Arial" w:hAnsi="Arial"/>
                <w:sz w:val="16"/>
                <w:szCs w:val="16"/>
                <w:color w:val="auto"/>
              </w:rPr>
              <w:t>Service cost</w:t>
            </w:r>
          </w:p>
        </w:tc>
        <w:tc>
          <w:tcPr>
            <w:tcW w:w="1340" w:type="dxa"/>
            <w:vAlign w:val="bottom"/>
            <w:vMerge w:val="continue"/>
          </w:tcPr>
          <w:p>
            <w:pPr>
              <w:spacing w:after="0"/>
              <w:rPr>
                <w:sz w:val="14"/>
                <w:szCs w:val="14"/>
                <w:color w:val="auto"/>
              </w:rPr>
            </w:pPr>
          </w:p>
        </w:tc>
        <w:tc>
          <w:tcPr>
            <w:tcW w:w="1320" w:type="dxa"/>
            <w:vAlign w:val="bottom"/>
          </w:tcPr>
          <w:p>
            <w:pPr>
              <w:jc w:val="right"/>
              <w:ind w:right="320"/>
              <w:spacing w:after="0" w:line="169" w:lineRule="exact"/>
              <w:rPr>
                <w:sz w:val="20"/>
                <w:szCs w:val="20"/>
                <w:color w:val="auto"/>
              </w:rPr>
            </w:pPr>
            <w:r>
              <w:rPr>
                <w:rFonts w:ascii="Arial" w:cs="Arial" w:eastAsia="Arial" w:hAnsi="Arial"/>
                <w:sz w:val="16"/>
                <w:szCs w:val="16"/>
                <w:color w:val="auto"/>
              </w:rPr>
              <w:t>$ 2,085</w:t>
            </w:r>
          </w:p>
        </w:tc>
        <w:tc>
          <w:tcPr>
            <w:tcW w:w="4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380"/>
              <w:spacing w:after="0" w:line="169" w:lineRule="exact"/>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Arial" w:cs="Arial" w:eastAsia="Arial" w:hAnsi="Arial"/>
                <w:sz w:val="16"/>
                <w:szCs w:val="16"/>
                <w:color w:val="auto"/>
              </w:rPr>
              <w:t>Interest cost</w:t>
            </w:r>
          </w:p>
        </w:tc>
        <w:tc>
          <w:tcPr>
            <w:tcW w:w="1340" w:type="dxa"/>
            <w:vAlign w:val="bottom"/>
          </w:tcPr>
          <w:p>
            <w:pPr>
              <w:jc w:val="right"/>
              <w:ind w:right="341"/>
              <w:spacing w:after="0"/>
              <w:rPr>
                <w:sz w:val="20"/>
                <w:szCs w:val="20"/>
                <w:color w:val="auto"/>
              </w:rPr>
            </w:pPr>
            <w:r>
              <w:rPr>
                <w:rFonts w:ascii="Arial" w:cs="Arial" w:eastAsia="Arial" w:hAnsi="Arial"/>
                <w:sz w:val="16"/>
                <w:szCs w:val="16"/>
                <w:b w:val="1"/>
                <w:bCs w:val="1"/>
                <w:color w:val="auto"/>
              </w:rPr>
              <w:t>5,368</w:t>
            </w:r>
          </w:p>
        </w:tc>
        <w:tc>
          <w:tcPr>
            <w:tcW w:w="1320" w:type="dxa"/>
            <w:vAlign w:val="bottom"/>
          </w:tcPr>
          <w:p>
            <w:pPr>
              <w:jc w:val="right"/>
              <w:ind w:right="320"/>
              <w:spacing w:after="0"/>
              <w:rPr>
                <w:sz w:val="20"/>
                <w:szCs w:val="20"/>
                <w:color w:val="auto"/>
              </w:rPr>
            </w:pPr>
            <w:r>
              <w:rPr>
                <w:rFonts w:ascii="Arial" w:cs="Arial" w:eastAsia="Arial" w:hAnsi="Arial"/>
                <w:sz w:val="16"/>
                <w:szCs w:val="16"/>
                <w:color w:val="auto"/>
              </w:rPr>
              <w:t>5,430</w:t>
            </w:r>
          </w:p>
        </w:tc>
        <w:tc>
          <w:tcPr>
            <w:tcW w:w="480" w:type="dxa"/>
            <w:vAlign w:val="bottom"/>
          </w:tcPr>
          <w:p>
            <w:pPr>
              <w:spacing w:after="0"/>
              <w:rPr>
                <w:sz w:val="16"/>
                <w:szCs w:val="16"/>
                <w:color w:val="auto"/>
              </w:rPr>
            </w:pPr>
          </w:p>
        </w:tc>
        <w:tc>
          <w:tcPr>
            <w:tcW w:w="880" w:type="dxa"/>
            <w:vAlign w:val="bottom"/>
          </w:tcPr>
          <w:p>
            <w:pPr>
              <w:jc w:val="right"/>
              <w:ind w:right="360"/>
              <w:spacing w:after="0"/>
              <w:rPr>
                <w:sz w:val="20"/>
                <w:szCs w:val="20"/>
                <w:color w:val="auto"/>
              </w:rPr>
            </w:pPr>
            <w:r>
              <w:rPr>
                <w:rFonts w:ascii="Arial" w:cs="Arial" w:eastAsia="Arial" w:hAnsi="Arial"/>
                <w:sz w:val="16"/>
                <w:szCs w:val="16"/>
                <w:b w:val="1"/>
                <w:bCs w:val="1"/>
                <w:color w:val="auto"/>
              </w:rPr>
              <w:t>1,585</w:t>
            </w:r>
          </w:p>
        </w:tc>
        <w:tc>
          <w:tcPr>
            <w:tcW w:w="520" w:type="dxa"/>
            <w:vAlign w:val="bottom"/>
          </w:tcPr>
          <w:p>
            <w:pPr>
              <w:spacing w:after="0"/>
              <w:rPr>
                <w:sz w:val="16"/>
                <w:szCs w:val="16"/>
                <w:color w:val="auto"/>
              </w:rPr>
            </w:pPr>
          </w:p>
        </w:tc>
        <w:tc>
          <w:tcPr>
            <w:tcW w:w="900" w:type="dxa"/>
            <w:vAlign w:val="bottom"/>
          </w:tcPr>
          <w:p>
            <w:pPr>
              <w:jc w:val="right"/>
              <w:ind w:right="380"/>
              <w:spacing w:after="0"/>
              <w:rPr>
                <w:sz w:val="20"/>
                <w:szCs w:val="20"/>
                <w:color w:val="auto"/>
              </w:rPr>
            </w:pPr>
            <w:r>
              <w:rPr>
                <w:rFonts w:ascii="Arial" w:cs="Arial" w:eastAsia="Arial" w:hAnsi="Arial"/>
                <w:sz w:val="16"/>
                <w:szCs w:val="16"/>
                <w:color w:val="auto"/>
              </w:rPr>
              <w:t>1,520</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Arial" w:cs="Arial" w:eastAsia="Arial" w:hAnsi="Arial"/>
                <w:sz w:val="16"/>
                <w:szCs w:val="16"/>
                <w:color w:val="auto"/>
              </w:rPr>
              <w:t>Expected return on assets</w:t>
            </w:r>
          </w:p>
        </w:tc>
        <w:tc>
          <w:tcPr>
            <w:tcW w:w="1340" w:type="dxa"/>
            <w:vAlign w:val="bottom"/>
          </w:tcPr>
          <w:p>
            <w:pPr>
              <w:jc w:val="right"/>
              <w:ind w:right="281"/>
              <w:spacing w:after="0"/>
              <w:rPr>
                <w:sz w:val="20"/>
                <w:szCs w:val="20"/>
                <w:color w:val="auto"/>
              </w:rPr>
            </w:pPr>
            <w:r>
              <w:rPr>
                <w:rFonts w:ascii="Arial" w:cs="Arial" w:eastAsia="Arial" w:hAnsi="Arial"/>
                <w:sz w:val="16"/>
                <w:szCs w:val="16"/>
                <w:b w:val="1"/>
                <w:bCs w:val="1"/>
                <w:color w:val="auto"/>
              </w:rPr>
              <w:t>(6,155)</w:t>
            </w:r>
          </w:p>
        </w:tc>
        <w:tc>
          <w:tcPr>
            <w:tcW w:w="1320" w:type="dxa"/>
            <w:vAlign w:val="bottom"/>
          </w:tcPr>
          <w:p>
            <w:pPr>
              <w:jc w:val="right"/>
              <w:ind w:right="280"/>
              <w:spacing w:after="0"/>
              <w:rPr>
                <w:sz w:val="20"/>
                <w:szCs w:val="20"/>
                <w:color w:val="auto"/>
              </w:rPr>
            </w:pPr>
            <w:r>
              <w:rPr>
                <w:rFonts w:ascii="Arial" w:cs="Arial" w:eastAsia="Arial" w:hAnsi="Arial"/>
                <w:sz w:val="16"/>
                <w:szCs w:val="16"/>
                <w:color w:val="auto"/>
              </w:rPr>
              <w:t>(6,702)</w:t>
            </w:r>
          </w:p>
        </w:tc>
        <w:tc>
          <w:tcPr>
            <w:tcW w:w="480" w:type="dxa"/>
            <w:vAlign w:val="bottom"/>
          </w:tcPr>
          <w:p>
            <w:pPr>
              <w:spacing w:after="0"/>
              <w:rPr>
                <w:sz w:val="16"/>
                <w:szCs w:val="16"/>
                <w:color w:val="auto"/>
              </w:rPr>
            </w:pPr>
          </w:p>
        </w:tc>
        <w:tc>
          <w:tcPr>
            <w:tcW w:w="880" w:type="dxa"/>
            <w:vAlign w:val="bottom"/>
          </w:tcPr>
          <w:p>
            <w:pPr>
              <w:jc w:val="right"/>
              <w:ind w:right="360"/>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16"/>
                <w:szCs w:val="16"/>
                <w:color w:val="auto"/>
              </w:rPr>
            </w:pPr>
          </w:p>
        </w:tc>
        <w:tc>
          <w:tcPr>
            <w:tcW w:w="90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Arial" w:cs="Arial" w:eastAsia="Arial" w:hAnsi="Arial"/>
                <w:sz w:val="16"/>
                <w:szCs w:val="16"/>
                <w:color w:val="auto"/>
              </w:rPr>
              <w:t>Curtailment gain</w:t>
            </w:r>
          </w:p>
        </w:tc>
        <w:tc>
          <w:tcPr>
            <w:tcW w:w="1340" w:type="dxa"/>
            <w:vAlign w:val="bottom"/>
          </w:tcPr>
          <w:p>
            <w:pPr>
              <w:jc w:val="right"/>
              <w:ind w:right="341"/>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280"/>
              <w:spacing w:after="0"/>
              <w:rPr>
                <w:sz w:val="20"/>
                <w:szCs w:val="20"/>
                <w:color w:val="auto"/>
              </w:rPr>
            </w:pPr>
            <w:r>
              <w:rPr>
                <w:rFonts w:ascii="Arial" w:cs="Arial" w:eastAsia="Arial" w:hAnsi="Arial"/>
                <w:sz w:val="16"/>
                <w:szCs w:val="16"/>
                <w:color w:val="auto"/>
              </w:rPr>
              <w:t>(750)</w:t>
            </w:r>
          </w:p>
        </w:tc>
        <w:tc>
          <w:tcPr>
            <w:tcW w:w="480" w:type="dxa"/>
            <w:vAlign w:val="bottom"/>
          </w:tcPr>
          <w:p>
            <w:pPr>
              <w:spacing w:after="0"/>
              <w:rPr>
                <w:sz w:val="16"/>
                <w:szCs w:val="16"/>
                <w:color w:val="auto"/>
              </w:rPr>
            </w:pPr>
          </w:p>
        </w:tc>
        <w:tc>
          <w:tcPr>
            <w:tcW w:w="880" w:type="dxa"/>
            <w:vAlign w:val="bottom"/>
          </w:tcPr>
          <w:p>
            <w:pPr>
              <w:jc w:val="right"/>
              <w:ind w:right="360"/>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16"/>
                <w:szCs w:val="16"/>
                <w:color w:val="auto"/>
              </w:rPr>
            </w:pPr>
          </w:p>
        </w:tc>
        <w:tc>
          <w:tcPr>
            <w:tcW w:w="90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Arial" w:cs="Arial" w:eastAsia="Arial" w:hAnsi="Arial"/>
                <w:sz w:val="16"/>
                <w:szCs w:val="16"/>
                <w:color w:val="auto"/>
              </w:rPr>
              <w:t>Amortization of prior service cost/(credit)</w:t>
            </w:r>
          </w:p>
        </w:tc>
        <w:tc>
          <w:tcPr>
            <w:tcW w:w="1340" w:type="dxa"/>
            <w:vAlign w:val="bottom"/>
          </w:tcPr>
          <w:p>
            <w:pPr>
              <w:jc w:val="right"/>
              <w:ind w:right="321"/>
              <w:spacing w:after="0"/>
              <w:rPr>
                <w:sz w:val="20"/>
                <w:szCs w:val="20"/>
                <w:color w:val="auto"/>
              </w:rPr>
            </w:pPr>
            <w:r>
              <w:rPr>
                <w:rFonts w:ascii="Arial" w:cs="Arial" w:eastAsia="Arial" w:hAnsi="Arial"/>
                <w:sz w:val="16"/>
                <w:szCs w:val="16"/>
                <w:b w:val="1"/>
                <w:bCs w:val="1"/>
                <w:color w:val="auto"/>
              </w:rPr>
              <w:t>51</w:t>
            </w:r>
          </w:p>
        </w:tc>
        <w:tc>
          <w:tcPr>
            <w:tcW w:w="1320" w:type="dxa"/>
            <w:vAlign w:val="bottom"/>
          </w:tcPr>
          <w:p>
            <w:pPr>
              <w:jc w:val="right"/>
              <w:ind w:right="320"/>
              <w:spacing w:after="0"/>
              <w:rPr>
                <w:sz w:val="20"/>
                <w:szCs w:val="20"/>
                <w:color w:val="auto"/>
              </w:rPr>
            </w:pPr>
            <w:r>
              <w:rPr>
                <w:rFonts w:ascii="Arial" w:cs="Arial" w:eastAsia="Arial" w:hAnsi="Arial"/>
                <w:sz w:val="16"/>
                <w:szCs w:val="16"/>
                <w:color w:val="auto"/>
              </w:rPr>
              <w:t>25</w:t>
            </w:r>
          </w:p>
        </w:tc>
        <w:tc>
          <w:tcPr>
            <w:tcW w:w="13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(3,366)</w:t>
            </w:r>
          </w:p>
        </w:tc>
        <w:tc>
          <w:tcPr>
            <w:tcW w:w="1420" w:type="dxa"/>
            <w:vAlign w:val="bottom"/>
            <w:gridSpan w:val="2"/>
          </w:tcPr>
          <w:p>
            <w:pPr>
              <w:jc w:val="right"/>
              <w:ind w:right="340"/>
              <w:spacing w:after="0"/>
              <w:rPr>
                <w:sz w:val="20"/>
                <w:szCs w:val="20"/>
                <w:color w:val="auto"/>
              </w:rPr>
            </w:pPr>
            <w:r>
              <w:rPr>
                <w:rFonts w:ascii="Arial" w:cs="Arial" w:eastAsia="Arial" w:hAnsi="Arial"/>
                <w:sz w:val="16"/>
                <w:szCs w:val="16"/>
                <w:color w:val="auto"/>
              </w:rPr>
              <w:t>(3,366)</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Arial" w:cs="Arial" w:eastAsia="Arial" w:hAnsi="Arial"/>
                <w:sz w:val="16"/>
                <w:szCs w:val="16"/>
                <w:color w:val="auto"/>
              </w:rPr>
              <w:t>Amortization of net actuarial loss</w:t>
            </w:r>
          </w:p>
        </w:tc>
        <w:tc>
          <w:tcPr>
            <w:tcW w:w="1340" w:type="dxa"/>
            <w:vAlign w:val="bottom"/>
          </w:tcPr>
          <w:p>
            <w:pPr>
              <w:jc w:val="right"/>
              <w:ind w:right="341"/>
              <w:spacing w:after="0"/>
              <w:rPr>
                <w:sz w:val="20"/>
                <w:szCs w:val="20"/>
                <w:color w:val="auto"/>
              </w:rPr>
            </w:pPr>
            <w:r>
              <w:rPr>
                <w:rFonts w:ascii="Arial" w:cs="Arial" w:eastAsia="Arial" w:hAnsi="Arial"/>
                <w:sz w:val="16"/>
                <w:szCs w:val="16"/>
                <w:b w:val="1"/>
                <w:bCs w:val="1"/>
                <w:color w:val="auto"/>
              </w:rPr>
              <w:t>1,687</w:t>
            </w:r>
          </w:p>
        </w:tc>
        <w:tc>
          <w:tcPr>
            <w:tcW w:w="1320" w:type="dxa"/>
            <w:vAlign w:val="bottom"/>
          </w:tcPr>
          <w:p>
            <w:pPr>
              <w:jc w:val="right"/>
              <w:ind w:right="320"/>
              <w:spacing w:after="0"/>
              <w:rPr>
                <w:sz w:val="20"/>
                <w:szCs w:val="20"/>
                <w:color w:val="auto"/>
              </w:rPr>
            </w:pPr>
            <w:r>
              <w:rPr>
                <w:rFonts w:ascii="Arial" w:cs="Arial" w:eastAsia="Arial" w:hAnsi="Arial"/>
                <w:sz w:val="16"/>
                <w:szCs w:val="16"/>
                <w:color w:val="auto"/>
              </w:rPr>
              <w:t>1,665</w:t>
            </w:r>
          </w:p>
        </w:tc>
        <w:tc>
          <w:tcPr>
            <w:tcW w:w="480" w:type="dxa"/>
            <w:vAlign w:val="bottom"/>
          </w:tcPr>
          <w:p>
            <w:pPr>
              <w:spacing w:after="0"/>
              <w:rPr>
                <w:sz w:val="16"/>
                <w:szCs w:val="16"/>
                <w:color w:val="auto"/>
              </w:rPr>
            </w:pPr>
          </w:p>
        </w:tc>
        <w:tc>
          <w:tcPr>
            <w:tcW w:w="880" w:type="dxa"/>
            <w:vAlign w:val="bottom"/>
          </w:tcPr>
          <w:p>
            <w:pPr>
              <w:jc w:val="right"/>
              <w:ind w:right="360"/>
              <w:spacing w:after="0"/>
              <w:rPr>
                <w:sz w:val="20"/>
                <w:szCs w:val="20"/>
                <w:color w:val="auto"/>
              </w:rPr>
            </w:pPr>
            <w:r>
              <w:rPr>
                <w:rFonts w:ascii="Arial" w:cs="Arial" w:eastAsia="Arial" w:hAnsi="Arial"/>
                <w:sz w:val="16"/>
                <w:szCs w:val="16"/>
                <w:b w:val="1"/>
                <w:bCs w:val="1"/>
                <w:color w:val="auto"/>
              </w:rPr>
              <w:t>1,670</w:t>
            </w:r>
          </w:p>
        </w:tc>
        <w:tc>
          <w:tcPr>
            <w:tcW w:w="520" w:type="dxa"/>
            <w:vAlign w:val="bottom"/>
          </w:tcPr>
          <w:p>
            <w:pPr>
              <w:spacing w:after="0"/>
              <w:rPr>
                <w:sz w:val="16"/>
                <w:szCs w:val="16"/>
                <w:color w:val="auto"/>
              </w:rPr>
            </w:pPr>
          </w:p>
        </w:tc>
        <w:tc>
          <w:tcPr>
            <w:tcW w:w="900" w:type="dxa"/>
            <w:vAlign w:val="bottom"/>
          </w:tcPr>
          <w:p>
            <w:pPr>
              <w:jc w:val="right"/>
              <w:ind w:right="380"/>
              <w:spacing w:after="0"/>
              <w:rPr>
                <w:sz w:val="20"/>
                <w:szCs w:val="20"/>
                <w:color w:val="auto"/>
              </w:rPr>
            </w:pPr>
            <w:r>
              <w:rPr>
                <w:rFonts w:ascii="Arial" w:cs="Arial" w:eastAsia="Arial" w:hAnsi="Arial"/>
                <w:sz w:val="16"/>
                <w:szCs w:val="16"/>
                <w:color w:val="auto"/>
              </w:rPr>
              <w:t>2,217</w:t>
            </w:r>
          </w:p>
        </w:tc>
        <w:tc>
          <w:tcPr>
            <w:tcW w:w="0" w:type="dxa"/>
            <w:vAlign w:val="bottom"/>
          </w:tcPr>
          <w:p>
            <w:pPr>
              <w:spacing w:after="0"/>
              <w:rPr>
                <w:sz w:val="1"/>
                <w:szCs w:val="1"/>
                <w:color w:val="auto"/>
              </w:rPr>
            </w:pPr>
          </w:p>
        </w:tc>
      </w:tr>
      <w:tr>
        <w:trPr>
          <w:trHeight w:val="207"/>
        </w:trPr>
        <w:tc>
          <w:tcPr>
            <w:tcW w:w="5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periodic benefit cost</w:t>
            </w:r>
          </w:p>
        </w:tc>
        <w:tc>
          <w:tcPr>
            <w:tcW w:w="13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$ 2,843</w:t>
            </w:r>
          </w:p>
        </w:tc>
        <w:tc>
          <w:tcPr>
            <w:tcW w:w="13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$ 1,753</w:t>
            </w:r>
          </w:p>
        </w:tc>
        <w:tc>
          <w:tcPr>
            <w:tcW w:w="48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31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amount of net periodic pension cost is determined at the beginning of each year and generally only varies from quarter to quarter when a significant event occurs, such as a curtailment or a settlement. There were no such events in the first nine months of 2019. In 2018, we recorded curtailment gains of $0.5 million in the second quarter and $0.2 million in the third quarter related to restructuring in France.</w:t>
      </w:r>
    </w:p>
    <w:p>
      <w:pPr>
        <w:spacing w:after="0" w:line="95"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Service cost for defined benefit pension and postretirement plans are reported in the same line item or items as other compensation costs arising from services rendered by the pertinent employees during the period. Other components of net periodic benefit cost are presented in the income statement separately from the service cost component and outside a subtotal of income from operations, in the line item Other (income)/expense, net in the Consolidated Statements of 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Restructuring</w:t>
      </w:r>
    </w:p>
    <w:p>
      <w:pPr>
        <w:spacing w:after="0" w:line="12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MC restructuring charges include expenses for the first nine months of 2019 and 2018 principally related to discontinued operations at its MC production facility in Sélestat, France. In 2018, the plan was approved by the French Labor Ministry which led to restructuring expense of $9.0 million in the first nine months of 2018 for severance and outplacement costs for the approximately 50 positions that were terminated under this plan. In the first nine months of 2019, restructuring charges were $0.3 million. Since 2017, we have recorded $ 12.0 million of restructuring charges related to this action. As a result of this action, the Company recorded a pension plan curtailment gain of $0.7 million in 2018 which is recorded in Other (income)/expense.</w:t>
      </w:r>
    </w:p>
    <w:p>
      <w:pPr>
        <w:spacing w:after="0" w:line="97"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AEC restructuring charges include expenses for the first nine months of 2018 were related to work force reductions in AEC locations in Salt Lake City, Utah and Rochester, New Hampshire.</w:t>
      </w:r>
    </w:p>
    <w:p>
      <w:pPr>
        <w:spacing w:after="0" w:line="89"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18"/>
          <w:szCs w:val="18"/>
          <w:color w:val="auto"/>
        </w:rPr>
        <w:t>AEC restructuring charges in the third quarter of 2018 were principally related to the discontinuation of certain manufacturing processes in Salt Lake City, resulting in a non-cash restructuring charge of $1.7 million, and an additional $0.2 million for severance.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charges reported in the Consolidated Statements of Income under “Restructuring expenses, net”:</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4900" w:type="dxa"/>
            <w:vAlign w:val="bottom"/>
            <w:tcBorders>
              <w:top w:val="single" w:sz="8" w:color="auto"/>
            </w:tcBorders>
          </w:tcPr>
          <w:p>
            <w:pPr>
              <w:spacing w:after="0"/>
              <w:rPr>
                <w:sz w:val="14"/>
                <w:szCs w:val="14"/>
                <w:color w:val="auto"/>
              </w:rPr>
            </w:pPr>
          </w:p>
        </w:tc>
        <w:tc>
          <w:tcPr>
            <w:tcW w:w="2320" w:type="dxa"/>
            <w:vAlign w:val="bottom"/>
            <w:tcBorders>
              <w:top w:val="single" w:sz="8" w:color="auto"/>
            </w:tcBorders>
            <w:gridSpan w:val="2"/>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2200" w:type="dxa"/>
            <w:vAlign w:val="bottom"/>
            <w:tcBorders>
              <w:top w:val="single" w:sz="8" w:color="auto"/>
            </w:tcBorders>
            <w:gridSpan w:val="2"/>
          </w:tcPr>
          <w:p>
            <w:pPr>
              <w:jc w:val="right"/>
              <w:ind w:right="38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320" w:type="dxa"/>
            <w:vAlign w:val="bottom"/>
            <w:tcBorders>
              <w:bottom w:val="single" w:sz="8" w:color="auto"/>
            </w:tcBorders>
            <w:gridSpan w:val="2"/>
          </w:tcPr>
          <w:p>
            <w:pPr>
              <w:jc w:val="right"/>
              <w:ind w:right="602"/>
              <w:spacing w:after="0"/>
              <w:rPr>
                <w:sz w:val="20"/>
                <w:szCs w:val="20"/>
                <w:color w:val="auto"/>
              </w:rPr>
            </w:pPr>
            <w:r>
              <w:rPr>
                <w:rFonts w:ascii="Arial" w:cs="Arial" w:eastAsia="Arial" w:hAnsi="Arial"/>
                <w:sz w:val="14"/>
                <w:szCs w:val="14"/>
                <w:b w:val="1"/>
                <w:bCs w:val="1"/>
                <w:color w:val="auto"/>
              </w:rPr>
              <w:t>September 30,</w:t>
            </w:r>
          </w:p>
        </w:tc>
        <w:tc>
          <w:tcPr>
            <w:tcW w:w="2200" w:type="dxa"/>
            <w:vAlign w:val="bottom"/>
            <w:tcBorders>
              <w:bottom w:val="single" w:sz="8" w:color="auto"/>
            </w:tcBorders>
            <w:gridSpan w:val="2"/>
          </w:tcPr>
          <w:p>
            <w:pPr>
              <w:jc w:val="right"/>
              <w:ind w:right="54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4900" w:type="dxa"/>
            <w:vAlign w:val="bottom"/>
            <w:tcBorders>
              <w:bottom w:val="single" w:sz="8" w:color="auto"/>
            </w:tcBorders>
            <w:vMerge w:val="continue"/>
          </w:tcPr>
          <w:p>
            <w:pPr>
              <w:spacing w:after="0"/>
              <w:rPr>
                <w:sz w:val="13"/>
                <w:szCs w:val="13"/>
                <w:color w:val="auto"/>
              </w:rPr>
            </w:pPr>
          </w:p>
        </w:tc>
        <w:tc>
          <w:tcPr>
            <w:tcW w:w="11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10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auto"/>
            </w:tcBorders>
          </w:tcPr>
          <w:p>
            <w:pPr>
              <w:jc w:val="right"/>
              <w:ind w:right="322"/>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4"/>
        </w:trPr>
        <w:tc>
          <w:tcPr>
            <w:tcW w:w="4900" w:type="dxa"/>
            <w:vAlign w:val="bottom"/>
          </w:tcPr>
          <w:p>
            <w:pPr>
              <w:spacing w:after="0" w:line="165" w:lineRule="exact"/>
              <w:rPr>
                <w:sz w:val="20"/>
                <w:szCs w:val="20"/>
                <w:color w:val="auto"/>
              </w:rPr>
            </w:pPr>
            <w:r>
              <w:rPr>
                <w:rFonts w:ascii="Arial" w:cs="Arial" w:eastAsia="Arial" w:hAnsi="Arial"/>
                <w:sz w:val="16"/>
                <w:szCs w:val="16"/>
                <w:color w:val="auto"/>
              </w:rPr>
              <w:t>Machine Clothing</w:t>
            </w:r>
          </w:p>
        </w:tc>
        <w:tc>
          <w:tcPr>
            <w:tcW w:w="11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 (211)</w:t>
            </w:r>
          </w:p>
        </w:tc>
        <w:tc>
          <w:tcPr>
            <w:tcW w:w="1200" w:type="dxa"/>
            <w:vAlign w:val="bottom"/>
          </w:tcPr>
          <w:p>
            <w:pPr>
              <w:jc w:val="right"/>
              <w:ind w:right="282"/>
              <w:spacing w:after="0" w:line="165" w:lineRule="exact"/>
              <w:rPr>
                <w:sz w:val="20"/>
                <w:szCs w:val="20"/>
                <w:color w:val="auto"/>
              </w:rPr>
            </w:pPr>
            <w:r>
              <w:rPr>
                <w:rFonts w:ascii="Arial" w:cs="Arial" w:eastAsia="Arial" w:hAnsi="Arial"/>
                <w:sz w:val="16"/>
                <w:szCs w:val="16"/>
                <w:color w:val="auto"/>
              </w:rPr>
              <w:t>$  370</w:t>
            </w:r>
          </w:p>
        </w:tc>
        <w:tc>
          <w:tcPr>
            <w:tcW w:w="1080" w:type="dxa"/>
            <w:vAlign w:val="bottom"/>
          </w:tcPr>
          <w:p>
            <w:pPr>
              <w:jc w:val="right"/>
              <w:ind w:right="242"/>
              <w:spacing w:after="0" w:line="165" w:lineRule="exact"/>
              <w:rPr>
                <w:sz w:val="20"/>
                <w:szCs w:val="20"/>
                <w:color w:val="auto"/>
              </w:rPr>
            </w:pPr>
            <w:r>
              <w:rPr>
                <w:rFonts w:ascii="Arial" w:cs="Arial" w:eastAsia="Arial" w:hAnsi="Arial"/>
                <w:sz w:val="16"/>
                <w:szCs w:val="16"/>
                <w:b w:val="1"/>
                <w:bCs w:val="1"/>
                <w:color w:val="auto"/>
              </w:rPr>
              <w:t>$1,125</w:t>
            </w:r>
          </w:p>
        </w:tc>
        <w:tc>
          <w:tcPr>
            <w:tcW w:w="1120" w:type="dxa"/>
            <w:vAlign w:val="bottom"/>
          </w:tcPr>
          <w:p>
            <w:pPr>
              <w:jc w:val="right"/>
              <w:ind w:right="182"/>
              <w:spacing w:after="0" w:line="165" w:lineRule="exact"/>
              <w:rPr>
                <w:sz w:val="20"/>
                <w:szCs w:val="20"/>
                <w:color w:val="auto"/>
              </w:rPr>
            </w:pPr>
            <w:r>
              <w:rPr>
                <w:rFonts w:ascii="Arial" w:cs="Arial" w:eastAsia="Arial" w:hAnsi="Arial"/>
                <w:sz w:val="16"/>
                <w:szCs w:val="16"/>
                <w:color w:val="auto"/>
              </w:rPr>
              <w:t>$10,522</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20"/>
                <w:szCs w:val="20"/>
                <w:color w:val="auto"/>
              </w:rPr>
            </w:pPr>
            <w:r>
              <w:rPr>
                <w:rFonts w:ascii="Arial" w:cs="Arial" w:eastAsia="Arial" w:hAnsi="Arial"/>
                <w:sz w:val="16"/>
                <w:szCs w:val="16"/>
                <w:color w:val="auto"/>
              </w:rPr>
              <w:t>Albany Engineered Composites</w:t>
            </w:r>
          </w:p>
        </w:tc>
        <w:tc>
          <w:tcPr>
            <w:tcW w:w="1120" w:type="dxa"/>
            <w:vAlign w:val="bottom"/>
          </w:tcPr>
          <w:p>
            <w:pPr>
              <w:jc w:val="right"/>
              <w:ind w:right="203"/>
              <w:spacing w:after="0"/>
              <w:rPr>
                <w:sz w:val="20"/>
                <w:szCs w:val="20"/>
                <w:color w:val="auto"/>
              </w:rPr>
            </w:pPr>
            <w:r>
              <w:rPr>
                <w:rFonts w:ascii="Arial" w:cs="Arial" w:eastAsia="Arial" w:hAnsi="Arial"/>
                <w:sz w:val="16"/>
                <w:szCs w:val="16"/>
                <w:b w:val="1"/>
                <w:bCs w:val="1"/>
                <w:color w:val="auto"/>
              </w:rPr>
              <w:t>(33)</w:t>
            </w:r>
          </w:p>
        </w:tc>
        <w:tc>
          <w:tcPr>
            <w:tcW w:w="1200" w:type="dxa"/>
            <w:vAlign w:val="bottom"/>
          </w:tcPr>
          <w:p>
            <w:pPr>
              <w:jc w:val="right"/>
              <w:ind w:right="282"/>
              <w:spacing w:after="0"/>
              <w:rPr>
                <w:sz w:val="20"/>
                <w:szCs w:val="20"/>
                <w:color w:val="auto"/>
              </w:rPr>
            </w:pPr>
            <w:r>
              <w:rPr>
                <w:rFonts w:ascii="Arial" w:cs="Arial" w:eastAsia="Arial" w:hAnsi="Arial"/>
                <w:sz w:val="16"/>
                <w:szCs w:val="16"/>
                <w:color w:val="auto"/>
              </w:rPr>
              <w:t>2,189</w:t>
            </w:r>
          </w:p>
        </w:tc>
        <w:tc>
          <w:tcPr>
            <w:tcW w:w="1080" w:type="dxa"/>
            <w:vAlign w:val="bottom"/>
          </w:tcPr>
          <w:p>
            <w:pPr>
              <w:jc w:val="right"/>
              <w:ind w:right="242"/>
              <w:spacing w:after="0"/>
              <w:rPr>
                <w:sz w:val="20"/>
                <w:szCs w:val="20"/>
                <w:color w:val="auto"/>
              </w:rPr>
            </w:pPr>
            <w:r>
              <w:rPr>
                <w:rFonts w:ascii="Arial" w:cs="Arial" w:eastAsia="Arial" w:hAnsi="Arial"/>
                <w:sz w:val="16"/>
                <w:szCs w:val="16"/>
                <w:b w:val="1"/>
                <w:bCs w:val="1"/>
                <w:color w:val="auto"/>
              </w:rPr>
              <w:t>18</w:t>
            </w:r>
          </w:p>
        </w:tc>
        <w:tc>
          <w:tcPr>
            <w:tcW w:w="1120" w:type="dxa"/>
            <w:vAlign w:val="bottom"/>
          </w:tcPr>
          <w:p>
            <w:pPr>
              <w:jc w:val="right"/>
              <w:ind w:right="182"/>
              <w:spacing w:after="0"/>
              <w:rPr>
                <w:sz w:val="20"/>
                <w:szCs w:val="20"/>
                <w:color w:val="auto"/>
              </w:rPr>
            </w:pPr>
            <w:r>
              <w:rPr>
                <w:rFonts w:ascii="Arial" w:cs="Arial" w:eastAsia="Arial" w:hAnsi="Arial"/>
                <w:sz w:val="16"/>
                <w:szCs w:val="16"/>
                <w:color w:val="auto"/>
              </w:rPr>
              <w:t>2,968</w:t>
            </w:r>
          </w:p>
        </w:tc>
        <w:tc>
          <w:tcPr>
            <w:tcW w:w="0" w:type="dxa"/>
            <w:vAlign w:val="bottom"/>
          </w:tcPr>
          <w:p>
            <w:pPr>
              <w:spacing w:after="0"/>
              <w:rPr>
                <w:sz w:val="1"/>
                <w:szCs w:val="1"/>
                <w:color w:val="auto"/>
              </w:rPr>
            </w:pPr>
          </w:p>
        </w:tc>
      </w:tr>
      <w:tr>
        <w:trPr>
          <w:trHeight w:val="207"/>
        </w:trPr>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Corporate expenses</w:t>
            </w:r>
          </w:p>
        </w:tc>
        <w:tc>
          <w:tcPr>
            <w:tcW w:w="112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(7)</w:t>
            </w:r>
          </w:p>
        </w:tc>
        <w:tc>
          <w:tcPr>
            <w:tcW w:w="10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(4)</w:t>
            </w:r>
          </w:p>
        </w:tc>
        <w:tc>
          <w:tcPr>
            <w:tcW w:w="11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183"/>
        </w:trPr>
        <w:tc>
          <w:tcPr>
            <w:tcW w:w="49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$(244)</w:t>
            </w:r>
          </w:p>
        </w:tc>
        <w:tc>
          <w:tcPr>
            <w:tcW w:w="1200" w:type="dxa"/>
            <w:vAlign w:val="bottom"/>
            <w:tcBorders>
              <w:bottom w:val="single" w:sz="8" w:color="auto"/>
            </w:tcBorders>
          </w:tcPr>
          <w:p>
            <w:pPr>
              <w:jc w:val="right"/>
              <w:ind w:right="282"/>
              <w:spacing w:after="0" w:line="183" w:lineRule="exact"/>
              <w:rPr>
                <w:sz w:val="20"/>
                <w:szCs w:val="20"/>
                <w:color w:val="auto"/>
              </w:rPr>
            </w:pPr>
            <w:r>
              <w:rPr>
                <w:rFonts w:ascii="Arial" w:cs="Arial" w:eastAsia="Arial" w:hAnsi="Arial"/>
                <w:sz w:val="16"/>
                <w:szCs w:val="16"/>
                <w:color w:val="auto"/>
              </w:rPr>
              <w:t>$2,552</w:t>
            </w:r>
          </w:p>
        </w:tc>
        <w:tc>
          <w:tcPr>
            <w:tcW w:w="1080" w:type="dxa"/>
            <w:vAlign w:val="bottom"/>
            <w:tcBorders>
              <w:bottom w:val="single" w:sz="8" w:color="auto"/>
            </w:tcBorders>
          </w:tcPr>
          <w:p>
            <w:pPr>
              <w:jc w:val="right"/>
              <w:ind w:right="242"/>
              <w:spacing w:after="0" w:line="183" w:lineRule="exact"/>
              <w:rPr>
                <w:sz w:val="20"/>
                <w:szCs w:val="20"/>
                <w:color w:val="auto"/>
              </w:rPr>
            </w:pPr>
            <w:r>
              <w:rPr>
                <w:rFonts w:ascii="Arial" w:cs="Arial" w:eastAsia="Arial" w:hAnsi="Arial"/>
                <w:sz w:val="16"/>
                <w:szCs w:val="16"/>
                <w:b w:val="1"/>
                <w:bCs w:val="1"/>
                <w:color w:val="auto"/>
              </w:rPr>
              <w:t>$1,139</w:t>
            </w:r>
          </w:p>
        </w:tc>
        <w:tc>
          <w:tcPr>
            <w:tcW w:w="1120" w:type="dxa"/>
            <w:vAlign w:val="bottom"/>
            <w:tcBorders>
              <w:bottom w:val="single" w:sz="8" w:color="auto"/>
            </w:tcBorders>
          </w:tcPr>
          <w:p>
            <w:pPr>
              <w:jc w:val="right"/>
              <w:ind w:right="182"/>
              <w:spacing w:after="0" w:line="183" w:lineRule="exact"/>
              <w:rPr>
                <w:sz w:val="20"/>
                <w:szCs w:val="20"/>
                <w:color w:val="auto"/>
              </w:rPr>
            </w:pPr>
            <w:r>
              <w:rPr>
                <w:rFonts w:ascii="Arial" w:cs="Arial" w:eastAsia="Arial" w:hAnsi="Arial"/>
                <w:sz w:val="16"/>
                <w:szCs w:val="16"/>
                <w:color w:val="auto"/>
              </w:rPr>
              <w:t>$13,714</w:t>
            </w:r>
          </w:p>
        </w:tc>
        <w:tc>
          <w:tcPr>
            <w:tcW w:w="0" w:type="dxa"/>
            <w:vAlign w:val="bottom"/>
          </w:tcPr>
          <w:p>
            <w:pPr>
              <w:spacing w:after="0"/>
              <w:rPr>
                <w:sz w:val="1"/>
                <w:szCs w:val="1"/>
                <w:color w:val="auto"/>
              </w:rPr>
            </w:pPr>
          </w:p>
        </w:tc>
      </w:tr>
      <w:tr>
        <w:trPr>
          <w:trHeight w:val="156"/>
        </w:trPr>
        <w:tc>
          <w:tcPr>
            <w:tcW w:w="49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1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5"/>
              </w:rPr>
              <w:t>Total</w:t>
            </w: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Impairment of</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20"/>
                <w:szCs w:val="20"/>
                <w:color w:val="auto"/>
              </w:rPr>
            </w:pPr>
            <w:r>
              <w:rPr>
                <w:rFonts w:ascii="Arial" w:cs="Arial" w:eastAsia="Arial" w:hAnsi="Arial"/>
                <w:sz w:val="14"/>
                <w:szCs w:val="14"/>
                <w:b w:val="1"/>
                <w:bCs w:val="1"/>
                <w:color w:val="auto"/>
              </w:rPr>
              <w:t>Nine months ended September 30, 2019</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restructuring</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Termination and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Impairment of</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intangible</w:t>
            </w:r>
          </w:p>
        </w:tc>
        <w:tc>
          <w:tcPr>
            <w:tcW w:w="0" w:type="dxa"/>
            <w:vAlign w:val="bottom"/>
          </w:tcPr>
          <w:p>
            <w:pPr>
              <w:spacing w:after="0"/>
              <w:rPr>
                <w:sz w:val="1"/>
                <w:szCs w:val="1"/>
                <w:color w:val="auto"/>
              </w:rPr>
            </w:pPr>
          </w:p>
        </w:tc>
      </w:tr>
      <w:tr>
        <w:trPr>
          <w:trHeight w:val="175"/>
        </w:trPr>
        <w:tc>
          <w:tcPr>
            <w:tcW w:w="4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costs incurred</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other costs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assets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84"/>
        </w:trPr>
        <w:tc>
          <w:tcPr>
            <w:tcW w:w="4900" w:type="dxa"/>
            <w:vAlign w:val="bottom"/>
          </w:tcPr>
          <w:p>
            <w:pPr>
              <w:spacing w:after="0"/>
              <w:rPr>
                <w:sz w:val="20"/>
                <w:szCs w:val="20"/>
                <w:color w:val="auto"/>
              </w:rPr>
            </w:pPr>
            <w:r>
              <w:rPr>
                <w:rFonts w:ascii="Arial" w:cs="Arial" w:eastAsia="Arial" w:hAnsi="Arial"/>
                <w:sz w:val="16"/>
                <w:szCs w:val="16"/>
                <w:color w:val="auto"/>
              </w:rPr>
              <w:t>Machine Clothing</w:t>
            </w:r>
          </w:p>
        </w:tc>
        <w:tc>
          <w:tcPr>
            <w:tcW w:w="1120" w:type="dxa"/>
            <w:vAlign w:val="bottom"/>
          </w:tcPr>
          <w:p>
            <w:pPr>
              <w:jc w:val="center"/>
              <w:spacing w:after="0"/>
              <w:rPr>
                <w:sz w:val="20"/>
                <w:szCs w:val="20"/>
                <w:color w:val="auto"/>
              </w:rPr>
            </w:pPr>
            <w:r>
              <w:rPr>
                <w:rFonts w:ascii="Arial" w:cs="Arial" w:eastAsia="Arial" w:hAnsi="Arial"/>
                <w:sz w:val="16"/>
                <w:szCs w:val="16"/>
                <w:color w:val="auto"/>
              </w:rPr>
              <w:t>$1,125</w:t>
            </w:r>
          </w:p>
        </w:tc>
        <w:tc>
          <w:tcPr>
            <w:tcW w:w="1200" w:type="dxa"/>
            <w:vAlign w:val="bottom"/>
          </w:tcPr>
          <w:p>
            <w:pPr>
              <w:jc w:val="right"/>
              <w:ind w:right="282"/>
              <w:spacing w:after="0"/>
              <w:rPr>
                <w:sz w:val="20"/>
                <w:szCs w:val="20"/>
                <w:color w:val="auto"/>
              </w:rPr>
            </w:pPr>
            <w:r>
              <w:rPr>
                <w:rFonts w:ascii="Arial" w:cs="Arial" w:eastAsia="Arial" w:hAnsi="Arial"/>
                <w:sz w:val="16"/>
                <w:szCs w:val="16"/>
                <w:color w:val="auto"/>
              </w:rPr>
              <w:t>$1,081</w:t>
            </w:r>
          </w:p>
        </w:tc>
        <w:tc>
          <w:tcPr>
            <w:tcW w:w="1080" w:type="dxa"/>
            <w:vAlign w:val="bottom"/>
          </w:tcPr>
          <w:p>
            <w:pPr>
              <w:jc w:val="right"/>
              <w:ind w:right="342"/>
              <w:spacing w:after="0"/>
              <w:rPr>
                <w:sz w:val="20"/>
                <w:szCs w:val="20"/>
                <w:color w:val="auto"/>
              </w:rPr>
            </w:pPr>
            <w:r>
              <w:rPr>
                <w:rFonts w:ascii="Arial" w:cs="Arial" w:eastAsia="Arial" w:hAnsi="Arial"/>
                <w:sz w:val="16"/>
                <w:szCs w:val="16"/>
                <w:color w:val="auto"/>
              </w:rPr>
              <w:t>$44</w:t>
            </w:r>
          </w:p>
        </w:tc>
        <w:tc>
          <w:tcPr>
            <w:tcW w:w="1120" w:type="dxa"/>
            <w:vAlign w:val="bottom"/>
          </w:tcPr>
          <w:p>
            <w:pPr>
              <w:jc w:val="right"/>
              <w:ind w:right="322"/>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20"/>
                <w:szCs w:val="20"/>
                <w:color w:val="auto"/>
              </w:rPr>
            </w:pPr>
            <w:r>
              <w:rPr>
                <w:rFonts w:ascii="Arial" w:cs="Arial" w:eastAsia="Arial" w:hAnsi="Arial"/>
                <w:sz w:val="16"/>
                <w:szCs w:val="16"/>
                <w:color w:val="auto"/>
              </w:rPr>
              <w:t>Albany Engineered Composites</w:t>
            </w:r>
          </w:p>
        </w:tc>
        <w:tc>
          <w:tcPr>
            <w:tcW w:w="1120" w:type="dxa"/>
            <w:vAlign w:val="bottom"/>
          </w:tcPr>
          <w:p>
            <w:pPr>
              <w:jc w:val="right"/>
              <w:ind w:right="223"/>
              <w:spacing w:after="0"/>
              <w:rPr>
                <w:sz w:val="20"/>
                <w:szCs w:val="20"/>
                <w:color w:val="auto"/>
              </w:rPr>
            </w:pPr>
            <w:r>
              <w:rPr>
                <w:rFonts w:ascii="Arial" w:cs="Arial" w:eastAsia="Arial" w:hAnsi="Arial"/>
                <w:sz w:val="16"/>
                <w:szCs w:val="16"/>
                <w:color w:val="auto"/>
              </w:rPr>
              <w:t>18</w:t>
            </w:r>
          </w:p>
        </w:tc>
        <w:tc>
          <w:tcPr>
            <w:tcW w:w="1200" w:type="dxa"/>
            <w:vAlign w:val="bottom"/>
          </w:tcPr>
          <w:p>
            <w:pPr>
              <w:jc w:val="right"/>
              <w:ind w:right="282"/>
              <w:spacing w:after="0"/>
              <w:rPr>
                <w:sz w:val="20"/>
                <w:szCs w:val="20"/>
                <w:color w:val="auto"/>
              </w:rPr>
            </w:pPr>
            <w:r>
              <w:rPr>
                <w:rFonts w:ascii="Arial" w:cs="Arial" w:eastAsia="Arial" w:hAnsi="Arial"/>
                <w:sz w:val="16"/>
                <w:szCs w:val="16"/>
                <w:color w:val="auto"/>
              </w:rPr>
              <w:t>18</w:t>
            </w:r>
          </w:p>
        </w:tc>
        <w:tc>
          <w:tcPr>
            <w:tcW w:w="108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Corporate expenses</w:t>
            </w:r>
          </w:p>
        </w:tc>
        <w:tc>
          <w:tcPr>
            <w:tcW w:w="112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(4)</w:t>
            </w:r>
          </w:p>
        </w:tc>
        <w:tc>
          <w:tcPr>
            <w:tcW w:w="12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(4)</w:t>
            </w:r>
          </w:p>
        </w:tc>
        <w:tc>
          <w:tcPr>
            <w:tcW w:w="108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9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$1,139</w:t>
            </w:r>
          </w:p>
        </w:tc>
        <w:tc>
          <w:tcPr>
            <w:tcW w:w="1200" w:type="dxa"/>
            <w:vAlign w:val="bottom"/>
            <w:tcBorders>
              <w:bottom w:val="single" w:sz="8" w:color="auto"/>
            </w:tcBorders>
          </w:tcPr>
          <w:p>
            <w:pPr>
              <w:jc w:val="right"/>
              <w:ind w:right="282"/>
              <w:spacing w:after="0" w:line="183" w:lineRule="exact"/>
              <w:rPr>
                <w:sz w:val="20"/>
                <w:szCs w:val="20"/>
                <w:color w:val="auto"/>
              </w:rPr>
            </w:pPr>
            <w:r>
              <w:rPr>
                <w:rFonts w:ascii="Arial" w:cs="Arial" w:eastAsia="Arial" w:hAnsi="Arial"/>
                <w:sz w:val="16"/>
                <w:szCs w:val="16"/>
                <w:color w:val="auto"/>
              </w:rPr>
              <w:t>$1,095</w:t>
            </w:r>
          </w:p>
        </w:tc>
        <w:tc>
          <w:tcPr>
            <w:tcW w:w="1080" w:type="dxa"/>
            <w:vAlign w:val="bottom"/>
            <w:tcBorders>
              <w:bottom w:val="single" w:sz="8" w:color="auto"/>
            </w:tcBorders>
          </w:tcPr>
          <w:p>
            <w:pPr>
              <w:jc w:val="right"/>
              <w:ind w:right="342"/>
              <w:spacing w:after="0" w:line="183" w:lineRule="exact"/>
              <w:rPr>
                <w:sz w:val="20"/>
                <w:szCs w:val="20"/>
                <w:color w:val="auto"/>
              </w:rPr>
            </w:pPr>
            <w:r>
              <w:rPr>
                <w:rFonts w:ascii="Arial" w:cs="Arial" w:eastAsia="Arial" w:hAnsi="Arial"/>
                <w:sz w:val="16"/>
                <w:szCs w:val="16"/>
                <w:color w:val="auto"/>
              </w:rPr>
              <w:t>$44</w:t>
            </w:r>
          </w:p>
        </w:tc>
        <w:tc>
          <w:tcPr>
            <w:tcW w:w="1120" w:type="dxa"/>
            <w:vAlign w:val="bottom"/>
            <w:tcBorders>
              <w:bottom w:val="single" w:sz="8" w:color="auto"/>
            </w:tcBorders>
          </w:tcPr>
          <w:p>
            <w:pPr>
              <w:jc w:val="right"/>
              <w:ind w:right="322"/>
              <w:spacing w:after="0" w:line="183"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56"/>
        </w:trPr>
        <w:tc>
          <w:tcPr>
            <w:tcW w:w="49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1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5"/>
              </w:rPr>
              <w:t>Total</w:t>
            </w: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Impairment of</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20"/>
                <w:szCs w:val="20"/>
                <w:color w:val="auto"/>
              </w:rPr>
            </w:pPr>
            <w:r>
              <w:rPr>
                <w:rFonts w:ascii="Arial" w:cs="Arial" w:eastAsia="Arial" w:hAnsi="Arial"/>
                <w:sz w:val="14"/>
                <w:szCs w:val="14"/>
                <w:b w:val="1"/>
                <w:bCs w:val="1"/>
                <w:color w:val="auto"/>
              </w:rPr>
              <w:t>Nine months ended September 30, 2018</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restructuring</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Termination and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Impairment of</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intangible</w:t>
            </w:r>
          </w:p>
        </w:tc>
        <w:tc>
          <w:tcPr>
            <w:tcW w:w="0" w:type="dxa"/>
            <w:vAlign w:val="bottom"/>
          </w:tcPr>
          <w:p>
            <w:pPr>
              <w:spacing w:after="0"/>
              <w:rPr>
                <w:sz w:val="1"/>
                <w:szCs w:val="1"/>
                <w:color w:val="auto"/>
              </w:rPr>
            </w:pPr>
          </w:p>
        </w:tc>
      </w:tr>
      <w:tr>
        <w:trPr>
          <w:trHeight w:val="175"/>
        </w:trPr>
        <w:tc>
          <w:tcPr>
            <w:tcW w:w="4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costs incurred</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other costs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assets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84"/>
        </w:trPr>
        <w:tc>
          <w:tcPr>
            <w:tcW w:w="4900" w:type="dxa"/>
            <w:vAlign w:val="bottom"/>
          </w:tcPr>
          <w:p>
            <w:pPr>
              <w:spacing w:after="0"/>
              <w:rPr>
                <w:sz w:val="20"/>
                <w:szCs w:val="20"/>
                <w:color w:val="auto"/>
              </w:rPr>
            </w:pPr>
            <w:r>
              <w:rPr>
                <w:rFonts w:ascii="Arial" w:cs="Arial" w:eastAsia="Arial" w:hAnsi="Arial"/>
                <w:sz w:val="16"/>
                <w:szCs w:val="16"/>
                <w:color w:val="auto"/>
              </w:rPr>
              <w:t>Machine Clothing</w:t>
            </w:r>
          </w:p>
        </w:tc>
        <w:tc>
          <w:tcPr>
            <w:tcW w:w="1120" w:type="dxa"/>
            <w:vAlign w:val="bottom"/>
          </w:tcPr>
          <w:p>
            <w:pPr>
              <w:jc w:val="center"/>
              <w:spacing w:after="0"/>
              <w:rPr>
                <w:sz w:val="20"/>
                <w:szCs w:val="20"/>
                <w:color w:val="auto"/>
              </w:rPr>
            </w:pPr>
            <w:r>
              <w:rPr>
                <w:rFonts w:ascii="Arial" w:cs="Arial" w:eastAsia="Arial" w:hAnsi="Arial"/>
                <w:sz w:val="16"/>
                <w:szCs w:val="16"/>
                <w:color w:val="auto"/>
              </w:rPr>
              <w:t>$10,522</w:t>
            </w:r>
          </w:p>
        </w:tc>
        <w:tc>
          <w:tcPr>
            <w:tcW w:w="1200" w:type="dxa"/>
            <w:vAlign w:val="bottom"/>
          </w:tcPr>
          <w:p>
            <w:pPr>
              <w:jc w:val="right"/>
              <w:ind w:right="242"/>
              <w:spacing w:after="0"/>
              <w:rPr>
                <w:sz w:val="20"/>
                <w:szCs w:val="20"/>
                <w:color w:val="auto"/>
              </w:rPr>
            </w:pPr>
            <w:r>
              <w:rPr>
                <w:rFonts w:ascii="Arial" w:cs="Arial" w:eastAsia="Arial" w:hAnsi="Arial"/>
                <w:sz w:val="16"/>
                <w:szCs w:val="16"/>
                <w:color w:val="auto"/>
              </w:rPr>
              <w:t>$11,128</w:t>
            </w:r>
          </w:p>
        </w:tc>
        <w:tc>
          <w:tcPr>
            <w:tcW w:w="1080" w:type="dxa"/>
            <w:vAlign w:val="bottom"/>
          </w:tcPr>
          <w:p>
            <w:pPr>
              <w:jc w:val="right"/>
              <w:ind w:right="242"/>
              <w:spacing w:after="0"/>
              <w:rPr>
                <w:sz w:val="20"/>
                <w:szCs w:val="20"/>
                <w:color w:val="auto"/>
              </w:rPr>
            </w:pPr>
            <w:r>
              <w:rPr>
                <w:rFonts w:ascii="Arial" w:cs="Arial" w:eastAsia="Arial" w:hAnsi="Arial"/>
                <w:sz w:val="16"/>
                <w:szCs w:val="16"/>
                <w:color w:val="auto"/>
              </w:rPr>
              <w:t>$  144</w:t>
            </w:r>
          </w:p>
        </w:tc>
        <w:tc>
          <w:tcPr>
            <w:tcW w:w="1120" w:type="dxa"/>
            <w:vAlign w:val="bottom"/>
          </w:tcPr>
          <w:p>
            <w:pPr>
              <w:jc w:val="right"/>
              <w:ind w:right="222"/>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20"/>
                <w:szCs w:val="20"/>
                <w:color w:val="auto"/>
              </w:rPr>
            </w:pPr>
            <w:r>
              <w:rPr>
                <w:rFonts w:ascii="Arial" w:cs="Arial" w:eastAsia="Arial" w:hAnsi="Arial"/>
                <w:sz w:val="16"/>
                <w:szCs w:val="16"/>
                <w:color w:val="auto"/>
              </w:rPr>
              <w:t>Albany Engineered Composites</w:t>
            </w:r>
          </w:p>
        </w:tc>
        <w:tc>
          <w:tcPr>
            <w:tcW w:w="1120" w:type="dxa"/>
            <w:vAlign w:val="bottom"/>
          </w:tcPr>
          <w:p>
            <w:pPr>
              <w:jc w:val="right"/>
              <w:ind w:right="183"/>
              <w:spacing w:after="0"/>
              <w:rPr>
                <w:sz w:val="20"/>
                <w:szCs w:val="20"/>
                <w:color w:val="auto"/>
              </w:rPr>
            </w:pPr>
            <w:r>
              <w:rPr>
                <w:rFonts w:ascii="Arial" w:cs="Arial" w:eastAsia="Arial" w:hAnsi="Arial"/>
                <w:sz w:val="16"/>
                <w:szCs w:val="16"/>
                <w:color w:val="auto"/>
              </w:rPr>
              <w:t>2,968</w:t>
            </w:r>
          </w:p>
        </w:tc>
        <w:tc>
          <w:tcPr>
            <w:tcW w:w="1200" w:type="dxa"/>
            <w:vAlign w:val="bottom"/>
          </w:tcPr>
          <w:p>
            <w:pPr>
              <w:jc w:val="right"/>
              <w:ind w:right="242"/>
              <w:spacing w:after="0"/>
              <w:rPr>
                <w:sz w:val="20"/>
                <w:szCs w:val="20"/>
                <w:color w:val="auto"/>
              </w:rPr>
            </w:pPr>
            <w:r>
              <w:rPr>
                <w:rFonts w:ascii="Arial" w:cs="Arial" w:eastAsia="Arial" w:hAnsi="Arial"/>
                <w:sz w:val="16"/>
                <w:szCs w:val="16"/>
                <w:color w:val="auto"/>
              </w:rPr>
              <w:t>1,206</w:t>
            </w:r>
          </w:p>
        </w:tc>
        <w:tc>
          <w:tcPr>
            <w:tcW w:w="1080" w:type="dxa"/>
            <w:vAlign w:val="bottom"/>
          </w:tcPr>
          <w:p>
            <w:pPr>
              <w:jc w:val="right"/>
              <w:ind w:right="242"/>
              <w:spacing w:after="0"/>
              <w:rPr>
                <w:sz w:val="20"/>
                <w:szCs w:val="20"/>
                <w:color w:val="auto"/>
              </w:rPr>
            </w:pPr>
            <w:r>
              <w:rPr>
                <w:rFonts w:ascii="Arial" w:cs="Arial" w:eastAsia="Arial" w:hAnsi="Arial"/>
                <w:sz w:val="16"/>
                <w:szCs w:val="16"/>
                <w:color w:val="auto"/>
              </w:rPr>
              <w:t>1,762</w:t>
            </w:r>
          </w:p>
        </w:tc>
        <w:tc>
          <w:tcPr>
            <w:tcW w:w="112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Corporate expenses</w:t>
            </w:r>
          </w:p>
        </w:tc>
        <w:tc>
          <w:tcPr>
            <w:tcW w:w="112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224</w:t>
            </w:r>
          </w:p>
        </w:tc>
        <w:tc>
          <w:tcPr>
            <w:tcW w:w="120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224</w:t>
            </w:r>
          </w:p>
        </w:tc>
        <w:tc>
          <w:tcPr>
            <w:tcW w:w="10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9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$13,714</w:t>
            </w:r>
          </w:p>
        </w:tc>
        <w:tc>
          <w:tcPr>
            <w:tcW w:w="1200" w:type="dxa"/>
            <w:vAlign w:val="bottom"/>
            <w:tcBorders>
              <w:bottom w:val="single" w:sz="8" w:color="auto"/>
            </w:tcBorders>
          </w:tcPr>
          <w:p>
            <w:pPr>
              <w:jc w:val="right"/>
              <w:ind w:right="242"/>
              <w:spacing w:after="0" w:line="183" w:lineRule="exact"/>
              <w:rPr>
                <w:sz w:val="20"/>
                <w:szCs w:val="20"/>
                <w:color w:val="auto"/>
              </w:rPr>
            </w:pPr>
            <w:r>
              <w:rPr>
                <w:rFonts w:ascii="Arial" w:cs="Arial" w:eastAsia="Arial" w:hAnsi="Arial"/>
                <w:sz w:val="16"/>
                <w:szCs w:val="16"/>
                <w:color w:val="auto"/>
              </w:rPr>
              <w:t>$12,558</w:t>
            </w:r>
          </w:p>
        </w:tc>
        <w:tc>
          <w:tcPr>
            <w:tcW w:w="1080" w:type="dxa"/>
            <w:vAlign w:val="bottom"/>
            <w:tcBorders>
              <w:bottom w:val="single" w:sz="8" w:color="auto"/>
            </w:tcBorders>
          </w:tcPr>
          <w:p>
            <w:pPr>
              <w:jc w:val="right"/>
              <w:ind w:right="242"/>
              <w:spacing w:after="0" w:line="183" w:lineRule="exact"/>
              <w:rPr>
                <w:sz w:val="20"/>
                <w:szCs w:val="20"/>
                <w:color w:val="auto"/>
              </w:rPr>
            </w:pPr>
            <w:r>
              <w:rPr>
                <w:rFonts w:ascii="Arial" w:cs="Arial" w:eastAsia="Arial" w:hAnsi="Arial"/>
                <w:sz w:val="16"/>
                <w:szCs w:val="16"/>
                <w:color w:val="auto"/>
              </w:rPr>
              <w:t>$1,906</w:t>
            </w:r>
          </w:p>
        </w:tc>
        <w:tc>
          <w:tcPr>
            <w:tcW w:w="1120" w:type="dxa"/>
            <w:vAlign w:val="bottom"/>
            <w:tcBorders>
              <w:bottom w:val="single" w:sz="8" w:color="auto"/>
            </w:tcBorders>
          </w:tcPr>
          <w:p>
            <w:pPr>
              <w:jc w:val="right"/>
              <w:ind w:right="222"/>
              <w:spacing w:after="0" w:line="183" w:lineRule="exact"/>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324"/>
        <w:spacing w:after="0"/>
        <w:rPr>
          <w:sz w:val="20"/>
          <w:szCs w:val="20"/>
          <w:color w:val="auto"/>
        </w:rPr>
      </w:pPr>
      <w:r>
        <w:rPr>
          <w:rFonts w:ascii="Arial" w:cs="Arial" w:eastAsia="Arial" w:hAnsi="Arial"/>
          <w:sz w:val="18"/>
          <w:szCs w:val="18"/>
          <w:color w:val="auto"/>
        </w:rPr>
        <w:t>We expect that approximately $0.4 million of Accrued liabilities for restructuring at September 30, 2019 will be paid within one year and approximately $1.7 million will be paid the following year. The table below presents the year-to-date changes in restructuring liabilities for 2019 and 2018, all of which related to termination costs: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Borders>
              <w:top w:val="single" w:sz="8" w:color="auto"/>
            </w:tcBorders>
          </w:tcPr>
          <w:p>
            <w:pPr>
              <w:spacing w:after="0"/>
              <w:rPr>
                <w:sz w:val="14"/>
                <w:szCs w:val="14"/>
                <w:color w:val="auto"/>
              </w:rPr>
            </w:pPr>
          </w:p>
        </w:tc>
        <w:tc>
          <w:tcPr>
            <w:tcW w:w="25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Restructuring</w:t>
            </w:r>
          </w:p>
        </w:tc>
        <w:tc>
          <w:tcPr>
            <w:tcW w:w="11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center"/>
              <w:ind w:left="5"/>
              <w:spacing w:after="0"/>
              <w:rPr>
                <w:sz w:val="20"/>
                <w:szCs w:val="20"/>
                <w:color w:val="auto"/>
              </w:rPr>
            </w:pPr>
            <w:r>
              <w:rPr>
                <w:rFonts w:ascii="Arial" w:cs="Arial" w:eastAsia="Arial" w:hAnsi="Arial"/>
                <w:sz w:val="14"/>
                <w:szCs w:val="14"/>
                <w:b w:val="1"/>
                <w:bCs w:val="1"/>
                <w:color w:val="auto"/>
              </w:rPr>
              <w:t>Currency</w:t>
            </w:r>
          </w:p>
        </w:tc>
        <w:tc>
          <w:tcPr>
            <w:tcW w:w="128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September 30,</w:t>
            </w:r>
          </w:p>
        </w:tc>
      </w:tr>
      <w:tr>
        <w:trPr>
          <w:trHeight w:val="175"/>
        </w:trPr>
        <w:tc>
          <w:tcPr>
            <w:tcW w:w="3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560" w:type="dxa"/>
            <w:vAlign w:val="bottom"/>
            <w:tcBorders>
              <w:bottom w:val="single" w:sz="8" w:color="auto"/>
            </w:tcBorders>
          </w:tcPr>
          <w:p>
            <w:pPr>
              <w:jc w:val="center"/>
              <w:ind w:left="1103"/>
              <w:spacing w:after="0"/>
              <w:rPr>
                <w:sz w:val="20"/>
                <w:szCs w:val="20"/>
                <w:color w:val="auto"/>
              </w:rPr>
            </w:pPr>
            <w:r>
              <w:rPr>
                <w:rFonts w:ascii="Arial" w:cs="Arial" w:eastAsia="Arial" w:hAnsi="Arial"/>
                <w:sz w:val="14"/>
                <w:szCs w:val="14"/>
                <w:b w:val="1"/>
                <w:bCs w:val="1"/>
                <w:color w:val="auto"/>
              </w:rPr>
              <w:t>December 31, 2018</w:t>
            </w:r>
          </w:p>
        </w:tc>
        <w:tc>
          <w:tcPr>
            <w:tcW w:w="140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charges accrued</w:t>
            </w:r>
          </w:p>
        </w:tc>
        <w:tc>
          <w:tcPr>
            <w:tcW w:w="110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Payments</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translation /other</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r>
      <w:tr>
        <w:trPr>
          <w:trHeight w:val="183"/>
        </w:trPr>
        <w:tc>
          <w:tcPr>
            <w:tcW w:w="35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termination and other costs</w:t>
            </w:r>
          </w:p>
        </w:tc>
        <w:tc>
          <w:tcPr>
            <w:tcW w:w="2560" w:type="dxa"/>
            <w:vAlign w:val="bottom"/>
            <w:tcBorders>
              <w:bottom w:val="single" w:sz="8" w:color="auto"/>
            </w:tcBorders>
          </w:tcPr>
          <w:p>
            <w:pPr>
              <w:jc w:val="center"/>
              <w:ind w:left="1103"/>
              <w:spacing w:after="0" w:line="183" w:lineRule="exact"/>
              <w:rPr>
                <w:sz w:val="20"/>
                <w:szCs w:val="20"/>
                <w:color w:val="auto"/>
              </w:rPr>
            </w:pPr>
            <w:r>
              <w:rPr>
                <w:rFonts w:ascii="Arial" w:cs="Arial" w:eastAsia="Arial" w:hAnsi="Arial"/>
                <w:sz w:val="16"/>
                <w:szCs w:val="16"/>
                <w:color w:val="auto"/>
              </w:rPr>
              <w:t>$5,570</w:t>
            </w:r>
          </w:p>
        </w:tc>
        <w:tc>
          <w:tcPr>
            <w:tcW w:w="1400" w:type="dxa"/>
            <w:vAlign w:val="bottom"/>
            <w:tcBorders>
              <w:bottom w:val="single" w:sz="8" w:color="auto"/>
            </w:tcBorders>
          </w:tcPr>
          <w:p>
            <w:pPr>
              <w:jc w:val="right"/>
              <w:ind w:right="445"/>
              <w:spacing w:after="0" w:line="183" w:lineRule="exact"/>
              <w:rPr>
                <w:sz w:val="20"/>
                <w:szCs w:val="20"/>
                <w:color w:val="auto"/>
              </w:rPr>
            </w:pPr>
            <w:r>
              <w:rPr>
                <w:rFonts w:ascii="Arial" w:cs="Arial" w:eastAsia="Arial" w:hAnsi="Arial"/>
                <w:sz w:val="16"/>
                <w:szCs w:val="16"/>
                <w:color w:val="auto"/>
              </w:rPr>
              <w:t>$1,095</w:t>
            </w:r>
          </w:p>
        </w:tc>
        <w:tc>
          <w:tcPr>
            <w:tcW w:w="1100" w:type="dxa"/>
            <w:vAlign w:val="bottom"/>
            <w:tcBorders>
              <w:bottom w:val="single" w:sz="8" w:color="auto"/>
            </w:tcBorders>
          </w:tcPr>
          <w:p>
            <w:pPr>
              <w:jc w:val="right"/>
              <w:ind w:right="143"/>
              <w:spacing w:after="0" w:line="183" w:lineRule="exact"/>
              <w:rPr>
                <w:sz w:val="20"/>
                <w:szCs w:val="20"/>
                <w:color w:val="auto"/>
              </w:rPr>
            </w:pPr>
            <w:r>
              <w:rPr>
                <w:rFonts w:ascii="Arial" w:cs="Arial" w:eastAsia="Arial" w:hAnsi="Arial"/>
                <w:sz w:val="16"/>
                <w:szCs w:val="16"/>
                <w:color w:val="auto"/>
              </w:rPr>
              <w:t>$(4,195)</w:t>
            </w:r>
          </w:p>
        </w:tc>
        <w:tc>
          <w:tcPr>
            <w:tcW w:w="1520" w:type="dxa"/>
            <w:vAlign w:val="bottom"/>
            <w:tcBorders>
              <w:bottom w:val="single" w:sz="8" w:color="auto"/>
            </w:tcBorders>
          </w:tcPr>
          <w:p>
            <w:pPr>
              <w:jc w:val="right"/>
              <w:ind w:right="385"/>
              <w:spacing w:after="0" w:line="183" w:lineRule="exact"/>
              <w:rPr>
                <w:sz w:val="20"/>
                <w:szCs w:val="20"/>
                <w:color w:val="auto"/>
              </w:rPr>
            </w:pPr>
            <w:r>
              <w:rPr>
                <w:rFonts w:ascii="Arial" w:cs="Arial" w:eastAsia="Arial" w:hAnsi="Arial"/>
                <w:sz w:val="16"/>
                <w:szCs w:val="16"/>
                <w:color w:val="auto"/>
              </w:rPr>
              <w:t>$(360)</w:t>
            </w:r>
          </w:p>
        </w:tc>
        <w:tc>
          <w:tcPr>
            <w:tcW w:w="12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$2,110</w:t>
            </w:r>
          </w:p>
        </w:tc>
      </w:tr>
      <w:tr>
        <w:trPr>
          <w:trHeight w:val="156"/>
        </w:trPr>
        <w:tc>
          <w:tcPr>
            <w:tcW w:w="356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42"/>
        </w:trPr>
        <w:tc>
          <w:tcPr>
            <w:tcW w:w="35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0" w:type="dxa"/>
            <w:vAlign w:val="bottom"/>
          </w:tcPr>
          <w:p>
            <w:pPr>
              <w:jc w:val="center"/>
              <w:ind w:right="65"/>
              <w:spacing w:after="0" w:line="143" w:lineRule="exact"/>
              <w:rPr>
                <w:sz w:val="20"/>
                <w:szCs w:val="20"/>
                <w:color w:val="auto"/>
              </w:rPr>
            </w:pPr>
            <w:r>
              <w:rPr>
                <w:rFonts w:ascii="Arial" w:cs="Arial" w:eastAsia="Arial" w:hAnsi="Arial"/>
                <w:sz w:val="14"/>
                <w:szCs w:val="14"/>
                <w:b w:val="1"/>
                <w:bCs w:val="1"/>
                <w:color w:val="auto"/>
              </w:rPr>
              <w:t>Restructuring</w:t>
            </w:r>
          </w:p>
        </w:tc>
        <w:tc>
          <w:tcPr>
            <w:tcW w:w="1100" w:type="dxa"/>
            <w:vAlign w:val="bottom"/>
          </w:tcPr>
          <w:p>
            <w:pPr>
              <w:spacing w:after="0"/>
              <w:rPr>
                <w:sz w:val="12"/>
                <w:szCs w:val="12"/>
                <w:color w:val="auto"/>
              </w:rPr>
            </w:pPr>
          </w:p>
        </w:tc>
        <w:tc>
          <w:tcPr>
            <w:tcW w:w="1520" w:type="dxa"/>
            <w:vAlign w:val="bottom"/>
          </w:tcPr>
          <w:p>
            <w:pPr>
              <w:jc w:val="center"/>
              <w:ind w:left="5"/>
              <w:spacing w:after="0" w:line="143" w:lineRule="exact"/>
              <w:rPr>
                <w:sz w:val="20"/>
                <w:szCs w:val="20"/>
                <w:color w:val="auto"/>
              </w:rPr>
            </w:pPr>
            <w:r>
              <w:rPr>
                <w:rFonts w:ascii="Arial" w:cs="Arial" w:eastAsia="Arial" w:hAnsi="Arial"/>
                <w:sz w:val="14"/>
                <w:szCs w:val="14"/>
                <w:b w:val="1"/>
                <w:bCs w:val="1"/>
                <w:color w:val="auto"/>
              </w:rPr>
              <w:t>Currency</w:t>
            </w:r>
          </w:p>
        </w:tc>
        <w:tc>
          <w:tcPr>
            <w:tcW w:w="1280" w:type="dxa"/>
            <w:vAlign w:val="bottom"/>
          </w:tcPr>
          <w:p>
            <w:pPr>
              <w:ind w:left="120"/>
              <w:spacing w:after="0" w:line="143"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3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560" w:type="dxa"/>
            <w:vAlign w:val="bottom"/>
            <w:tcBorders>
              <w:bottom w:val="single" w:sz="8" w:color="auto"/>
            </w:tcBorders>
          </w:tcPr>
          <w:p>
            <w:pPr>
              <w:jc w:val="center"/>
              <w:ind w:left="1103"/>
              <w:spacing w:after="0"/>
              <w:rPr>
                <w:sz w:val="20"/>
                <w:szCs w:val="20"/>
                <w:color w:val="auto"/>
              </w:rPr>
            </w:pPr>
            <w:r>
              <w:rPr>
                <w:rFonts w:ascii="Arial" w:cs="Arial" w:eastAsia="Arial" w:hAnsi="Arial"/>
                <w:sz w:val="14"/>
                <w:szCs w:val="14"/>
                <w:b w:val="1"/>
                <w:bCs w:val="1"/>
                <w:color w:val="auto"/>
              </w:rPr>
              <w:t>December 31, 2017</w:t>
            </w:r>
          </w:p>
        </w:tc>
        <w:tc>
          <w:tcPr>
            <w:tcW w:w="140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charges accrued</w:t>
            </w:r>
          </w:p>
        </w:tc>
        <w:tc>
          <w:tcPr>
            <w:tcW w:w="110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Payments</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translation/ other</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r>
      <w:tr>
        <w:trPr>
          <w:trHeight w:val="183"/>
        </w:trPr>
        <w:tc>
          <w:tcPr>
            <w:tcW w:w="35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termination and other costs</w:t>
            </w:r>
          </w:p>
        </w:tc>
        <w:tc>
          <w:tcPr>
            <w:tcW w:w="2560" w:type="dxa"/>
            <w:vAlign w:val="bottom"/>
            <w:tcBorders>
              <w:bottom w:val="single" w:sz="8" w:color="auto"/>
            </w:tcBorders>
          </w:tcPr>
          <w:p>
            <w:pPr>
              <w:jc w:val="center"/>
              <w:ind w:left="1103"/>
              <w:spacing w:after="0" w:line="183" w:lineRule="exact"/>
              <w:rPr>
                <w:sz w:val="20"/>
                <w:szCs w:val="20"/>
                <w:color w:val="auto"/>
              </w:rPr>
            </w:pPr>
            <w:r>
              <w:rPr>
                <w:rFonts w:ascii="Arial" w:cs="Arial" w:eastAsia="Arial" w:hAnsi="Arial"/>
                <w:sz w:val="16"/>
                <w:szCs w:val="16"/>
                <w:color w:val="auto"/>
              </w:rPr>
              <w:t>$3,326</w:t>
            </w:r>
          </w:p>
        </w:tc>
        <w:tc>
          <w:tcPr>
            <w:tcW w:w="1400" w:type="dxa"/>
            <w:vAlign w:val="bottom"/>
            <w:tcBorders>
              <w:bottom w:val="single" w:sz="8" w:color="auto"/>
            </w:tcBorders>
          </w:tcPr>
          <w:p>
            <w:pPr>
              <w:jc w:val="right"/>
              <w:ind w:right="405"/>
              <w:spacing w:after="0" w:line="183" w:lineRule="exact"/>
              <w:rPr>
                <w:sz w:val="20"/>
                <w:szCs w:val="20"/>
                <w:color w:val="auto"/>
              </w:rPr>
            </w:pPr>
            <w:r>
              <w:rPr>
                <w:rFonts w:ascii="Arial" w:cs="Arial" w:eastAsia="Arial" w:hAnsi="Arial"/>
                <w:sz w:val="16"/>
                <w:szCs w:val="16"/>
                <w:color w:val="auto"/>
              </w:rPr>
              <w:t>$12,558</w:t>
            </w:r>
          </w:p>
        </w:tc>
        <w:tc>
          <w:tcPr>
            <w:tcW w:w="1100" w:type="dxa"/>
            <w:vAlign w:val="bottom"/>
            <w:tcBorders>
              <w:bottom w:val="single" w:sz="8" w:color="auto"/>
            </w:tcBorders>
          </w:tcPr>
          <w:p>
            <w:pPr>
              <w:jc w:val="right"/>
              <w:ind w:right="143"/>
              <w:spacing w:after="0" w:line="183" w:lineRule="exact"/>
              <w:rPr>
                <w:sz w:val="20"/>
                <w:szCs w:val="20"/>
                <w:color w:val="auto"/>
              </w:rPr>
            </w:pPr>
            <w:r>
              <w:rPr>
                <w:rFonts w:ascii="Arial" w:cs="Arial" w:eastAsia="Arial" w:hAnsi="Arial"/>
                <w:sz w:val="16"/>
                <w:szCs w:val="16"/>
                <w:color w:val="auto"/>
              </w:rPr>
              <w:t>$(9,153)</w:t>
            </w:r>
          </w:p>
        </w:tc>
        <w:tc>
          <w:tcPr>
            <w:tcW w:w="1520" w:type="dxa"/>
            <w:vAlign w:val="bottom"/>
            <w:tcBorders>
              <w:bottom w:val="single" w:sz="8" w:color="auto"/>
            </w:tcBorders>
          </w:tcPr>
          <w:p>
            <w:pPr>
              <w:jc w:val="right"/>
              <w:ind w:right="385"/>
              <w:spacing w:after="0" w:line="183" w:lineRule="exact"/>
              <w:rPr>
                <w:sz w:val="20"/>
                <w:szCs w:val="20"/>
                <w:color w:val="auto"/>
              </w:rPr>
            </w:pPr>
            <w:r>
              <w:rPr>
                <w:rFonts w:ascii="Arial" w:cs="Arial" w:eastAsia="Arial" w:hAnsi="Arial"/>
                <w:sz w:val="16"/>
                <w:szCs w:val="16"/>
                <w:color w:val="auto"/>
              </w:rPr>
              <w:t>$(379)</w:t>
            </w:r>
          </w:p>
        </w:tc>
        <w:tc>
          <w:tcPr>
            <w:tcW w:w="12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$6,352</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Other (Income)/Expense, net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Other (Income)/Expense, net are:</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566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Three months ended</w:t>
            </w:r>
          </w:p>
        </w:tc>
        <w:tc>
          <w:tcPr>
            <w:tcW w:w="186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18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566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auto"/>
            </w:tcBorders>
          </w:tcPr>
          <w:p>
            <w:pPr>
              <w:jc w:val="right"/>
              <w:ind w:right="240"/>
              <w:spacing w:after="0" w:line="155" w:lineRule="exact"/>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4"/>
        </w:trPr>
        <w:tc>
          <w:tcPr>
            <w:tcW w:w="5660" w:type="dxa"/>
            <w:vAlign w:val="bottom"/>
          </w:tcPr>
          <w:p>
            <w:pPr>
              <w:spacing w:after="0" w:line="165" w:lineRule="exact"/>
              <w:rPr>
                <w:sz w:val="20"/>
                <w:szCs w:val="20"/>
                <w:color w:val="auto"/>
              </w:rPr>
            </w:pPr>
            <w:r>
              <w:rPr>
                <w:rFonts w:ascii="Arial" w:cs="Arial" w:eastAsia="Arial" w:hAnsi="Arial"/>
                <w:sz w:val="16"/>
                <w:szCs w:val="16"/>
                <w:color w:val="auto"/>
              </w:rPr>
              <w:t>Currency transaction (gains)/losses</w:t>
            </w:r>
          </w:p>
        </w:tc>
        <w:tc>
          <w:tcPr>
            <w:tcW w:w="9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$(2,028)</w:t>
            </w:r>
          </w:p>
        </w:tc>
        <w:tc>
          <w:tcPr>
            <w:tcW w:w="960" w:type="dxa"/>
            <w:vAlign w:val="bottom"/>
          </w:tcPr>
          <w:p>
            <w:pPr>
              <w:jc w:val="right"/>
              <w:ind w:right="60"/>
              <w:spacing w:after="0" w:line="165" w:lineRule="exact"/>
              <w:rPr>
                <w:sz w:val="20"/>
                <w:szCs w:val="20"/>
                <w:color w:val="auto"/>
              </w:rPr>
            </w:pPr>
            <w:r>
              <w:rPr>
                <w:rFonts w:ascii="Arial" w:cs="Arial" w:eastAsia="Arial" w:hAnsi="Arial"/>
                <w:sz w:val="16"/>
                <w:szCs w:val="16"/>
                <w:color w:val="auto"/>
              </w:rPr>
              <w:t>$ (3,611)</w:t>
            </w:r>
          </w:p>
        </w:tc>
        <w:tc>
          <w:tcPr>
            <w:tcW w:w="9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$(3,724)</w:t>
            </w:r>
          </w:p>
        </w:tc>
        <w:tc>
          <w:tcPr>
            <w:tcW w:w="280" w:type="dxa"/>
            <w:vAlign w:val="bottom"/>
          </w:tcPr>
          <w:p>
            <w:pPr>
              <w:jc w:val="right"/>
              <w:spacing w:after="0" w:line="165" w:lineRule="exact"/>
              <w:rPr>
                <w:sz w:val="20"/>
                <w:szCs w:val="20"/>
                <w:color w:val="auto"/>
              </w:rPr>
            </w:pPr>
            <w:r>
              <w:rPr>
                <w:rFonts w:ascii="Arial" w:cs="Arial" w:eastAsia="Arial" w:hAnsi="Arial"/>
                <w:sz w:val="16"/>
                <w:szCs w:val="16"/>
                <w:color w:val="auto"/>
              </w:rPr>
              <w:t>$</w:t>
            </w:r>
          </w:p>
        </w:tc>
        <w:tc>
          <w:tcPr>
            <w:tcW w:w="640" w:type="dxa"/>
            <w:vAlign w:val="bottom"/>
          </w:tcPr>
          <w:p>
            <w:pPr>
              <w:jc w:val="right"/>
              <w:ind w:right="60"/>
              <w:spacing w:after="0" w:line="165" w:lineRule="exact"/>
              <w:rPr>
                <w:sz w:val="20"/>
                <w:szCs w:val="20"/>
                <w:color w:val="auto"/>
              </w:rPr>
            </w:pPr>
            <w:r>
              <w:rPr>
                <w:rFonts w:ascii="Arial" w:cs="Arial" w:eastAsia="Arial" w:hAnsi="Arial"/>
                <w:sz w:val="16"/>
                <w:szCs w:val="16"/>
                <w:color w:val="auto"/>
                <w:w w:val="94"/>
              </w:rPr>
              <w:t>(2,930)</w:t>
            </w:r>
          </w:p>
        </w:tc>
        <w:tc>
          <w:tcPr>
            <w:tcW w:w="0" w:type="dxa"/>
            <w:vAlign w:val="bottom"/>
          </w:tcPr>
          <w:p>
            <w:pPr>
              <w:spacing w:after="0"/>
              <w:rPr>
                <w:sz w:val="1"/>
                <w:szCs w:val="1"/>
                <w:color w:val="auto"/>
              </w:rPr>
            </w:pPr>
          </w:p>
        </w:tc>
      </w:tr>
      <w:tr>
        <w:trPr>
          <w:trHeight w:val="209"/>
        </w:trPr>
        <w:tc>
          <w:tcPr>
            <w:tcW w:w="5660" w:type="dxa"/>
            <w:vAlign w:val="bottom"/>
          </w:tcPr>
          <w:p>
            <w:pPr>
              <w:spacing w:after="0"/>
              <w:rPr>
                <w:sz w:val="20"/>
                <w:szCs w:val="20"/>
                <w:color w:val="auto"/>
              </w:rPr>
            </w:pPr>
            <w:r>
              <w:rPr>
                <w:rFonts w:ascii="Arial" w:cs="Arial" w:eastAsia="Arial" w:hAnsi="Arial"/>
                <w:sz w:val="16"/>
                <w:szCs w:val="16"/>
                <w:color w:val="auto"/>
              </w:rPr>
              <w:t>Bank fees and amortization of debt issuance costs</w:t>
            </w: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81</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100</w:t>
            </w:r>
          </w:p>
        </w:tc>
        <w:tc>
          <w:tcPr>
            <w:tcW w:w="940" w:type="dxa"/>
            <w:vAlign w:val="bottom"/>
          </w:tcPr>
          <w:p>
            <w:pPr>
              <w:jc w:val="right"/>
              <w:ind w:right="122"/>
              <w:spacing w:after="0"/>
              <w:rPr>
                <w:sz w:val="20"/>
                <w:szCs w:val="20"/>
                <w:color w:val="auto"/>
              </w:rPr>
            </w:pPr>
            <w:r>
              <w:rPr>
                <w:rFonts w:ascii="Arial" w:cs="Arial" w:eastAsia="Arial" w:hAnsi="Arial"/>
                <w:sz w:val="16"/>
                <w:szCs w:val="16"/>
                <w:b w:val="1"/>
                <w:bCs w:val="1"/>
                <w:color w:val="auto"/>
              </w:rPr>
              <w:t>262</w:t>
            </w:r>
          </w:p>
        </w:tc>
        <w:tc>
          <w:tcPr>
            <w:tcW w:w="280" w:type="dxa"/>
            <w:vAlign w:val="bottom"/>
          </w:tcPr>
          <w:p>
            <w:pPr>
              <w:spacing w:after="0"/>
              <w:rPr>
                <w:sz w:val="18"/>
                <w:szCs w:val="18"/>
                <w:color w:val="auto"/>
              </w:rPr>
            </w:pPr>
          </w:p>
        </w:tc>
        <w:tc>
          <w:tcPr>
            <w:tcW w:w="640" w:type="dxa"/>
            <w:vAlign w:val="bottom"/>
          </w:tcPr>
          <w:p>
            <w:pPr>
              <w:jc w:val="right"/>
              <w:ind w:right="120"/>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Pension curtailment gain</w:t>
            </w: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(232)</w:t>
            </w: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Components of net periodic pension and postretirement cost other than</w:t>
            </w:r>
          </w:p>
        </w:tc>
        <w:tc>
          <w:tcPr>
            <w:tcW w:w="94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278</w:t>
            </w:r>
          </w:p>
        </w:tc>
        <w:tc>
          <w:tcPr>
            <w:tcW w:w="960" w:type="dxa"/>
            <w:vAlign w:val="bottom"/>
          </w:tcPr>
          <w:p>
            <w:pPr>
              <w:spacing w:after="0"/>
              <w:rPr>
                <w:sz w:val="16"/>
                <w:szCs w:val="16"/>
                <w:color w:val="auto"/>
              </w:rPr>
            </w:pPr>
          </w:p>
        </w:tc>
        <w:tc>
          <w:tcPr>
            <w:tcW w:w="94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840</w:t>
            </w: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60" w:type="dxa"/>
            <w:vAlign w:val="bottom"/>
          </w:tcPr>
          <w:p>
            <w:pPr>
              <w:ind w:left="120"/>
              <w:spacing w:after="0" w:line="169" w:lineRule="exact"/>
              <w:rPr>
                <w:sz w:val="20"/>
                <w:szCs w:val="20"/>
                <w:color w:val="auto"/>
              </w:rPr>
            </w:pPr>
            <w:r>
              <w:rPr>
                <w:rFonts w:ascii="Arial" w:cs="Arial" w:eastAsia="Arial" w:hAnsi="Arial"/>
                <w:sz w:val="16"/>
                <w:szCs w:val="16"/>
                <w:color w:val="auto"/>
              </w:rPr>
              <w:t>service</w:t>
            </w:r>
          </w:p>
        </w:tc>
        <w:tc>
          <w:tcPr>
            <w:tcW w:w="940" w:type="dxa"/>
            <w:vAlign w:val="bottom"/>
            <w:vMerge w:val="continue"/>
          </w:tcPr>
          <w:p>
            <w:pPr>
              <w:spacing w:after="0"/>
              <w:rPr>
                <w:sz w:val="14"/>
                <w:szCs w:val="14"/>
                <w:color w:val="auto"/>
              </w:rPr>
            </w:pPr>
          </w:p>
        </w:tc>
        <w:tc>
          <w:tcPr>
            <w:tcW w:w="960" w:type="dxa"/>
            <w:vAlign w:val="bottom"/>
          </w:tcPr>
          <w:p>
            <w:pPr>
              <w:jc w:val="right"/>
              <w:ind w:right="120"/>
              <w:spacing w:after="0" w:line="169" w:lineRule="exact"/>
              <w:rPr>
                <w:sz w:val="20"/>
                <w:szCs w:val="20"/>
                <w:color w:val="auto"/>
              </w:rPr>
            </w:pPr>
            <w:r>
              <w:rPr>
                <w:rFonts w:ascii="Arial" w:cs="Arial" w:eastAsia="Arial" w:hAnsi="Arial"/>
                <w:sz w:val="16"/>
                <w:szCs w:val="16"/>
                <w:color w:val="auto"/>
              </w:rPr>
              <w:t>264</w:t>
            </w:r>
          </w:p>
        </w:tc>
        <w:tc>
          <w:tcPr>
            <w:tcW w:w="9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120"/>
              <w:spacing w:after="0" w:line="169" w:lineRule="exact"/>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07"/>
        </w:trPr>
        <w:tc>
          <w:tcPr>
            <w:tcW w:w="5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41</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328</w:t>
            </w:r>
          </w:p>
        </w:tc>
        <w:tc>
          <w:tcPr>
            <w:tcW w:w="9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716</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1,615</w:t>
            </w:r>
          </w:p>
        </w:tc>
        <w:tc>
          <w:tcPr>
            <w:tcW w:w="0" w:type="dxa"/>
            <w:vAlign w:val="bottom"/>
          </w:tcPr>
          <w:p>
            <w:pPr>
              <w:spacing w:after="0"/>
              <w:rPr>
                <w:sz w:val="1"/>
                <w:szCs w:val="1"/>
                <w:color w:val="auto"/>
              </w:rPr>
            </w:pPr>
          </w:p>
        </w:tc>
      </w:tr>
      <w:tr>
        <w:trPr>
          <w:trHeight w:val="183"/>
        </w:trPr>
        <w:tc>
          <w:tcPr>
            <w:tcW w:w="56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$(1,628)</w:t>
            </w:r>
          </w:p>
        </w:tc>
        <w:tc>
          <w:tcPr>
            <w:tcW w:w="96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$(3,151)</w:t>
            </w:r>
          </w:p>
        </w:tc>
        <w:tc>
          <w:tcPr>
            <w:tcW w:w="9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$(1,906)</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120"/>
              <w:spacing w:after="0" w:line="183" w:lineRule="exact"/>
              <w:rPr>
                <w:sz w:val="20"/>
                <w:szCs w:val="20"/>
                <w:color w:val="auto"/>
              </w:rPr>
            </w:pPr>
            <w:r>
              <w:rPr>
                <w:rFonts w:ascii="Arial" w:cs="Arial" w:eastAsia="Arial" w:hAnsi="Arial"/>
                <w:sz w:val="16"/>
                <w:szCs w:val="16"/>
                <w:color w:val="auto"/>
              </w:rPr>
              <w:t>973</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components of income tax expense for the three and nine months ended September 30, 2019 and 2018:</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Borders>
              <w:top w:val="single" w:sz="8" w:color="auto"/>
            </w:tcBorders>
          </w:tcPr>
          <w:p>
            <w:pPr>
              <w:spacing w:after="0"/>
              <w:rPr>
                <w:sz w:val="14"/>
                <w:szCs w:val="14"/>
                <w:color w:val="auto"/>
              </w:rPr>
            </w:pPr>
          </w:p>
        </w:tc>
        <w:tc>
          <w:tcPr>
            <w:tcW w:w="218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21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70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21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21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7080" w:type="dxa"/>
            <w:vAlign w:val="bottom"/>
            <w:tcBorders>
              <w:bottom w:val="single" w:sz="8" w:color="auto"/>
            </w:tcBorders>
            <w:vMerge w:val="continue"/>
          </w:tcPr>
          <w:p>
            <w:pPr>
              <w:spacing w:after="0"/>
              <w:rPr>
                <w:sz w:val="13"/>
                <w:szCs w:val="13"/>
                <w:color w:val="auto"/>
              </w:rPr>
            </w:pPr>
          </w:p>
        </w:tc>
        <w:tc>
          <w:tcPr>
            <w:tcW w:w="1120" w:type="dxa"/>
            <w:vAlign w:val="bottom"/>
            <w:tcBorders>
              <w:bottom w:val="single" w:sz="8" w:color="auto"/>
            </w:tcBorders>
          </w:tcPr>
          <w:p>
            <w:pPr>
              <w:jc w:val="right"/>
              <w:ind w:right="341"/>
              <w:spacing w:after="0" w:line="155" w:lineRule="exact"/>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auto"/>
            </w:tcBorders>
          </w:tcPr>
          <w:p>
            <w:pPr>
              <w:jc w:val="right"/>
              <w:ind w:right="341"/>
              <w:spacing w:after="0" w:line="155" w:lineRule="exact"/>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4"/>
        </w:trPr>
        <w:tc>
          <w:tcPr>
            <w:tcW w:w="7080" w:type="dxa"/>
            <w:vAlign w:val="bottom"/>
          </w:tcPr>
          <w:p>
            <w:pPr>
              <w:spacing w:after="0"/>
              <w:rPr>
                <w:sz w:val="20"/>
                <w:szCs w:val="20"/>
                <w:color w:val="auto"/>
              </w:rPr>
            </w:pPr>
            <w:r>
              <w:rPr>
                <w:rFonts w:ascii="Arial" w:cs="Arial" w:eastAsia="Arial" w:hAnsi="Arial"/>
                <w:sz w:val="16"/>
                <w:szCs w:val="16"/>
                <w:color w:val="auto"/>
              </w:rPr>
              <w:t>Income tax based on income from continuing operations, at estimated tax rates of 27.5% and</w:t>
            </w:r>
          </w:p>
        </w:tc>
        <w:tc>
          <w:tcPr>
            <w:tcW w:w="1120" w:type="dxa"/>
            <w:vAlign w:val="bottom"/>
            <w:vMerge w:val="restart"/>
          </w:tcPr>
          <w:p>
            <w:pPr>
              <w:jc w:val="right"/>
              <w:ind w:right="201"/>
              <w:spacing w:after="0"/>
              <w:rPr>
                <w:sz w:val="20"/>
                <w:szCs w:val="20"/>
                <w:color w:val="auto"/>
              </w:rPr>
            </w:pPr>
            <w:r>
              <w:rPr>
                <w:rFonts w:ascii="Arial" w:cs="Arial" w:eastAsia="Arial" w:hAnsi="Arial"/>
                <w:sz w:val="16"/>
                <w:szCs w:val="16"/>
                <w:b w:val="1"/>
                <w:bCs w:val="1"/>
                <w:color w:val="auto"/>
              </w:rPr>
              <w:t>$14,662</w:t>
            </w:r>
          </w:p>
        </w:tc>
        <w:tc>
          <w:tcPr>
            <w:tcW w:w="1060" w:type="dxa"/>
            <w:vAlign w:val="bottom"/>
          </w:tcPr>
          <w:p>
            <w:pPr>
              <w:spacing w:after="0"/>
              <w:rPr>
                <w:sz w:val="16"/>
                <w:szCs w:val="16"/>
                <w:color w:val="auto"/>
              </w:rPr>
            </w:pPr>
          </w:p>
        </w:tc>
        <w:tc>
          <w:tcPr>
            <w:tcW w:w="1100" w:type="dxa"/>
            <w:vAlign w:val="bottom"/>
            <w:vMerge w:val="restart"/>
          </w:tcPr>
          <w:p>
            <w:pPr>
              <w:jc w:val="right"/>
              <w:ind w:right="201"/>
              <w:spacing w:after="0"/>
              <w:rPr>
                <w:sz w:val="20"/>
                <w:szCs w:val="20"/>
                <w:color w:val="auto"/>
              </w:rPr>
            </w:pPr>
            <w:r>
              <w:rPr>
                <w:rFonts w:ascii="Arial" w:cs="Arial" w:eastAsia="Arial" w:hAnsi="Arial"/>
                <w:sz w:val="16"/>
                <w:szCs w:val="16"/>
                <w:b w:val="1"/>
                <w:bCs w:val="1"/>
                <w:color w:val="auto"/>
              </w:rPr>
              <w:t>$38,256</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080" w:type="dxa"/>
            <w:vAlign w:val="bottom"/>
          </w:tcPr>
          <w:p>
            <w:pPr>
              <w:ind w:left="120"/>
              <w:spacing w:after="0" w:line="169" w:lineRule="exact"/>
              <w:rPr>
                <w:sz w:val="20"/>
                <w:szCs w:val="20"/>
                <w:color w:val="auto"/>
              </w:rPr>
            </w:pPr>
            <w:r>
              <w:rPr>
                <w:rFonts w:ascii="Arial" w:cs="Arial" w:eastAsia="Arial" w:hAnsi="Arial"/>
                <w:sz w:val="16"/>
                <w:szCs w:val="16"/>
                <w:color w:val="auto"/>
              </w:rPr>
              <w:t>29.7%, respectively</w:t>
            </w:r>
          </w:p>
        </w:tc>
        <w:tc>
          <w:tcPr>
            <w:tcW w:w="1120" w:type="dxa"/>
            <w:vAlign w:val="bottom"/>
            <w:vMerge w:val="continue"/>
          </w:tcPr>
          <w:p>
            <w:pPr>
              <w:spacing w:after="0"/>
              <w:rPr>
                <w:sz w:val="14"/>
                <w:szCs w:val="14"/>
                <w:color w:val="auto"/>
              </w:rPr>
            </w:pPr>
          </w:p>
        </w:tc>
        <w:tc>
          <w:tcPr>
            <w:tcW w:w="1060" w:type="dxa"/>
            <w:vAlign w:val="bottom"/>
          </w:tcPr>
          <w:p>
            <w:pPr>
              <w:jc w:val="right"/>
              <w:ind w:right="180"/>
              <w:spacing w:after="0" w:line="169" w:lineRule="exact"/>
              <w:rPr>
                <w:sz w:val="20"/>
                <w:szCs w:val="20"/>
                <w:color w:val="auto"/>
              </w:rPr>
            </w:pPr>
            <w:r>
              <w:rPr>
                <w:rFonts w:ascii="Arial" w:cs="Arial" w:eastAsia="Arial" w:hAnsi="Arial"/>
                <w:sz w:val="16"/>
                <w:szCs w:val="16"/>
                <w:color w:val="auto"/>
              </w:rPr>
              <w:t>$11,691</w:t>
            </w:r>
          </w:p>
        </w:tc>
        <w:tc>
          <w:tcPr>
            <w:tcW w:w="1100" w:type="dxa"/>
            <w:vAlign w:val="bottom"/>
            <w:vMerge w:val="continue"/>
          </w:tcPr>
          <w:p>
            <w:pPr>
              <w:spacing w:after="0"/>
              <w:rPr>
                <w:sz w:val="14"/>
                <w:szCs w:val="14"/>
                <w:color w:val="auto"/>
              </w:rPr>
            </w:pPr>
          </w:p>
        </w:tc>
        <w:tc>
          <w:tcPr>
            <w:tcW w:w="1060" w:type="dxa"/>
            <w:vAlign w:val="bottom"/>
          </w:tcPr>
          <w:p>
            <w:pPr>
              <w:jc w:val="right"/>
              <w:ind w:right="180"/>
              <w:spacing w:after="0" w:line="169" w:lineRule="exact"/>
              <w:rPr>
                <w:sz w:val="20"/>
                <w:szCs w:val="20"/>
                <w:color w:val="auto"/>
              </w:rPr>
            </w:pPr>
            <w:r>
              <w:rPr>
                <w:rFonts w:ascii="Arial" w:cs="Arial" w:eastAsia="Arial" w:hAnsi="Arial"/>
                <w:sz w:val="16"/>
                <w:szCs w:val="16"/>
                <w:color w:val="auto"/>
              </w:rPr>
              <w:t>$25,970</w:t>
            </w:r>
          </w:p>
        </w:tc>
        <w:tc>
          <w:tcPr>
            <w:tcW w:w="0" w:type="dxa"/>
            <w:vAlign w:val="bottom"/>
          </w:tcPr>
          <w:p>
            <w:pPr>
              <w:spacing w:after="0"/>
              <w:rPr>
                <w:sz w:val="1"/>
                <w:szCs w:val="1"/>
                <w:color w:val="auto"/>
              </w:rPr>
            </w:pPr>
          </w:p>
        </w:tc>
      </w:tr>
      <w:tr>
        <w:trPr>
          <w:trHeight w:val="189"/>
        </w:trPr>
        <w:tc>
          <w:tcPr>
            <w:tcW w:w="7080" w:type="dxa"/>
            <w:vAlign w:val="bottom"/>
          </w:tcPr>
          <w:p>
            <w:pPr>
              <w:spacing w:after="0"/>
              <w:rPr>
                <w:sz w:val="20"/>
                <w:szCs w:val="20"/>
                <w:color w:val="auto"/>
              </w:rPr>
            </w:pPr>
            <w:r>
              <w:rPr>
                <w:rFonts w:ascii="Arial" w:cs="Arial" w:eastAsia="Arial" w:hAnsi="Arial"/>
                <w:sz w:val="16"/>
                <w:szCs w:val="16"/>
                <w:color w:val="auto"/>
              </w:rPr>
              <w:t>Effect of change in estimated tax rate</w:t>
            </w:r>
          </w:p>
        </w:tc>
        <w:tc>
          <w:tcPr>
            <w:tcW w:w="1120" w:type="dxa"/>
            <w:vAlign w:val="bottom"/>
          </w:tcPr>
          <w:p>
            <w:pPr>
              <w:jc w:val="right"/>
              <w:ind w:right="161"/>
              <w:spacing w:after="0"/>
              <w:rPr>
                <w:sz w:val="20"/>
                <w:szCs w:val="20"/>
                <w:color w:val="auto"/>
              </w:rPr>
            </w:pPr>
            <w:r>
              <w:rPr>
                <w:rFonts w:ascii="Arial" w:cs="Arial" w:eastAsia="Arial" w:hAnsi="Arial"/>
                <w:sz w:val="16"/>
                <w:szCs w:val="16"/>
                <w:b w:val="1"/>
                <w:bCs w:val="1"/>
                <w:color w:val="auto"/>
              </w:rPr>
              <w:t>(692)</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(191)</w:t>
            </w:r>
          </w:p>
        </w:tc>
        <w:tc>
          <w:tcPr>
            <w:tcW w:w="1100" w:type="dxa"/>
            <w:vAlign w:val="bottom"/>
          </w:tcPr>
          <w:p>
            <w:pPr>
              <w:jc w:val="right"/>
              <w:ind w:right="201"/>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080" w:type="dxa"/>
            <w:vAlign w:val="bottom"/>
          </w:tcPr>
          <w:p>
            <w:pPr>
              <w:spacing w:after="0"/>
              <w:rPr>
                <w:sz w:val="20"/>
                <w:szCs w:val="20"/>
                <w:color w:val="auto"/>
              </w:rPr>
            </w:pPr>
            <w:r>
              <w:rPr>
                <w:rFonts w:ascii="Arial" w:cs="Arial" w:eastAsia="Arial" w:hAnsi="Arial"/>
                <w:sz w:val="16"/>
                <w:szCs w:val="16"/>
                <w:color w:val="auto"/>
              </w:rPr>
              <w:t>Income tax before discrete items</w:t>
            </w:r>
          </w:p>
        </w:tc>
        <w:tc>
          <w:tcPr>
            <w:tcW w:w="1120" w:type="dxa"/>
            <w:vAlign w:val="bottom"/>
          </w:tcPr>
          <w:p>
            <w:pPr>
              <w:jc w:val="right"/>
              <w:ind w:right="201"/>
              <w:spacing w:after="0"/>
              <w:rPr>
                <w:sz w:val="20"/>
                <w:szCs w:val="20"/>
                <w:color w:val="auto"/>
              </w:rPr>
            </w:pPr>
            <w:r>
              <w:rPr>
                <w:rFonts w:ascii="Arial" w:cs="Arial" w:eastAsia="Arial" w:hAnsi="Arial"/>
                <w:sz w:val="16"/>
                <w:szCs w:val="16"/>
                <w:b w:val="1"/>
                <w:bCs w:val="1"/>
                <w:color w:val="auto"/>
              </w:rPr>
              <w:t>13,970</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11,500</w:t>
            </w:r>
          </w:p>
        </w:tc>
        <w:tc>
          <w:tcPr>
            <w:tcW w:w="1100" w:type="dxa"/>
            <w:vAlign w:val="bottom"/>
          </w:tcPr>
          <w:p>
            <w:pPr>
              <w:jc w:val="right"/>
              <w:ind w:right="201"/>
              <w:spacing w:after="0"/>
              <w:rPr>
                <w:sz w:val="20"/>
                <w:szCs w:val="20"/>
                <w:color w:val="auto"/>
              </w:rPr>
            </w:pPr>
            <w:r>
              <w:rPr>
                <w:rFonts w:ascii="Arial" w:cs="Arial" w:eastAsia="Arial" w:hAnsi="Arial"/>
                <w:sz w:val="16"/>
                <w:szCs w:val="16"/>
                <w:b w:val="1"/>
                <w:bCs w:val="1"/>
                <w:color w:val="auto"/>
              </w:rPr>
              <w:t>38,256</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25,970</w:t>
            </w:r>
          </w:p>
        </w:tc>
        <w:tc>
          <w:tcPr>
            <w:tcW w:w="0" w:type="dxa"/>
            <w:vAlign w:val="bottom"/>
          </w:tcPr>
          <w:p>
            <w:pPr>
              <w:spacing w:after="0"/>
              <w:rPr>
                <w:sz w:val="1"/>
                <w:szCs w:val="1"/>
                <w:color w:val="auto"/>
              </w:rPr>
            </w:pPr>
          </w:p>
        </w:tc>
      </w:tr>
      <w:tr>
        <w:trPr>
          <w:trHeight w:val="351"/>
        </w:trPr>
        <w:tc>
          <w:tcPr>
            <w:tcW w:w="7080" w:type="dxa"/>
            <w:vAlign w:val="bottom"/>
          </w:tcPr>
          <w:p>
            <w:pPr>
              <w:spacing w:after="0"/>
              <w:rPr>
                <w:sz w:val="20"/>
                <w:szCs w:val="20"/>
                <w:color w:val="auto"/>
              </w:rPr>
            </w:pPr>
            <w:r>
              <w:rPr>
                <w:rFonts w:ascii="Arial" w:cs="Arial" w:eastAsia="Arial" w:hAnsi="Arial"/>
                <w:sz w:val="16"/>
                <w:szCs w:val="16"/>
                <w:color w:val="auto"/>
              </w:rPr>
              <w:t>Discrete tax expense:</w:t>
            </w: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7080" w:type="dxa"/>
            <w:vAlign w:val="bottom"/>
          </w:tcPr>
          <w:p>
            <w:pPr>
              <w:spacing w:after="0"/>
              <w:rPr>
                <w:sz w:val="20"/>
                <w:szCs w:val="20"/>
                <w:color w:val="auto"/>
              </w:rPr>
            </w:pPr>
            <w:r>
              <w:rPr>
                <w:rFonts w:ascii="Arial" w:cs="Arial" w:eastAsia="Arial" w:hAnsi="Arial"/>
                <w:sz w:val="16"/>
                <w:szCs w:val="16"/>
                <w:color w:val="auto"/>
              </w:rPr>
              <w:t>Exercise of U.S. stock options</w:t>
            </w:r>
          </w:p>
        </w:tc>
        <w:tc>
          <w:tcPr>
            <w:tcW w:w="1120" w:type="dxa"/>
            <w:vAlign w:val="bottom"/>
          </w:tcPr>
          <w:p>
            <w:pPr>
              <w:jc w:val="right"/>
              <w:ind w:right="141"/>
              <w:spacing w:after="0"/>
              <w:rPr>
                <w:sz w:val="20"/>
                <w:szCs w:val="20"/>
                <w:color w:val="auto"/>
              </w:rPr>
            </w:pPr>
            <w:r>
              <w:rPr>
                <w:rFonts w:ascii="Arial" w:cs="Arial" w:eastAsia="Arial" w:hAnsi="Arial"/>
                <w:sz w:val="16"/>
                <w:szCs w:val="16"/>
                <w:b w:val="1"/>
                <w:bCs w:val="1"/>
                <w:color w:val="auto"/>
              </w:rPr>
              <w:t>(55)</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(29)</w:t>
            </w:r>
          </w:p>
        </w:tc>
        <w:tc>
          <w:tcPr>
            <w:tcW w:w="1100" w:type="dxa"/>
            <w:vAlign w:val="bottom"/>
          </w:tcPr>
          <w:p>
            <w:pPr>
              <w:jc w:val="right"/>
              <w:ind w:right="141"/>
              <w:spacing w:after="0"/>
              <w:rPr>
                <w:sz w:val="20"/>
                <w:szCs w:val="20"/>
                <w:color w:val="auto"/>
              </w:rPr>
            </w:pPr>
            <w:r>
              <w:rPr>
                <w:rFonts w:ascii="Arial" w:cs="Arial" w:eastAsia="Arial" w:hAnsi="Arial"/>
                <w:sz w:val="16"/>
                <w:szCs w:val="16"/>
                <w:b w:val="1"/>
                <w:bCs w:val="1"/>
                <w:color w:val="auto"/>
              </w:rPr>
              <w:t>(111)</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89"/>
        </w:trPr>
        <w:tc>
          <w:tcPr>
            <w:tcW w:w="7080" w:type="dxa"/>
            <w:vAlign w:val="bottom"/>
          </w:tcPr>
          <w:p>
            <w:pPr>
              <w:spacing w:after="0"/>
              <w:rPr>
                <w:sz w:val="20"/>
                <w:szCs w:val="20"/>
                <w:color w:val="auto"/>
              </w:rPr>
            </w:pPr>
            <w:r>
              <w:rPr>
                <w:rFonts w:ascii="Arial" w:cs="Arial" w:eastAsia="Arial" w:hAnsi="Arial"/>
                <w:sz w:val="16"/>
                <w:szCs w:val="16"/>
                <w:color w:val="auto"/>
              </w:rPr>
              <w:t>Impact of mandatory repatriation</w:t>
            </w:r>
          </w:p>
        </w:tc>
        <w:tc>
          <w:tcPr>
            <w:tcW w:w="1120" w:type="dxa"/>
            <w:vAlign w:val="bottom"/>
          </w:tcPr>
          <w:p>
            <w:pPr>
              <w:jc w:val="right"/>
              <w:ind w:right="201"/>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1"/>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(1,099)</w:t>
            </w:r>
          </w:p>
        </w:tc>
        <w:tc>
          <w:tcPr>
            <w:tcW w:w="0" w:type="dxa"/>
            <w:vAlign w:val="bottom"/>
          </w:tcPr>
          <w:p>
            <w:pPr>
              <w:spacing w:after="0"/>
              <w:rPr>
                <w:sz w:val="1"/>
                <w:szCs w:val="1"/>
                <w:color w:val="auto"/>
              </w:rPr>
            </w:pPr>
          </w:p>
        </w:tc>
      </w:tr>
      <w:tr>
        <w:trPr>
          <w:trHeight w:val="189"/>
        </w:trPr>
        <w:tc>
          <w:tcPr>
            <w:tcW w:w="7080" w:type="dxa"/>
            <w:vAlign w:val="bottom"/>
          </w:tcPr>
          <w:p>
            <w:pPr>
              <w:spacing w:after="0"/>
              <w:rPr>
                <w:sz w:val="20"/>
                <w:szCs w:val="20"/>
                <w:color w:val="auto"/>
              </w:rPr>
            </w:pPr>
            <w:r>
              <w:rPr>
                <w:rFonts w:ascii="Arial" w:cs="Arial" w:eastAsia="Arial" w:hAnsi="Arial"/>
                <w:sz w:val="16"/>
                <w:szCs w:val="16"/>
                <w:color w:val="auto"/>
              </w:rPr>
              <w:t>Adjustments to prior period tax liabilities</w:t>
            </w:r>
          </w:p>
        </w:tc>
        <w:tc>
          <w:tcPr>
            <w:tcW w:w="1120" w:type="dxa"/>
            <w:vAlign w:val="bottom"/>
          </w:tcPr>
          <w:p>
            <w:pPr>
              <w:jc w:val="right"/>
              <w:ind w:right="161"/>
              <w:spacing w:after="0"/>
              <w:rPr>
                <w:sz w:val="20"/>
                <w:szCs w:val="20"/>
                <w:color w:val="auto"/>
              </w:rPr>
            </w:pPr>
            <w:r>
              <w:rPr>
                <w:rFonts w:ascii="Arial" w:cs="Arial" w:eastAsia="Arial" w:hAnsi="Arial"/>
                <w:sz w:val="16"/>
                <w:szCs w:val="16"/>
                <w:b w:val="1"/>
                <w:bCs w:val="1"/>
                <w:color w:val="auto"/>
              </w:rPr>
              <w:t>(160)</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(7)</w:t>
            </w:r>
          </w:p>
        </w:tc>
        <w:tc>
          <w:tcPr>
            <w:tcW w:w="1100" w:type="dxa"/>
            <w:vAlign w:val="bottom"/>
          </w:tcPr>
          <w:p>
            <w:pPr>
              <w:jc w:val="right"/>
              <w:ind w:right="201"/>
              <w:spacing w:after="0"/>
              <w:rPr>
                <w:sz w:val="20"/>
                <w:szCs w:val="20"/>
                <w:color w:val="auto"/>
              </w:rPr>
            </w:pPr>
            <w:r>
              <w:rPr>
                <w:rFonts w:ascii="Arial" w:cs="Arial" w:eastAsia="Arial" w:hAnsi="Arial"/>
                <w:sz w:val="16"/>
                <w:szCs w:val="16"/>
                <w:b w:val="1"/>
                <w:bCs w:val="1"/>
                <w:color w:val="auto"/>
              </w:rPr>
              <w:t>187</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189"/>
        </w:trPr>
        <w:tc>
          <w:tcPr>
            <w:tcW w:w="7080" w:type="dxa"/>
            <w:vAlign w:val="bottom"/>
          </w:tcPr>
          <w:p>
            <w:pPr>
              <w:spacing w:after="0"/>
              <w:rPr>
                <w:sz w:val="20"/>
                <w:szCs w:val="20"/>
                <w:color w:val="auto"/>
              </w:rPr>
            </w:pPr>
            <w:r>
              <w:rPr>
                <w:rFonts w:ascii="Arial" w:cs="Arial" w:eastAsia="Arial" w:hAnsi="Arial"/>
                <w:sz w:val="16"/>
                <w:szCs w:val="16"/>
                <w:color w:val="auto"/>
              </w:rPr>
              <w:t>Provision for/resolution of tax audits and contingencies, net</w:t>
            </w:r>
          </w:p>
        </w:tc>
        <w:tc>
          <w:tcPr>
            <w:tcW w:w="1120" w:type="dxa"/>
            <w:vAlign w:val="bottom"/>
          </w:tcPr>
          <w:p>
            <w:pPr>
              <w:jc w:val="right"/>
              <w:ind w:right="161"/>
              <w:spacing w:after="0"/>
              <w:rPr>
                <w:sz w:val="20"/>
                <w:szCs w:val="20"/>
                <w:color w:val="auto"/>
              </w:rPr>
            </w:pPr>
            <w:r>
              <w:rPr>
                <w:rFonts w:ascii="Arial" w:cs="Arial" w:eastAsia="Arial" w:hAnsi="Arial"/>
                <w:sz w:val="16"/>
                <w:szCs w:val="16"/>
                <w:b w:val="1"/>
                <w:bCs w:val="1"/>
                <w:color w:val="auto"/>
              </w:rPr>
              <w:t>(558)</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(168)</w:t>
            </w:r>
          </w:p>
        </w:tc>
        <w:tc>
          <w:tcPr>
            <w:tcW w:w="1100" w:type="dxa"/>
            <w:vAlign w:val="bottom"/>
          </w:tcPr>
          <w:p>
            <w:pPr>
              <w:jc w:val="right"/>
              <w:ind w:right="141"/>
              <w:spacing w:after="0"/>
              <w:rPr>
                <w:sz w:val="20"/>
                <w:szCs w:val="20"/>
                <w:color w:val="auto"/>
              </w:rPr>
            </w:pPr>
            <w:r>
              <w:rPr>
                <w:rFonts w:ascii="Arial" w:cs="Arial" w:eastAsia="Arial" w:hAnsi="Arial"/>
                <w:sz w:val="16"/>
                <w:szCs w:val="16"/>
                <w:b w:val="1"/>
                <w:bCs w:val="1"/>
                <w:color w:val="auto"/>
              </w:rPr>
              <w:t>(2,785)</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2,280</w:t>
            </w:r>
          </w:p>
        </w:tc>
        <w:tc>
          <w:tcPr>
            <w:tcW w:w="0" w:type="dxa"/>
            <w:vAlign w:val="bottom"/>
          </w:tcPr>
          <w:p>
            <w:pPr>
              <w:spacing w:after="0"/>
              <w:rPr>
                <w:sz w:val="1"/>
                <w:szCs w:val="1"/>
                <w:color w:val="auto"/>
              </w:rPr>
            </w:pPr>
          </w:p>
        </w:tc>
      </w:tr>
      <w:tr>
        <w:trPr>
          <w:trHeight w:val="189"/>
        </w:trPr>
        <w:tc>
          <w:tcPr>
            <w:tcW w:w="7080" w:type="dxa"/>
            <w:vAlign w:val="bottom"/>
          </w:tcPr>
          <w:p>
            <w:pPr>
              <w:spacing w:after="0"/>
              <w:rPr>
                <w:sz w:val="20"/>
                <w:szCs w:val="20"/>
                <w:color w:val="auto"/>
              </w:rPr>
            </w:pPr>
            <w:r>
              <w:rPr>
                <w:rFonts w:ascii="Arial" w:cs="Arial" w:eastAsia="Arial" w:hAnsi="Arial"/>
                <w:sz w:val="16"/>
                <w:szCs w:val="16"/>
                <w:color w:val="auto"/>
              </w:rPr>
              <w:t>Adjustment related to prior period change in opening valuation allowance</w:t>
            </w:r>
          </w:p>
        </w:tc>
        <w:tc>
          <w:tcPr>
            <w:tcW w:w="112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63</w:t>
            </w:r>
          </w:p>
        </w:tc>
        <w:tc>
          <w:tcPr>
            <w:tcW w:w="1100" w:type="dxa"/>
            <w:vAlign w:val="bottom"/>
          </w:tcPr>
          <w:p>
            <w:pPr>
              <w:jc w:val="right"/>
              <w:ind w:right="141"/>
              <w:spacing w:after="0"/>
              <w:rPr>
                <w:sz w:val="20"/>
                <w:szCs w:val="20"/>
                <w:color w:val="auto"/>
              </w:rPr>
            </w:pPr>
            <w:r>
              <w:rPr>
                <w:rFonts w:ascii="Arial" w:cs="Arial" w:eastAsia="Arial" w:hAnsi="Arial"/>
                <w:sz w:val="16"/>
                <w:szCs w:val="16"/>
                <w:b w:val="1"/>
                <w:bCs w:val="1"/>
                <w:color w:val="auto"/>
              </w:rPr>
              <w:t>(1,366)</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(4,923)</w:t>
            </w:r>
          </w:p>
        </w:tc>
        <w:tc>
          <w:tcPr>
            <w:tcW w:w="0" w:type="dxa"/>
            <w:vAlign w:val="bottom"/>
          </w:tcPr>
          <w:p>
            <w:pPr>
              <w:spacing w:after="0"/>
              <w:rPr>
                <w:sz w:val="1"/>
                <w:szCs w:val="1"/>
                <w:color w:val="auto"/>
              </w:rPr>
            </w:pPr>
          </w:p>
        </w:tc>
      </w:tr>
      <w:tr>
        <w:trPr>
          <w:trHeight w:val="189"/>
        </w:trPr>
        <w:tc>
          <w:tcPr>
            <w:tcW w:w="7080" w:type="dxa"/>
            <w:vAlign w:val="bottom"/>
          </w:tcPr>
          <w:p>
            <w:pPr>
              <w:spacing w:after="0"/>
              <w:rPr>
                <w:sz w:val="20"/>
                <w:szCs w:val="20"/>
                <w:color w:val="auto"/>
              </w:rPr>
            </w:pPr>
            <w:r>
              <w:rPr>
                <w:rFonts w:ascii="Arial" w:cs="Arial" w:eastAsia="Arial" w:hAnsi="Arial"/>
                <w:sz w:val="16"/>
                <w:szCs w:val="16"/>
                <w:color w:val="auto"/>
              </w:rPr>
              <w:t>Change in valuation allowances</w:t>
            </w:r>
          </w:p>
        </w:tc>
        <w:tc>
          <w:tcPr>
            <w:tcW w:w="1120" w:type="dxa"/>
            <w:vAlign w:val="bottom"/>
          </w:tcPr>
          <w:p>
            <w:pPr>
              <w:jc w:val="right"/>
              <w:ind w:right="141"/>
              <w:spacing w:after="0"/>
              <w:rPr>
                <w:sz w:val="20"/>
                <w:szCs w:val="20"/>
                <w:color w:val="auto"/>
              </w:rPr>
            </w:pPr>
            <w:r>
              <w:rPr>
                <w:rFonts w:ascii="Arial" w:cs="Arial" w:eastAsia="Arial" w:hAnsi="Arial"/>
                <w:sz w:val="16"/>
                <w:szCs w:val="16"/>
                <w:b w:val="1"/>
                <w:bCs w:val="1"/>
                <w:color w:val="auto"/>
              </w:rPr>
              <w:t>(11)</w:t>
            </w:r>
          </w:p>
        </w:tc>
        <w:tc>
          <w:tcPr>
            <w:tcW w:w="106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1"/>
              <w:spacing w:after="0"/>
              <w:rPr>
                <w:sz w:val="20"/>
                <w:szCs w:val="20"/>
                <w:color w:val="auto"/>
              </w:rPr>
            </w:pPr>
            <w:r>
              <w:rPr>
                <w:rFonts w:ascii="Arial" w:cs="Arial" w:eastAsia="Arial" w:hAnsi="Arial"/>
                <w:sz w:val="16"/>
                <w:szCs w:val="16"/>
                <w:b w:val="1"/>
                <w:bCs w:val="1"/>
                <w:color w:val="auto"/>
              </w:rPr>
              <w:t>830</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11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8</w:t>
            </w:r>
          </w:p>
        </w:tc>
        <w:tc>
          <w:tcPr>
            <w:tcW w:w="10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64</w:t>
            </w: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83"/>
        </w:trPr>
        <w:tc>
          <w:tcPr>
            <w:tcW w:w="70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income tax expense</w:t>
            </w:r>
          </w:p>
        </w:tc>
        <w:tc>
          <w:tcPr>
            <w:tcW w:w="1120" w:type="dxa"/>
            <w:vAlign w:val="bottom"/>
            <w:tcBorders>
              <w:bottom w:val="single" w:sz="8" w:color="auto"/>
            </w:tcBorders>
          </w:tcPr>
          <w:p>
            <w:pPr>
              <w:jc w:val="right"/>
              <w:ind w:right="201"/>
              <w:spacing w:after="0" w:line="183" w:lineRule="exact"/>
              <w:rPr>
                <w:sz w:val="20"/>
                <w:szCs w:val="20"/>
                <w:color w:val="auto"/>
              </w:rPr>
            </w:pPr>
            <w:r>
              <w:rPr>
                <w:rFonts w:ascii="Arial" w:cs="Arial" w:eastAsia="Arial" w:hAnsi="Arial"/>
                <w:sz w:val="16"/>
                <w:szCs w:val="16"/>
                <w:b w:val="1"/>
                <w:bCs w:val="1"/>
                <w:color w:val="auto"/>
              </w:rPr>
              <w:t>$13,194</w:t>
            </w:r>
          </w:p>
        </w:tc>
        <w:tc>
          <w:tcPr>
            <w:tcW w:w="106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$11,359</w:t>
            </w:r>
          </w:p>
        </w:tc>
        <w:tc>
          <w:tcPr>
            <w:tcW w:w="1100" w:type="dxa"/>
            <w:vAlign w:val="bottom"/>
            <w:tcBorders>
              <w:bottom w:val="single" w:sz="8" w:color="auto"/>
            </w:tcBorders>
          </w:tcPr>
          <w:p>
            <w:pPr>
              <w:jc w:val="right"/>
              <w:ind w:right="201"/>
              <w:spacing w:after="0" w:line="183" w:lineRule="exact"/>
              <w:rPr>
                <w:sz w:val="20"/>
                <w:szCs w:val="20"/>
                <w:color w:val="auto"/>
              </w:rPr>
            </w:pPr>
            <w:r>
              <w:rPr>
                <w:rFonts w:ascii="Arial" w:cs="Arial" w:eastAsia="Arial" w:hAnsi="Arial"/>
                <w:sz w:val="16"/>
                <w:szCs w:val="16"/>
                <w:b w:val="1"/>
                <w:bCs w:val="1"/>
                <w:color w:val="auto"/>
              </w:rPr>
              <w:t>$35,075</w:t>
            </w:r>
          </w:p>
        </w:tc>
        <w:tc>
          <w:tcPr>
            <w:tcW w:w="106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$21,690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18"/>
          <w:szCs w:val="18"/>
          <w:color w:val="auto"/>
        </w:rPr>
        <w:t>The third-quarter estimated annual effective tax rate on continuing operations was 27.5 percent in 2019, compared to 29.7 percent for the same period in 2018.</w:t>
      </w:r>
    </w:p>
    <w:p>
      <w:pPr>
        <w:spacing w:after="0" w:line="89"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Income tax expense for the quarter was computed in accordance with ASC 740-270 “Income Taxes – Interim Reporting”. Under this method, loss jurisdictions, which cannot recognize a tax benefit with regard to their generated losses, are excluded from the annual effective tax rate (AETR) calculation and their taxes will be recorded discretely in each quarter.</w:t>
      </w:r>
    </w:p>
    <w:p>
      <w:pPr>
        <w:spacing w:after="0" w:line="95"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Company’s tax rate is affected by recurring items such as the income tax rate in the U.S. and in non-U.S. jurisdictions and the mix of income earned in those jurisdictions, including changes in losses and income from excluded loss jurisdictions, and the impact of discrete items in the respective quarter.</w:t>
      </w:r>
    </w:p>
    <w:p>
      <w:pPr>
        <w:spacing w:after="0" w:line="9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Company records the residual U.S. and foreign taxes on certain amounts of foreign earnings that have been targeted for repatriation to the U.S. These amounts are not considered to be indefinitely reinvested, and the Company accrued for the tax cost on these earnings to the extent they cannot be repatriated in a tax-free manner. The Company has targeted for repatriation $170.4 million of current year and prior year earnings of the Company’s foreign operations. If these earnings were distributed, the Company would be subject to foreign withholding taxes of $4.0 million and state income taxes of $3.8 million which have already been recorded.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Company conducts business globally and, as a result, files income tax returns in the U.S. federal jurisdiction and various state and foreign jurisdictions. In the normal course of business the Company is subject to examination by taxing authorities throughout the world, including major jurisdictions such as the United States, Brazil, Canada, France, Germany, Italy, Mexico, and Switzerland. The open tax years in these jurisdictions range from 2007 to 2019. The Company is currently under audit in non-U.S. tax jurisdictions, including but not limited to Canada and Italy.</w:t>
      </w:r>
    </w:p>
    <w:p>
      <w:pPr>
        <w:spacing w:after="0" w:line="9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In the first quarter of 2019, the Company recorded a net benefit of $2.2 million for tax audit settlements with Canada. The Canadian Revenue Agency agreed to accept the Company’s appeal of all protested issues. The Company has begun to receive refunds from the Canadian Revenue Agency and Ontario for taxes that were pre-paid at the time of protests. As such, during the first quarter, the Company had determined that it was more likely than not that the liability for unrecognized tax benefits of $2.2 million that was recorded as of December 31, 2018 was no longer warranted and thus it was reduced in the first quarter of 2019, resulting in a $2.2 million discrete tax benefit.</w:t>
      </w:r>
    </w:p>
    <w:p>
      <w:pPr>
        <w:spacing w:after="0" w:line="95"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As of each reporting date, management considers new evidence, both positive and negative, that could affect its view of the future realization of deferred tax assets. As of June 30, 2019, the Company determined that a valuation allowance of $0.8 million was necessary for one of its Mexico entities. Therefore, the Company booked an expense of $0.8 million in the second quarter of 2019.</w:t>
      </w:r>
    </w:p>
    <w:p>
      <w:pPr>
        <w:spacing w:after="0" w:line="9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In the first quarter of 2019, the Company recorded a $1.3 million out-of-period immaterial adjustment related to a German tax valuation allowance.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Earnings Per Share</w:t>
      </w:r>
    </w:p>
    <w:p>
      <w:pPr>
        <w:spacing w:after="0" w:line="12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gridSpan w:val="3"/>
          </w:tcPr>
          <w:p>
            <w:pPr>
              <w:jc w:val="right"/>
              <w:ind w:right="261"/>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gridSpan w:val="3"/>
          </w:tcPr>
          <w:p>
            <w:pPr>
              <w:jc w:val="right"/>
              <w:ind w:right="34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70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market price and earnings per share)</w:t>
            </w: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708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03"/>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1"/>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42"/>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70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Net income attributable to the Company</w:t>
            </w:r>
          </w:p>
        </w:tc>
        <w:tc>
          <w:tcPr>
            <w:tcW w:w="1080" w:type="dxa"/>
            <w:vAlign w:val="bottom"/>
            <w:tcBorders>
              <w:bottom w:val="single" w:sz="8" w:color="auto"/>
            </w:tcBorders>
            <w:gridSpan w:val="2"/>
          </w:tcPr>
          <w:p>
            <w:pPr>
              <w:jc w:val="right"/>
              <w:ind w:right="163"/>
              <w:spacing w:after="0" w:line="183" w:lineRule="exact"/>
              <w:rPr>
                <w:sz w:val="20"/>
                <w:szCs w:val="20"/>
                <w:color w:val="auto"/>
              </w:rPr>
            </w:pPr>
            <w:r>
              <w:rPr>
                <w:rFonts w:ascii="Arial" w:cs="Arial" w:eastAsia="Arial" w:hAnsi="Arial"/>
                <w:sz w:val="16"/>
                <w:szCs w:val="16"/>
                <w:b w:val="1"/>
                <w:bCs w:val="1"/>
                <w:color w:val="auto"/>
              </w:rPr>
              <w:t>$40,009</w:t>
            </w:r>
          </w:p>
        </w:tc>
        <w:tc>
          <w:tcPr>
            <w:tcW w:w="1060" w:type="dxa"/>
            <w:vAlign w:val="bottom"/>
            <w:tcBorders>
              <w:bottom w:val="single" w:sz="8" w:color="auto"/>
            </w:tcBorders>
            <w:gridSpan w:val="2"/>
          </w:tcPr>
          <w:p>
            <w:pPr>
              <w:jc w:val="right"/>
              <w:ind w:right="141"/>
              <w:spacing w:after="0" w:line="183" w:lineRule="exact"/>
              <w:rPr>
                <w:sz w:val="20"/>
                <w:szCs w:val="20"/>
                <w:color w:val="auto"/>
              </w:rPr>
            </w:pPr>
            <w:r>
              <w:rPr>
                <w:rFonts w:ascii="Arial" w:cs="Arial" w:eastAsia="Arial" w:hAnsi="Arial"/>
                <w:sz w:val="16"/>
                <w:szCs w:val="16"/>
                <w:color w:val="auto"/>
              </w:rPr>
              <w:t>$27,736</w:t>
            </w:r>
          </w:p>
        </w:tc>
        <w:tc>
          <w:tcPr>
            <w:tcW w:w="1140" w:type="dxa"/>
            <w:vAlign w:val="bottom"/>
            <w:tcBorders>
              <w:bottom w:val="single" w:sz="8" w:color="auto"/>
            </w:tcBorders>
            <w:gridSpan w:val="2"/>
          </w:tcPr>
          <w:p>
            <w:pPr>
              <w:jc w:val="right"/>
              <w:ind w:right="162"/>
              <w:spacing w:after="0" w:line="183" w:lineRule="exact"/>
              <w:rPr>
                <w:sz w:val="20"/>
                <w:szCs w:val="20"/>
                <w:color w:val="auto"/>
              </w:rPr>
            </w:pPr>
            <w:r>
              <w:rPr>
                <w:rFonts w:ascii="Arial" w:cs="Arial" w:eastAsia="Arial" w:hAnsi="Arial"/>
                <w:sz w:val="16"/>
                <w:szCs w:val="16"/>
                <w:b w:val="1"/>
                <w:bCs w:val="1"/>
                <w:color w:val="auto"/>
              </w:rPr>
              <w:t>$103,253</w:t>
            </w:r>
          </w:p>
        </w:tc>
        <w:tc>
          <w:tcPr>
            <w:tcW w:w="1060" w:type="dxa"/>
            <w:vAlign w:val="bottom"/>
            <w:tcBorders>
              <w:bottom w:val="single" w:sz="8" w:color="auto"/>
            </w:tcBorders>
            <w:gridSpan w:val="2"/>
          </w:tcPr>
          <w:p>
            <w:pPr>
              <w:jc w:val="right"/>
              <w:ind w:right="181"/>
              <w:spacing w:after="0" w:line="183" w:lineRule="exact"/>
              <w:rPr>
                <w:sz w:val="20"/>
                <w:szCs w:val="20"/>
                <w:color w:val="auto"/>
              </w:rPr>
            </w:pPr>
            <w:r>
              <w:rPr>
                <w:rFonts w:ascii="Arial" w:cs="Arial" w:eastAsia="Arial" w:hAnsi="Arial"/>
                <w:sz w:val="16"/>
                <w:szCs w:val="16"/>
                <w:color w:val="auto"/>
              </w:rPr>
              <w:t>$65,300</w:t>
            </w:r>
          </w:p>
        </w:tc>
        <w:tc>
          <w:tcPr>
            <w:tcW w:w="0" w:type="dxa"/>
            <w:vAlign w:val="bottom"/>
          </w:tcPr>
          <w:p>
            <w:pPr>
              <w:spacing w:after="0"/>
              <w:rPr>
                <w:sz w:val="1"/>
                <w:szCs w:val="1"/>
                <w:color w:val="auto"/>
              </w:rPr>
            </w:pPr>
          </w:p>
        </w:tc>
      </w:tr>
      <w:tr>
        <w:trPr>
          <w:trHeight w:val="184"/>
        </w:trPr>
        <w:tc>
          <w:tcPr>
            <w:tcW w:w="7080" w:type="dxa"/>
            <w:vAlign w:val="bottom"/>
          </w:tcPr>
          <w:p>
            <w:pPr>
              <w:spacing w:after="0"/>
              <w:rPr>
                <w:sz w:val="20"/>
                <w:szCs w:val="20"/>
                <w:color w:val="auto"/>
              </w:rPr>
            </w:pPr>
            <w:r>
              <w:rPr>
                <w:rFonts w:ascii="Arial" w:cs="Arial" w:eastAsia="Arial" w:hAnsi="Arial"/>
                <w:sz w:val="16"/>
                <w:szCs w:val="16"/>
                <w:b w:val="1"/>
                <w:bCs w:val="1"/>
                <w:color w:val="auto"/>
              </w:rPr>
              <w:t>Weighted average number of shares:</w:t>
            </w:r>
          </w:p>
        </w:tc>
        <w:tc>
          <w:tcPr>
            <w:tcW w:w="1080" w:type="dxa"/>
            <w:vAlign w:val="bottom"/>
            <w:gridSpan w:val="2"/>
            <w:vMerge w:val="restart"/>
          </w:tcPr>
          <w:p>
            <w:pPr>
              <w:jc w:val="right"/>
              <w:ind w:right="163"/>
              <w:spacing w:after="0"/>
              <w:rPr>
                <w:sz w:val="20"/>
                <w:szCs w:val="20"/>
                <w:color w:val="auto"/>
              </w:rPr>
            </w:pPr>
            <w:r>
              <w:rPr>
                <w:rFonts w:ascii="Arial" w:cs="Arial" w:eastAsia="Arial" w:hAnsi="Arial"/>
                <w:sz w:val="16"/>
                <w:szCs w:val="16"/>
                <w:b w:val="1"/>
                <w:bCs w:val="1"/>
                <w:color w:val="auto"/>
              </w:rPr>
              <w:t>32,306</w:t>
            </w: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rPr>
              <w:t>32,293</w:t>
            </w: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080" w:type="dxa"/>
            <w:vAlign w:val="bottom"/>
          </w:tcPr>
          <w:p>
            <w:pPr>
              <w:ind w:left="120"/>
              <w:spacing w:after="0" w:line="169" w:lineRule="exact"/>
              <w:rPr>
                <w:sz w:val="20"/>
                <w:szCs w:val="20"/>
                <w:color w:val="auto"/>
              </w:rPr>
            </w:pPr>
            <w:r>
              <w:rPr>
                <w:rFonts w:ascii="Arial" w:cs="Arial" w:eastAsia="Arial" w:hAnsi="Arial"/>
                <w:sz w:val="16"/>
                <w:szCs w:val="16"/>
                <w:color w:val="auto"/>
              </w:rPr>
              <w:t>Weighted average number of shares used in calculating basic net income per share</w:t>
            </w:r>
          </w:p>
        </w:tc>
        <w:tc>
          <w:tcPr>
            <w:tcW w:w="1080" w:type="dxa"/>
            <w:vAlign w:val="bottom"/>
            <w:gridSpan w:val="2"/>
            <w:vMerge w:val="continue"/>
          </w:tcPr>
          <w:p>
            <w:pPr>
              <w:spacing w:after="0"/>
              <w:rPr>
                <w:sz w:val="14"/>
                <w:szCs w:val="14"/>
                <w:color w:val="auto"/>
              </w:rPr>
            </w:pPr>
          </w:p>
        </w:tc>
        <w:tc>
          <w:tcPr>
            <w:tcW w:w="1060" w:type="dxa"/>
            <w:vAlign w:val="bottom"/>
            <w:gridSpan w:val="2"/>
          </w:tcPr>
          <w:p>
            <w:pPr>
              <w:jc w:val="right"/>
              <w:ind w:right="141"/>
              <w:spacing w:after="0" w:line="169" w:lineRule="exact"/>
              <w:rPr>
                <w:sz w:val="20"/>
                <w:szCs w:val="20"/>
                <w:color w:val="auto"/>
              </w:rPr>
            </w:pPr>
            <w:r>
              <w:rPr>
                <w:rFonts w:ascii="Arial" w:cs="Arial" w:eastAsia="Arial" w:hAnsi="Arial"/>
                <w:sz w:val="16"/>
                <w:szCs w:val="16"/>
                <w:color w:val="auto"/>
              </w:rPr>
              <w:t>32,264</w:t>
            </w:r>
          </w:p>
        </w:tc>
        <w:tc>
          <w:tcPr>
            <w:tcW w:w="3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60" w:type="dxa"/>
            <w:vAlign w:val="bottom"/>
            <w:gridSpan w:val="2"/>
          </w:tcPr>
          <w:p>
            <w:pPr>
              <w:jc w:val="right"/>
              <w:ind w:right="181"/>
              <w:spacing w:after="0" w:line="169" w:lineRule="exact"/>
              <w:rPr>
                <w:sz w:val="20"/>
                <w:szCs w:val="20"/>
                <w:color w:val="auto"/>
              </w:rPr>
            </w:pPr>
            <w:r>
              <w:rPr>
                <w:rFonts w:ascii="Arial" w:cs="Arial" w:eastAsia="Arial" w:hAnsi="Arial"/>
                <w:sz w:val="16"/>
                <w:szCs w:val="16"/>
                <w:color w:val="auto"/>
              </w:rPr>
              <w:t>32,247</w:t>
            </w:r>
          </w:p>
        </w:tc>
        <w:tc>
          <w:tcPr>
            <w:tcW w:w="0" w:type="dxa"/>
            <w:vAlign w:val="bottom"/>
          </w:tcPr>
          <w:p>
            <w:pPr>
              <w:spacing w:after="0"/>
              <w:rPr>
                <w:sz w:val="1"/>
                <w:szCs w:val="1"/>
                <w:color w:val="auto"/>
              </w:rPr>
            </w:pPr>
          </w:p>
        </w:tc>
      </w:tr>
      <w:tr>
        <w:trPr>
          <w:trHeight w:val="209"/>
        </w:trPr>
        <w:tc>
          <w:tcPr>
            <w:tcW w:w="7080" w:type="dxa"/>
            <w:vAlign w:val="bottom"/>
          </w:tcPr>
          <w:p>
            <w:pPr>
              <w:spacing w:after="0"/>
              <w:rPr>
                <w:sz w:val="20"/>
                <w:szCs w:val="20"/>
                <w:color w:val="auto"/>
              </w:rPr>
            </w:pPr>
            <w:r>
              <w:rPr>
                <w:rFonts w:ascii="Arial" w:cs="Arial" w:eastAsia="Arial" w:hAnsi="Arial"/>
                <w:sz w:val="16"/>
                <w:szCs w:val="16"/>
                <w:b w:val="1"/>
                <w:bCs w:val="1"/>
                <w:color w:val="auto"/>
              </w:rPr>
              <w:t>Effect of dilutive stock-based compensation plans:</w:t>
            </w:r>
          </w:p>
        </w:tc>
        <w:tc>
          <w:tcPr>
            <w:tcW w:w="360" w:type="dxa"/>
            <w:vAlign w:val="bottom"/>
          </w:tcPr>
          <w:p>
            <w:pPr>
              <w:spacing w:after="0"/>
              <w:rPr>
                <w:sz w:val="18"/>
                <w:szCs w:val="18"/>
                <w:color w:val="auto"/>
              </w:rPr>
            </w:pPr>
          </w:p>
        </w:tc>
        <w:tc>
          <w:tcPr>
            <w:tcW w:w="720" w:type="dxa"/>
            <w:vAlign w:val="bottom"/>
            <w:vMerge w:val="restart"/>
          </w:tcPr>
          <w:p>
            <w:pPr>
              <w:jc w:val="right"/>
              <w:ind w:right="163"/>
              <w:spacing w:after="0"/>
              <w:rPr>
                <w:sz w:val="20"/>
                <w:szCs w:val="20"/>
                <w:color w:val="auto"/>
              </w:rPr>
            </w:pPr>
            <w:r>
              <w:rPr>
                <w:rFonts w:ascii="Arial" w:cs="Arial" w:eastAsia="Arial" w:hAnsi="Arial"/>
                <w:sz w:val="16"/>
                <w:szCs w:val="16"/>
                <w:b w:val="1"/>
                <w:bCs w:val="1"/>
                <w:color w:val="auto"/>
              </w:rPr>
              <w:t>11</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rPr>
              <w:t>12</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0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Stock options</w:t>
            </w: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16</w:t>
            </w: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3"/>
        </w:trPr>
        <w:tc>
          <w:tcPr>
            <w:tcW w:w="708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Weighted average number of shares used in calculating diluted net income per share</w:t>
            </w:r>
          </w:p>
        </w:tc>
        <w:tc>
          <w:tcPr>
            <w:tcW w:w="1080" w:type="dxa"/>
            <w:vAlign w:val="bottom"/>
            <w:tcBorders>
              <w:bottom w:val="single" w:sz="8" w:color="auto"/>
            </w:tcBorders>
            <w:gridSpan w:val="2"/>
          </w:tcPr>
          <w:p>
            <w:pPr>
              <w:jc w:val="right"/>
              <w:ind w:right="163"/>
              <w:spacing w:after="0" w:line="183" w:lineRule="exact"/>
              <w:rPr>
                <w:sz w:val="20"/>
                <w:szCs w:val="20"/>
                <w:color w:val="auto"/>
              </w:rPr>
            </w:pPr>
            <w:r>
              <w:rPr>
                <w:rFonts w:ascii="Arial" w:cs="Arial" w:eastAsia="Arial" w:hAnsi="Arial"/>
                <w:sz w:val="16"/>
                <w:szCs w:val="16"/>
                <w:b w:val="1"/>
                <w:bCs w:val="1"/>
                <w:color w:val="auto"/>
              </w:rPr>
              <w:t>32,317</w:t>
            </w:r>
          </w:p>
        </w:tc>
        <w:tc>
          <w:tcPr>
            <w:tcW w:w="1060" w:type="dxa"/>
            <w:vAlign w:val="bottom"/>
            <w:tcBorders>
              <w:bottom w:val="single" w:sz="8" w:color="auto"/>
            </w:tcBorders>
            <w:gridSpan w:val="2"/>
          </w:tcPr>
          <w:p>
            <w:pPr>
              <w:jc w:val="right"/>
              <w:ind w:right="141"/>
              <w:spacing w:after="0" w:line="183" w:lineRule="exact"/>
              <w:rPr>
                <w:sz w:val="20"/>
                <w:szCs w:val="20"/>
                <w:color w:val="auto"/>
              </w:rPr>
            </w:pPr>
            <w:r>
              <w:rPr>
                <w:rFonts w:ascii="Arial" w:cs="Arial" w:eastAsia="Arial" w:hAnsi="Arial"/>
                <w:sz w:val="16"/>
                <w:szCs w:val="16"/>
                <w:color w:val="auto"/>
              </w:rPr>
              <w:t>32,280</w:t>
            </w: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2"/>
              <w:spacing w:after="0" w:line="183" w:lineRule="exact"/>
              <w:rPr>
                <w:sz w:val="20"/>
                <w:szCs w:val="20"/>
                <w:color w:val="auto"/>
              </w:rPr>
            </w:pPr>
            <w:r>
              <w:rPr>
                <w:rFonts w:ascii="Arial" w:cs="Arial" w:eastAsia="Arial" w:hAnsi="Arial"/>
                <w:sz w:val="16"/>
                <w:szCs w:val="16"/>
                <w:b w:val="1"/>
                <w:bCs w:val="1"/>
                <w:color w:val="auto"/>
              </w:rPr>
              <w:t>32,305</w:t>
            </w:r>
          </w:p>
        </w:tc>
        <w:tc>
          <w:tcPr>
            <w:tcW w:w="1060" w:type="dxa"/>
            <w:vAlign w:val="bottom"/>
            <w:tcBorders>
              <w:bottom w:val="single" w:sz="8" w:color="auto"/>
            </w:tcBorders>
            <w:gridSpan w:val="2"/>
          </w:tcPr>
          <w:p>
            <w:pPr>
              <w:jc w:val="right"/>
              <w:ind w:right="181"/>
              <w:spacing w:after="0" w:line="183" w:lineRule="exact"/>
              <w:rPr>
                <w:sz w:val="20"/>
                <w:szCs w:val="20"/>
                <w:color w:val="auto"/>
              </w:rPr>
            </w:pPr>
            <w:r>
              <w:rPr>
                <w:rFonts w:ascii="Arial" w:cs="Arial" w:eastAsia="Arial" w:hAnsi="Arial"/>
                <w:sz w:val="16"/>
                <w:szCs w:val="16"/>
                <w:color w:val="auto"/>
              </w:rPr>
              <w:t>32,263</w:t>
            </w:r>
          </w:p>
        </w:tc>
        <w:tc>
          <w:tcPr>
            <w:tcW w:w="0" w:type="dxa"/>
            <w:vAlign w:val="bottom"/>
          </w:tcPr>
          <w:p>
            <w:pPr>
              <w:spacing w:after="0"/>
              <w:rPr>
                <w:sz w:val="1"/>
                <w:szCs w:val="1"/>
                <w:color w:val="auto"/>
              </w:rPr>
            </w:pPr>
          </w:p>
        </w:tc>
      </w:tr>
      <w:tr>
        <w:trPr>
          <w:trHeight w:val="183"/>
        </w:trPr>
        <w:tc>
          <w:tcPr>
            <w:tcW w:w="708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Average market price of common stock used for calculation of dilutive shares</w:t>
            </w:r>
          </w:p>
        </w:tc>
        <w:tc>
          <w:tcPr>
            <w:tcW w:w="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163"/>
              <w:spacing w:after="0" w:line="183" w:lineRule="exact"/>
              <w:rPr>
                <w:sz w:val="20"/>
                <w:szCs w:val="20"/>
                <w:color w:val="auto"/>
              </w:rPr>
            </w:pPr>
            <w:r>
              <w:rPr>
                <w:rFonts w:ascii="Arial" w:cs="Arial" w:eastAsia="Arial" w:hAnsi="Arial"/>
                <w:sz w:val="16"/>
                <w:szCs w:val="16"/>
                <w:b w:val="1"/>
                <w:bCs w:val="1"/>
                <w:color w:val="auto"/>
              </w:rPr>
              <w:t>82.99</w:t>
            </w:r>
          </w:p>
        </w:tc>
        <w:tc>
          <w:tcPr>
            <w:tcW w:w="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41"/>
              <w:spacing w:after="0" w:line="183" w:lineRule="exact"/>
              <w:rPr>
                <w:sz w:val="20"/>
                <w:szCs w:val="20"/>
                <w:color w:val="auto"/>
              </w:rPr>
            </w:pPr>
            <w:r>
              <w:rPr>
                <w:rFonts w:ascii="Arial" w:cs="Arial" w:eastAsia="Arial" w:hAnsi="Arial"/>
                <w:sz w:val="16"/>
                <w:szCs w:val="16"/>
                <w:color w:val="auto"/>
              </w:rPr>
              <w:t>72.30</w:t>
            </w:r>
          </w:p>
        </w:tc>
        <w:tc>
          <w:tcPr>
            <w:tcW w:w="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162"/>
              <w:spacing w:after="0" w:line="183" w:lineRule="exact"/>
              <w:rPr>
                <w:sz w:val="20"/>
                <w:szCs w:val="20"/>
                <w:color w:val="auto"/>
              </w:rPr>
            </w:pPr>
            <w:r>
              <w:rPr>
                <w:rFonts w:ascii="Arial" w:cs="Arial" w:eastAsia="Arial" w:hAnsi="Arial"/>
                <w:sz w:val="16"/>
                <w:szCs w:val="16"/>
                <w:b w:val="1"/>
                <w:bCs w:val="1"/>
                <w:color w:val="auto"/>
              </w:rPr>
              <w:t>76.45</w:t>
            </w:r>
          </w:p>
        </w:tc>
        <w:tc>
          <w:tcPr>
            <w:tcW w:w="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81"/>
              <w:spacing w:after="0" w:line="183" w:lineRule="exact"/>
              <w:rPr>
                <w:sz w:val="20"/>
                <w:szCs w:val="20"/>
                <w:color w:val="auto"/>
              </w:rPr>
            </w:pPr>
            <w:r>
              <w:rPr>
                <w:rFonts w:ascii="Arial" w:cs="Arial" w:eastAsia="Arial" w:hAnsi="Arial"/>
                <w:sz w:val="16"/>
                <w:szCs w:val="16"/>
                <w:color w:val="auto"/>
              </w:rPr>
              <w:t>66.01</w:t>
            </w:r>
          </w:p>
        </w:tc>
        <w:tc>
          <w:tcPr>
            <w:tcW w:w="0" w:type="dxa"/>
            <w:vAlign w:val="bottom"/>
          </w:tcPr>
          <w:p>
            <w:pPr>
              <w:spacing w:after="0"/>
              <w:rPr>
                <w:sz w:val="1"/>
                <w:szCs w:val="1"/>
                <w:color w:val="auto"/>
              </w:rPr>
            </w:pPr>
          </w:p>
        </w:tc>
      </w:tr>
      <w:tr>
        <w:trPr>
          <w:trHeight w:val="347"/>
        </w:trPr>
        <w:tc>
          <w:tcPr>
            <w:tcW w:w="7080" w:type="dxa"/>
            <w:vAlign w:val="bottom"/>
          </w:tcPr>
          <w:p>
            <w:pPr>
              <w:spacing w:after="0"/>
              <w:rPr>
                <w:sz w:val="20"/>
                <w:szCs w:val="20"/>
                <w:color w:val="auto"/>
              </w:rPr>
            </w:pPr>
            <w:r>
              <w:rPr>
                <w:rFonts w:ascii="Arial" w:cs="Arial" w:eastAsia="Arial" w:hAnsi="Arial"/>
                <w:sz w:val="16"/>
                <w:szCs w:val="16"/>
                <w:b w:val="1"/>
                <w:bCs w:val="1"/>
                <w:color w:val="auto"/>
              </w:rPr>
              <w:t>Net income attributable to the Company per share:</w:t>
            </w: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vMerge w:val="restart"/>
          </w:tcPr>
          <w:p>
            <w:pPr>
              <w:jc w:val="right"/>
              <w:ind w:right="163"/>
              <w:spacing w:after="0"/>
              <w:rPr>
                <w:sz w:val="20"/>
                <w:szCs w:val="20"/>
                <w:color w:val="auto"/>
              </w:rPr>
            </w:pPr>
            <w:r>
              <w:rPr>
                <w:rFonts w:ascii="Arial" w:cs="Arial" w:eastAsia="Arial" w:hAnsi="Arial"/>
                <w:sz w:val="16"/>
                <w:szCs w:val="16"/>
                <w:b w:val="1"/>
                <w:bCs w:val="1"/>
                <w:color w:val="auto"/>
              </w:rPr>
              <w:t>1.24</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rPr>
              <w:t>3.20</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080" w:type="dxa"/>
            <w:vAlign w:val="bottom"/>
          </w:tcPr>
          <w:p>
            <w:pPr>
              <w:ind w:left="120"/>
              <w:spacing w:after="0" w:line="169" w:lineRule="exact"/>
              <w:rPr>
                <w:sz w:val="20"/>
                <w:szCs w:val="20"/>
                <w:color w:val="auto"/>
              </w:rPr>
            </w:pPr>
            <w:r>
              <w:rPr>
                <w:rFonts w:ascii="Arial" w:cs="Arial" w:eastAsia="Arial" w:hAnsi="Arial"/>
                <w:sz w:val="16"/>
                <w:szCs w:val="16"/>
                <w:color w:val="auto"/>
              </w:rPr>
              <w:t>Basic</w:t>
            </w:r>
          </w:p>
        </w:tc>
        <w:tc>
          <w:tcPr>
            <w:tcW w:w="3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700" w:type="dxa"/>
            <w:vAlign w:val="bottom"/>
          </w:tcPr>
          <w:p>
            <w:pPr>
              <w:jc w:val="right"/>
              <w:ind w:right="141"/>
              <w:spacing w:after="0" w:line="169" w:lineRule="exact"/>
              <w:rPr>
                <w:sz w:val="20"/>
                <w:szCs w:val="20"/>
                <w:color w:val="auto"/>
              </w:rPr>
            </w:pPr>
            <w:r>
              <w:rPr>
                <w:rFonts w:ascii="Arial" w:cs="Arial" w:eastAsia="Arial" w:hAnsi="Arial"/>
                <w:sz w:val="16"/>
                <w:szCs w:val="16"/>
                <w:color w:val="auto"/>
              </w:rPr>
              <w:t>0.86</w:t>
            </w:r>
          </w:p>
        </w:tc>
        <w:tc>
          <w:tcPr>
            <w:tcW w:w="3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181"/>
              <w:spacing w:after="0" w:line="169" w:lineRule="exact"/>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07"/>
        </w:trPr>
        <w:tc>
          <w:tcPr>
            <w:tcW w:w="70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b w:val="1"/>
                <w:bCs w:val="1"/>
                <w:color w:val="auto"/>
              </w:rPr>
              <w:t>1.24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0.86</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3.20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Accumulated Other Comprehensive Income (AOCI)</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changes in the components of AOCI for the period December 31, 2018 to September 30, 2019:</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Pension and</w:t>
            </w:r>
          </w:p>
        </w:tc>
        <w:tc>
          <w:tcPr>
            <w:tcW w:w="12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r>
      <w:tr>
        <w:trPr>
          <w:trHeight w:val="162"/>
        </w:trPr>
        <w:tc>
          <w:tcPr>
            <w:tcW w:w="6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postretirement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Derivative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Total Other</w:t>
            </w:r>
          </w:p>
        </w:tc>
      </w:tr>
      <w:tr>
        <w:trPr>
          <w:trHeight w:val="162"/>
        </w:trPr>
        <w:tc>
          <w:tcPr>
            <w:tcW w:w="60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Translation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liability</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valuation</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Comprehensive</w:t>
            </w:r>
          </w:p>
        </w:tc>
      </w:tr>
      <w:tr>
        <w:trPr>
          <w:trHeight w:val="175"/>
        </w:trPr>
        <w:tc>
          <w:tcPr>
            <w:tcW w:w="6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adjustments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adjustments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adjustment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Income</w:t>
            </w:r>
          </w:p>
        </w:tc>
      </w:tr>
      <w:tr>
        <w:trPr>
          <w:trHeight w:val="183"/>
        </w:trPr>
        <w:tc>
          <w:tcPr>
            <w:tcW w:w="60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December 31, 2018</w:t>
            </w:r>
          </w:p>
        </w:tc>
        <w:tc>
          <w:tcPr>
            <w:tcW w:w="1260" w:type="dxa"/>
            <w:vAlign w:val="bottom"/>
            <w:tcBorders>
              <w:bottom w:val="single" w:sz="8" w:color="auto"/>
            </w:tcBorders>
          </w:tcPr>
          <w:p>
            <w:pPr>
              <w:jc w:val="right"/>
              <w:ind w:right="121"/>
              <w:spacing w:after="0" w:line="183" w:lineRule="exact"/>
              <w:rPr>
                <w:sz w:val="20"/>
                <w:szCs w:val="20"/>
                <w:color w:val="auto"/>
              </w:rPr>
            </w:pPr>
            <w:r>
              <w:rPr>
                <w:rFonts w:ascii="Arial" w:cs="Arial" w:eastAsia="Arial" w:hAnsi="Arial"/>
                <w:sz w:val="16"/>
                <w:szCs w:val="16"/>
                <w:b w:val="1"/>
                <w:bCs w:val="1"/>
                <w:color w:val="auto"/>
              </w:rPr>
              <w:t>$ (115,976)</w:t>
            </w:r>
          </w:p>
        </w:tc>
        <w:tc>
          <w:tcPr>
            <w:tcW w:w="14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9"/>
              </w:rPr>
              <w:t>$(47,109)</w:t>
            </w:r>
          </w:p>
        </w:tc>
        <w:tc>
          <w:tcPr>
            <w:tcW w:w="1220" w:type="dxa"/>
            <w:vAlign w:val="bottom"/>
            <w:tcBorders>
              <w:bottom w:val="single" w:sz="8" w:color="auto"/>
            </w:tcBorders>
          </w:tcPr>
          <w:p>
            <w:pPr>
              <w:jc w:val="right"/>
              <w:ind w:right="262"/>
              <w:spacing w:after="0" w:line="183" w:lineRule="exact"/>
              <w:rPr>
                <w:sz w:val="20"/>
                <w:szCs w:val="20"/>
                <w:color w:val="auto"/>
              </w:rPr>
            </w:pPr>
            <w:r>
              <w:rPr>
                <w:rFonts w:ascii="Arial" w:cs="Arial" w:eastAsia="Arial" w:hAnsi="Arial"/>
                <w:sz w:val="16"/>
                <w:szCs w:val="16"/>
                <w:b w:val="1"/>
                <w:bCs w:val="1"/>
                <w:color w:val="auto"/>
              </w:rPr>
              <w:t>$ 4,697</w:t>
            </w:r>
          </w:p>
        </w:tc>
        <w:tc>
          <w:tcPr>
            <w:tcW w:w="15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$(158,388)</w:t>
            </w:r>
          </w:p>
        </w:tc>
      </w:tr>
      <w:tr>
        <w:trPr>
          <w:trHeight w:val="184"/>
        </w:trPr>
        <w:tc>
          <w:tcPr>
            <w:tcW w:w="6000" w:type="dxa"/>
            <w:vAlign w:val="bottom"/>
          </w:tcPr>
          <w:p>
            <w:pPr>
              <w:spacing w:after="0"/>
              <w:rPr>
                <w:sz w:val="20"/>
                <w:szCs w:val="20"/>
                <w:color w:val="auto"/>
              </w:rPr>
            </w:pPr>
            <w:r>
              <w:rPr>
                <w:rFonts w:ascii="Arial" w:cs="Arial" w:eastAsia="Arial" w:hAnsi="Arial"/>
                <w:sz w:val="16"/>
                <w:szCs w:val="16"/>
                <w:color w:val="auto"/>
              </w:rPr>
              <w:t>Other comprehensive income/(loss) before reclassifications</w:t>
            </w: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(23,177)</w:t>
            </w:r>
          </w:p>
        </w:tc>
        <w:tc>
          <w:tcPr>
            <w:tcW w:w="1420" w:type="dxa"/>
            <w:vAlign w:val="bottom"/>
          </w:tcPr>
          <w:p>
            <w:pPr>
              <w:jc w:val="right"/>
              <w:ind w:right="322"/>
              <w:spacing w:after="0"/>
              <w:rPr>
                <w:sz w:val="20"/>
                <w:szCs w:val="20"/>
                <w:color w:val="auto"/>
              </w:rPr>
            </w:pPr>
            <w:r>
              <w:rPr>
                <w:rFonts w:ascii="Arial" w:cs="Arial" w:eastAsia="Arial" w:hAnsi="Arial"/>
                <w:sz w:val="16"/>
                <w:szCs w:val="16"/>
                <w:color w:val="auto"/>
              </w:rPr>
              <w:t>280</w:t>
            </w:r>
          </w:p>
        </w:tc>
        <w:tc>
          <w:tcPr>
            <w:tcW w:w="1220" w:type="dxa"/>
            <w:vAlign w:val="bottom"/>
          </w:tcPr>
          <w:p>
            <w:pPr>
              <w:jc w:val="right"/>
              <w:ind w:right="202"/>
              <w:spacing w:after="0"/>
              <w:rPr>
                <w:sz w:val="20"/>
                <w:szCs w:val="20"/>
                <w:color w:val="auto"/>
              </w:rPr>
            </w:pPr>
            <w:r>
              <w:rPr>
                <w:rFonts w:ascii="Arial" w:cs="Arial" w:eastAsia="Arial" w:hAnsi="Arial"/>
                <w:sz w:val="16"/>
                <w:szCs w:val="16"/>
                <w:color w:val="auto"/>
              </w:rPr>
              <w:t>(8,037)</w:t>
            </w:r>
          </w:p>
        </w:tc>
        <w:tc>
          <w:tcPr>
            <w:tcW w:w="1520" w:type="dxa"/>
            <w:vAlign w:val="bottom"/>
          </w:tcPr>
          <w:p>
            <w:pPr>
              <w:jc w:val="right"/>
              <w:ind w:right="242"/>
              <w:spacing w:after="0"/>
              <w:rPr>
                <w:sz w:val="20"/>
                <w:szCs w:val="20"/>
                <w:color w:val="auto"/>
              </w:rPr>
            </w:pPr>
            <w:r>
              <w:rPr>
                <w:rFonts w:ascii="Arial" w:cs="Arial" w:eastAsia="Arial" w:hAnsi="Arial"/>
                <w:sz w:val="16"/>
                <w:szCs w:val="16"/>
                <w:color w:val="auto"/>
              </w:rPr>
              <w:t>(30,934)</w:t>
            </w:r>
          </w:p>
        </w:tc>
      </w:tr>
      <w:tr>
        <w:trPr>
          <w:trHeight w:val="189"/>
        </w:trPr>
        <w:tc>
          <w:tcPr>
            <w:tcW w:w="6000" w:type="dxa"/>
            <w:vAlign w:val="bottom"/>
          </w:tcPr>
          <w:p>
            <w:pPr>
              <w:spacing w:after="0"/>
              <w:rPr>
                <w:sz w:val="20"/>
                <w:szCs w:val="20"/>
                <w:color w:val="auto"/>
              </w:rPr>
            </w:pPr>
            <w:r>
              <w:rPr>
                <w:rFonts w:ascii="Arial" w:cs="Arial" w:eastAsia="Arial" w:hAnsi="Arial"/>
                <w:sz w:val="16"/>
                <w:szCs w:val="16"/>
                <w:color w:val="auto"/>
              </w:rPr>
              <w:t>Interest expense related to swaps reclassified to the Consolidated Statements of</w:t>
            </w:r>
          </w:p>
        </w:tc>
        <w:tc>
          <w:tcPr>
            <w:tcW w:w="1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9"/>
        </w:trPr>
        <w:tc>
          <w:tcPr>
            <w:tcW w:w="6000" w:type="dxa"/>
            <w:vAlign w:val="bottom"/>
          </w:tcPr>
          <w:p>
            <w:pPr>
              <w:ind w:left="120"/>
              <w:spacing w:after="0"/>
              <w:rPr>
                <w:sz w:val="20"/>
                <w:szCs w:val="20"/>
                <w:color w:val="auto"/>
              </w:rPr>
            </w:pPr>
            <w:r>
              <w:rPr>
                <w:rFonts w:ascii="Arial" w:cs="Arial" w:eastAsia="Arial" w:hAnsi="Arial"/>
                <w:sz w:val="16"/>
                <w:szCs w:val="16"/>
                <w:color w:val="auto"/>
              </w:rPr>
              <w:t>Income, net of tax</w:t>
            </w:r>
          </w:p>
        </w:tc>
        <w:tc>
          <w:tcPr>
            <w:tcW w:w="12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2"/>
              <w:spacing w:after="0"/>
              <w:rPr>
                <w:sz w:val="20"/>
                <w:szCs w:val="20"/>
                <w:color w:val="auto"/>
              </w:rPr>
            </w:pPr>
            <w:r>
              <w:rPr>
                <w:rFonts w:ascii="Arial" w:cs="Arial" w:eastAsia="Arial" w:hAnsi="Arial"/>
                <w:sz w:val="16"/>
                <w:szCs w:val="16"/>
                <w:color w:val="auto"/>
              </w:rPr>
              <w:t>(832)</w:t>
            </w:r>
          </w:p>
        </w:tc>
        <w:tc>
          <w:tcPr>
            <w:tcW w:w="1520" w:type="dxa"/>
            <w:vAlign w:val="bottom"/>
          </w:tcPr>
          <w:p>
            <w:pPr>
              <w:jc w:val="right"/>
              <w:ind w:right="242"/>
              <w:spacing w:after="0"/>
              <w:rPr>
                <w:sz w:val="20"/>
                <w:szCs w:val="20"/>
                <w:color w:val="auto"/>
              </w:rPr>
            </w:pPr>
            <w:r>
              <w:rPr>
                <w:rFonts w:ascii="Arial" w:cs="Arial" w:eastAsia="Arial" w:hAnsi="Arial"/>
                <w:sz w:val="16"/>
                <w:szCs w:val="16"/>
                <w:color w:val="auto"/>
              </w:rPr>
              <w:t>(832)</w:t>
            </w:r>
          </w:p>
        </w:tc>
      </w:tr>
      <w:tr>
        <w:trPr>
          <w:trHeight w:val="189"/>
        </w:trPr>
        <w:tc>
          <w:tcPr>
            <w:tcW w:w="6000" w:type="dxa"/>
            <w:vAlign w:val="bottom"/>
          </w:tcPr>
          <w:p>
            <w:pPr>
              <w:spacing w:after="0"/>
              <w:rPr>
                <w:sz w:val="20"/>
                <w:szCs w:val="20"/>
                <w:color w:val="auto"/>
              </w:rPr>
            </w:pPr>
            <w:r>
              <w:rPr>
                <w:rFonts w:ascii="Arial" w:cs="Arial" w:eastAsia="Arial" w:hAnsi="Arial"/>
                <w:sz w:val="16"/>
                <w:szCs w:val="16"/>
                <w:color w:val="auto"/>
              </w:rPr>
              <w:t>Pension and postretirement liability adjustments reclassified to Consolidated</w:t>
            </w:r>
          </w:p>
        </w:tc>
        <w:tc>
          <w:tcPr>
            <w:tcW w:w="1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9"/>
        </w:trPr>
        <w:tc>
          <w:tcPr>
            <w:tcW w:w="6000" w:type="dxa"/>
            <w:vAlign w:val="bottom"/>
          </w:tcPr>
          <w:p>
            <w:pPr>
              <w:ind w:left="120"/>
              <w:spacing w:after="0"/>
              <w:rPr>
                <w:sz w:val="20"/>
                <w:szCs w:val="20"/>
                <w:color w:val="auto"/>
              </w:rPr>
            </w:pPr>
            <w:r>
              <w:rPr>
                <w:rFonts w:ascii="Arial" w:cs="Arial" w:eastAsia="Arial" w:hAnsi="Arial"/>
                <w:sz w:val="16"/>
                <w:szCs w:val="16"/>
                <w:color w:val="auto"/>
              </w:rPr>
              <w:t>Statements of Income, net of tax</w:t>
            </w:r>
          </w:p>
        </w:tc>
        <w:tc>
          <w:tcPr>
            <w:tcW w:w="12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22"/>
              <w:spacing w:after="0"/>
              <w:rPr>
                <w:sz w:val="20"/>
                <w:szCs w:val="20"/>
                <w:color w:val="auto"/>
              </w:rPr>
            </w:pPr>
            <w:r>
              <w:rPr>
                <w:rFonts w:ascii="Arial" w:cs="Arial" w:eastAsia="Arial" w:hAnsi="Arial"/>
                <w:sz w:val="16"/>
                <w:szCs w:val="16"/>
                <w:color w:val="auto"/>
              </w:rPr>
              <w:t>29</w:t>
            </w:r>
          </w:p>
        </w:tc>
        <w:tc>
          <w:tcPr>
            <w:tcW w:w="122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02"/>
              <w:spacing w:after="0"/>
              <w:rPr>
                <w:sz w:val="20"/>
                <w:szCs w:val="20"/>
                <w:color w:val="auto"/>
              </w:rPr>
            </w:pPr>
            <w:r>
              <w:rPr>
                <w:rFonts w:ascii="Arial" w:cs="Arial" w:eastAsia="Arial" w:hAnsi="Arial"/>
                <w:sz w:val="16"/>
                <w:szCs w:val="16"/>
                <w:color w:val="auto"/>
              </w:rPr>
              <w:t>29</w:t>
            </w:r>
          </w:p>
        </w:tc>
      </w:tr>
      <w:tr>
        <w:trPr>
          <w:trHeight w:val="187"/>
        </w:trPr>
        <w:tc>
          <w:tcPr>
            <w:tcW w:w="6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Adjustment related to prior period change in opening valuation allowance</w:t>
            </w:r>
          </w:p>
        </w:tc>
        <w:tc>
          <w:tcPr>
            <w:tcW w:w="12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(1,346)</w:t>
            </w:r>
          </w:p>
        </w:tc>
        <w:tc>
          <w:tcPr>
            <w:tcW w:w="12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(1,346)</w:t>
            </w:r>
          </w:p>
        </w:tc>
      </w:tr>
      <w:tr>
        <w:trPr>
          <w:trHeight w:val="183"/>
        </w:trPr>
        <w:tc>
          <w:tcPr>
            <w:tcW w:w="60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Net current period other comprehensive income</w:t>
            </w:r>
          </w:p>
        </w:tc>
        <w:tc>
          <w:tcPr>
            <w:tcW w:w="1260" w:type="dxa"/>
            <w:vAlign w:val="bottom"/>
            <w:tcBorders>
              <w:bottom w:val="single" w:sz="8" w:color="auto"/>
            </w:tcBorders>
          </w:tcPr>
          <w:p>
            <w:pPr>
              <w:jc w:val="right"/>
              <w:ind w:right="121"/>
              <w:spacing w:after="0" w:line="183" w:lineRule="exact"/>
              <w:rPr>
                <w:sz w:val="20"/>
                <w:szCs w:val="20"/>
                <w:color w:val="auto"/>
              </w:rPr>
            </w:pPr>
            <w:r>
              <w:rPr>
                <w:rFonts w:ascii="Arial" w:cs="Arial" w:eastAsia="Arial" w:hAnsi="Arial"/>
                <w:sz w:val="16"/>
                <w:szCs w:val="16"/>
                <w:color w:val="auto"/>
              </w:rPr>
              <w:t>(23,177)</w:t>
            </w:r>
          </w:p>
        </w:tc>
        <w:tc>
          <w:tcPr>
            <w:tcW w:w="1420" w:type="dxa"/>
            <w:vAlign w:val="bottom"/>
            <w:tcBorders>
              <w:bottom w:val="single" w:sz="8" w:color="auto"/>
            </w:tcBorders>
          </w:tcPr>
          <w:p>
            <w:pPr>
              <w:jc w:val="right"/>
              <w:ind w:right="262"/>
              <w:spacing w:after="0" w:line="183" w:lineRule="exact"/>
              <w:rPr>
                <w:sz w:val="20"/>
                <w:szCs w:val="20"/>
                <w:color w:val="auto"/>
              </w:rPr>
            </w:pPr>
            <w:r>
              <w:rPr>
                <w:rFonts w:ascii="Arial" w:cs="Arial" w:eastAsia="Arial" w:hAnsi="Arial"/>
                <w:sz w:val="16"/>
                <w:szCs w:val="16"/>
                <w:color w:val="auto"/>
              </w:rPr>
              <w:t>(1,037)</w:t>
            </w:r>
          </w:p>
        </w:tc>
        <w:tc>
          <w:tcPr>
            <w:tcW w:w="1220" w:type="dxa"/>
            <w:vAlign w:val="bottom"/>
            <w:tcBorders>
              <w:bottom w:val="single" w:sz="8" w:color="auto"/>
            </w:tcBorders>
          </w:tcPr>
          <w:p>
            <w:pPr>
              <w:jc w:val="right"/>
              <w:ind w:right="202"/>
              <w:spacing w:after="0" w:line="183" w:lineRule="exact"/>
              <w:rPr>
                <w:sz w:val="20"/>
                <w:szCs w:val="20"/>
                <w:color w:val="auto"/>
              </w:rPr>
            </w:pPr>
            <w:r>
              <w:rPr>
                <w:rFonts w:ascii="Arial" w:cs="Arial" w:eastAsia="Arial" w:hAnsi="Arial"/>
                <w:sz w:val="16"/>
                <w:szCs w:val="16"/>
                <w:color w:val="auto"/>
              </w:rPr>
              <w:t>(8,869)</w:t>
            </w:r>
          </w:p>
        </w:tc>
        <w:tc>
          <w:tcPr>
            <w:tcW w:w="1520" w:type="dxa"/>
            <w:vAlign w:val="bottom"/>
            <w:tcBorders>
              <w:bottom w:val="single" w:sz="8" w:color="auto"/>
            </w:tcBorders>
          </w:tcPr>
          <w:p>
            <w:pPr>
              <w:jc w:val="right"/>
              <w:ind w:right="242"/>
              <w:spacing w:after="0" w:line="183" w:lineRule="exact"/>
              <w:rPr>
                <w:sz w:val="20"/>
                <w:szCs w:val="20"/>
                <w:color w:val="auto"/>
              </w:rPr>
            </w:pPr>
            <w:r>
              <w:rPr>
                <w:rFonts w:ascii="Arial" w:cs="Arial" w:eastAsia="Arial" w:hAnsi="Arial"/>
                <w:sz w:val="16"/>
                <w:szCs w:val="16"/>
                <w:color w:val="auto"/>
              </w:rPr>
              <w:t>(33,083)</w:t>
            </w:r>
          </w:p>
        </w:tc>
      </w:tr>
      <w:tr>
        <w:trPr>
          <w:trHeight w:val="183"/>
        </w:trPr>
        <w:tc>
          <w:tcPr>
            <w:tcW w:w="60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September 30, 2019</w:t>
            </w:r>
          </w:p>
        </w:tc>
        <w:tc>
          <w:tcPr>
            <w:tcW w:w="12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$(139,153)</w:t>
            </w:r>
          </w:p>
        </w:tc>
        <w:tc>
          <w:tcPr>
            <w:tcW w:w="14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9"/>
              </w:rPr>
              <w:t>$(48,146)</w:t>
            </w:r>
          </w:p>
        </w:tc>
        <w:tc>
          <w:tcPr>
            <w:tcW w:w="12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$(4,172)</w:t>
            </w:r>
          </w:p>
        </w:tc>
        <w:tc>
          <w:tcPr>
            <w:tcW w:w="15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$(191,471)</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changes in the components of AOCI for the period December 31, 2017 to September 30, 2018:</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Pension and</w:t>
            </w:r>
          </w:p>
        </w:tc>
        <w:tc>
          <w:tcPr>
            <w:tcW w:w="12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r>
      <w:tr>
        <w:trPr>
          <w:trHeight w:val="162"/>
        </w:trPr>
        <w:tc>
          <w:tcPr>
            <w:tcW w:w="6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postretirement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Derivative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Total Other</w:t>
            </w:r>
          </w:p>
        </w:tc>
      </w:tr>
      <w:tr>
        <w:trPr>
          <w:trHeight w:val="162"/>
        </w:trPr>
        <w:tc>
          <w:tcPr>
            <w:tcW w:w="6000" w:type="dxa"/>
            <w:vAlign w:val="bottom"/>
          </w:tcPr>
          <w:p>
            <w:pPr>
              <w:spacing w:after="0"/>
              <w:rPr>
                <w:sz w:val="14"/>
                <w:szCs w:val="14"/>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Translation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liability</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valuation</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Comprehensive</w:t>
            </w:r>
          </w:p>
        </w:tc>
      </w:tr>
      <w:tr>
        <w:trPr>
          <w:trHeight w:val="175"/>
        </w:trPr>
        <w:tc>
          <w:tcPr>
            <w:tcW w:w="6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adjustments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adjustments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adjustment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Income</w:t>
            </w:r>
          </w:p>
        </w:tc>
      </w:tr>
      <w:tr>
        <w:trPr>
          <w:trHeight w:val="183"/>
        </w:trPr>
        <w:tc>
          <w:tcPr>
            <w:tcW w:w="60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December 31, 2017</w:t>
            </w:r>
          </w:p>
        </w:tc>
        <w:tc>
          <w:tcPr>
            <w:tcW w:w="34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b w:val="1"/>
                <w:bCs w:val="1"/>
                <w:color w:val="auto"/>
              </w:rPr>
              <w:t>(87,318)</w:t>
            </w:r>
          </w:p>
        </w:tc>
        <w:tc>
          <w:tcPr>
            <w:tcW w:w="14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9"/>
              </w:rPr>
              <w:t>$(50,536)</w:t>
            </w:r>
          </w:p>
        </w:tc>
        <w:tc>
          <w:tcPr>
            <w:tcW w:w="1220" w:type="dxa"/>
            <w:vAlign w:val="bottom"/>
            <w:tcBorders>
              <w:bottom w:val="single" w:sz="8" w:color="auto"/>
            </w:tcBorders>
          </w:tcPr>
          <w:p>
            <w:pPr>
              <w:jc w:val="right"/>
              <w:ind w:right="282"/>
              <w:spacing w:after="0" w:line="183" w:lineRule="exact"/>
              <w:rPr>
                <w:sz w:val="20"/>
                <w:szCs w:val="20"/>
                <w:color w:val="auto"/>
              </w:rPr>
            </w:pPr>
            <w:r>
              <w:rPr>
                <w:rFonts w:ascii="Arial" w:cs="Arial" w:eastAsia="Arial" w:hAnsi="Arial"/>
                <w:sz w:val="16"/>
                <w:szCs w:val="16"/>
                <w:b w:val="1"/>
                <w:bCs w:val="1"/>
                <w:color w:val="auto"/>
              </w:rPr>
              <w:t>$1,953</w:t>
            </w:r>
          </w:p>
        </w:tc>
        <w:tc>
          <w:tcPr>
            <w:tcW w:w="15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$(135,901)</w:t>
            </w:r>
          </w:p>
        </w:tc>
      </w:tr>
      <w:tr>
        <w:trPr>
          <w:trHeight w:val="184"/>
        </w:trPr>
        <w:tc>
          <w:tcPr>
            <w:tcW w:w="6000" w:type="dxa"/>
            <w:vAlign w:val="bottom"/>
          </w:tcPr>
          <w:p>
            <w:pPr>
              <w:spacing w:after="0"/>
              <w:rPr>
                <w:sz w:val="20"/>
                <w:szCs w:val="20"/>
                <w:color w:val="auto"/>
              </w:rPr>
            </w:pPr>
            <w:r>
              <w:rPr>
                <w:rFonts w:ascii="Arial" w:cs="Arial" w:eastAsia="Arial" w:hAnsi="Arial"/>
                <w:sz w:val="16"/>
                <w:szCs w:val="16"/>
                <w:color w:val="auto"/>
              </w:rPr>
              <w:t>Other comprehensive income/(loss) before reclassifications</w:t>
            </w:r>
          </w:p>
        </w:tc>
        <w:tc>
          <w:tcPr>
            <w:tcW w:w="340" w:type="dxa"/>
            <w:vAlign w:val="bottom"/>
          </w:tcPr>
          <w:p>
            <w:pPr>
              <w:spacing w:after="0"/>
              <w:rPr>
                <w:sz w:val="16"/>
                <w:szCs w:val="16"/>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(23,582)</w:t>
            </w:r>
          </w:p>
        </w:tc>
        <w:tc>
          <w:tcPr>
            <w:tcW w:w="1420" w:type="dxa"/>
            <w:vAlign w:val="bottom"/>
          </w:tcPr>
          <w:p>
            <w:pPr>
              <w:jc w:val="right"/>
              <w:ind w:right="322"/>
              <w:spacing w:after="0"/>
              <w:rPr>
                <w:sz w:val="20"/>
                <w:szCs w:val="20"/>
                <w:color w:val="auto"/>
              </w:rPr>
            </w:pPr>
            <w:r>
              <w:rPr>
                <w:rFonts w:ascii="Arial" w:cs="Arial" w:eastAsia="Arial" w:hAnsi="Arial"/>
                <w:sz w:val="16"/>
                <w:szCs w:val="16"/>
                <w:color w:val="auto"/>
              </w:rPr>
              <w:t>2,389</w:t>
            </w:r>
          </w:p>
        </w:tc>
        <w:tc>
          <w:tcPr>
            <w:tcW w:w="1220" w:type="dxa"/>
            <w:vAlign w:val="bottom"/>
          </w:tcPr>
          <w:p>
            <w:pPr>
              <w:jc w:val="right"/>
              <w:ind w:right="302"/>
              <w:spacing w:after="0"/>
              <w:rPr>
                <w:sz w:val="20"/>
                <w:szCs w:val="20"/>
                <w:color w:val="auto"/>
              </w:rPr>
            </w:pPr>
            <w:r>
              <w:rPr>
                <w:rFonts w:ascii="Arial" w:cs="Arial" w:eastAsia="Arial" w:hAnsi="Arial"/>
                <w:sz w:val="16"/>
                <w:szCs w:val="16"/>
                <w:color w:val="auto"/>
              </w:rPr>
              <w:t>7,374</w:t>
            </w:r>
          </w:p>
        </w:tc>
        <w:tc>
          <w:tcPr>
            <w:tcW w:w="1520" w:type="dxa"/>
            <w:vAlign w:val="bottom"/>
          </w:tcPr>
          <w:p>
            <w:pPr>
              <w:jc w:val="right"/>
              <w:ind w:right="242"/>
              <w:spacing w:after="0"/>
              <w:rPr>
                <w:sz w:val="20"/>
                <w:szCs w:val="20"/>
                <w:color w:val="auto"/>
              </w:rPr>
            </w:pPr>
            <w:r>
              <w:rPr>
                <w:rFonts w:ascii="Arial" w:cs="Arial" w:eastAsia="Arial" w:hAnsi="Arial"/>
                <w:sz w:val="16"/>
                <w:szCs w:val="16"/>
                <w:color w:val="auto"/>
              </w:rPr>
              <w:t>(13,819)</w:t>
            </w:r>
          </w:p>
        </w:tc>
      </w:tr>
      <w:tr>
        <w:trPr>
          <w:trHeight w:val="189"/>
        </w:trPr>
        <w:tc>
          <w:tcPr>
            <w:tcW w:w="6000" w:type="dxa"/>
            <w:vAlign w:val="bottom"/>
          </w:tcPr>
          <w:p>
            <w:pPr>
              <w:spacing w:after="0"/>
              <w:rPr>
                <w:sz w:val="20"/>
                <w:szCs w:val="20"/>
                <w:color w:val="auto"/>
              </w:rPr>
            </w:pPr>
            <w:r>
              <w:rPr>
                <w:rFonts w:ascii="Arial" w:cs="Arial" w:eastAsia="Arial" w:hAnsi="Arial"/>
                <w:sz w:val="16"/>
                <w:szCs w:val="16"/>
                <w:color w:val="auto"/>
              </w:rPr>
              <w:t>Pension/postretirement curtailment gain, net of tax</w:t>
            </w:r>
          </w:p>
        </w:tc>
        <w:tc>
          <w:tcPr>
            <w:tcW w:w="340" w:type="dxa"/>
            <w:vAlign w:val="bottom"/>
          </w:tcPr>
          <w:p>
            <w:pPr>
              <w:spacing w:after="0"/>
              <w:rPr>
                <w:sz w:val="16"/>
                <w:szCs w:val="16"/>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62"/>
              <w:spacing w:after="0"/>
              <w:rPr>
                <w:sz w:val="20"/>
                <w:szCs w:val="20"/>
                <w:color w:val="auto"/>
              </w:rPr>
            </w:pPr>
            <w:r>
              <w:rPr>
                <w:rFonts w:ascii="Arial" w:cs="Arial" w:eastAsia="Arial" w:hAnsi="Arial"/>
                <w:sz w:val="16"/>
                <w:szCs w:val="16"/>
                <w:color w:val="auto"/>
              </w:rPr>
              <w:t>(525)</w:t>
            </w:r>
          </w:p>
        </w:tc>
        <w:tc>
          <w:tcPr>
            <w:tcW w:w="122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2"/>
              <w:spacing w:after="0"/>
              <w:rPr>
                <w:sz w:val="20"/>
                <w:szCs w:val="20"/>
                <w:color w:val="auto"/>
              </w:rPr>
            </w:pPr>
            <w:r>
              <w:rPr>
                <w:rFonts w:ascii="Arial" w:cs="Arial" w:eastAsia="Arial" w:hAnsi="Arial"/>
                <w:sz w:val="16"/>
                <w:szCs w:val="16"/>
                <w:color w:val="auto"/>
              </w:rPr>
              <w:t>(525)</w:t>
            </w:r>
          </w:p>
        </w:tc>
      </w:tr>
      <w:tr>
        <w:trPr>
          <w:trHeight w:val="189"/>
        </w:trPr>
        <w:tc>
          <w:tcPr>
            <w:tcW w:w="6000" w:type="dxa"/>
            <w:vAlign w:val="bottom"/>
          </w:tcPr>
          <w:p>
            <w:pPr>
              <w:spacing w:after="0"/>
              <w:rPr>
                <w:sz w:val="20"/>
                <w:szCs w:val="20"/>
                <w:color w:val="auto"/>
              </w:rPr>
            </w:pPr>
            <w:r>
              <w:rPr>
                <w:rFonts w:ascii="Arial" w:cs="Arial" w:eastAsia="Arial" w:hAnsi="Arial"/>
                <w:sz w:val="16"/>
                <w:szCs w:val="16"/>
                <w:color w:val="auto"/>
              </w:rPr>
              <w:t>Interest expense related to swaps reclassified to the Consolidated Statements of</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9"/>
        </w:trPr>
        <w:tc>
          <w:tcPr>
            <w:tcW w:w="6000" w:type="dxa"/>
            <w:vAlign w:val="bottom"/>
          </w:tcPr>
          <w:p>
            <w:pPr>
              <w:ind w:left="120"/>
              <w:spacing w:after="0"/>
              <w:rPr>
                <w:sz w:val="20"/>
                <w:szCs w:val="20"/>
                <w:color w:val="auto"/>
              </w:rPr>
            </w:pPr>
            <w:r>
              <w:rPr>
                <w:rFonts w:ascii="Arial" w:cs="Arial" w:eastAsia="Arial" w:hAnsi="Arial"/>
                <w:sz w:val="16"/>
                <w:szCs w:val="16"/>
                <w:color w:val="auto"/>
              </w:rPr>
              <w:t>Income, net of tax</w:t>
            </w:r>
          </w:p>
        </w:tc>
        <w:tc>
          <w:tcPr>
            <w:tcW w:w="340" w:type="dxa"/>
            <w:vAlign w:val="bottom"/>
          </w:tcPr>
          <w:p>
            <w:pPr>
              <w:spacing w:after="0"/>
              <w:rPr>
                <w:sz w:val="16"/>
                <w:szCs w:val="16"/>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02"/>
              <w:spacing w:after="0"/>
              <w:rPr>
                <w:sz w:val="20"/>
                <w:szCs w:val="20"/>
                <w:color w:val="auto"/>
              </w:rPr>
            </w:pPr>
            <w:r>
              <w:rPr>
                <w:rFonts w:ascii="Arial" w:cs="Arial" w:eastAsia="Arial" w:hAnsi="Arial"/>
                <w:sz w:val="16"/>
                <w:szCs w:val="16"/>
                <w:color w:val="auto"/>
              </w:rPr>
              <w:t>105</w:t>
            </w:r>
          </w:p>
        </w:tc>
        <w:tc>
          <w:tcPr>
            <w:tcW w:w="1520" w:type="dxa"/>
            <w:vAlign w:val="bottom"/>
          </w:tcPr>
          <w:p>
            <w:pPr>
              <w:jc w:val="right"/>
              <w:ind w:right="302"/>
              <w:spacing w:after="0"/>
              <w:rPr>
                <w:sz w:val="20"/>
                <w:szCs w:val="20"/>
                <w:color w:val="auto"/>
              </w:rPr>
            </w:pPr>
            <w:r>
              <w:rPr>
                <w:rFonts w:ascii="Arial" w:cs="Arial" w:eastAsia="Arial" w:hAnsi="Arial"/>
                <w:sz w:val="16"/>
                <w:szCs w:val="16"/>
                <w:color w:val="auto"/>
              </w:rPr>
              <w:t>105</w:t>
            </w:r>
          </w:p>
        </w:tc>
      </w:tr>
      <w:tr>
        <w:trPr>
          <w:trHeight w:val="189"/>
        </w:trPr>
        <w:tc>
          <w:tcPr>
            <w:tcW w:w="6000" w:type="dxa"/>
            <w:vAlign w:val="bottom"/>
          </w:tcPr>
          <w:p>
            <w:pPr>
              <w:spacing w:after="0"/>
              <w:rPr>
                <w:sz w:val="20"/>
                <w:szCs w:val="20"/>
                <w:color w:val="auto"/>
              </w:rPr>
            </w:pPr>
            <w:r>
              <w:rPr>
                <w:rFonts w:ascii="Arial" w:cs="Arial" w:eastAsia="Arial" w:hAnsi="Arial"/>
                <w:sz w:val="16"/>
                <w:szCs w:val="16"/>
                <w:color w:val="auto"/>
              </w:rPr>
              <w:t>Pension and postretirement liability adjustments reclassified to Consolidated</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9"/>
        </w:trPr>
        <w:tc>
          <w:tcPr>
            <w:tcW w:w="6000" w:type="dxa"/>
            <w:vAlign w:val="bottom"/>
          </w:tcPr>
          <w:p>
            <w:pPr>
              <w:ind w:left="120"/>
              <w:spacing w:after="0"/>
              <w:rPr>
                <w:sz w:val="20"/>
                <w:szCs w:val="20"/>
                <w:color w:val="auto"/>
              </w:rPr>
            </w:pPr>
            <w:r>
              <w:rPr>
                <w:rFonts w:ascii="Arial" w:cs="Arial" w:eastAsia="Arial" w:hAnsi="Arial"/>
                <w:sz w:val="16"/>
                <w:szCs w:val="16"/>
                <w:color w:val="auto"/>
              </w:rPr>
              <w:t>Statements of Income, net of tax</w:t>
            </w:r>
          </w:p>
        </w:tc>
        <w:tc>
          <w:tcPr>
            <w:tcW w:w="340" w:type="dxa"/>
            <w:vAlign w:val="bottom"/>
          </w:tcPr>
          <w:p>
            <w:pPr>
              <w:spacing w:after="0"/>
              <w:rPr>
                <w:sz w:val="16"/>
                <w:szCs w:val="16"/>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22"/>
              <w:spacing w:after="0"/>
              <w:rPr>
                <w:sz w:val="20"/>
                <w:szCs w:val="20"/>
                <w:color w:val="auto"/>
              </w:rPr>
            </w:pPr>
            <w:r>
              <w:rPr>
                <w:rFonts w:ascii="Arial" w:cs="Arial" w:eastAsia="Arial" w:hAnsi="Arial"/>
                <w:sz w:val="16"/>
                <w:szCs w:val="16"/>
                <w:color w:val="auto"/>
              </w:rPr>
              <w:t>379</w:t>
            </w:r>
          </w:p>
        </w:tc>
        <w:tc>
          <w:tcPr>
            <w:tcW w:w="122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02"/>
              <w:spacing w:after="0"/>
              <w:rPr>
                <w:sz w:val="20"/>
                <w:szCs w:val="20"/>
                <w:color w:val="auto"/>
              </w:rPr>
            </w:pPr>
            <w:r>
              <w:rPr>
                <w:rFonts w:ascii="Arial" w:cs="Arial" w:eastAsia="Arial" w:hAnsi="Arial"/>
                <w:sz w:val="16"/>
                <w:szCs w:val="16"/>
                <w:color w:val="auto"/>
              </w:rPr>
              <w:t>379</w:t>
            </w:r>
          </w:p>
        </w:tc>
      </w:tr>
      <w:tr>
        <w:trPr>
          <w:trHeight w:val="187"/>
        </w:trPr>
        <w:tc>
          <w:tcPr>
            <w:tcW w:w="6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current period other comprehensive income</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(23,582)</w:t>
            </w:r>
          </w:p>
        </w:tc>
        <w:tc>
          <w:tcPr>
            <w:tcW w:w="14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2,243</w:t>
            </w:r>
          </w:p>
        </w:tc>
        <w:tc>
          <w:tcPr>
            <w:tcW w:w="12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7,479</w:t>
            </w:r>
          </w:p>
        </w:tc>
        <w:tc>
          <w:tcPr>
            <w:tcW w:w="15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(13,860)</w:t>
            </w:r>
          </w:p>
        </w:tc>
      </w:tr>
      <w:tr>
        <w:trPr>
          <w:trHeight w:val="183"/>
        </w:trPr>
        <w:tc>
          <w:tcPr>
            <w:tcW w:w="60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September 30, 2018</w:t>
            </w:r>
          </w:p>
        </w:tc>
        <w:tc>
          <w:tcPr>
            <w:tcW w:w="340" w:type="dxa"/>
            <w:vAlign w:val="bottom"/>
            <w:tcBorders>
              <w:bottom w:val="single" w:sz="8" w:color="auto"/>
            </w:tcBorders>
          </w:tcPr>
          <w:p>
            <w:pPr>
              <w:ind w:left="240"/>
              <w:spacing w:after="0" w:line="183" w:lineRule="exact"/>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b w:val="1"/>
                <w:bCs w:val="1"/>
                <w:color w:val="auto"/>
                <w:w w:val="99"/>
              </w:rPr>
              <w:t>(110,900)</w:t>
            </w:r>
          </w:p>
        </w:tc>
        <w:tc>
          <w:tcPr>
            <w:tcW w:w="14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9"/>
              </w:rPr>
              <w:t>$(48,293)</w:t>
            </w:r>
          </w:p>
        </w:tc>
        <w:tc>
          <w:tcPr>
            <w:tcW w:w="1220" w:type="dxa"/>
            <w:vAlign w:val="bottom"/>
            <w:tcBorders>
              <w:bottom w:val="single" w:sz="8" w:color="auto"/>
            </w:tcBorders>
          </w:tcPr>
          <w:p>
            <w:pPr>
              <w:jc w:val="right"/>
              <w:ind w:right="282"/>
              <w:spacing w:after="0" w:line="183" w:lineRule="exact"/>
              <w:rPr>
                <w:sz w:val="20"/>
                <w:szCs w:val="20"/>
                <w:color w:val="auto"/>
              </w:rPr>
            </w:pPr>
            <w:r>
              <w:rPr>
                <w:rFonts w:ascii="Arial" w:cs="Arial" w:eastAsia="Arial" w:hAnsi="Arial"/>
                <w:sz w:val="16"/>
                <w:szCs w:val="16"/>
                <w:b w:val="1"/>
                <w:bCs w:val="1"/>
                <w:color w:val="auto"/>
              </w:rPr>
              <w:t>$9,432</w:t>
            </w:r>
          </w:p>
        </w:tc>
        <w:tc>
          <w:tcPr>
            <w:tcW w:w="15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$(149,761)</w:t>
            </w:r>
          </w:p>
        </w:tc>
      </w:tr>
    </w:tbl>
    <w:p>
      <w:pPr>
        <w:spacing w:after="0" w:line="107"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components of our Accumulated Other Comprehensive Income that are reclassified to the Statement of Income relate to our pension and postretirement plans and interest rate swaps.</w:t>
      </w:r>
    </w:p>
    <w:p>
      <w:pPr>
        <w:spacing w:after="0" w:line="8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table below presents the expense/(income) amounts reclassified, and the line items of the Consolidated Statements of Income that were affected for the three and nine months ended September 30, 2019 and 2018:</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160" w:type="dxa"/>
            <w:vAlign w:val="bottom"/>
            <w:tcBorders>
              <w:top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300" w:type="dxa"/>
            <w:vAlign w:val="bottom"/>
            <w:tcBorders>
              <w:top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980" w:type="dxa"/>
            <w:vAlign w:val="bottom"/>
            <w:tcBorders>
              <w:bottom w:val="single" w:sz="8" w:color="auto"/>
            </w:tcBorders>
            <w:gridSpan w:val="2"/>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21"/>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20"/>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62"/>
              <w:spacing w:after="0" w:line="155" w:lineRule="exact"/>
              <w:rPr>
                <w:sz w:val="20"/>
                <w:szCs w:val="20"/>
                <w:color w:val="auto"/>
              </w:rPr>
            </w:pPr>
            <w:r>
              <w:rPr>
                <w:rFonts w:ascii="Arial" w:cs="Arial" w:eastAsia="Arial" w:hAnsi="Arial"/>
                <w:sz w:val="14"/>
                <w:szCs w:val="14"/>
                <w:b w:val="1"/>
                <w:bCs w:val="1"/>
                <w:color w:val="auto"/>
                <w:w w:val="96"/>
              </w:rPr>
              <w:t>2019</w:t>
            </w: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00"/>
              <w:spacing w:after="0" w:line="155" w:lineRule="exact"/>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164"/>
        </w:trPr>
        <w:tc>
          <w:tcPr>
            <w:tcW w:w="598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Pretax Derivative valuation reclassified from Accumulated Other</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Pr>
          <w:p>
            <w:pPr>
              <w:ind w:left="100"/>
              <w:spacing w:after="0"/>
              <w:rPr>
                <w:sz w:val="20"/>
                <w:szCs w:val="20"/>
                <w:color w:val="auto"/>
              </w:rPr>
            </w:pPr>
            <w:r>
              <w:rPr>
                <w:rFonts w:ascii="Arial" w:cs="Arial" w:eastAsia="Arial" w:hAnsi="Arial"/>
                <w:sz w:val="16"/>
                <w:szCs w:val="16"/>
                <w:b w:val="1"/>
                <w:bCs w:val="1"/>
                <w:color w:val="auto"/>
              </w:rPr>
              <w:t>Comprehensive Income:</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Pr>
          <w:p>
            <w:pPr>
              <w:ind w:left="100"/>
              <w:spacing w:after="0"/>
              <w:rPr>
                <w:sz w:val="20"/>
                <w:szCs w:val="20"/>
                <w:color w:val="auto"/>
              </w:rPr>
            </w:pPr>
            <w:r>
              <w:rPr>
                <w:rFonts w:ascii="Arial" w:cs="Arial" w:eastAsia="Arial" w:hAnsi="Arial"/>
                <w:sz w:val="16"/>
                <w:szCs w:val="16"/>
                <w:color w:val="auto"/>
              </w:rPr>
              <w:t>Expense related to interest rate swaps included in Income</w:t>
            </w: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vMerge w:val="restart"/>
          </w:tcPr>
          <w:p>
            <w:pPr>
              <w:jc w:val="right"/>
              <w:ind w:right="261"/>
              <w:spacing w:after="0"/>
              <w:rPr>
                <w:sz w:val="20"/>
                <w:szCs w:val="20"/>
                <w:color w:val="auto"/>
              </w:rPr>
            </w:pPr>
            <w:r>
              <w:rPr>
                <w:rFonts w:ascii="Arial" w:cs="Arial" w:eastAsia="Arial" w:hAnsi="Arial"/>
                <w:sz w:val="16"/>
                <w:szCs w:val="16"/>
                <w:b w:val="1"/>
                <w:bCs w:val="1"/>
                <w:color w:val="auto"/>
              </w:rPr>
              <w:t>(245)</w:t>
            </w: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vMerge w:val="restart"/>
          </w:tcPr>
          <w:p>
            <w:pPr>
              <w:jc w:val="right"/>
              <w:ind w:right="282"/>
              <w:spacing w:after="0"/>
              <w:rPr>
                <w:sz w:val="20"/>
                <w:szCs w:val="20"/>
                <w:color w:val="auto"/>
              </w:rPr>
            </w:pPr>
            <w:r>
              <w:rPr>
                <w:rFonts w:ascii="Arial" w:cs="Arial" w:eastAsia="Arial" w:hAnsi="Arial"/>
                <w:sz w:val="16"/>
                <w:szCs w:val="16"/>
                <w:b w:val="1"/>
                <w:bCs w:val="1"/>
                <w:color w:val="auto"/>
              </w:rPr>
              <w:t>(1,117)</w:t>
            </w: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60" w:type="dxa"/>
            <w:vAlign w:val="bottom"/>
          </w:tcPr>
          <w:p>
            <w:pPr>
              <w:ind w:left="100"/>
              <w:spacing w:after="0" w:line="169" w:lineRule="exact"/>
              <w:rPr>
                <w:sz w:val="20"/>
                <w:szCs w:val="20"/>
                <w:color w:val="auto"/>
              </w:rPr>
            </w:pPr>
            <w:r>
              <w:rPr>
                <w:rFonts w:ascii="Arial" w:cs="Arial" w:eastAsia="Arial" w:hAnsi="Arial"/>
                <w:sz w:val="16"/>
                <w:szCs w:val="16"/>
                <w:color w:val="auto"/>
              </w:rPr>
              <w:t>before taxes(a)</w:t>
            </w:r>
          </w:p>
        </w:tc>
        <w:tc>
          <w:tcPr>
            <w:tcW w:w="4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260"/>
              <w:spacing w:after="0" w:line="169" w:lineRule="exact"/>
              <w:rPr>
                <w:sz w:val="20"/>
                <w:szCs w:val="20"/>
                <w:color w:val="auto"/>
              </w:rPr>
            </w:pPr>
            <w:r>
              <w:rPr>
                <w:rFonts w:ascii="Arial" w:cs="Arial" w:eastAsia="Arial" w:hAnsi="Arial"/>
                <w:sz w:val="16"/>
                <w:szCs w:val="16"/>
                <w:color w:val="auto"/>
              </w:rPr>
              <w:t>(96)</w:t>
            </w:r>
          </w:p>
        </w:tc>
        <w:tc>
          <w:tcPr>
            <w:tcW w:w="46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380"/>
              <w:spacing w:after="0" w:line="169" w:lineRule="exact"/>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9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Income tax effect</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62</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23</w:t>
            </w:r>
          </w:p>
        </w:tc>
        <w:tc>
          <w:tcPr>
            <w:tcW w:w="4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285</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4"/>
        </w:trPr>
        <w:tc>
          <w:tcPr>
            <w:tcW w:w="5980" w:type="dxa"/>
            <w:vAlign w:val="bottom"/>
            <w:gridSpan w:val="2"/>
          </w:tcPr>
          <w:p>
            <w:pPr>
              <w:spacing w:after="0"/>
              <w:rPr>
                <w:sz w:val="20"/>
                <w:szCs w:val="20"/>
                <w:color w:val="auto"/>
              </w:rPr>
            </w:pPr>
            <w:r>
              <w:rPr>
                <w:rFonts w:ascii="Arial" w:cs="Arial" w:eastAsia="Arial" w:hAnsi="Arial"/>
                <w:sz w:val="16"/>
                <w:szCs w:val="16"/>
                <w:color w:val="auto"/>
              </w:rPr>
              <w:t>Effect on net income due to items reclassified from Accumulated Other</w:t>
            </w: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vMerge w:val="restart"/>
          </w:tcPr>
          <w:p>
            <w:pPr>
              <w:jc w:val="right"/>
              <w:ind w:right="261"/>
              <w:spacing w:after="0"/>
              <w:rPr>
                <w:sz w:val="20"/>
                <w:szCs w:val="20"/>
                <w:color w:val="auto"/>
              </w:rPr>
            </w:pPr>
            <w:r>
              <w:rPr>
                <w:rFonts w:ascii="Arial" w:cs="Arial" w:eastAsia="Arial" w:hAnsi="Arial"/>
                <w:sz w:val="16"/>
                <w:szCs w:val="16"/>
                <w:b w:val="1"/>
                <w:bCs w:val="1"/>
                <w:color w:val="auto"/>
              </w:rPr>
              <w:t>(183)</w:t>
            </w: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6"/>
                <w:szCs w:val="16"/>
                <w:color w:val="auto"/>
              </w:rPr>
            </w:pPr>
          </w:p>
        </w:tc>
        <w:tc>
          <w:tcPr>
            <w:tcW w:w="860" w:type="dxa"/>
            <w:vAlign w:val="bottom"/>
            <w:vMerge w:val="restart"/>
          </w:tcPr>
          <w:p>
            <w:pPr>
              <w:jc w:val="right"/>
              <w:ind w:right="282"/>
              <w:spacing w:after="0"/>
              <w:rPr>
                <w:sz w:val="20"/>
                <w:szCs w:val="20"/>
                <w:color w:val="auto"/>
              </w:rPr>
            </w:pPr>
            <w:r>
              <w:rPr>
                <w:rFonts w:ascii="Arial" w:cs="Arial" w:eastAsia="Arial" w:hAnsi="Arial"/>
                <w:sz w:val="16"/>
                <w:szCs w:val="16"/>
                <w:b w:val="1"/>
                <w:bCs w:val="1"/>
                <w:color w:val="auto"/>
              </w:rPr>
              <w:t>(832)</w:t>
            </w: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9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Comprehensive Income</w:t>
            </w:r>
          </w:p>
        </w:tc>
        <w:tc>
          <w:tcPr>
            <w:tcW w:w="48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(73)</w:t>
            </w:r>
          </w:p>
        </w:tc>
        <w:tc>
          <w:tcPr>
            <w:tcW w:w="4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960" w:type="dxa"/>
            <w:vAlign w:val="bottom"/>
          </w:tcPr>
          <w:p>
            <w:pPr>
              <w:spacing w:after="0" w:line="165" w:lineRule="exact"/>
              <w:rPr>
                <w:sz w:val="20"/>
                <w:szCs w:val="20"/>
                <w:color w:val="auto"/>
              </w:rPr>
            </w:pPr>
            <w:r>
              <w:rPr>
                <w:rFonts w:ascii="Arial" w:cs="Arial" w:eastAsia="Arial" w:hAnsi="Arial"/>
                <w:sz w:val="16"/>
                <w:szCs w:val="16"/>
                <w:b w:val="1"/>
                <w:bCs w:val="1"/>
                <w:color w:val="auto"/>
              </w:rPr>
              <w:t>Pretax pension and postretirement liabilities reclassified from Accumulated</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Pr>
          <w:p>
            <w:pPr>
              <w:ind w:left="100"/>
              <w:spacing w:after="0"/>
              <w:rPr>
                <w:sz w:val="20"/>
                <w:szCs w:val="20"/>
                <w:color w:val="auto"/>
              </w:rPr>
            </w:pPr>
            <w:r>
              <w:rPr>
                <w:rFonts w:ascii="Arial" w:cs="Arial" w:eastAsia="Arial" w:hAnsi="Arial"/>
                <w:sz w:val="16"/>
                <w:szCs w:val="16"/>
                <w:b w:val="1"/>
                <w:bCs w:val="1"/>
                <w:color w:val="auto"/>
              </w:rPr>
              <w:t>Other Comprehensive Income:</w:t>
            </w:r>
          </w:p>
        </w:tc>
        <w:tc>
          <w:tcPr>
            <w:tcW w:w="480" w:type="dxa"/>
            <w:vAlign w:val="bottom"/>
          </w:tcPr>
          <w:p>
            <w:pPr>
              <w:spacing w:after="0"/>
              <w:rPr>
                <w:sz w:val="18"/>
                <w:szCs w:val="18"/>
                <w:color w:val="auto"/>
              </w:rPr>
            </w:pPr>
          </w:p>
        </w:tc>
        <w:tc>
          <w:tcPr>
            <w:tcW w:w="840" w:type="dxa"/>
            <w:vAlign w:val="bottom"/>
            <w:vMerge w:val="restart"/>
          </w:tcPr>
          <w:p>
            <w:pPr>
              <w:jc w:val="right"/>
              <w:ind w:right="321"/>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vMerge w:val="restart"/>
          </w:tcPr>
          <w:p>
            <w:pPr>
              <w:jc w:val="right"/>
              <w:ind w:right="342"/>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980" w:type="dxa"/>
            <w:vAlign w:val="bottom"/>
            <w:gridSpan w:val="2"/>
          </w:tcPr>
          <w:p>
            <w:pPr>
              <w:spacing w:after="0" w:line="169" w:lineRule="exact"/>
              <w:rPr>
                <w:sz w:val="20"/>
                <w:szCs w:val="20"/>
                <w:color w:val="auto"/>
              </w:rPr>
            </w:pPr>
            <w:r>
              <w:rPr>
                <w:rFonts w:ascii="Arial" w:cs="Arial" w:eastAsia="Arial" w:hAnsi="Arial"/>
                <w:sz w:val="16"/>
                <w:szCs w:val="16"/>
                <w:color w:val="auto"/>
              </w:rPr>
              <w:t>Pension/postretirement curtailment</w:t>
            </w:r>
          </w:p>
        </w:tc>
        <w:tc>
          <w:tcPr>
            <w:tcW w:w="4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ind w:right="260"/>
              <w:spacing w:after="0" w:line="169" w:lineRule="exact"/>
              <w:rPr>
                <w:sz w:val="20"/>
                <w:szCs w:val="20"/>
                <w:color w:val="auto"/>
              </w:rPr>
            </w:pPr>
            <w:r>
              <w:rPr>
                <w:rFonts w:ascii="Arial" w:cs="Arial" w:eastAsia="Arial" w:hAnsi="Arial"/>
                <w:sz w:val="16"/>
                <w:szCs w:val="16"/>
                <w:color w:val="auto"/>
              </w:rPr>
              <w:t>(232)</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ind w:right="340"/>
              <w:spacing w:after="0" w:line="169" w:lineRule="exact"/>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Pr>
          <w:p>
            <w:pPr>
              <w:ind w:left="100"/>
              <w:spacing w:after="0"/>
              <w:rPr>
                <w:sz w:val="20"/>
                <w:szCs w:val="20"/>
                <w:color w:val="auto"/>
              </w:rPr>
            </w:pPr>
            <w:r>
              <w:rPr>
                <w:rFonts w:ascii="Arial" w:cs="Arial" w:eastAsia="Arial" w:hAnsi="Arial"/>
                <w:sz w:val="16"/>
                <w:szCs w:val="16"/>
                <w:color w:val="auto"/>
              </w:rPr>
              <w:t>Amortization of prior service credit</w:t>
            </w:r>
          </w:p>
        </w:tc>
        <w:tc>
          <w:tcPr>
            <w:tcW w:w="1320" w:type="dxa"/>
            <w:vAlign w:val="bottom"/>
            <w:gridSpan w:val="2"/>
          </w:tcPr>
          <w:p>
            <w:pPr>
              <w:jc w:val="right"/>
              <w:ind w:right="261"/>
              <w:spacing w:after="0"/>
              <w:rPr>
                <w:sz w:val="20"/>
                <w:szCs w:val="20"/>
                <w:color w:val="auto"/>
              </w:rPr>
            </w:pPr>
            <w:r>
              <w:rPr>
                <w:rFonts w:ascii="Arial" w:cs="Arial" w:eastAsia="Arial" w:hAnsi="Arial"/>
                <w:sz w:val="16"/>
                <w:szCs w:val="16"/>
                <w:b w:val="1"/>
                <w:bCs w:val="1"/>
                <w:color w:val="auto"/>
              </w:rPr>
              <w:t>(1,105)</w:t>
            </w:r>
          </w:p>
        </w:tc>
        <w:tc>
          <w:tcPr>
            <w:tcW w:w="460" w:type="dxa"/>
            <w:vAlign w:val="bottom"/>
          </w:tcPr>
          <w:p>
            <w:pPr>
              <w:spacing w:after="0"/>
              <w:rPr>
                <w:sz w:val="16"/>
                <w:szCs w:val="16"/>
                <w:color w:val="auto"/>
              </w:rPr>
            </w:pPr>
          </w:p>
        </w:tc>
        <w:tc>
          <w:tcPr>
            <w:tcW w:w="860" w:type="dxa"/>
            <w:vAlign w:val="bottom"/>
          </w:tcPr>
          <w:p>
            <w:pPr>
              <w:jc w:val="right"/>
              <w:ind w:right="260"/>
              <w:spacing w:after="0"/>
              <w:rPr>
                <w:sz w:val="20"/>
                <w:szCs w:val="20"/>
                <w:color w:val="auto"/>
              </w:rPr>
            </w:pPr>
            <w:r>
              <w:rPr>
                <w:rFonts w:ascii="Arial" w:cs="Arial" w:eastAsia="Arial" w:hAnsi="Arial"/>
                <w:sz w:val="16"/>
                <w:szCs w:val="16"/>
                <w:color w:val="auto"/>
                <w:w w:val="98"/>
              </w:rPr>
              <w:t>(1,114)</w:t>
            </w:r>
          </w:p>
        </w:tc>
        <w:tc>
          <w:tcPr>
            <w:tcW w:w="460" w:type="dxa"/>
            <w:vAlign w:val="bottom"/>
          </w:tcPr>
          <w:p>
            <w:pPr>
              <w:spacing w:after="0"/>
              <w:rPr>
                <w:sz w:val="16"/>
                <w:szCs w:val="16"/>
                <w:color w:val="auto"/>
              </w:rPr>
            </w:pPr>
          </w:p>
        </w:tc>
        <w:tc>
          <w:tcPr>
            <w:tcW w:w="900" w:type="dxa"/>
            <w:vAlign w:val="bottom"/>
            <w:gridSpan w:val="2"/>
          </w:tcPr>
          <w:p>
            <w:pPr>
              <w:jc w:val="right"/>
              <w:ind w:right="282"/>
              <w:spacing w:after="0"/>
              <w:rPr>
                <w:sz w:val="20"/>
                <w:szCs w:val="20"/>
                <w:color w:val="auto"/>
              </w:rPr>
            </w:pPr>
            <w:r>
              <w:rPr>
                <w:rFonts w:ascii="Arial" w:cs="Arial" w:eastAsia="Arial" w:hAnsi="Arial"/>
                <w:sz w:val="16"/>
                <w:szCs w:val="16"/>
                <w:b w:val="1"/>
                <w:bCs w:val="1"/>
                <w:color w:val="auto"/>
              </w:rPr>
              <w:t>(3,315)</w:t>
            </w:r>
          </w:p>
        </w:tc>
        <w:tc>
          <w:tcPr>
            <w:tcW w:w="1440" w:type="dxa"/>
            <w:vAlign w:val="bottom"/>
            <w:gridSpan w:val="2"/>
          </w:tcPr>
          <w:p>
            <w:pPr>
              <w:jc w:val="right"/>
              <w:ind w:right="340"/>
              <w:spacing w:after="0"/>
              <w:rPr>
                <w:sz w:val="20"/>
                <w:szCs w:val="20"/>
                <w:color w:val="auto"/>
              </w:rPr>
            </w:pPr>
            <w:r>
              <w:rPr>
                <w:rFonts w:ascii="Arial" w:cs="Arial" w:eastAsia="Arial" w:hAnsi="Arial"/>
                <w:sz w:val="16"/>
                <w:szCs w:val="16"/>
                <w:color w:val="auto"/>
              </w:rPr>
              <w:t>(3,341)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9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Amortization of net actuarial loss</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1,118</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1,294</w:t>
            </w:r>
          </w:p>
        </w:tc>
        <w:tc>
          <w:tcPr>
            <w:tcW w:w="4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3,357</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3,882</w:t>
            </w:r>
          </w:p>
        </w:tc>
        <w:tc>
          <w:tcPr>
            <w:tcW w:w="0" w:type="dxa"/>
            <w:vAlign w:val="bottom"/>
          </w:tcPr>
          <w:p>
            <w:pPr>
              <w:spacing w:after="0"/>
              <w:rPr>
                <w:sz w:val="1"/>
                <w:szCs w:val="1"/>
                <w:color w:val="auto"/>
              </w:rPr>
            </w:pPr>
          </w:p>
        </w:tc>
      </w:tr>
      <w:tr>
        <w:trPr>
          <w:trHeight w:val="164"/>
        </w:trPr>
        <w:tc>
          <w:tcPr>
            <w:tcW w:w="5980" w:type="dxa"/>
            <w:vAlign w:val="bottom"/>
            <w:gridSpan w:val="2"/>
          </w:tcPr>
          <w:p>
            <w:pPr>
              <w:spacing w:after="0" w:line="165" w:lineRule="exact"/>
              <w:rPr>
                <w:sz w:val="20"/>
                <w:szCs w:val="20"/>
                <w:color w:val="auto"/>
              </w:rPr>
            </w:pPr>
            <w:r>
              <w:rPr>
                <w:rFonts w:ascii="Arial" w:cs="Arial" w:eastAsia="Arial" w:hAnsi="Arial"/>
                <w:sz w:val="16"/>
                <w:szCs w:val="16"/>
                <w:color w:val="auto"/>
              </w:rPr>
              <w:t>Total pretax amount reclassified (b)</w:t>
            </w:r>
          </w:p>
        </w:tc>
        <w:tc>
          <w:tcPr>
            <w:tcW w:w="480" w:type="dxa"/>
            <w:vAlign w:val="bottom"/>
          </w:tcPr>
          <w:p>
            <w:pPr>
              <w:spacing w:after="0"/>
              <w:rPr>
                <w:sz w:val="14"/>
                <w:szCs w:val="14"/>
                <w:color w:val="auto"/>
              </w:rPr>
            </w:pPr>
          </w:p>
        </w:tc>
        <w:tc>
          <w:tcPr>
            <w:tcW w:w="840" w:type="dxa"/>
            <w:vAlign w:val="bottom"/>
          </w:tcPr>
          <w:p>
            <w:pPr>
              <w:jc w:val="right"/>
              <w:ind w:right="301"/>
              <w:spacing w:after="0" w:line="165" w:lineRule="exact"/>
              <w:rPr>
                <w:sz w:val="20"/>
                <w:szCs w:val="20"/>
                <w:color w:val="auto"/>
              </w:rPr>
            </w:pPr>
            <w:r>
              <w:rPr>
                <w:rFonts w:ascii="Arial" w:cs="Arial" w:eastAsia="Arial" w:hAnsi="Arial"/>
                <w:sz w:val="16"/>
                <w:szCs w:val="16"/>
                <w:b w:val="1"/>
                <w:bCs w:val="1"/>
                <w:color w:val="auto"/>
              </w:rPr>
              <w:t>13</w:t>
            </w:r>
          </w:p>
        </w:tc>
        <w:tc>
          <w:tcPr>
            <w:tcW w:w="460" w:type="dxa"/>
            <w:vAlign w:val="bottom"/>
          </w:tcPr>
          <w:p>
            <w:pPr>
              <w:spacing w:after="0"/>
              <w:rPr>
                <w:sz w:val="14"/>
                <w:szCs w:val="14"/>
                <w:color w:val="auto"/>
              </w:rPr>
            </w:pPr>
          </w:p>
        </w:tc>
        <w:tc>
          <w:tcPr>
            <w:tcW w:w="860" w:type="dxa"/>
            <w:vAlign w:val="bottom"/>
          </w:tcPr>
          <w:p>
            <w:pPr>
              <w:jc w:val="right"/>
              <w:ind w:right="260"/>
              <w:spacing w:after="0" w:line="165" w:lineRule="exact"/>
              <w:rPr>
                <w:sz w:val="20"/>
                <w:szCs w:val="20"/>
                <w:color w:val="auto"/>
              </w:rPr>
            </w:pPr>
            <w:r>
              <w:rPr>
                <w:rFonts w:ascii="Arial" w:cs="Arial" w:eastAsia="Arial" w:hAnsi="Arial"/>
                <w:sz w:val="16"/>
                <w:szCs w:val="16"/>
                <w:color w:val="auto"/>
              </w:rPr>
              <w:t>(52)</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jc w:val="right"/>
              <w:ind w:right="342"/>
              <w:spacing w:after="0" w:line="165" w:lineRule="exact"/>
              <w:rPr>
                <w:sz w:val="20"/>
                <w:szCs w:val="20"/>
                <w:color w:val="auto"/>
              </w:rPr>
            </w:pPr>
            <w:r>
              <w:rPr>
                <w:rFonts w:ascii="Arial" w:cs="Arial" w:eastAsia="Arial" w:hAnsi="Arial"/>
                <w:sz w:val="16"/>
                <w:szCs w:val="16"/>
                <w:b w:val="1"/>
                <w:bCs w:val="1"/>
                <w:color w:val="auto"/>
              </w:rPr>
              <w:t>42</w:t>
            </w:r>
          </w:p>
        </w:tc>
        <w:tc>
          <w:tcPr>
            <w:tcW w:w="540" w:type="dxa"/>
            <w:vAlign w:val="bottom"/>
          </w:tcPr>
          <w:p>
            <w:pPr>
              <w:spacing w:after="0"/>
              <w:rPr>
                <w:sz w:val="14"/>
                <w:szCs w:val="14"/>
                <w:color w:val="auto"/>
              </w:rPr>
            </w:pPr>
          </w:p>
        </w:tc>
        <w:tc>
          <w:tcPr>
            <w:tcW w:w="900" w:type="dxa"/>
            <w:vAlign w:val="bottom"/>
          </w:tcPr>
          <w:p>
            <w:pPr>
              <w:jc w:val="right"/>
              <w:ind w:right="340"/>
              <w:spacing w:after="0" w:line="165" w:lineRule="exact"/>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07"/>
        </w:trPr>
        <w:tc>
          <w:tcPr>
            <w:tcW w:w="5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Income tax effect</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(4)</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16</w:t>
            </w:r>
          </w:p>
        </w:tc>
        <w:tc>
          <w:tcPr>
            <w:tcW w:w="4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(13)</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84"/>
        </w:trPr>
        <w:tc>
          <w:tcPr>
            <w:tcW w:w="5980" w:type="dxa"/>
            <w:vAlign w:val="bottom"/>
            <w:gridSpan w:val="2"/>
          </w:tcPr>
          <w:p>
            <w:pPr>
              <w:spacing w:after="0"/>
              <w:rPr>
                <w:sz w:val="20"/>
                <w:szCs w:val="20"/>
                <w:color w:val="auto"/>
              </w:rPr>
            </w:pPr>
            <w:r>
              <w:rPr>
                <w:rFonts w:ascii="Arial" w:cs="Arial" w:eastAsia="Arial" w:hAnsi="Arial"/>
                <w:sz w:val="16"/>
                <w:szCs w:val="16"/>
                <w:color w:val="auto"/>
              </w:rPr>
              <w:t>Effect on net income due to items reclassified from Accumulated Other</w:t>
            </w: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vMerge w:val="restart"/>
          </w:tcPr>
          <w:p>
            <w:pPr>
              <w:jc w:val="right"/>
              <w:ind w:right="301"/>
              <w:spacing w:after="0"/>
              <w:rPr>
                <w:sz w:val="20"/>
                <w:szCs w:val="20"/>
                <w:color w:val="auto"/>
              </w:rPr>
            </w:pPr>
            <w:r>
              <w:rPr>
                <w:rFonts w:ascii="Arial" w:cs="Arial" w:eastAsia="Arial" w:hAnsi="Arial"/>
                <w:sz w:val="16"/>
                <w:szCs w:val="16"/>
                <w:b w:val="1"/>
                <w:bCs w:val="1"/>
                <w:color w:val="auto"/>
              </w:rPr>
              <w:t>9</w:t>
            </w: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ind w:right="342"/>
              <w:spacing w:after="0"/>
              <w:rPr>
                <w:sz w:val="20"/>
                <w:szCs w:val="20"/>
                <w:color w:val="auto"/>
              </w:rPr>
            </w:pPr>
            <w:r>
              <w:rPr>
                <w:rFonts w:ascii="Arial" w:cs="Arial" w:eastAsia="Arial" w:hAnsi="Arial"/>
                <w:sz w:val="16"/>
                <w:szCs w:val="16"/>
                <w:b w:val="1"/>
                <w:bCs w:val="1"/>
                <w:color w:val="auto"/>
              </w:rPr>
              <w:t>29</w:t>
            </w: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tcPr>
          <w:p>
            <w:pPr>
              <w:ind w:left="100"/>
              <w:spacing w:after="0"/>
              <w:rPr>
                <w:sz w:val="20"/>
                <w:szCs w:val="20"/>
                <w:color w:val="auto"/>
              </w:rPr>
            </w:pPr>
            <w:r>
              <w:rPr>
                <w:rFonts w:ascii="Arial" w:cs="Arial" w:eastAsia="Arial" w:hAnsi="Arial"/>
                <w:sz w:val="16"/>
                <w:szCs w:val="16"/>
                <w:color w:val="auto"/>
              </w:rPr>
              <w:t>Comprehensive Income</w:t>
            </w:r>
          </w:p>
        </w:tc>
        <w:tc>
          <w:tcPr>
            <w:tcW w:w="4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60"/>
              <w:spacing w:after="0"/>
              <w:rPr>
                <w:sz w:val="20"/>
                <w:szCs w:val="20"/>
                <w:color w:val="auto"/>
              </w:rPr>
            </w:pPr>
            <w:r>
              <w:rPr>
                <w:rFonts w:ascii="Arial" w:cs="Arial" w:eastAsia="Arial" w:hAnsi="Arial"/>
                <w:sz w:val="16"/>
                <w:szCs w:val="16"/>
                <w:color w:val="auto"/>
              </w:rPr>
              <w:t>(36)</w:t>
            </w:r>
          </w:p>
        </w:tc>
        <w:tc>
          <w:tcPr>
            <w:tcW w:w="5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20"/>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Included in Interest expense, net, are payments related to the interest rate swap agreements and amortization of swap buyouts (see Notes 15 and 16).</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These accumulated other comprehensive income components are included in the computation of net periodic cost (see Note 4).</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Noncontrolling Interest</w:t>
      </w:r>
    </w:p>
    <w:p>
      <w:pPr>
        <w:spacing w:after="0" w:line="12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Effective October 31, 2013, Safran S.A. (Safran) acquired a 10 percent equity interest in a new Albany subsidiary, Albany Safran Composites, LLC (ASC). Under the terms of the transaction agreements, ASC is the exclusive supplier to Safran of advanced 3D-woven composite parts for use in aircraft and rocket engines, thrust reversers and nacelles, and aircraft landing and braking systems (the “Safran Applications”). AEC may develop and supply parts other than advanced 3D-woven composite parts for all aerospace applications, as well as advanced 3D-woven composite parts for any aerospace applications that are not Safran Applications (such as airframe applications) and any non-aerospace applications.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The agreement provides Safran an option to purchase Albany’s remaining 90 percent interest upon the occurrence of certain bankruptcy or performance default events, or if Albany’s Engineered Composites business is sold to a direct competitor of Safran. The purchase price is based initially on the same valuation of ASC used to determine Safran’s 10 percent equity interest, and increases over time as LEAP production increases.</w:t>
      </w:r>
    </w:p>
    <w:p>
      <w:pPr>
        <w:spacing w:after="0" w:line="9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In accordance with the operating agreement, Albany received a $28 million preferred holding in ASC, which includes a preferred return based on the Company’s revolving credit agreement. The common shares of ASC are owned 90 percent by Albany and 10 percent by Safran.</w:t>
      </w:r>
    </w:p>
    <w:p>
      <w:pPr>
        <w:spacing w:after="0" w:line="89"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 in the Company’s subsidiary Albany Safran Composites, LLC:</w:t>
      </w:r>
    </w:p>
    <w:p>
      <w:pPr>
        <w:spacing w:after="0" w:line="124"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20" w:type="dxa"/>
            <w:vAlign w:val="bottom"/>
            <w:tcBorders>
              <w:top w:val="single" w:sz="8" w:color="auto"/>
            </w:tcBorders>
          </w:tcPr>
          <w:p>
            <w:pPr>
              <w:spacing w:after="0"/>
              <w:rPr>
                <w:sz w:val="14"/>
                <w:szCs w:val="14"/>
                <w:color w:val="auto"/>
              </w:rPr>
            </w:pPr>
          </w:p>
        </w:tc>
        <w:tc>
          <w:tcPr>
            <w:tcW w:w="3180" w:type="dxa"/>
            <w:vAlign w:val="bottom"/>
            <w:tcBorders>
              <w:top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20" w:type="dxa"/>
            <w:vAlign w:val="bottom"/>
          </w:tcPr>
          <w:p>
            <w:pPr>
              <w:spacing w:after="0"/>
              <w:rPr>
                <w:sz w:val="15"/>
                <w:szCs w:val="15"/>
                <w:color w:val="auto"/>
              </w:rPr>
            </w:pPr>
          </w:p>
        </w:tc>
        <w:tc>
          <w:tcPr>
            <w:tcW w:w="62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62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2140" w:type="dxa"/>
            <w:vAlign w:val="bottom"/>
            <w:tcBorders>
              <w:bottom w:val="single" w:sz="8" w:color="auto"/>
            </w:tcBorders>
          </w:tcPr>
          <w:p>
            <w:pPr>
              <w:jc w:val="right"/>
              <w:ind w:right="1021"/>
              <w:spacing w:after="0" w:line="155" w:lineRule="exact"/>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gridSpan w:val="2"/>
          </w:tcPr>
          <w:p>
            <w:pPr>
              <w:jc w:val="right"/>
              <w:ind w:right="519"/>
              <w:spacing w:after="0" w:line="155" w:lineRule="exact"/>
              <w:rPr>
                <w:sz w:val="20"/>
                <w:szCs w:val="20"/>
                <w:color w:val="auto"/>
              </w:rPr>
            </w:pPr>
            <w:r>
              <w:rPr>
                <w:rFonts w:ascii="Arial" w:cs="Arial" w:eastAsia="Arial" w:hAnsi="Arial"/>
                <w:sz w:val="14"/>
                <w:szCs w:val="14"/>
                <w:b w:val="1"/>
                <w:bCs w:val="1"/>
                <w:color w:val="auto"/>
              </w:rPr>
              <w:t>2018</w:t>
            </w:r>
          </w:p>
        </w:tc>
      </w:tr>
      <w:tr>
        <w:trPr>
          <w:trHeight w:val="164"/>
        </w:trPr>
        <w:tc>
          <w:tcPr>
            <w:tcW w:w="6240" w:type="dxa"/>
            <w:vAlign w:val="bottom"/>
            <w:gridSpan w:val="2"/>
          </w:tcPr>
          <w:p>
            <w:pPr>
              <w:spacing w:after="0" w:line="165" w:lineRule="exact"/>
              <w:rPr>
                <w:sz w:val="20"/>
                <w:szCs w:val="20"/>
                <w:color w:val="auto"/>
              </w:rPr>
            </w:pPr>
            <w:r>
              <w:rPr>
                <w:rFonts w:ascii="Arial" w:cs="Arial" w:eastAsia="Arial" w:hAnsi="Arial"/>
                <w:sz w:val="16"/>
                <w:szCs w:val="16"/>
                <w:color w:val="auto"/>
              </w:rPr>
              <w:t>Net income of Albany Safran Composites (ASC)</w:t>
            </w:r>
          </w:p>
        </w:tc>
        <w:tc>
          <w:tcPr>
            <w:tcW w:w="2140" w:type="dxa"/>
            <w:vAlign w:val="bottom"/>
          </w:tcPr>
          <w:p>
            <w:pPr>
              <w:jc w:val="right"/>
              <w:ind w:right="941"/>
              <w:spacing w:after="0" w:line="165" w:lineRule="exact"/>
              <w:rPr>
                <w:sz w:val="20"/>
                <w:szCs w:val="20"/>
                <w:color w:val="auto"/>
              </w:rPr>
            </w:pPr>
            <w:r>
              <w:rPr>
                <w:rFonts w:ascii="Arial" w:cs="Arial" w:eastAsia="Arial" w:hAnsi="Arial"/>
                <w:sz w:val="16"/>
                <w:szCs w:val="16"/>
                <w:b w:val="1"/>
                <w:bCs w:val="1"/>
                <w:color w:val="auto"/>
              </w:rPr>
              <w:t>$6,368</w:t>
            </w:r>
          </w:p>
        </w:tc>
        <w:tc>
          <w:tcPr>
            <w:tcW w:w="120" w:type="dxa"/>
            <w:vAlign w:val="bottom"/>
          </w:tcPr>
          <w:p>
            <w:pPr>
              <w:jc w:val="right"/>
              <w:spacing w:after="0" w:line="165"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419"/>
              <w:spacing w:after="0" w:line="165" w:lineRule="exact"/>
              <w:rPr>
                <w:sz w:val="20"/>
                <w:szCs w:val="20"/>
                <w:color w:val="auto"/>
              </w:rPr>
            </w:pPr>
            <w:r>
              <w:rPr>
                <w:rFonts w:ascii="Arial" w:cs="Arial" w:eastAsia="Arial" w:hAnsi="Arial"/>
                <w:sz w:val="16"/>
                <w:szCs w:val="16"/>
                <w:color w:val="auto"/>
                <w:w w:val="99"/>
              </w:rPr>
              <w:t>5,433</w:t>
            </w:r>
          </w:p>
        </w:tc>
      </w:tr>
      <w:tr>
        <w:trPr>
          <w:trHeight w:val="207"/>
        </w:trPr>
        <w:tc>
          <w:tcPr>
            <w:tcW w:w="62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Less: Return attributable to the Company's preferred holding</w:t>
            </w:r>
          </w:p>
        </w:tc>
        <w:tc>
          <w:tcPr>
            <w:tcW w:w="2140" w:type="dxa"/>
            <w:vAlign w:val="bottom"/>
            <w:tcBorders>
              <w:bottom w:val="single" w:sz="8" w:color="auto"/>
            </w:tcBorders>
          </w:tcPr>
          <w:p>
            <w:pPr>
              <w:jc w:val="right"/>
              <w:ind w:right="941"/>
              <w:spacing w:after="0"/>
              <w:rPr>
                <w:sz w:val="20"/>
                <w:szCs w:val="20"/>
                <w:color w:val="auto"/>
              </w:rPr>
            </w:pPr>
            <w:r>
              <w:rPr>
                <w:rFonts w:ascii="Arial" w:cs="Arial" w:eastAsia="Arial" w:hAnsi="Arial"/>
                <w:sz w:val="16"/>
                <w:szCs w:val="16"/>
                <w:b w:val="1"/>
                <w:bCs w:val="1"/>
                <w:color w:val="auto"/>
              </w:rPr>
              <w:t>974</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965</w:t>
            </w:r>
          </w:p>
        </w:tc>
      </w:tr>
      <w:tr>
        <w:trPr>
          <w:trHeight w:val="164"/>
        </w:trPr>
        <w:tc>
          <w:tcPr>
            <w:tcW w:w="6240" w:type="dxa"/>
            <w:vAlign w:val="bottom"/>
            <w:gridSpan w:val="2"/>
          </w:tcPr>
          <w:p>
            <w:pPr>
              <w:spacing w:after="0" w:line="165" w:lineRule="exact"/>
              <w:rPr>
                <w:sz w:val="20"/>
                <w:szCs w:val="20"/>
                <w:color w:val="auto"/>
              </w:rPr>
            </w:pPr>
            <w:r>
              <w:rPr>
                <w:rFonts w:ascii="Arial" w:cs="Arial" w:eastAsia="Arial" w:hAnsi="Arial"/>
                <w:sz w:val="16"/>
                <w:szCs w:val="16"/>
                <w:color w:val="auto"/>
              </w:rPr>
              <w:t>Net income of ASC available for common ownership</w:t>
            </w:r>
          </w:p>
        </w:tc>
        <w:tc>
          <w:tcPr>
            <w:tcW w:w="2140" w:type="dxa"/>
            <w:vAlign w:val="bottom"/>
          </w:tcPr>
          <w:p>
            <w:pPr>
              <w:jc w:val="right"/>
              <w:ind w:right="941"/>
              <w:spacing w:after="0" w:line="165" w:lineRule="exact"/>
              <w:rPr>
                <w:sz w:val="20"/>
                <w:szCs w:val="20"/>
                <w:color w:val="auto"/>
              </w:rPr>
            </w:pPr>
            <w:r>
              <w:rPr>
                <w:rFonts w:ascii="Arial" w:cs="Arial" w:eastAsia="Arial" w:hAnsi="Arial"/>
                <w:sz w:val="16"/>
                <w:szCs w:val="16"/>
                <w:b w:val="1"/>
                <w:bCs w:val="1"/>
                <w:color w:val="auto"/>
              </w:rPr>
              <w:t>$5,394</w:t>
            </w:r>
          </w:p>
        </w:tc>
        <w:tc>
          <w:tcPr>
            <w:tcW w:w="120" w:type="dxa"/>
            <w:vAlign w:val="bottom"/>
          </w:tcPr>
          <w:p>
            <w:pPr>
              <w:jc w:val="right"/>
              <w:spacing w:after="0" w:line="165"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419"/>
              <w:spacing w:after="0" w:line="165" w:lineRule="exact"/>
              <w:rPr>
                <w:sz w:val="20"/>
                <w:szCs w:val="20"/>
                <w:color w:val="auto"/>
              </w:rPr>
            </w:pPr>
            <w:r>
              <w:rPr>
                <w:rFonts w:ascii="Arial" w:cs="Arial" w:eastAsia="Arial" w:hAnsi="Arial"/>
                <w:sz w:val="16"/>
                <w:szCs w:val="16"/>
                <w:color w:val="auto"/>
                <w:w w:val="99"/>
              </w:rPr>
              <w:t>4,468</w:t>
            </w:r>
          </w:p>
        </w:tc>
      </w:tr>
      <w:tr>
        <w:trPr>
          <w:trHeight w:val="207"/>
        </w:trPr>
        <w:tc>
          <w:tcPr>
            <w:tcW w:w="62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Ownership percentage of noncontrolling shareholder</w:t>
            </w:r>
          </w:p>
        </w:tc>
        <w:tc>
          <w:tcPr>
            <w:tcW w:w="2140" w:type="dxa"/>
            <w:vAlign w:val="bottom"/>
            <w:tcBorders>
              <w:bottom w:val="single" w:sz="8" w:color="auto"/>
            </w:tcBorders>
          </w:tcPr>
          <w:p>
            <w:pPr>
              <w:jc w:val="right"/>
              <w:ind w:right="881"/>
              <w:spacing w:after="0"/>
              <w:rPr>
                <w:sz w:val="20"/>
                <w:szCs w:val="20"/>
                <w:color w:val="auto"/>
              </w:rPr>
            </w:pPr>
            <w:r>
              <w:rPr>
                <w:rFonts w:ascii="Arial" w:cs="Arial" w:eastAsia="Arial" w:hAnsi="Arial"/>
                <w:sz w:val="16"/>
                <w:szCs w:val="16"/>
                <w:b w:val="1"/>
                <w:bCs w:val="1"/>
                <w:color w:val="auto"/>
              </w:rPr>
              <w:t>10%</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w:t>
            </w:r>
          </w:p>
        </w:tc>
      </w:tr>
      <w:tr>
        <w:trPr>
          <w:trHeight w:val="183"/>
        </w:trPr>
        <w:tc>
          <w:tcPr>
            <w:tcW w:w="624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6"/>
                <w:szCs w:val="16"/>
                <w:color w:val="auto"/>
              </w:rPr>
              <w:t>Net income attributable to noncontrolling interest</w:t>
            </w:r>
          </w:p>
        </w:tc>
        <w:tc>
          <w:tcPr>
            <w:tcW w:w="2140" w:type="dxa"/>
            <w:vAlign w:val="bottom"/>
            <w:tcBorders>
              <w:bottom w:val="single" w:sz="8" w:color="auto"/>
            </w:tcBorders>
          </w:tcPr>
          <w:p>
            <w:pPr>
              <w:jc w:val="right"/>
              <w:ind w:right="941"/>
              <w:spacing w:after="0" w:line="183" w:lineRule="exact"/>
              <w:rPr>
                <w:sz w:val="20"/>
                <w:szCs w:val="20"/>
                <w:color w:val="auto"/>
              </w:rPr>
            </w:pPr>
            <w:r>
              <w:rPr>
                <w:rFonts w:ascii="Arial" w:cs="Arial" w:eastAsia="Arial" w:hAnsi="Arial"/>
                <w:sz w:val="16"/>
                <w:szCs w:val="16"/>
                <w:b w:val="1"/>
                <w:bCs w:val="1"/>
                <w:color w:val="auto"/>
              </w:rPr>
              <w:t>$  539</w:t>
            </w: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color w:val="auto"/>
              </w:rPr>
              <w:t>447</w:t>
            </w:r>
          </w:p>
        </w:tc>
      </w:tr>
      <w:tr>
        <w:trPr>
          <w:trHeight w:val="327"/>
        </w:trPr>
        <w:tc>
          <w:tcPr>
            <w:tcW w:w="6240" w:type="dxa"/>
            <w:vAlign w:val="bottom"/>
            <w:gridSpan w:val="2"/>
          </w:tcPr>
          <w:p>
            <w:pPr>
              <w:spacing w:after="0"/>
              <w:rPr>
                <w:sz w:val="20"/>
                <w:szCs w:val="20"/>
                <w:color w:val="auto"/>
              </w:rPr>
            </w:pPr>
            <w:r>
              <w:rPr>
                <w:rFonts w:ascii="Arial" w:cs="Arial" w:eastAsia="Arial" w:hAnsi="Arial"/>
                <w:sz w:val="16"/>
                <w:szCs w:val="16"/>
                <w:color w:val="auto"/>
              </w:rPr>
              <w:t>Noncontrolling interest, beginning of year</w:t>
            </w:r>
          </w:p>
        </w:tc>
        <w:tc>
          <w:tcPr>
            <w:tcW w:w="2140" w:type="dxa"/>
            <w:vAlign w:val="bottom"/>
          </w:tcPr>
          <w:p>
            <w:pPr>
              <w:jc w:val="right"/>
              <w:ind w:right="941"/>
              <w:spacing w:after="0"/>
              <w:rPr>
                <w:sz w:val="20"/>
                <w:szCs w:val="20"/>
                <w:color w:val="auto"/>
              </w:rPr>
            </w:pPr>
            <w:r>
              <w:rPr>
                <w:rFonts w:ascii="Arial" w:cs="Arial" w:eastAsia="Arial" w:hAnsi="Arial"/>
                <w:sz w:val="16"/>
                <w:szCs w:val="16"/>
                <w:b w:val="1"/>
                <w:bCs w:val="1"/>
                <w:color w:val="auto"/>
              </w:rPr>
              <w:t>$3,031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9"/>
              <w:spacing w:after="0"/>
              <w:rPr>
                <w:sz w:val="20"/>
                <w:szCs w:val="20"/>
                <w:color w:val="auto"/>
              </w:rPr>
            </w:pPr>
            <w:r>
              <w:rPr>
                <w:rFonts w:ascii="Arial" w:cs="Arial" w:eastAsia="Arial" w:hAnsi="Arial"/>
                <w:sz w:val="16"/>
                <w:szCs w:val="16"/>
                <w:color w:val="auto"/>
                <w:w w:val="99"/>
              </w:rPr>
              <w:t>3,247</w:t>
            </w:r>
          </w:p>
        </w:tc>
      </w:tr>
      <w:tr>
        <w:trPr>
          <w:trHeight w:val="189"/>
        </w:trPr>
        <w:tc>
          <w:tcPr>
            <w:tcW w:w="6240" w:type="dxa"/>
            <w:vAlign w:val="bottom"/>
            <w:gridSpan w:val="2"/>
          </w:tcPr>
          <w:p>
            <w:pPr>
              <w:spacing w:after="0"/>
              <w:rPr>
                <w:sz w:val="20"/>
                <w:szCs w:val="20"/>
                <w:color w:val="auto"/>
              </w:rPr>
            </w:pPr>
            <w:r>
              <w:rPr>
                <w:rFonts w:ascii="Arial" w:cs="Arial" w:eastAsia="Arial" w:hAnsi="Arial"/>
                <w:sz w:val="16"/>
                <w:szCs w:val="16"/>
                <w:color w:val="auto"/>
              </w:rPr>
              <w:t>Decrease attributable to 2018 adoption of ASC 606</w:t>
            </w:r>
          </w:p>
        </w:tc>
        <w:tc>
          <w:tcPr>
            <w:tcW w:w="2140" w:type="dxa"/>
            <w:vAlign w:val="bottom"/>
          </w:tcPr>
          <w:p>
            <w:pPr>
              <w:jc w:val="right"/>
              <w:ind w:right="94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Arial" w:cs="Arial" w:eastAsia="Arial" w:hAnsi="Arial"/>
                <w:sz w:val="16"/>
                <w:szCs w:val="16"/>
                <w:color w:val="auto"/>
              </w:rPr>
              <w:t>(327)</w:t>
            </w:r>
          </w:p>
        </w:tc>
      </w:tr>
      <w:tr>
        <w:trPr>
          <w:trHeight w:val="189"/>
        </w:trPr>
        <w:tc>
          <w:tcPr>
            <w:tcW w:w="6240" w:type="dxa"/>
            <w:vAlign w:val="bottom"/>
            <w:gridSpan w:val="2"/>
          </w:tcPr>
          <w:p>
            <w:pPr>
              <w:spacing w:after="0"/>
              <w:rPr>
                <w:sz w:val="20"/>
                <w:szCs w:val="20"/>
                <w:color w:val="auto"/>
              </w:rPr>
            </w:pPr>
            <w:r>
              <w:rPr>
                <w:rFonts w:ascii="Arial" w:cs="Arial" w:eastAsia="Arial" w:hAnsi="Arial"/>
                <w:sz w:val="16"/>
                <w:szCs w:val="16"/>
                <w:color w:val="auto"/>
              </w:rPr>
              <w:t>Net income attributable to noncontrolling interest</w:t>
            </w:r>
          </w:p>
        </w:tc>
        <w:tc>
          <w:tcPr>
            <w:tcW w:w="2140" w:type="dxa"/>
            <w:vAlign w:val="bottom"/>
          </w:tcPr>
          <w:p>
            <w:pPr>
              <w:jc w:val="right"/>
              <w:ind w:right="941"/>
              <w:spacing w:after="0"/>
              <w:rPr>
                <w:sz w:val="20"/>
                <w:szCs w:val="20"/>
                <w:color w:val="auto"/>
              </w:rPr>
            </w:pPr>
            <w:r>
              <w:rPr>
                <w:rFonts w:ascii="Arial" w:cs="Arial" w:eastAsia="Arial" w:hAnsi="Arial"/>
                <w:sz w:val="16"/>
                <w:szCs w:val="16"/>
                <w:b w:val="1"/>
                <w:bCs w:val="1"/>
                <w:color w:val="auto"/>
              </w:rPr>
              <w:t>539</w:t>
            </w:r>
          </w:p>
        </w:tc>
        <w:tc>
          <w:tcPr>
            <w:tcW w:w="120" w:type="dxa"/>
            <w:vAlign w:val="bottom"/>
          </w:tcPr>
          <w:p>
            <w:pPr>
              <w:spacing w:after="0"/>
              <w:rPr>
                <w:sz w:val="16"/>
                <w:szCs w:val="16"/>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color w:val="auto"/>
              </w:rPr>
              <w:t>447</w:t>
            </w:r>
          </w:p>
        </w:tc>
      </w:tr>
      <w:tr>
        <w:trPr>
          <w:trHeight w:val="207"/>
        </w:trPr>
        <w:tc>
          <w:tcPr>
            <w:tcW w:w="62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Changes in other comprehensive income attributable to noncontrolling interest</w:t>
            </w:r>
          </w:p>
        </w:tc>
        <w:tc>
          <w:tcPr>
            <w:tcW w:w="2140" w:type="dxa"/>
            <w:vAlign w:val="bottom"/>
            <w:tcBorders>
              <w:bottom w:val="single" w:sz="8" w:color="auto"/>
            </w:tcBorders>
          </w:tcPr>
          <w:p>
            <w:pPr>
              <w:jc w:val="right"/>
              <w:ind w:right="881"/>
              <w:spacing w:after="0"/>
              <w:rPr>
                <w:sz w:val="20"/>
                <w:szCs w:val="20"/>
                <w:color w:val="auto"/>
              </w:rPr>
            </w:pPr>
            <w:r>
              <w:rPr>
                <w:rFonts w:ascii="Arial" w:cs="Arial" w:eastAsia="Arial" w:hAnsi="Arial"/>
                <w:sz w:val="16"/>
                <w:szCs w:val="16"/>
                <w:b w:val="1"/>
                <w:bCs w:val="1"/>
                <w:color w:val="auto"/>
              </w:rPr>
              <w:t>(19)</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w:t>
            </w:r>
          </w:p>
        </w:tc>
      </w:tr>
      <w:tr>
        <w:trPr>
          <w:trHeight w:val="183"/>
        </w:trPr>
        <w:tc>
          <w:tcPr>
            <w:tcW w:w="624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6"/>
                <w:szCs w:val="16"/>
                <w:color w:val="auto"/>
              </w:rPr>
              <w:t>Noncontrolling interest</w:t>
            </w:r>
          </w:p>
        </w:tc>
        <w:tc>
          <w:tcPr>
            <w:tcW w:w="2140" w:type="dxa"/>
            <w:vAlign w:val="bottom"/>
            <w:tcBorders>
              <w:bottom w:val="single" w:sz="8" w:color="auto"/>
            </w:tcBorders>
          </w:tcPr>
          <w:p>
            <w:pPr>
              <w:jc w:val="right"/>
              <w:ind w:right="941"/>
              <w:spacing w:after="0" w:line="183" w:lineRule="exact"/>
              <w:rPr>
                <w:sz w:val="20"/>
                <w:szCs w:val="20"/>
                <w:color w:val="auto"/>
              </w:rPr>
            </w:pPr>
            <w:r>
              <w:rPr>
                <w:rFonts w:ascii="Arial" w:cs="Arial" w:eastAsia="Arial" w:hAnsi="Arial"/>
                <w:sz w:val="16"/>
                <w:szCs w:val="16"/>
                <w:b w:val="1"/>
                <w:bCs w:val="1"/>
                <w:color w:val="auto"/>
              </w:rPr>
              <w:t>$3,551</w:t>
            </w: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color w:val="auto"/>
                <w:w w:val="99"/>
              </w:rPr>
              <w:t>3,366</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Accounts Receivable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includes trade receivables.</w:t>
      </w:r>
    </w:p>
    <w:p>
      <w:pPr>
        <w:spacing w:after="0" w:line="10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In connection with certain sales in Asia, the Company accepts a bank promissory note as customer payment. The notes may be presented for payment at maturity, which is less than one year.</w:t>
      </w:r>
    </w:p>
    <w:p>
      <w:pPr>
        <w:spacing w:after="0" w:line="89"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The Company also maintains allowances for doubtful accounts for estimated losses resulting from the inability of its customers to make required payments. The Company determines the allowance based on historical write-off experience, customer-specific facts and economic conditions. If the financial condition of the Company’s customers were to deteriorate, resulting in an impairment of their ability to make payments, additional allowances may be required.</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2019 and December 31, 2018, Accounts receivable consisted of the following:</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176"/>
        </w:trPr>
        <w:tc>
          <w:tcPr>
            <w:tcW w:w="4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26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September 30, 2019</w:t>
            </w:r>
          </w:p>
        </w:tc>
        <w:tc>
          <w:tcPr>
            <w:tcW w:w="18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December 31, 2018</w:t>
            </w:r>
          </w:p>
        </w:tc>
      </w:tr>
      <w:tr>
        <w:trPr>
          <w:trHeight w:val="164"/>
        </w:trPr>
        <w:tc>
          <w:tcPr>
            <w:tcW w:w="4320" w:type="dxa"/>
            <w:vAlign w:val="bottom"/>
          </w:tcPr>
          <w:p>
            <w:pPr>
              <w:spacing w:after="0" w:line="165" w:lineRule="exact"/>
              <w:rPr>
                <w:sz w:val="20"/>
                <w:szCs w:val="20"/>
                <w:color w:val="auto"/>
              </w:rPr>
            </w:pPr>
            <w:r>
              <w:rPr>
                <w:rFonts w:ascii="Arial" w:cs="Arial" w:eastAsia="Arial" w:hAnsi="Arial"/>
                <w:sz w:val="16"/>
                <w:szCs w:val="16"/>
                <w:color w:val="auto"/>
              </w:rPr>
              <w:t>Trade and other accounts receivable</w:t>
            </w:r>
          </w:p>
        </w:tc>
        <w:tc>
          <w:tcPr>
            <w:tcW w:w="3260" w:type="dxa"/>
            <w:vAlign w:val="bottom"/>
          </w:tcPr>
          <w:p>
            <w:pPr>
              <w:jc w:val="right"/>
              <w:ind w:right="461"/>
              <w:spacing w:after="0" w:line="165" w:lineRule="exact"/>
              <w:rPr>
                <w:sz w:val="20"/>
                <w:szCs w:val="20"/>
                <w:color w:val="auto"/>
              </w:rPr>
            </w:pPr>
            <w:r>
              <w:rPr>
                <w:rFonts w:ascii="Arial" w:cs="Arial" w:eastAsia="Arial" w:hAnsi="Arial"/>
                <w:sz w:val="16"/>
                <w:szCs w:val="16"/>
                <w:b w:val="1"/>
                <w:bCs w:val="1"/>
                <w:color w:val="auto"/>
              </w:rPr>
              <w:t>$210,919</w:t>
            </w:r>
          </w:p>
        </w:tc>
        <w:tc>
          <w:tcPr>
            <w:tcW w:w="1840" w:type="dxa"/>
            <w:vAlign w:val="bottom"/>
          </w:tcPr>
          <w:p>
            <w:pPr>
              <w:jc w:val="right"/>
              <w:ind w:right="561"/>
              <w:spacing w:after="0" w:line="165" w:lineRule="exact"/>
              <w:rPr>
                <w:sz w:val="20"/>
                <w:szCs w:val="20"/>
                <w:color w:val="auto"/>
              </w:rPr>
            </w:pPr>
            <w:r>
              <w:rPr>
                <w:rFonts w:ascii="Arial" w:cs="Arial" w:eastAsia="Arial" w:hAnsi="Arial"/>
                <w:sz w:val="16"/>
                <w:szCs w:val="16"/>
                <w:color w:val="auto"/>
              </w:rPr>
              <w:t>$211,244</w:t>
            </w:r>
          </w:p>
        </w:tc>
      </w:tr>
      <w:tr>
        <w:trPr>
          <w:trHeight w:val="189"/>
        </w:trPr>
        <w:tc>
          <w:tcPr>
            <w:tcW w:w="4320" w:type="dxa"/>
            <w:vAlign w:val="bottom"/>
          </w:tcPr>
          <w:p>
            <w:pPr>
              <w:spacing w:after="0"/>
              <w:rPr>
                <w:sz w:val="20"/>
                <w:szCs w:val="20"/>
                <w:color w:val="auto"/>
              </w:rPr>
            </w:pPr>
            <w:r>
              <w:rPr>
                <w:rFonts w:ascii="Arial" w:cs="Arial" w:eastAsia="Arial" w:hAnsi="Arial"/>
                <w:sz w:val="16"/>
                <w:szCs w:val="16"/>
                <w:color w:val="auto"/>
              </w:rPr>
              <w:t>Bank promissory notes</w:t>
            </w:r>
          </w:p>
        </w:tc>
        <w:tc>
          <w:tcPr>
            <w:tcW w:w="3260" w:type="dxa"/>
            <w:vAlign w:val="bottom"/>
          </w:tcPr>
          <w:p>
            <w:pPr>
              <w:jc w:val="right"/>
              <w:ind w:right="461"/>
              <w:spacing w:after="0"/>
              <w:rPr>
                <w:sz w:val="20"/>
                <w:szCs w:val="20"/>
                <w:color w:val="auto"/>
              </w:rPr>
            </w:pPr>
            <w:r>
              <w:rPr>
                <w:rFonts w:ascii="Arial" w:cs="Arial" w:eastAsia="Arial" w:hAnsi="Arial"/>
                <w:sz w:val="16"/>
                <w:szCs w:val="16"/>
                <w:b w:val="1"/>
                <w:bCs w:val="1"/>
                <w:color w:val="auto"/>
              </w:rPr>
              <w:t>16,062</w:t>
            </w:r>
          </w:p>
        </w:tc>
        <w:tc>
          <w:tcPr>
            <w:tcW w:w="1840" w:type="dxa"/>
            <w:vAlign w:val="bottom"/>
          </w:tcPr>
          <w:p>
            <w:pPr>
              <w:jc w:val="right"/>
              <w:ind w:right="561"/>
              <w:spacing w:after="0"/>
              <w:rPr>
                <w:sz w:val="20"/>
                <w:szCs w:val="20"/>
                <w:color w:val="auto"/>
              </w:rPr>
            </w:pPr>
            <w:r>
              <w:rPr>
                <w:rFonts w:ascii="Arial" w:cs="Arial" w:eastAsia="Arial" w:hAnsi="Arial"/>
                <w:sz w:val="16"/>
                <w:szCs w:val="16"/>
                <w:color w:val="auto"/>
              </w:rPr>
              <w:t>19,269</w:t>
            </w:r>
          </w:p>
        </w:tc>
      </w:tr>
      <w:tr>
        <w:trPr>
          <w:trHeight w:val="207"/>
        </w:trPr>
        <w:tc>
          <w:tcPr>
            <w:tcW w:w="4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Allowance for doubtful accounts</w:t>
            </w:r>
          </w:p>
        </w:tc>
        <w:tc>
          <w:tcPr>
            <w:tcW w:w="326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(2,749)</w:t>
            </w:r>
          </w:p>
        </w:tc>
        <w:tc>
          <w:tcPr>
            <w:tcW w:w="184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color w:val="auto"/>
              </w:rPr>
              <w:t>(7,337)</w:t>
            </w:r>
          </w:p>
        </w:tc>
      </w:tr>
      <w:tr>
        <w:trPr>
          <w:trHeight w:val="183"/>
        </w:trPr>
        <w:tc>
          <w:tcPr>
            <w:tcW w:w="43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Accounts receivable, net</w:t>
            </w:r>
          </w:p>
        </w:tc>
        <w:tc>
          <w:tcPr>
            <w:tcW w:w="3260" w:type="dxa"/>
            <w:vAlign w:val="bottom"/>
            <w:tcBorders>
              <w:bottom w:val="single" w:sz="8" w:color="auto"/>
            </w:tcBorders>
          </w:tcPr>
          <w:p>
            <w:pPr>
              <w:jc w:val="right"/>
              <w:ind w:right="461"/>
              <w:spacing w:after="0" w:line="183" w:lineRule="exact"/>
              <w:rPr>
                <w:sz w:val="20"/>
                <w:szCs w:val="20"/>
                <w:color w:val="auto"/>
              </w:rPr>
            </w:pPr>
            <w:r>
              <w:rPr>
                <w:rFonts w:ascii="Arial" w:cs="Arial" w:eastAsia="Arial" w:hAnsi="Arial"/>
                <w:sz w:val="16"/>
                <w:szCs w:val="16"/>
                <w:b w:val="1"/>
                <w:bCs w:val="1"/>
                <w:color w:val="auto"/>
              </w:rPr>
              <w:t>$224,232</w:t>
            </w:r>
          </w:p>
        </w:tc>
        <w:tc>
          <w:tcPr>
            <w:tcW w:w="1840" w:type="dxa"/>
            <w:vAlign w:val="bottom"/>
            <w:tcBorders>
              <w:bottom w:val="single" w:sz="8" w:color="auto"/>
            </w:tcBorders>
          </w:tcPr>
          <w:p>
            <w:pPr>
              <w:jc w:val="right"/>
              <w:ind w:right="561"/>
              <w:spacing w:after="0" w:line="183" w:lineRule="exact"/>
              <w:rPr>
                <w:sz w:val="20"/>
                <w:szCs w:val="20"/>
                <w:color w:val="auto"/>
              </w:rPr>
            </w:pPr>
            <w:r>
              <w:rPr>
                <w:rFonts w:ascii="Arial" w:cs="Arial" w:eastAsia="Arial" w:hAnsi="Arial"/>
                <w:sz w:val="16"/>
                <w:szCs w:val="16"/>
                <w:color w:val="auto"/>
              </w:rPr>
              <w:t>$223,176</w:t>
            </w:r>
          </w:p>
        </w:tc>
      </w:tr>
    </w:tbl>
    <w:p>
      <w:pPr>
        <w:spacing w:after="0" w:line="202"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During the third quarter of 2019, the Company wrote-off $5.1 million of Accounts receivables related to ongoing bankruptcy proceedings for certain Machine Clothing customers in Europe. The write-offs pertained to Accounts receivables recorded in prior years, which were fully reserved, and resulted in no impact on the Consolidated Statements of Income for the three and nine month periods ended September 30, 2019.</w:t>
      </w:r>
    </w:p>
    <w:p>
      <w:pPr>
        <w:spacing w:after="0" w:line="9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Company has Noncurrent receivables in the AEC segment that represent revenue earned which has extended payment terms. The Noncurrent receivables will be invoiced to the customer, with 2% interest, over a 10-year period starting in 2020.</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2019 and December 31, 2018, Noncurrent receivables consisted of the following:</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176"/>
        </w:trPr>
        <w:tc>
          <w:tcPr>
            <w:tcW w:w="3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720" w:type="dxa"/>
            <w:vAlign w:val="bottom"/>
            <w:tcBorders>
              <w:top w:val="single" w:sz="8" w:color="auto"/>
              <w:bottom w:val="single" w:sz="8" w:color="auto"/>
            </w:tcBorders>
          </w:tcPr>
          <w:p>
            <w:pPr>
              <w:jc w:val="center"/>
              <w:ind w:left="1883"/>
              <w:spacing w:after="0"/>
              <w:rPr>
                <w:sz w:val="20"/>
                <w:szCs w:val="20"/>
                <w:color w:val="auto"/>
              </w:rPr>
            </w:pPr>
            <w:r>
              <w:rPr>
                <w:rFonts w:ascii="Arial" w:cs="Arial" w:eastAsia="Arial" w:hAnsi="Arial"/>
                <w:sz w:val="14"/>
                <w:szCs w:val="14"/>
                <w:b w:val="1"/>
                <w:bCs w:val="1"/>
                <w:color w:val="auto"/>
              </w:rPr>
              <w:t>September 30, 2019</w:t>
            </w:r>
          </w:p>
        </w:tc>
        <w:tc>
          <w:tcPr>
            <w:tcW w:w="1840" w:type="dxa"/>
            <w:vAlign w:val="bottom"/>
            <w:tcBorders>
              <w:top w:val="single" w:sz="8" w:color="auto"/>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December 31, 2018</w:t>
            </w:r>
          </w:p>
        </w:tc>
      </w:tr>
      <w:tr>
        <w:trPr>
          <w:trHeight w:val="183"/>
        </w:trPr>
        <w:tc>
          <w:tcPr>
            <w:tcW w:w="38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Noncurrent receivables</w:t>
            </w:r>
          </w:p>
        </w:tc>
        <w:tc>
          <w:tcPr>
            <w:tcW w:w="3720" w:type="dxa"/>
            <w:vAlign w:val="bottom"/>
            <w:tcBorders>
              <w:bottom w:val="single" w:sz="8" w:color="auto"/>
            </w:tcBorders>
          </w:tcPr>
          <w:p>
            <w:pPr>
              <w:jc w:val="right"/>
              <w:ind w:right="503"/>
              <w:spacing w:after="0" w:line="183" w:lineRule="exact"/>
              <w:rPr>
                <w:sz w:val="20"/>
                <w:szCs w:val="20"/>
                <w:color w:val="auto"/>
              </w:rPr>
            </w:pPr>
            <w:r>
              <w:rPr>
                <w:rFonts w:ascii="Arial" w:cs="Arial" w:eastAsia="Arial" w:hAnsi="Arial"/>
                <w:sz w:val="16"/>
                <w:szCs w:val="16"/>
                <w:b w:val="1"/>
                <w:bCs w:val="1"/>
                <w:color w:val="auto"/>
              </w:rPr>
              <w:t>$45,699</w:t>
            </w:r>
          </w:p>
        </w:tc>
        <w:tc>
          <w:tcPr>
            <w:tcW w:w="1840" w:type="dxa"/>
            <w:vAlign w:val="bottom"/>
            <w:tcBorders>
              <w:bottom w:val="single" w:sz="8" w:color="auto"/>
            </w:tcBorders>
          </w:tcPr>
          <w:p>
            <w:pPr>
              <w:jc w:val="right"/>
              <w:ind w:right="623"/>
              <w:spacing w:after="0" w:line="183" w:lineRule="exact"/>
              <w:rPr>
                <w:sz w:val="20"/>
                <w:szCs w:val="20"/>
                <w:color w:val="auto"/>
              </w:rPr>
            </w:pPr>
            <w:r>
              <w:rPr>
                <w:rFonts w:ascii="Arial" w:cs="Arial" w:eastAsia="Arial" w:hAnsi="Arial"/>
                <w:sz w:val="16"/>
                <w:szCs w:val="16"/>
                <w:color w:val="auto"/>
              </w:rPr>
              <w:t>$45,061</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Contract Assets and Liabilities</w:t>
      </w:r>
    </w:p>
    <w:p>
      <w:pPr>
        <w:spacing w:after="0" w:line="126"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Contract assets includes unbilled amounts typically resulting from sales under contracts when the cost-to-cost method of revenue recognition is utilized, and revenue recognized exceeds the amount billed to the customer. Contract assets are transferred to Accounts receivable, net when the entitlement to pay becomes unconditional. Contract liabilities include advance payments and billings in excess of revenue recognized. Contract liabilities are included in Accrued liabilities in the Consolidated Balance Sheets.</w:t>
      </w:r>
    </w:p>
    <w:p>
      <w:pPr>
        <w:spacing w:after="0" w:line="94" w:lineRule="exact"/>
        <w:rPr>
          <w:sz w:val="20"/>
          <w:szCs w:val="20"/>
          <w:color w:val="auto"/>
        </w:rPr>
      </w:pPr>
    </w:p>
    <w:p>
      <w:pPr>
        <w:jc w:val="both"/>
        <w:ind w:right="20" w:firstLine="324"/>
        <w:spacing w:after="0"/>
        <w:rPr>
          <w:sz w:val="20"/>
          <w:szCs w:val="20"/>
          <w:color w:val="auto"/>
        </w:rPr>
      </w:pPr>
      <w:r>
        <w:rPr>
          <w:rFonts w:ascii="Arial" w:cs="Arial" w:eastAsia="Arial" w:hAnsi="Arial"/>
          <w:sz w:val="18"/>
          <w:szCs w:val="18"/>
          <w:color w:val="auto"/>
        </w:rPr>
        <w:t>Contract assets and Contract liabilities are reported on the Consolidated Balance Sheets in a net position on a contract-by-contract basis at the end of each reporting period. As of September 30, 2019 and December 31, 2018, Contract assets and Contract liabilities consisted of the following:</w:t>
      </w:r>
    </w:p>
    <w:p>
      <w:pPr>
        <w:spacing w:after="0" w:line="130" w:lineRule="exact"/>
        <w:rPr>
          <w:sz w:val="20"/>
          <w:szCs w:val="20"/>
          <w:color w:val="auto"/>
        </w:rPr>
      </w:pPr>
    </w:p>
    <w:tbl>
      <w:tblPr>
        <w:tblLayout w:type="fixed"/>
        <w:tblInd w:w="1000" w:type="dxa"/>
        <w:tblCellMar>
          <w:top w:w="0" w:type="dxa"/>
          <w:left w:w="0" w:type="dxa"/>
          <w:bottom w:w="0" w:type="dxa"/>
          <w:right w:w="0" w:type="dxa"/>
        </w:tblCellMar>
      </w:tblPr>
      <w:tr>
        <w:trPr>
          <w:trHeight w:val="176"/>
        </w:trPr>
        <w:tc>
          <w:tcPr>
            <w:tcW w:w="3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92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September 30, 2019</w:t>
            </w:r>
          </w:p>
        </w:tc>
        <w:tc>
          <w:tcPr>
            <w:tcW w:w="184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December 31, 2018</w:t>
            </w:r>
          </w:p>
        </w:tc>
      </w:tr>
      <w:tr>
        <w:trPr>
          <w:trHeight w:val="183"/>
        </w:trPr>
        <w:tc>
          <w:tcPr>
            <w:tcW w:w="36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Contract assets</w:t>
            </w:r>
          </w:p>
        </w:tc>
        <w:tc>
          <w:tcPr>
            <w:tcW w:w="3920" w:type="dxa"/>
            <w:vAlign w:val="bottom"/>
            <w:tcBorders>
              <w:bottom w:val="single" w:sz="8" w:color="auto"/>
            </w:tcBorders>
          </w:tcPr>
          <w:p>
            <w:pPr>
              <w:jc w:val="right"/>
              <w:ind w:right="502"/>
              <w:spacing w:after="0" w:line="183" w:lineRule="exact"/>
              <w:rPr>
                <w:sz w:val="20"/>
                <w:szCs w:val="20"/>
                <w:color w:val="auto"/>
              </w:rPr>
            </w:pPr>
            <w:r>
              <w:rPr>
                <w:rFonts w:ascii="Arial" w:cs="Arial" w:eastAsia="Arial" w:hAnsi="Arial"/>
                <w:sz w:val="16"/>
                <w:szCs w:val="16"/>
                <w:b w:val="1"/>
                <w:bCs w:val="1"/>
                <w:color w:val="auto"/>
              </w:rPr>
              <w:t>$64,571</w:t>
            </w:r>
          </w:p>
        </w:tc>
        <w:tc>
          <w:tcPr>
            <w:tcW w:w="1840" w:type="dxa"/>
            <w:vAlign w:val="bottom"/>
            <w:tcBorders>
              <w:bottom w:val="single" w:sz="8" w:color="auto"/>
            </w:tcBorders>
          </w:tcPr>
          <w:p>
            <w:pPr>
              <w:jc w:val="right"/>
              <w:ind w:right="622"/>
              <w:spacing w:after="0" w:line="183" w:lineRule="exact"/>
              <w:rPr>
                <w:sz w:val="20"/>
                <w:szCs w:val="20"/>
                <w:color w:val="auto"/>
              </w:rPr>
            </w:pPr>
            <w:r>
              <w:rPr>
                <w:rFonts w:ascii="Arial" w:cs="Arial" w:eastAsia="Arial" w:hAnsi="Arial"/>
                <w:sz w:val="16"/>
                <w:szCs w:val="16"/>
                <w:color w:val="auto"/>
              </w:rPr>
              <w:t>$57,447</w:t>
            </w:r>
          </w:p>
        </w:tc>
      </w:tr>
      <w:tr>
        <w:trPr>
          <w:trHeight w:val="183"/>
        </w:trPr>
        <w:tc>
          <w:tcPr>
            <w:tcW w:w="36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Contract liabilities</w:t>
            </w:r>
          </w:p>
        </w:tc>
        <w:tc>
          <w:tcPr>
            <w:tcW w:w="3920" w:type="dxa"/>
            <w:vAlign w:val="bottom"/>
            <w:tcBorders>
              <w:bottom w:val="single" w:sz="8" w:color="auto"/>
            </w:tcBorders>
          </w:tcPr>
          <w:p>
            <w:pPr>
              <w:jc w:val="right"/>
              <w:ind w:right="522"/>
              <w:spacing w:after="0" w:line="183" w:lineRule="exact"/>
              <w:rPr>
                <w:sz w:val="20"/>
                <w:szCs w:val="20"/>
                <w:color w:val="auto"/>
              </w:rPr>
            </w:pPr>
            <w:r>
              <w:rPr>
                <w:rFonts w:ascii="Arial" w:cs="Arial" w:eastAsia="Arial" w:hAnsi="Arial"/>
                <w:sz w:val="16"/>
                <w:szCs w:val="16"/>
                <w:b w:val="1"/>
                <w:bCs w:val="1"/>
                <w:color w:val="auto"/>
              </w:rPr>
              <w:t>4,713</w:t>
            </w:r>
          </w:p>
        </w:tc>
        <w:tc>
          <w:tcPr>
            <w:tcW w:w="1840" w:type="dxa"/>
            <w:vAlign w:val="bottom"/>
            <w:tcBorders>
              <w:bottom w:val="single" w:sz="8" w:color="auto"/>
            </w:tcBorders>
          </w:tcPr>
          <w:p>
            <w:pPr>
              <w:jc w:val="right"/>
              <w:ind w:right="622"/>
              <w:spacing w:after="0" w:line="183" w:lineRule="exact"/>
              <w:rPr>
                <w:sz w:val="20"/>
                <w:szCs w:val="20"/>
                <w:color w:val="auto"/>
              </w:rPr>
            </w:pPr>
            <w:r>
              <w:rPr>
                <w:rFonts w:ascii="Arial" w:cs="Arial" w:eastAsia="Arial" w:hAnsi="Arial"/>
                <w:sz w:val="16"/>
                <w:szCs w:val="16"/>
                <w:color w:val="auto"/>
              </w:rPr>
              <w:t>9,025</w:t>
            </w:r>
          </w:p>
        </w:tc>
      </w:tr>
    </w:tbl>
    <w:p>
      <w:pPr>
        <w:spacing w:after="0" w:line="202"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Contract assets increased approximately $ 7.1 million during the nine month period ended September 30, 2019. The increase was primarily due to an increase in unbilled revenue related to the satisfaction of performance obligations, in excess of the amounts billed to customers for contracts that were in a contract asset position. There were no impairment losses related to our Contract assets during the three and nine month periods ended September 30, 2019.</w:t>
      </w:r>
    </w:p>
    <w:p>
      <w:pPr>
        <w:spacing w:after="0" w:line="94"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Contract liabilities decreased approximately $4.3 million during the nine month period ended September 30, 2019, primarily due to revenue recognized from satisfied performance obligations exceeding amounts invoiced to customers for contracts that were in a contract liability position. Revenue recognized for the nine month period ended September 30, 2019, that was included in the Contract liability balance as of December 31, 2018 was $6.1 million, and included revenue in the MC and AEC segments.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Inventories</w:t>
      </w:r>
    </w:p>
    <w:p>
      <w:pPr>
        <w:spacing w:after="0" w:line="12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Costs included in inventories are raw materials, labor, supplies and allocable depreciation and overhead. Raw material inventories are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If actual demand or market conditions are less favorable than those projected by the Company, additional inventory write-downs may be required. Once established, the original cost of the inventory less the related write-down represents the new cost basis of such inventories.</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2019 and December 31, 2018, Inventories consisted of the following:</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176"/>
        </w:trPr>
        <w:tc>
          <w:tcPr>
            <w:tcW w:w="3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98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September 30, 2019</w:t>
            </w:r>
          </w:p>
        </w:tc>
        <w:tc>
          <w:tcPr>
            <w:tcW w:w="18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December 31, 2018</w:t>
            </w:r>
          </w:p>
        </w:tc>
      </w:tr>
      <w:tr>
        <w:trPr>
          <w:trHeight w:val="164"/>
        </w:trPr>
        <w:tc>
          <w:tcPr>
            <w:tcW w:w="3600" w:type="dxa"/>
            <w:vAlign w:val="bottom"/>
          </w:tcPr>
          <w:p>
            <w:pPr>
              <w:spacing w:after="0" w:line="165" w:lineRule="exact"/>
              <w:rPr>
                <w:sz w:val="20"/>
                <w:szCs w:val="20"/>
                <w:color w:val="auto"/>
              </w:rPr>
            </w:pPr>
            <w:r>
              <w:rPr>
                <w:rFonts w:ascii="Arial" w:cs="Arial" w:eastAsia="Arial" w:hAnsi="Arial"/>
                <w:sz w:val="16"/>
                <w:szCs w:val="16"/>
                <w:color w:val="auto"/>
              </w:rPr>
              <w:t>Raw materials</w:t>
            </w:r>
          </w:p>
        </w:tc>
        <w:tc>
          <w:tcPr>
            <w:tcW w:w="3980" w:type="dxa"/>
            <w:vAlign w:val="bottom"/>
          </w:tcPr>
          <w:p>
            <w:pPr>
              <w:jc w:val="right"/>
              <w:ind w:right="461"/>
              <w:spacing w:after="0" w:line="165" w:lineRule="exact"/>
              <w:rPr>
                <w:sz w:val="20"/>
                <w:szCs w:val="20"/>
                <w:color w:val="auto"/>
              </w:rPr>
            </w:pPr>
            <w:r>
              <w:rPr>
                <w:rFonts w:ascii="Arial" w:cs="Arial" w:eastAsia="Arial" w:hAnsi="Arial"/>
                <w:sz w:val="16"/>
                <w:szCs w:val="16"/>
                <w:b w:val="1"/>
                <w:bCs w:val="1"/>
                <w:color w:val="auto"/>
              </w:rPr>
              <w:t>$ 54,376</w:t>
            </w:r>
          </w:p>
        </w:tc>
        <w:tc>
          <w:tcPr>
            <w:tcW w:w="1840" w:type="dxa"/>
            <w:vAlign w:val="bottom"/>
          </w:tcPr>
          <w:p>
            <w:pPr>
              <w:jc w:val="right"/>
              <w:ind w:right="621"/>
              <w:spacing w:after="0" w:line="165" w:lineRule="exact"/>
              <w:rPr>
                <w:sz w:val="20"/>
                <w:szCs w:val="20"/>
                <w:color w:val="auto"/>
              </w:rPr>
            </w:pPr>
            <w:r>
              <w:rPr>
                <w:rFonts w:ascii="Arial" w:cs="Arial" w:eastAsia="Arial" w:hAnsi="Arial"/>
                <w:sz w:val="16"/>
                <w:szCs w:val="16"/>
                <w:color w:val="auto"/>
              </w:rPr>
              <w:t>$40,489</w:t>
            </w:r>
          </w:p>
        </w:tc>
      </w:tr>
      <w:tr>
        <w:trPr>
          <w:trHeight w:val="189"/>
        </w:trPr>
        <w:tc>
          <w:tcPr>
            <w:tcW w:w="3600" w:type="dxa"/>
            <w:vAlign w:val="bottom"/>
          </w:tcPr>
          <w:p>
            <w:pPr>
              <w:spacing w:after="0"/>
              <w:rPr>
                <w:sz w:val="20"/>
                <w:szCs w:val="20"/>
                <w:color w:val="auto"/>
              </w:rPr>
            </w:pPr>
            <w:r>
              <w:rPr>
                <w:rFonts w:ascii="Arial" w:cs="Arial" w:eastAsia="Arial" w:hAnsi="Arial"/>
                <w:sz w:val="16"/>
                <w:szCs w:val="16"/>
                <w:color w:val="auto"/>
              </w:rPr>
              <w:t>Work in process</w:t>
            </w:r>
          </w:p>
        </w:tc>
        <w:tc>
          <w:tcPr>
            <w:tcW w:w="3980" w:type="dxa"/>
            <w:vAlign w:val="bottom"/>
          </w:tcPr>
          <w:p>
            <w:pPr>
              <w:jc w:val="right"/>
              <w:ind w:right="461"/>
              <w:spacing w:after="0"/>
              <w:rPr>
                <w:sz w:val="20"/>
                <w:szCs w:val="20"/>
                <w:color w:val="auto"/>
              </w:rPr>
            </w:pPr>
            <w:r>
              <w:rPr>
                <w:rFonts w:ascii="Arial" w:cs="Arial" w:eastAsia="Arial" w:hAnsi="Arial"/>
                <w:sz w:val="16"/>
                <w:szCs w:val="16"/>
                <w:b w:val="1"/>
                <w:bCs w:val="1"/>
                <w:color w:val="auto"/>
              </w:rPr>
              <w:t>34,614</w:t>
            </w:r>
          </w:p>
        </w:tc>
        <w:tc>
          <w:tcPr>
            <w:tcW w:w="1840" w:type="dxa"/>
            <w:vAlign w:val="bottom"/>
          </w:tcPr>
          <w:p>
            <w:pPr>
              <w:jc w:val="right"/>
              <w:ind w:right="621"/>
              <w:spacing w:after="0"/>
              <w:rPr>
                <w:sz w:val="20"/>
                <w:szCs w:val="20"/>
                <w:color w:val="auto"/>
              </w:rPr>
            </w:pPr>
            <w:r>
              <w:rPr>
                <w:rFonts w:ascii="Arial" w:cs="Arial" w:eastAsia="Arial" w:hAnsi="Arial"/>
                <w:sz w:val="16"/>
                <w:szCs w:val="16"/>
                <w:color w:val="auto"/>
              </w:rPr>
              <w:t>33,181</w:t>
            </w:r>
          </w:p>
        </w:tc>
      </w:tr>
      <w:tr>
        <w:trPr>
          <w:trHeight w:val="207"/>
        </w:trPr>
        <w:tc>
          <w:tcPr>
            <w:tcW w:w="3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Finished goods</w:t>
            </w:r>
          </w:p>
        </w:tc>
        <w:tc>
          <w:tcPr>
            <w:tcW w:w="398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16,715</w:t>
            </w:r>
          </w:p>
        </w:tc>
        <w:tc>
          <w:tcPr>
            <w:tcW w:w="1840" w:type="dxa"/>
            <w:vAlign w:val="bottom"/>
            <w:tcBorders>
              <w:bottom w:val="single" w:sz="8" w:color="auto"/>
            </w:tcBorders>
          </w:tcPr>
          <w:p>
            <w:pPr>
              <w:jc w:val="right"/>
              <w:ind w:right="621"/>
              <w:spacing w:after="0"/>
              <w:rPr>
                <w:sz w:val="20"/>
                <w:szCs w:val="20"/>
                <w:color w:val="auto"/>
              </w:rPr>
            </w:pPr>
            <w:r>
              <w:rPr>
                <w:rFonts w:ascii="Arial" w:cs="Arial" w:eastAsia="Arial" w:hAnsi="Arial"/>
                <w:sz w:val="16"/>
                <w:szCs w:val="16"/>
                <w:color w:val="auto"/>
              </w:rPr>
              <w:t>12,234</w:t>
            </w:r>
          </w:p>
        </w:tc>
      </w:tr>
      <w:tr>
        <w:trPr>
          <w:trHeight w:val="183"/>
        </w:trPr>
        <w:tc>
          <w:tcPr>
            <w:tcW w:w="36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inventories</w:t>
            </w:r>
          </w:p>
        </w:tc>
        <w:tc>
          <w:tcPr>
            <w:tcW w:w="3980" w:type="dxa"/>
            <w:vAlign w:val="bottom"/>
            <w:tcBorders>
              <w:bottom w:val="single" w:sz="8" w:color="auto"/>
            </w:tcBorders>
          </w:tcPr>
          <w:p>
            <w:pPr>
              <w:jc w:val="right"/>
              <w:ind w:right="461"/>
              <w:spacing w:after="0" w:line="183" w:lineRule="exact"/>
              <w:rPr>
                <w:sz w:val="20"/>
                <w:szCs w:val="20"/>
                <w:color w:val="auto"/>
              </w:rPr>
            </w:pPr>
            <w:r>
              <w:rPr>
                <w:rFonts w:ascii="Arial" w:cs="Arial" w:eastAsia="Arial" w:hAnsi="Arial"/>
                <w:sz w:val="16"/>
                <w:szCs w:val="16"/>
                <w:b w:val="1"/>
                <w:bCs w:val="1"/>
                <w:color w:val="auto"/>
              </w:rPr>
              <w:t>$105,705</w:t>
            </w:r>
          </w:p>
        </w:tc>
        <w:tc>
          <w:tcPr>
            <w:tcW w:w="1840" w:type="dxa"/>
            <w:vAlign w:val="bottom"/>
            <w:tcBorders>
              <w:bottom w:val="single" w:sz="8" w:color="auto"/>
            </w:tcBorders>
          </w:tcPr>
          <w:p>
            <w:pPr>
              <w:jc w:val="right"/>
              <w:ind w:right="621"/>
              <w:spacing w:after="0" w:line="183" w:lineRule="exact"/>
              <w:rPr>
                <w:sz w:val="20"/>
                <w:szCs w:val="20"/>
                <w:color w:val="auto"/>
              </w:rPr>
            </w:pPr>
            <w:r>
              <w:rPr>
                <w:rFonts w:ascii="Arial" w:cs="Arial" w:eastAsia="Arial" w:hAnsi="Arial"/>
                <w:sz w:val="16"/>
                <w:szCs w:val="16"/>
                <w:color w:val="auto"/>
              </w:rPr>
              <w:t>$85,904</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Goodwill and Other Intangible Assets</w:t>
      </w:r>
    </w:p>
    <w:p>
      <w:pPr>
        <w:spacing w:after="0" w:line="12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reportable segments are consistent with our operating segments.</w:t>
      </w:r>
    </w:p>
    <w:p>
      <w:pPr>
        <w:spacing w:after="0" w:line="95"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95"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In the second quarter of 2019, the Company applied the qualitative assessment approach in performing its annual evaluation of goodwill and concluded that no impairment provision was required. There were no amounts at risk due to the large spread between the fair and carrying values of each reporting unit.</w:t>
      </w:r>
    </w:p>
    <w:p>
      <w:pPr>
        <w:spacing w:after="0" w:line="95" w:lineRule="exact"/>
        <w:rPr>
          <w:sz w:val="20"/>
          <w:szCs w:val="20"/>
          <w:color w:val="auto"/>
        </w:rPr>
      </w:pPr>
    </w:p>
    <w:p>
      <w:pPr>
        <w:jc w:val="both"/>
        <w:ind w:right="20" w:firstLine="324"/>
        <w:spacing w:after="0"/>
        <w:rPr>
          <w:sz w:val="20"/>
          <w:szCs w:val="20"/>
          <w:color w:val="auto"/>
        </w:rPr>
      </w:pPr>
      <w:r>
        <w:rPr>
          <w:rFonts w:ascii="Arial" w:cs="Arial" w:eastAsia="Arial" w:hAnsi="Arial"/>
          <w:sz w:val="18"/>
          <w:szCs w:val="18"/>
          <w:color w:val="auto"/>
        </w:rPr>
        <w:t>We are continuing to amortize certain patents, trade names, customer relationships, customer contracts and technology assets that have finite lives. The gross carrying value, accumulated amortization and net values of intangible assets and goodwill as of September 30, 2019 and December 31, 2018,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Borders>
              <w:top w:val="single" w:sz="8" w:color="auto"/>
            </w:tcBorders>
          </w:tcPr>
          <w:p>
            <w:pPr>
              <w:spacing w:after="0"/>
              <w:rPr>
                <w:sz w:val="14"/>
                <w:szCs w:val="14"/>
                <w:color w:val="auto"/>
              </w:rPr>
            </w:pPr>
          </w:p>
        </w:tc>
        <w:tc>
          <w:tcPr>
            <w:tcW w:w="2960" w:type="dxa"/>
            <w:vAlign w:val="bottom"/>
            <w:tcBorders>
              <w:top w:val="single" w:sz="8" w:color="auto"/>
            </w:tcBorders>
          </w:tcPr>
          <w:p>
            <w:pPr>
              <w:jc w:val="center"/>
              <w:ind w:left="1442"/>
              <w:spacing w:after="0"/>
              <w:rPr>
                <w:sz w:val="20"/>
                <w:szCs w:val="20"/>
                <w:color w:val="auto"/>
              </w:rPr>
            </w:pPr>
            <w:r>
              <w:rPr>
                <w:rFonts w:ascii="Arial" w:cs="Arial" w:eastAsia="Arial" w:hAnsi="Arial"/>
                <w:sz w:val="14"/>
                <w:szCs w:val="14"/>
                <w:b w:val="1"/>
                <w:bCs w:val="1"/>
                <w:color w:val="auto"/>
              </w:rPr>
              <w:t>Weighted average</w:t>
            </w:r>
          </w:p>
        </w:tc>
        <w:tc>
          <w:tcPr>
            <w:tcW w:w="4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r>
      <w:tr>
        <w:trPr>
          <w:trHeight w:val="162"/>
        </w:trPr>
        <w:tc>
          <w:tcPr>
            <w:tcW w:w="4400" w:type="dxa"/>
            <w:vAlign w:val="bottom"/>
          </w:tcPr>
          <w:p>
            <w:pPr>
              <w:spacing w:after="0"/>
              <w:rPr>
                <w:sz w:val="14"/>
                <w:szCs w:val="14"/>
                <w:color w:val="auto"/>
              </w:rPr>
            </w:pPr>
          </w:p>
        </w:tc>
        <w:tc>
          <w:tcPr>
            <w:tcW w:w="2960" w:type="dxa"/>
            <w:vAlign w:val="bottom"/>
          </w:tcPr>
          <w:p>
            <w:pPr>
              <w:jc w:val="center"/>
              <w:ind w:left="1442"/>
              <w:spacing w:after="0"/>
              <w:rPr>
                <w:sz w:val="20"/>
                <w:szCs w:val="20"/>
                <w:color w:val="auto"/>
              </w:rPr>
            </w:pPr>
            <w:r>
              <w:rPr>
                <w:rFonts w:ascii="Arial" w:cs="Arial" w:eastAsia="Arial" w:hAnsi="Arial"/>
                <w:sz w:val="14"/>
                <w:szCs w:val="14"/>
                <w:b w:val="1"/>
                <w:bCs w:val="1"/>
                <w:color w:val="auto"/>
              </w:rPr>
              <w:t>amortization life in</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Gross carrying</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5"/>
        </w:trPr>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of September 30, 2019 (in thousands)</w:t>
            </w:r>
          </w:p>
        </w:tc>
        <w:tc>
          <w:tcPr>
            <w:tcW w:w="2960" w:type="dxa"/>
            <w:vAlign w:val="bottom"/>
            <w:tcBorders>
              <w:bottom w:val="single" w:sz="8" w:color="auto"/>
            </w:tcBorders>
          </w:tcPr>
          <w:p>
            <w:pPr>
              <w:jc w:val="center"/>
              <w:ind w:left="1442"/>
              <w:spacing w:after="0"/>
              <w:rPr>
                <w:sz w:val="20"/>
                <w:szCs w:val="20"/>
                <w:color w:val="auto"/>
              </w:rPr>
            </w:pPr>
            <w:r>
              <w:rPr>
                <w:rFonts w:ascii="Arial" w:cs="Arial" w:eastAsia="Arial" w:hAnsi="Arial"/>
                <w:sz w:val="14"/>
                <w:szCs w:val="14"/>
                <w:b w:val="1"/>
                <w:bCs w:val="1"/>
                <w:color w:val="auto"/>
                <w:w w:val="98"/>
              </w:rPr>
              <w:t>years</w:t>
            </w:r>
          </w:p>
        </w:tc>
        <w:tc>
          <w:tcPr>
            <w:tcW w:w="130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4"/>
                <w:szCs w:val="14"/>
                <w:b w:val="1"/>
                <w:bCs w:val="1"/>
                <w:color w:val="auto"/>
              </w:rPr>
              <w:t>amount</w:t>
            </w: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amortization</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Net carrying amount</w:t>
            </w:r>
          </w:p>
        </w:tc>
      </w:tr>
      <w:tr>
        <w:trPr>
          <w:trHeight w:val="184"/>
        </w:trPr>
        <w:tc>
          <w:tcPr>
            <w:tcW w:w="4400" w:type="dxa"/>
            <w:vAlign w:val="bottom"/>
          </w:tcPr>
          <w:p>
            <w:pPr>
              <w:spacing w:after="0"/>
              <w:rPr>
                <w:sz w:val="20"/>
                <w:szCs w:val="20"/>
                <w:color w:val="auto"/>
              </w:rPr>
            </w:pPr>
            <w:r>
              <w:rPr>
                <w:rFonts w:ascii="Arial" w:cs="Arial" w:eastAsia="Arial" w:hAnsi="Arial"/>
                <w:sz w:val="16"/>
                <w:szCs w:val="16"/>
                <w:color w:val="auto"/>
              </w:rPr>
              <w:t>Amortized intangible assets:</w:t>
            </w:r>
          </w:p>
        </w:tc>
        <w:tc>
          <w:tcPr>
            <w:tcW w:w="2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4400" w:type="dxa"/>
            <w:vAlign w:val="bottom"/>
          </w:tcPr>
          <w:p>
            <w:pPr>
              <w:ind w:left="120"/>
              <w:spacing w:after="0"/>
              <w:rPr>
                <w:sz w:val="20"/>
                <w:szCs w:val="20"/>
                <w:color w:val="auto"/>
              </w:rPr>
            </w:pPr>
            <w:r>
              <w:rPr>
                <w:rFonts w:ascii="Arial" w:cs="Arial" w:eastAsia="Arial" w:hAnsi="Arial"/>
                <w:sz w:val="16"/>
                <w:szCs w:val="16"/>
                <w:color w:val="auto"/>
              </w:rPr>
              <w:t>AEC trade names</w:t>
            </w:r>
          </w:p>
        </w:tc>
        <w:tc>
          <w:tcPr>
            <w:tcW w:w="2960" w:type="dxa"/>
            <w:vAlign w:val="bottom"/>
          </w:tcPr>
          <w:p>
            <w:pPr>
              <w:jc w:val="right"/>
              <w:ind w:right="562"/>
              <w:spacing w:after="0"/>
              <w:rPr>
                <w:sz w:val="20"/>
                <w:szCs w:val="20"/>
                <w:color w:val="auto"/>
              </w:rPr>
            </w:pPr>
            <w:r>
              <w:rPr>
                <w:rFonts w:ascii="Arial" w:cs="Arial" w:eastAsia="Arial" w:hAnsi="Arial"/>
                <w:sz w:val="16"/>
                <w:szCs w:val="16"/>
                <w:color w:val="auto"/>
              </w:rPr>
              <w:t>15</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140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133)</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7</w:t>
            </w:r>
          </w:p>
        </w:tc>
      </w:tr>
      <w:tr>
        <w:trPr>
          <w:trHeight w:val="189"/>
        </w:trPr>
        <w:tc>
          <w:tcPr>
            <w:tcW w:w="4400" w:type="dxa"/>
            <w:vAlign w:val="bottom"/>
          </w:tcPr>
          <w:p>
            <w:pPr>
              <w:ind w:left="120"/>
              <w:spacing w:after="0"/>
              <w:rPr>
                <w:sz w:val="20"/>
                <w:szCs w:val="20"/>
                <w:color w:val="auto"/>
              </w:rPr>
            </w:pPr>
            <w:r>
              <w:rPr>
                <w:rFonts w:ascii="Arial" w:cs="Arial" w:eastAsia="Arial" w:hAnsi="Arial"/>
                <w:sz w:val="16"/>
                <w:szCs w:val="16"/>
                <w:color w:val="auto"/>
              </w:rPr>
              <w:t>AEC technology</w:t>
            </w:r>
          </w:p>
        </w:tc>
        <w:tc>
          <w:tcPr>
            <w:tcW w:w="2960" w:type="dxa"/>
            <w:vAlign w:val="bottom"/>
          </w:tcPr>
          <w:p>
            <w:pPr>
              <w:jc w:val="right"/>
              <w:ind w:right="562"/>
              <w:spacing w:after="0"/>
              <w:rPr>
                <w:sz w:val="20"/>
                <w:szCs w:val="20"/>
                <w:color w:val="auto"/>
              </w:rPr>
            </w:pPr>
            <w:r>
              <w:rPr>
                <w:rFonts w:ascii="Arial" w:cs="Arial" w:eastAsia="Arial" w:hAnsi="Arial"/>
                <w:sz w:val="16"/>
                <w:szCs w:val="16"/>
                <w:color w:val="auto"/>
              </w:rPr>
              <w:t>15</w:t>
            </w:r>
          </w:p>
        </w:tc>
        <w:tc>
          <w:tcPr>
            <w:tcW w:w="40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370</w:t>
            </w:r>
          </w:p>
        </w:tc>
        <w:tc>
          <w:tcPr>
            <w:tcW w:w="440" w:type="dxa"/>
            <w:vAlign w:val="bottom"/>
          </w:tcPr>
          <w:p>
            <w:pPr>
              <w:spacing w:after="0"/>
              <w:rPr>
                <w:sz w:val="16"/>
                <w:szCs w:val="16"/>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(333)</w:t>
            </w:r>
          </w:p>
        </w:tc>
        <w:tc>
          <w:tcPr>
            <w:tcW w:w="620" w:type="dxa"/>
            <w:vAlign w:val="bottom"/>
          </w:tcPr>
          <w:p>
            <w:pPr>
              <w:spacing w:after="0"/>
              <w:rPr>
                <w:sz w:val="16"/>
                <w:szCs w:val="16"/>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37</w:t>
            </w:r>
          </w:p>
        </w:tc>
      </w:tr>
      <w:tr>
        <w:trPr>
          <w:trHeight w:val="189"/>
        </w:trPr>
        <w:tc>
          <w:tcPr>
            <w:tcW w:w="4400" w:type="dxa"/>
            <w:vAlign w:val="bottom"/>
          </w:tcPr>
          <w:p>
            <w:pPr>
              <w:ind w:left="120"/>
              <w:spacing w:after="0"/>
              <w:rPr>
                <w:sz w:val="20"/>
                <w:szCs w:val="20"/>
                <w:color w:val="auto"/>
              </w:rPr>
            </w:pPr>
            <w:r>
              <w:rPr>
                <w:rFonts w:ascii="Arial" w:cs="Arial" w:eastAsia="Arial" w:hAnsi="Arial"/>
                <w:sz w:val="16"/>
                <w:szCs w:val="16"/>
                <w:color w:val="auto"/>
              </w:rPr>
              <w:t>Customer relationships</w:t>
            </w:r>
          </w:p>
        </w:tc>
        <w:tc>
          <w:tcPr>
            <w:tcW w:w="2960" w:type="dxa"/>
            <w:vAlign w:val="bottom"/>
          </w:tcPr>
          <w:p>
            <w:pPr>
              <w:jc w:val="right"/>
              <w:ind w:right="562"/>
              <w:spacing w:after="0"/>
              <w:rPr>
                <w:sz w:val="20"/>
                <w:szCs w:val="20"/>
                <w:color w:val="auto"/>
              </w:rPr>
            </w:pPr>
            <w:r>
              <w:rPr>
                <w:rFonts w:ascii="Arial" w:cs="Arial" w:eastAsia="Arial" w:hAnsi="Arial"/>
                <w:sz w:val="16"/>
                <w:szCs w:val="16"/>
                <w:color w:val="auto"/>
              </w:rPr>
              <w:t>15</w:t>
            </w:r>
          </w:p>
        </w:tc>
        <w:tc>
          <w:tcPr>
            <w:tcW w:w="40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48,421</w:t>
            </w:r>
          </w:p>
        </w:tc>
        <w:tc>
          <w:tcPr>
            <w:tcW w:w="1200" w:type="dxa"/>
            <w:vAlign w:val="bottom"/>
            <w:gridSpan w:val="2"/>
          </w:tcPr>
          <w:p>
            <w:pPr>
              <w:jc w:val="right"/>
              <w:ind w:right="119"/>
              <w:spacing w:after="0"/>
              <w:rPr>
                <w:sz w:val="20"/>
                <w:szCs w:val="20"/>
                <w:color w:val="auto"/>
              </w:rPr>
            </w:pPr>
            <w:r>
              <w:rPr>
                <w:rFonts w:ascii="Arial" w:cs="Arial" w:eastAsia="Arial" w:hAnsi="Arial"/>
                <w:sz w:val="16"/>
                <w:szCs w:val="16"/>
                <w:color w:val="auto"/>
              </w:rPr>
              <w:t>(11,304)</w:t>
            </w:r>
          </w:p>
        </w:tc>
        <w:tc>
          <w:tcPr>
            <w:tcW w:w="620" w:type="dxa"/>
            <w:vAlign w:val="bottom"/>
          </w:tcPr>
          <w:p>
            <w:pPr>
              <w:spacing w:after="0"/>
              <w:rPr>
                <w:sz w:val="16"/>
                <w:szCs w:val="16"/>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37,117</w:t>
            </w:r>
          </w:p>
        </w:tc>
      </w:tr>
      <w:tr>
        <w:trPr>
          <w:trHeight w:val="189"/>
        </w:trPr>
        <w:tc>
          <w:tcPr>
            <w:tcW w:w="4400" w:type="dxa"/>
            <w:vAlign w:val="bottom"/>
          </w:tcPr>
          <w:p>
            <w:pPr>
              <w:ind w:left="120"/>
              <w:spacing w:after="0"/>
              <w:rPr>
                <w:sz w:val="20"/>
                <w:szCs w:val="20"/>
                <w:color w:val="auto"/>
              </w:rPr>
            </w:pPr>
            <w:r>
              <w:rPr>
                <w:rFonts w:ascii="Arial" w:cs="Arial" w:eastAsia="Arial" w:hAnsi="Arial"/>
                <w:sz w:val="16"/>
                <w:szCs w:val="16"/>
                <w:color w:val="auto"/>
              </w:rPr>
              <w:t>Customer contracts</w:t>
            </w:r>
          </w:p>
        </w:tc>
        <w:tc>
          <w:tcPr>
            <w:tcW w:w="2960" w:type="dxa"/>
            <w:vAlign w:val="bottom"/>
          </w:tcPr>
          <w:p>
            <w:pPr>
              <w:jc w:val="right"/>
              <w:ind w:right="562"/>
              <w:spacing w:after="0"/>
              <w:rPr>
                <w:sz w:val="20"/>
                <w:szCs w:val="20"/>
                <w:color w:val="auto"/>
              </w:rPr>
            </w:pPr>
            <w:r>
              <w:rPr>
                <w:rFonts w:ascii="Arial" w:cs="Arial" w:eastAsia="Arial" w:hAnsi="Arial"/>
                <w:sz w:val="16"/>
                <w:szCs w:val="16"/>
                <w:color w:val="auto"/>
              </w:rPr>
              <w:t>6</w:t>
            </w:r>
          </w:p>
        </w:tc>
        <w:tc>
          <w:tcPr>
            <w:tcW w:w="40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17,471</w:t>
            </w:r>
          </w:p>
        </w:tc>
        <w:tc>
          <w:tcPr>
            <w:tcW w:w="1200" w:type="dxa"/>
            <w:vAlign w:val="bottom"/>
            <w:gridSpan w:val="2"/>
          </w:tcPr>
          <w:p>
            <w:pPr>
              <w:jc w:val="right"/>
              <w:ind w:right="119"/>
              <w:spacing w:after="0"/>
              <w:rPr>
                <w:sz w:val="20"/>
                <w:szCs w:val="20"/>
                <w:color w:val="auto"/>
              </w:rPr>
            </w:pPr>
            <w:r>
              <w:rPr>
                <w:rFonts w:ascii="Arial" w:cs="Arial" w:eastAsia="Arial" w:hAnsi="Arial"/>
                <w:sz w:val="16"/>
                <w:szCs w:val="16"/>
                <w:color w:val="auto"/>
              </w:rPr>
              <w:t>(10,199)</w:t>
            </w:r>
          </w:p>
        </w:tc>
        <w:tc>
          <w:tcPr>
            <w:tcW w:w="620" w:type="dxa"/>
            <w:vAlign w:val="bottom"/>
          </w:tcPr>
          <w:p>
            <w:pPr>
              <w:spacing w:after="0"/>
              <w:rPr>
                <w:sz w:val="16"/>
                <w:szCs w:val="16"/>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7,272</w:t>
            </w:r>
          </w:p>
        </w:tc>
      </w:tr>
      <w:tr>
        <w:trPr>
          <w:trHeight w:val="187"/>
        </w:trPr>
        <w:tc>
          <w:tcPr>
            <w:tcW w:w="4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Other intangibles</w:t>
            </w:r>
          </w:p>
        </w:tc>
        <w:tc>
          <w:tcPr>
            <w:tcW w:w="296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color w:val="auto"/>
              </w:rPr>
              <w:t>5</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322</w:t>
            </w: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(225)</w:t>
            </w: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97</w:t>
            </w:r>
          </w:p>
        </w:tc>
      </w:tr>
      <w:tr>
        <w:trPr>
          <w:trHeight w:val="183"/>
        </w:trPr>
        <w:tc>
          <w:tcPr>
            <w:tcW w:w="44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Net amortized intangible assets</w:t>
            </w:r>
          </w:p>
        </w:tc>
        <w:tc>
          <w:tcPr>
            <w:tcW w:w="29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279"/>
              <w:spacing w:after="0" w:line="183" w:lineRule="exact"/>
              <w:rPr>
                <w:sz w:val="20"/>
                <w:szCs w:val="20"/>
                <w:color w:val="auto"/>
              </w:rPr>
            </w:pPr>
            <w:r>
              <w:rPr>
                <w:rFonts w:ascii="Arial" w:cs="Arial" w:eastAsia="Arial" w:hAnsi="Arial"/>
                <w:sz w:val="16"/>
                <w:szCs w:val="16"/>
                <w:color w:val="auto"/>
              </w:rPr>
              <w:t>$ 66,724</w:t>
            </w:r>
          </w:p>
        </w:tc>
        <w:tc>
          <w:tcPr>
            <w:tcW w:w="1200" w:type="dxa"/>
            <w:vAlign w:val="bottom"/>
            <w:tcBorders>
              <w:bottom w:val="single" w:sz="8" w:color="auto"/>
            </w:tcBorders>
            <w:gridSpan w:val="2"/>
          </w:tcPr>
          <w:p>
            <w:pPr>
              <w:jc w:val="right"/>
              <w:ind w:right="119"/>
              <w:spacing w:after="0" w:line="183" w:lineRule="exact"/>
              <w:rPr>
                <w:sz w:val="20"/>
                <w:szCs w:val="20"/>
                <w:color w:val="auto"/>
              </w:rPr>
            </w:pPr>
            <w:r>
              <w:rPr>
                <w:rFonts w:ascii="Arial" w:cs="Arial" w:eastAsia="Arial" w:hAnsi="Arial"/>
                <w:sz w:val="16"/>
                <w:szCs w:val="16"/>
                <w:color w:val="auto"/>
              </w:rPr>
              <w:t>($ 22,194)</w:t>
            </w:r>
          </w:p>
        </w:tc>
        <w:tc>
          <w:tcPr>
            <w:tcW w:w="1560" w:type="dxa"/>
            <w:vAlign w:val="bottom"/>
            <w:tcBorders>
              <w:bottom w:val="single" w:sz="8" w:color="auto"/>
            </w:tcBorders>
            <w:gridSpan w:val="2"/>
          </w:tcPr>
          <w:p>
            <w:pPr>
              <w:jc w:val="right"/>
              <w:ind w:right="319"/>
              <w:spacing w:after="0" w:line="183" w:lineRule="exact"/>
              <w:rPr>
                <w:sz w:val="20"/>
                <w:szCs w:val="20"/>
                <w:color w:val="auto"/>
              </w:rPr>
            </w:pPr>
            <w:r>
              <w:rPr>
                <w:rFonts w:ascii="Arial" w:cs="Arial" w:eastAsia="Arial" w:hAnsi="Arial"/>
                <w:sz w:val="16"/>
                <w:szCs w:val="16"/>
                <w:color w:val="auto"/>
              </w:rPr>
              <w:t>$ 44,530</w:t>
            </w:r>
          </w:p>
        </w:tc>
      </w:tr>
      <w:tr>
        <w:trPr>
          <w:trHeight w:val="374"/>
        </w:trPr>
        <w:tc>
          <w:tcPr>
            <w:tcW w:w="4400" w:type="dxa"/>
            <w:vAlign w:val="bottom"/>
          </w:tcPr>
          <w:p>
            <w:pPr>
              <w:spacing w:after="0"/>
              <w:rPr>
                <w:sz w:val="20"/>
                <w:szCs w:val="20"/>
                <w:color w:val="auto"/>
              </w:rPr>
            </w:pPr>
            <w:r>
              <w:rPr>
                <w:rFonts w:ascii="Arial" w:cs="Arial" w:eastAsia="Arial" w:hAnsi="Arial"/>
                <w:sz w:val="16"/>
                <w:szCs w:val="16"/>
                <w:color w:val="auto"/>
              </w:rPr>
              <w:t>Unamortized intangible assets:</w:t>
            </w:r>
          </w:p>
        </w:tc>
        <w:tc>
          <w:tcPr>
            <w:tcW w:w="2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9"/>
        </w:trPr>
        <w:tc>
          <w:tcPr>
            <w:tcW w:w="4400" w:type="dxa"/>
            <w:vAlign w:val="bottom"/>
          </w:tcPr>
          <w:p>
            <w:pPr>
              <w:ind w:left="120"/>
              <w:spacing w:after="0"/>
              <w:rPr>
                <w:sz w:val="20"/>
                <w:szCs w:val="20"/>
                <w:color w:val="auto"/>
              </w:rPr>
            </w:pPr>
            <w:r>
              <w:rPr>
                <w:rFonts w:ascii="Arial" w:cs="Arial" w:eastAsia="Arial" w:hAnsi="Arial"/>
                <w:sz w:val="16"/>
                <w:szCs w:val="16"/>
                <w:color w:val="auto"/>
              </w:rPr>
              <w:t>MC Goodwill</w:t>
            </w:r>
          </w:p>
        </w:tc>
        <w:tc>
          <w:tcPr>
            <w:tcW w:w="2960" w:type="dxa"/>
            <w:vAlign w:val="bottom"/>
          </w:tcPr>
          <w:p>
            <w:pPr>
              <w:spacing w:after="0"/>
              <w:rPr>
                <w:sz w:val="16"/>
                <w:szCs w:val="16"/>
                <w:color w:val="auto"/>
              </w:rPr>
            </w:pPr>
          </w:p>
        </w:tc>
        <w:tc>
          <w:tcPr>
            <w:tcW w:w="1300" w:type="dxa"/>
            <w:vAlign w:val="bottom"/>
            <w:gridSpan w:val="2"/>
          </w:tcPr>
          <w:p>
            <w:pPr>
              <w:jc w:val="right"/>
              <w:ind w:right="279"/>
              <w:spacing w:after="0"/>
              <w:rPr>
                <w:sz w:val="20"/>
                <w:szCs w:val="20"/>
                <w:color w:val="auto"/>
              </w:rPr>
            </w:pPr>
            <w:r>
              <w:rPr>
                <w:rFonts w:ascii="Arial" w:cs="Arial" w:eastAsia="Arial" w:hAnsi="Arial"/>
                <w:sz w:val="16"/>
                <w:szCs w:val="16"/>
                <w:color w:val="auto"/>
              </w:rPr>
              <w:t>$ 66,345</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319"/>
              <w:spacing w:after="0"/>
              <w:rPr>
                <w:sz w:val="20"/>
                <w:szCs w:val="20"/>
                <w:color w:val="auto"/>
              </w:rPr>
            </w:pPr>
            <w:r>
              <w:rPr>
                <w:rFonts w:ascii="Arial" w:cs="Arial" w:eastAsia="Arial" w:hAnsi="Arial"/>
                <w:sz w:val="16"/>
                <w:szCs w:val="16"/>
                <w:color w:val="auto"/>
              </w:rPr>
              <w:t>$ 66,345</w:t>
            </w:r>
          </w:p>
        </w:tc>
      </w:tr>
      <w:tr>
        <w:trPr>
          <w:trHeight w:val="187"/>
        </w:trPr>
        <w:tc>
          <w:tcPr>
            <w:tcW w:w="4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AEC Goodwill</w:t>
            </w:r>
          </w:p>
        </w:tc>
        <w:tc>
          <w:tcPr>
            <w:tcW w:w="29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95,730</w:t>
            </w: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95,730</w:t>
            </w:r>
          </w:p>
        </w:tc>
      </w:tr>
      <w:tr>
        <w:trPr>
          <w:trHeight w:val="183"/>
        </w:trPr>
        <w:tc>
          <w:tcPr>
            <w:tcW w:w="44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unamortized intangible assets:</w:t>
            </w:r>
          </w:p>
        </w:tc>
        <w:tc>
          <w:tcPr>
            <w:tcW w:w="29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279"/>
              <w:spacing w:after="0" w:line="183" w:lineRule="exact"/>
              <w:rPr>
                <w:sz w:val="20"/>
                <w:szCs w:val="20"/>
                <w:color w:val="auto"/>
              </w:rPr>
            </w:pPr>
            <w:r>
              <w:rPr>
                <w:rFonts w:ascii="Arial" w:cs="Arial" w:eastAsia="Arial" w:hAnsi="Arial"/>
                <w:sz w:val="16"/>
                <w:szCs w:val="16"/>
                <w:color w:val="auto"/>
              </w:rPr>
              <w:t>$162,075</w:t>
            </w:r>
          </w:p>
        </w:tc>
        <w:tc>
          <w:tcPr>
            <w:tcW w:w="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gridSpan w:val="2"/>
          </w:tcPr>
          <w:p>
            <w:pPr>
              <w:jc w:val="right"/>
              <w:ind w:right="319"/>
              <w:spacing w:after="0" w:line="183" w:lineRule="exact"/>
              <w:rPr>
                <w:sz w:val="20"/>
                <w:szCs w:val="20"/>
                <w:color w:val="auto"/>
              </w:rPr>
            </w:pPr>
            <w:r>
              <w:rPr>
                <w:rFonts w:ascii="Arial" w:cs="Arial" w:eastAsia="Arial" w:hAnsi="Arial"/>
                <w:sz w:val="16"/>
                <w:szCs w:val="16"/>
                <w:color w:val="auto"/>
              </w:rPr>
              <w:t>$162,075</w:t>
            </w:r>
          </w:p>
        </w:tc>
      </w:tr>
      <w:tr>
        <w:trPr>
          <w:trHeight w:val="156"/>
        </w:trPr>
        <w:tc>
          <w:tcPr>
            <w:tcW w:w="440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42"/>
        </w:trPr>
        <w:tc>
          <w:tcPr>
            <w:tcW w:w="4400" w:type="dxa"/>
            <w:vAlign w:val="bottom"/>
          </w:tcPr>
          <w:p>
            <w:pPr>
              <w:spacing w:after="0"/>
              <w:rPr>
                <w:sz w:val="12"/>
                <w:szCs w:val="12"/>
                <w:color w:val="auto"/>
              </w:rPr>
            </w:pPr>
          </w:p>
        </w:tc>
        <w:tc>
          <w:tcPr>
            <w:tcW w:w="2960" w:type="dxa"/>
            <w:vAlign w:val="bottom"/>
          </w:tcPr>
          <w:p>
            <w:pPr>
              <w:jc w:val="center"/>
              <w:ind w:left="1442"/>
              <w:spacing w:after="0" w:line="143" w:lineRule="exact"/>
              <w:rPr>
                <w:sz w:val="20"/>
                <w:szCs w:val="20"/>
                <w:color w:val="auto"/>
              </w:rPr>
            </w:pPr>
            <w:r>
              <w:rPr>
                <w:rFonts w:ascii="Arial" w:cs="Arial" w:eastAsia="Arial" w:hAnsi="Arial"/>
                <w:sz w:val="14"/>
                <w:szCs w:val="14"/>
                <w:b w:val="1"/>
                <w:bCs w:val="1"/>
                <w:color w:val="auto"/>
              </w:rPr>
              <w:t>Weighted average</w:t>
            </w: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2"/>
        </w:trPr>
        <w:tc>
          <w:tcPr>
            <w:tcW w:w="4400" w:type="dxa"/>
            <w:vAlign w:val="bottom"/>
          </w:tcPr>
          <w:p>
            <w:pPr>
              <w:spacing w:after="0"/>
              <w:rPr>
                <w:sz w:val="14"/>
                <w:szCs w:val="14"/>
                <w:color w:val="auto"/>
              </w:rPr>
            </w:pPr>
          </w:p>
        </w:tc>
        <w:tc>
          <w:tcPr>
            <w:tcW w:w="2960" w:type="dxa"/>
            <w:vAlign w:val="bottom"/>
          </w:tcPr>
          <w:p>
            <w:pPr>
              <w:jc w:val="center"/>
              <w:ind w:left="1442"/>
              <w:spacing w:after="0"/>
              <w:rPr>
                <w:sz w:val="20"/>
                <w:szCs w:val="20"/>
                <w:color w:val="auto"/>
              </w:rPr>
            </w:pPr>
            <w:r>
              <w:rPr>
                <w:rFonts w:ascii="Arial" w:cs="Arial" w:eastAsia="Arial" w:hAnsi="Arial"/>
                <w:sz w:val="14"/>
                <w:szCs w:val="14"/>
                <w:b w:val="1"/>
                <w:bCs w:val="1"/>
                <w:color w:val="auto"/>
              </w:rPr>
              <w:t>amortization life in</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Gross carrying</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5"/>
        </w:trPr>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of December 31, 2018 (in thousands)</w:t>
            </w:r>
          </w:p>
        </w:tc>
        <w:tc>
          <w:tcPr>
            <w:tcW w:w="2960" w:type="dxa"/>
            <w:vAlign w:val="bottom"/>
            <w:tcBorders>
              <w:bottom w:val="single" w:sz="8" w:color="auto"/>
            </w:tcBorders>
          </w:tcPr>
          <w:p>
            <w:pPr>
              <w:jc w:val="center"/>
              <w:ind w:left="1442"/>
              <w:spacing w:after="0"/>
              <w:rPr>
                <w:sz w:val="20"/>
                <w:szCs w:val="20"/>
                <w:color w:val="auto"/>
              </w:rPr>
            </w:pPr>
            <w:r>
              <w:rPr>
                <w:rFonts w:ascii="Arial" w:cs="Arial" w:eastAsia="Arial" w:hAnsi="Arial"/>
                <w:sz w:val="14"/>
                <w:szCs w:val="14"/>
                <w:b w:val="1"/>
                <w:bCs w:val="1"/>
                <w:color w:val="auto"/>
                <w:w w:val="98"/>
              </w:rPr>
              <w:t>years</w:t>
            </w:r>
          </w:p>
        </w:tc>
        <w:tc>
          <w:tcPr>
            <w:tcW w:w="130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4"/>
                <w:szCs w:val="14"/>
                <w:b w:val="1"/>
                <w:bCs w:val="1"/>
                <w:color w:val="auto"/>
              </w:rPr>
              <w:t>amount</w:t>
            </w: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amortization</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Net carrying amount</w:t>
            </w:r>
          </w:p>
        </w:tc>
      </w:tr>
      <w:tr>
        <w:trPr>
          <w:trHeight w:val="184"/>
        </w:trPr>
        <w:tc>
          <w:tcPr>
            <w:tcW w:w="4400" w:type="dxa"/>
            <w:vAlign w:val="bottom"/>
          </w:tcPr>
          <w:p>
            <w:pPr>
              <w:spacing w:after="0"/>
              <w:rPr>
                <w:sz w:val="20"/>
                <w:szCs w:val="20"/>
                <w:color w:val="auto"/>
              </w:rPr>
            </w:pPr>
            <w:r>
              <w:rPr>
                <w:rFonts w:ascii="Arial" w:cs="Arial" w:eastAsia="Arial" w:hAnsi="Arial"/>
                <w:sz w:val="16"/>
                <w:szCs w:val="16"/>
                <w:color w:val="auto"/>
              </w:rPr>
              <w:t>Amortized intangible assets:</w:t>
            </w:r>
          </w:p>
        </w:tc>
        <w:tc>
          <w:tcPr>
            <w:tcW w:w="2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4400" w:type="dxa"/>
            <w:vAlign w:val="bottom"/>
          </w:tcPr>
          <w:p>
            <w:pPr>
              <w:ind w:left="120"/>
              <w:spacing w:after="0"/>
              <w:rPr>
                <w:sz w:val="20"/>
                <w:szCs w:val="20"/>
                <w:color w:val="auto"/>
              </w:rPr>
            </w:pPr>
            <w:r>
              <w:rPr>
                <w:rFonts w:ascii="Arial" w:cs="Arial" w:eastAsia="Arial" w:hAnsi="Arial"/>
                <w:sz w:val="16"/>
                <w:szCs w:val="16"/>
                <w:color w:val="auto"/>
              </w:rPr>
              <w:t>AEC trade names</w:t>
            </w:r>
          </w:p>
        </w:tc>
        <w:tc>
          <w:tcPr>
            <w:tcW w:w="2960" w:type="dxa"/>
            <w:vAlign w:val="bottom"/>
          </w:tcPr>
          <w:p>
            <w:pPr>
              <w:jc w:val="right"/>
              <w:ind w:right="562"/>
              <w:spacing w:after="0"/>
              <w:rPr>
                <w:sz w:val="20"/>
                <w:szCs w:val="20"/>
                <w:color w:val="auto"/>
              </w:rPr>
            </w:pPr>
            <w:r>
              <w:rPr>
                <w:rFonts w:ascii="Arial" w:cs="Arial" w:eastAsia="Arial" w:hAnsi="Arial"/>
                <w:sz w:val="16"/>
                <w:szCs w:val="16"/>
                <w:color w:val="auto"/>
              </w:rPr>
              <w:t>15</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140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59"/>
              <w:spacing w:after="0"/>
              <w:rPr>
                <w:sz w:val="20"/>
                <w:szCs w:val="20"/>
                <w:color w:val="auto"/>
              </w:rPr>
            </w:pPr>
            <w:r>
              <w:rPr>
                <w:rFonts w:ascii="Arial" w:cs="Arial" w:eastAsia="Arial" w:hAnsi="Arial"/>
                <w:sz w:val="16"/>
                <w:szCs w:val="16"/>
                <w:color w:val="auto"/>
              </w:rPr>
              <w:t>129)</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11</w:t>
            </w:r>
          </w:p>
        </w:tc>
      </w:tr>
      <w:tr>
        <w:trPr>
          <w:trHeight w:val="189"/>
        </w:trPr>
        <w:tc>
          <w:tcPr>
            <w:tcW w:w="4400" w:type="dxa"/>
            <w:vAlign w:val="bottom"/>
          </w:tcPr>
          <w:p>
            <w:pPr>
              <w:ind w:left="120"/>
              <w:spacing w:after="0"/>
              <w:rPr>
                <w:sz w:val="20"/>
                <w:szCs w:val="20"/>
                <w:color w:val="auto"/>
              </w:rPr>
            </w:pPr>
            <w:r>
              <w:rPr>
                <w:rFonts w:ascii="Arial" w:cs="Arial" w:eastAsia="Arial" w:hAnsi="Arial"/>
                <w:sz w:val="16"/>
                <w:szCs w:val="16"/>
                <w:color w:val="auto"/>
              </w:rPr>
              <w:t>AEC technology</w:t>
            </w:r>
          </w:p>
        </w:tc>
        <w:tc>
          <w:tcPr>
            <w:tcW w:w="2960" w:type="dxa"/>
            <w:vAlign w:val="bottom"/>
          </w:tcPr>
          <w:p>
            <w:pPr>
              <w:jc w:val="right"/>
              <w:ind w:right="562"/>
              <w:spacing w:after="0"/>
              <w:rPr>
                <w:sz w:val="20"/>
                <w:szCs w:val="20"/>
                <w:color w:val="auto"/>
              </w:rPr>
            </w:pPr>
            <w:r>
              <w:rPr>
                <w:rFonts w:ascii="Arial" w:cs="Arial" w:eastAsia="Arial" w:hAnsi="Arial"/>
                <w:sz w:val="16"/>
                <w:szCs w:val="16"/>
                <w:color w:val="auto"/>
              </w:rPr>
              <w:t>15</w:t>
            </w:r>
          </w:p>
        </w:tc>
        <w:tc>
          <w:tcPr>
            <w:tcW w:w="40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370</w:t>
            </w:r>
          </w:p>
        </w:tc>
        <w:tc>
          <w:tcPr>
            <w:tcW w:w="440" w:type="dxa"/>
            <w:vAlign w:val="bottom"/>
          </w:tcPr>
          <w:p>
            <w:pPr>
              <w:spacing w:after="0"/>
              <w:rPr>
                <w:sz w:val="16"/>
                <w:szCs w:val="16"/>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(314)</w:t>
            </w:r>
          </w:p>
        </w:tc>
        <w:tc>
          <w:tcPr>
            <w:tcW w:w="620" w:type="dxa"/>
            <w:vAlign w:val="bottom"/>
          </w:tcPr>
          <w:p>
            <w:pPr>
              <w:spacing w:after="0"/>
              <w:rPr>
                <w:sz w:val="16"/>
                <w:szCs w:val="16"/>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56</w:t>
            </w:r>
          </w:p>
        </w:tc>
      </w:tr>
      <w:tr>
        <w:trPr>
          <w:trHeight w:val="189"/>
        </w:trPr>
        <w:tc>
          <w:tcPr>
            <w:tcW w:w="4400" w:type="dxa"/>
            <w:vAlign w:val="bottom"/>
          </w:tcPr>
          <w:p>
            <w:pPr>
              <w:ind w:left="120"/>
              <w:spacing w:after="0"/>
              <w:rPr>
                <w:sz w:val="20"/>
                <w:szCs w:val="20"/>
                <w:color w:val="auto"/>
              </w:rPr>
            </w:pPr>
            <w:r>
              <w:rPr>
                <w:rFonts w:ascii="Arial" w:cs="Arial" w:eastAsia="Arial" w:hAnsi="Arial"/>
                <w:sz w:val="16"/>
                <w:szCs w:val="16"/>
                <w:color w:val="auto"/>
              </w:rPr>
              <w:t>Customer relationships</w:t>
            </w:r>
          </w:p>
        </w:tc>
        <w:tc>
          <w:tcPr>
            <w:tcW w:w="2960" w:type="dxa"/>
            <w:vAlign w:val="bottom"/>
          </w:tcPr>
          <w:p>
            <w:pPr>
              <w:jc w:val="right"/>
              <w:ind w:right="562"/>
              <w:spacing w:after="0"/>
              <w:rPr>
                <w:sz w:val="20"/>
                <w:szCs w:val="20"/>
                <w:color w:val="auto"/>
              </w:rPr>
            </w:pPr>
            <w:r>
              <w:rPr>
                <w:rFonts w:ascii="Arial" w:cs="Arial" w:eastAsia="Arial" w:hAnsi="Arial"/>
                <w:sz w:val="16"/>
                <w:szCs w:val="16"/>
                <w:color w:val="auto"/>
              </w:rPr>
              <w:t>15</w:t>
            </w:r>
          </w:p>
        </w:tc>
        <w:tc>
          <w:tcPr>
            <w:tcW w:w="40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48,421</w:t>
            </w:r>
          </w:p>
        </w:tc>
        <w:tc>
          <w:tcPr>
            <w:tcW w:w="440" w:type="dxa"/>
            <w:vAlign w:val="bottom"/>
          </w:tcPr>
          <w:p>
            <w:pPr>
              <w:spacing w:after="0"/>
              <w:rPr>
                <w:sz w:val="16"/>
                <w:szCs w:val="16"/>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(8,883)</w:t>
            </w:r>
          </w:p>
        </w:tc>
        <w:tc>
          <w:tcPr>
            <w:tcW w:w="620" w:type="dxa"/>
            <w:vAlign w:val="bottom"/>
          </w:tcPr>
          <w:p>
            <w:pPr>
              <w:spacing w:after="0"/>
              <w:rPr>
                <w:sz w:val="16"/>
                <w:szCs w:val="16"/>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39,538</w:t>
            </w:r>
          </w:p>
        </w:tc>
      </w:tr>
      <w:tr>
        <w:trPr>
          <w:trHeight w:val="189"/>
        </w:trPr>
        <w:tc>
          <w:tcPr>
            <w:tcW w:w="4400" w:type="dxa"/>
            <w:vAlign w:val="bottom"/>
          </w:tcPr>
          <w:p>
            <w:pPr>
              <w:ind w:left="120"/>
              <w:spacing w:after="0"/>
              <w:rPr>
                <w:sz w:val="20"/>
                <w:szCs w:val="20"/>
                <w:color w:val="auto"/>
              </w:rPr>
            </w:pPr>
            <w:r>
              <w:rPr>
                <w:rFonts w:ascii="Arial" w:cs="Arial" w:eastAsia="Arial" w:hAnsi="Arial"/>
                <w:sz w:val="16"/>
                <w:szCs w:val="16"/>
                <w:color w:val="auto"/>
              </w:rPr>
              <w:t>Customer contracts</w:t>
            </w:r>
          </w:p>
        </w:tc>
        <w:tc>
          <w:tcPr>
            <w:tcW w:w="2960" w:type="dxa"/>
            <w:vAlign w:val="bottom"/>
          </w:tcPr>
          <w:p>
            <w:pPr>
              <w:jc w:val="right"/>
              <w:ind w:right="562"/>
              <w:spacing w:after="0"/>
              <w:rPr>
                <w:sz w:val="20"/>
                <w:szCs w:val="20"/>
                <w:color w:val="auto"/>
              </w:rPr>
            </w:pPr>
            <w:r>
              <w:rPr>
                <w:rFonts w:ascii="Arial" w:cs="Arial" w:eastAsia="Arial" w:hAnsi="Arial"/>
                <w:sz w:val="16"/>
                <w:szCs w:val="16"/>
                <w:color w:val="auto"/>
              </w:rPr>
              <w:t>6</w:t>
            </w:r>
          </w:p>
        </w:tc>
        <w:tc>
          <w:tcPr>
            <w:tcW w:w="40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17,471</w:t>
            </w:r>
          </w:p>
        </w:tc>
        <w:tc>
          <w:tcPr>
            <w:tcW w:w="440" w:type="dxa"/>
            <w:vAlign w:val="bottom"/>
          </w:tcPr>
          <w:p>
            <w:pPr>
              <w:spacing w:after="0"/>
              <w:rPr>
                <w:sz w:val="16"/>
                <w:szCs w:val="16"/>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(8,015)</w:t>
            </w:r>
          </w:p>
        </w:tc>
        <w:tc>
          <w:tcPr>
            <w:tcW w:w="620" w:type="dxa"/>
            <w:vAlign w:val="bottom"/>
          </w:tcPr>
          <w:p>
            <w:pPr>
              <w:spacing w:after="0"/>
              <w:rPr>
                <w:sz w:val="16"/>
                <w:szCs w:val="16"/>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9,456</w:t>
            </w:r>
          </w:p>
        </w:tc>
      </w:tr>
      <w:tr>
        <w:trPr>
          <w:trHeight w:val="187"/>
        </w:trPr>
        <w:tc>
          <w:tcPr>
            <w:tcW w:w="4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Other intangibles</w:t>
            </w:r>
          </w:p>
        </w:tc>
        <w:tc>
          <w:tcPr>
            <w:tcW w:w="296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color w:val="auto"/>
              </w:rPr>
              <w:t>5</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322</w:t>
            </w: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(177)</w:t>
            </w: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145</w:t>
            </w:r>
          </w:p>
        </w:tc>
      </w:tr>
      <w:tr>
        <w:trPr>
          <w:trHeight w:val="183"/>
        </w:trPr>
        <w:tc>
          <w:tcPr>
            <w:tcW w:w="44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Net amortized intangible assets</w:t>
            </w:r>
          </w:p>
        </w:tc>
        <w:tc>
          <w:tcPr>
            <w:tcW w:w="29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279"/>
              <w:spacing w:after="0" w:line="183" w:lineRule="exact"/>
              <w:rPr>
                <w:sz w:val="20"/>
                <w:szCs w:val="20"/>
                <w:color w:val="auto"/>
              </w:rPr>
            </w:pPr>
            <w:r>
              <w:rPr>
                <w:rFonts w:ascii="Arial" w:cs="Arial" w:eastAsia="Arial" w:hAnsi="Arial"/>
                <w:sz w:val="16"/>
                <w:szCs w:val="16"/>
                <w:color w:val="auto"/>
              </w:rPr>
              <w:t>$ 66,724</w:t>
            </w:r>
          </w:p>
        </w:tc>
        <w:tc>
          <w:tcPr>
            <w:tcW w:w="1200" w:type="dxa"/>
            <w:vAlign w:val="bottom"/>
            <w:tcBorders>
              <w:bottom w:val="single" w:sz="8" w:color="auto"/>
            </w:tcBorders>
            <w:gridSpan w:val="2"/>
          </w:tcPr>
          <w:p>
            <w:pPr>
              <w:jc w:val="right"/>
              <w:ind w:right="139"/>
              <w:spacing w:after="0" w:line="183" w:lineRule="exact"/>
              <w:rPr>
                <w:sz w:val="20"/>
                <w:szCs w:val="20"/>
                <w:color w:val="auto"/>
              </w:rPr>
            </w:pPr>
            <w:r>
              <w:rPr>
                <w:rFonts w:ascii="Arial" w:cs="Arial" w:eastAsia="Arial" w:hAnsi="Arial"/>
                <w:sz w:val="16"/>
                <w:szCs w:val="16"/>
                <w:color w:val="auto"/>
              </w:rPr>
              <w:t>($17,518)</w:t>
            </w:r>
          </w:p>
        </w:tc>
        <w:tc>
          <w:tcPr>
            <w:tcW w:w="1560" w:type="dxa"/>
            <w:vAlign w:val="bottom"/>
            <w:tcBorders>
              <w:bottom w:val="single" w:sz="8" w:color="auto"/>
            </w:tcBorders>
            <w:gridSpan w:val="2"/>
          </w:tcPr>
          <w:p>
            <w:pPr>
              <w:jc w:val="right"/>
              <w:ind w:right="319"/>
              <w:spacing w:after="0" w:line="183" w:lineRule="exact"/>
              <w:rPr>
                <w:sz w:val="20"/>
                <w:szCs w:val="20"/>
                <w:color w:val="auto"/>
              </w:rPr>
            </w:pPr>
            <w:r>
              <w:rPr>
                <w:rFonts w:ascii="Arial" w:cs="Arial" w:eastAsia="Arial" w:hAnsi="Arial"/>
                <w:sz w:val="16"/>
                <w:szCs w:val="16"/>
                <w:color w:val="auto"/>
              </w:rPr>
              <w:t>$ 49,206</w:t>
            </w:r>
          </w:p>
        </w:tc>
      </w:tr>
      <w:tr>
        <w:trPr>
          <w:trHeight w:val="374"/>
        </w:trPr>
        <w:tc>
          <w:tcPr>
            <w:tcW w:w="4400" w:type="dxa"/>
            <w:vAlign w:val="bottom"/>
          </w:tcPr>
          <w:p>
            <w:pPr>
              <w:spacing w:after="0"/>
              <w:rPr>
                <w:sz w:val="20"/>
                <w:szCs w:val="20"/>
                <w:color w:val="auto"/>
              </w:rPr>
            </w:pPr>
            <w:r>
              <w:rPr>
                <w:rFonts w:ascii="Arial" w:cs="Arial" w:eastAsia="Arial" w:hAnsi="Arial"/>
                <w:sz w:val="16"/>
                <w:szCs w:val="16"/>
                <w:color w:val="auto"/>
              </w:rPr>
              <w:t>Unamortized intangible assets:</w:t>
            </w:r>
          </w:p>
        </w:tc>
        <w:tc>
          <w:tcPr>
            <w:tcW w:w="2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9"/>
        </w:trPr>
        <w:tc>
          <w:tcPr>
            <w:tcW w:w="4400" w:type="dxa"/>
            <w:vAlign w:val="bottom"/>
          </w:tcPr>
          <w:p>
            <w:pPr>
              <w:ind w:left="120"/>
              <w:spacing w:after="0"/>
              <w:rPr>
                <w:sz w:val="20"/>
                <w:szCs w:val="20"/>
                <w:color w:val="auto"/>
              </w:rPr>
            </w:pPr>
            <w:r>
              <w:rPr>
                <w:rFonts w:ascii="Arial" w:cs="Arial" w:eastAsia="Arial" w:hAnsi="Arial"/>
                <w:sz w:val="16"/>
                <w:szCs w:val="16"/>
                <w:color w:val="auto"/>
              </w:rPr>
              <w:t>MC Goodwill</w:t>
            </w:r>
          </w:p>
        </w:tc>
        <w:tc>
          <w:tcPr>
            <w:tcW w:w="2960" w:type="dxa"/>
            <w:vAlign w:val="bottom"/>
          </w:tcPr>
          <w:p>
            <w:pPr>
              <w:spacing w:after="0"/>
              <w:rPr>
                <w:sz w:val="16"/>
                <w:szCs w:val="16"/>
                <w:color w:val="auto"/>
              </w:rPr>
            </w:pPr>
          </w:p>
        </w:tc>
        <w:tc>
          <w:tcPr>
            <w:tcW w:w="1300" w:type="dxa"/>
            <w:vAlign w:val="bottom"/>
            <w:gridSpan w:val="2"/>
          </w:tcPr>
          <w:p>
            <w:pPr>
              <w:jc w:val="right"/>
              <w:ind w:right="279"/>
              <w:spacing w:after="0"/>
              <w:rPr>
                <w:sz w:val="20"/>
                <w:szCs w:val="20"/>
                <w:color w:val="auto"/>
              </w:rPr>
            </w:pPr>
            <w:r>
              <w:rPr>
                <w:rFonts w:ascii="Arial" w:cs="Arial" w:eastAsia="Arial" w:hAnsi="Arial"/>
                <w:sz w:val="16"/>
                <w:szCs w:val="16"/>
                <w:color w:val="auto"/>
              </w:rPr>
              <w:t>$ 68,652</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319"/>
              <w:spacing w:after="0"/>
              <w:rPr>
                <w:sz w:val="20"/>
                <w:szCs w:val="20"/>
                <w:color w:val="auto"/>
              </w:rPr>
            </w:pPr>
            <w:r>
              <w:rPr>
                <w:rFonts w:ascii="Arial" w:cs="Arial" w:eastAsia="Arial" w:hAnsi="Arial"/>
                <w:sz w:val="16"/>
                <w:szCs w:val="16"/>
                <w:color w:val="auto"/>
              </w:rPr>
              <w:t>$ 68,652</w:t>
            </w:r>
          </w:p>
        </w:tc>
      </w:tr>
      <w:tr>
        <w:trPr>
          <w:trHeight w:val="187"/>
        </w:trPr>
        <w:tc>
          <w:tcPr>
            <w:tcW w:w="44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AEC Goodwill</w:t>
            </w:r>
          </w:p>
        </w:tc>
        <w:tc>
          <w:tcPr>
            <w:tcW w:w="29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95,730</w:t>
            </w: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95,730</w:t>
            </w:r>
          </w:p>
        </w:tc>
      </w:tr>
      <w:tr>
        <w:trPr>
          <w:trHeight w:val="183"/>
        </w:trPr>
        <w:tc>
          <w:tcPr>
            <w:tcW w:w="44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unamortized intangible assets:</w:t>
            </w:r>
          </w:p>
        </w:tc>
        <w:tc>
          <w:tcPr>
            <w:tcW w:w="29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279"/>
              <w:spacing w:after="0" w:line="183" w:lineRule="exact"/>
              <w:rPr>
                <w:sz w:val="20"/>
                <w:szCs w:val="20"/>
                <w:color w:val="auto"/>
              </w:rPr>
            </w:pPr>
            <w:r>
              <w:rPr>
                <w:rFonts w:ascii="Arial" w:cs="Arial" w:eastAsia="Arial" w:hAnsi="Arial"/>
                <w:sz w:val="16"/>
                <w:szCs w:val="16"/>
                <w:color w:val="auto"/>
              </w:rPr>
              <w:t>$164,382</w:t>
            </w:r>
          </w:p>
        </w:tc>
        <w:tc>
          <w:tcPr>
            <w:tcW w:w="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gridSpan w:val="2"/>
          </w:tcPr>
          <w:p>
            <w:pPr>
              <w:jc w:val="right"/>
              <w:ind w:right="319"/>
              <w:spacing w:after="0" w:line="183" w:lineRule="exact"/>
              <w:rPr>
                <w:sz w:val="20"/>
                <w:szCs w:val="20"/>
                <w:color w:val="auto"/>
              </w:rPr>
            </w:pPr>
            <w:r>
              <w:rPr>
                <w:rFonts w:ascii="Arial" w:cs="Arial" w:eastAsia="Arial" w:hAnsi="Arial"/>
                <w:sz w:val="16"/>
                <w:szCs w:val="16"/>
                <w:color w:val="auto"/>
              </w:rPr>
              <w:t>$164,382</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intangible assets, net and goodwill from December 31, 2018 to September 30, 2019,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Borders>
              <w:top w:val="single" w:sz="8" w:color="auto"/>
            </w:tcBorders>
          </w:tcPr>
          <w:p>
            <w:pPr>
              <w:spacing w:after="0"/>
              <w:rPr>
                <w:sz w:val="14"/>
                <w:szCs w:val="14"/>
                <w:color w:val="auto"/>
              </w:rPr>
            </w:pPr>
          </w:p>
        </w:tc>
        <w:tc>
          <w:tcPr>
            <w:tcW w:w="20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right"/>
              <w:ind w:right="199"/>
              <w:spacing w:after="0"/>
              <w:rPr>
                <w:sz w:val="20"/>
                <w:szCs w:val="20"/>
                <w:color w:val="auto"/>
              </w:rPr>
            </w:pPr>
            <w:r>
              <w:rPr>
                <w:rFonts w:ascii="Arial" w:cs="Arial" w:eastAsia="Arial" w:hAnsi="Arial"/>
                <w:sz w:val="14"/>
                <w:szCs w:val="14"/>
                <w:b w:val="1"/>
                <w:bCs w:val="1"/>
                <w:color w:val="auto"/>
              </w:rPr>
              <w:t>Currency</w:t>
            </w:r>
          </w:p>
        </w:tc>
        <w:tc>
          <w:tcPr>
            <w:tcW w:w="13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4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20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4"/>
                <w:szCs w:val="14"/>
                <w:b w:val="1"/>
                <w:bCs w:val="1"/>
                <w:color w:val="auto"/>
              </w:rPr>
              <w:t>December 31, 2018</w:t>
            </w:r>
          </w:p>
        </w:tc>
        <w:tc>
          <w:tcPr>
            <w:tcW w:w="138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4"/>
                <w:szCs w:val="14"/>
                <w:b w:val="1"/>
                <w:bCs w:val="1"/>
                <w:color w:val="auto"/>
              </w:rPr>
              <w:t>Amortization</w:t>
            </w:r>
          </w:p>
        </w:tc>
        <w:tc>
          <w:tcPr>
            <w:tcW w:w="124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rPr>
              <w:t>Translation</w:t>
            </w: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4220" w:type="dxa"/>
            <w:vAlign w:val="bottom"/>
          </w:tcPr>
          <w:p>
            <w:pPr>
              <w:spacing w:after="0"/>
              <w:rPr>
                <w:sz w:val="20"/>
                <w:szCs w:val="20"/>
                <w:color w:val="auto"/>
              </w:rPr>
            </w:pPr>
            <w:r>
              <w:rPr>
                <w:rFonts w:ascii="Arial" w:cs="Arial" w:eastAsia="Arial" w:hAnsi="Arial"/>
                <w:sz w:val="16"/>
                <w:szCs w:val="16"/>
                <w:color w:val="auto"/>
              </w:rPr>
              <w:t>Amortized intangible assets:</w:t>
            </w:r>
          </w:p>
        </w:tc>
        <w:tc>
          <w:tcPr>
            <w:tcW w:w="2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ind w:right="240"/>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169"/>
        </w:trPr>
        <w:tc>
          <w:tcPr>
            <w:tcW w:w="4220" w:type="dxa"/>
            <w:vAlign w:val="bottom"/>
          </w:tcPr>
          <w:p>
            <w:pPr>
              <w:spacing w:after="0" w:line="169" w:lineRule="exact"/>
              <w:rPr>
                <w:sz w:val="20"/>
                <w:szCs w:val="20"/>
                <w:color w:val="auto"/>
              </w:rPr>
            </w:pPr>
            <w:r>
              <w:rPr>
                <w:rFonts w:ascii="Arial" w:cs="Arial" w:eastAsia="Arial" w:hAnsi="Arial"/>
                <w:sz w:val="16"/>
                <w:szCs w:val="16"/>
                <w:color w:val="auto"/>
              </w:rPr>
              <w:t>AEC trade names</w:t>
            </w:r>
          </w:p>
        </w:tc>
        <w:tc>
          <w:tcPr>
            <w:tcW w:w="208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499"/>
              <w:spacing w:after="0" w:line="169" w:lineRule="exact"/>
              <w:rPr>
                <w:sz w:val="20"/>
                <w:szCs w:val="20"/>
                <w:color w:val="auto"/>
              </w:rPr>
            </w:pPr>
            <w:r>
              <w:rPr>
                <w:rFonts w:ascii="Arial" w:cs="Arial" w:eastAsia="Arial" w:hAnsi="Arial"/>
                <w:sz w:val="16"/>
                <w:szCs w:val="16"/>
                <w:color w:val="auto"/>
              </w:rPr>
              <w:t>11</w:t>
            </w:r>
          </w:p>
        </w:tc>
        <w:tc>
          <w:tcPr>
            <w:tcW w:w="54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279"/>
              <w:spacing w:after="0" w:line="169" w:lineRule="exact"/>
              <w:rPr>
                <w:sz w:val="20"/>
                <w:szCs w:val="20"/>
                <w:color w:val="auto"/>
              </w:rPr>
            </w:pPr>
            <w:r>
              <w:rPr>
                <w:rFonts w:ascii="Arial" w:cs="Arial" w:eastAsia="Arial" w:hAnsi="Arial"/>
                <w:sz w:val="16"/>
                <w:szCs w:val="16"/>
                <w:color w:val="auto"/>
              </w:rPr>
              <w:t>4)</w:t>
            </w:r>
          </w:p>
        </w:tc>
        <w:tc>
          <w:tcPr>
            <w:tcW w:w="600" w:type="dxa"/>
            <w:vAlign w:val="bottom"/>
          </w:tcPr>
          <w:p>
            <w:pPr>
              <w:jc w:val="right"/>
              <w:ind w:right="42"/>
              <w:spacing w:after="0" w:line="169" w:lineRule="exact"/>
              <w:rPr>
                <w:sz w:val="20"/>
                <w:szCs w:val="20"/>
                <w:color w:val="auto"/>
              </w:rPr>
            </w:pPr>
            <w:r>
              <w:rPr>
                <w:rFonts w:ascii="Arial" w:cs="Arial" w:eastAsia="Arial" w:hAnsi="Arial"/>
                <w:sz w:val="16"/>
                <w:szCs w:val="16"/>
                <w:color w:val="auto"/>
              </w:rPr>
              <w:t>$</w:t>
            </w:r>
          </w:p>
        </w:tc>
        <w:tc>
          <w:tcPr>
            <w:tcW w:w="640" w:type="dxa"/>
            <w:vAlign w:val="bottom"/>
          </w:tcPr>
          <w:p>
            <w:pPr>
              <w:jc w:val="right"/>
              <w:ind w:right="279"/>
              <w:spacing w:after="0" w:line="169" w:lineRule="exact"/>
              <w:rPr>
                <w:sz w:val="20"/>
                <w:szCs w:val="20"/>
                <w:color w:val="auto"/>
              </w:rPr>
            </w:pPr>
            <w:r>
              <w:rPr>
                <w:rFonts w:ascii="Arial" w:cs="Arial" w:eastAsia="Arial" w:hAnsi="Arial"/>
                <w:sz w:val="16"/>
                <w:szCs w:val="16"/>
                <w:color w:val="auto"/>
              </w:rPr>
              <w:t>—</w:t>
            </w: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20" w:type="dxa"/>
            <w:vAlign w:val="bottom"/>
          </w:tcPr>
          <w:p>
            <w:pPr>
              <w:spacing w:after="0"/>
              <w:rPr>
                <w:sz w:val="20"/>
                <w:szCs w:val="20"/>
                <w:color w:val="auto"/>
              </w:rPr>
            </w:pPr>
            <w:r>
              <w:rPr>
                <w:rFonts w:ascii="Arial" w:cs="Arial" w:eastAsia="Arial" w:hAnsi="Arial"/>
                <w:sz w:val="16"/>
                <w:szCs w:val="16"/>
                <w:color w:val="auto"/>
              </w:rPr>
              <w:t>AEC technology</w:t>
            </w:r>
          </w:p>
        </w:tc>
        <w:tc>
          <w:tcPr>
            <w:tcW w:w="2080" w:type="dxa"/>
            <w:vAlign w:val="bottom"/>
          </w:tcPr>
          <w:p>
            <w:pPr>
              <w:spacing w:after="0"/>
              <w:rPr>
                <w:sz w:val="16"/>
                <w:szCs w:val="16"/>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color w:val="auto"/>
              </w:rPr>
              <w:t>56</w:t>
            </w:r>
          </w:p>
        </w:tc>
        <w:tc>
          <w:tcPr>
            <w:tcW w:w="540" w:type="dxa"/>
            <w:vAlign w:val="bottom"/>
          </w:tcPr>
          <w:p>
            <w:pPr>
              <w:spacing w:after="0"/>
              <w:rPr>
                <w:sz w:val="16"/>
                <w:szCs w:val="16"/>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color w:val="auto"/>
              </w:rPr>
              <w:t>(19)</w:t>
            </w:r>
          </w:p>
        </w:tc>
        <w:tc>
          <w:tcPr>
            <w:tcW w:w="600" w:type="dxa"/>
            <w:vAlign w:val="bottom"/>
          </w:tcPr>
          <w:p>
            <w:pPr>
              <w:spacing w:after="0"/>
              <w:rPr>
                <w:sz w:val="16"/>
                <w:szCs w:val="16"/>
                <w:color w:val="auto"/>
              </w:rPr>
            </w:pPr>
          </w:p>
        </w:tc>
        <w:tc>
          <w:tcPr>
            <w:tcW w:w="6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860" w:type="dxa"/>
            <w:vAlign w:val="bottom"/>
          </w:tcPr>
          <w:p>
            <w:pPr>
              <w:jc w:val="right"/>
              <w:ind w:right="240"/>
              <w:spacing w:after="0"/>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20"/>
                <w:szCs w:val="20"/>
                <w:color w:val="auto"/>
              </w:rPr>
            </w:pPr>
            <w:r>
              <w:rPr>
                <w:rFonts w:ascii="Arial" w:cs="Arial" w:eastAsia="Arial" w:hAnsi="Arial"/>
                <w:sz w:val="16"/>
                <w:szCs w:val="16"/>
                <w:color w:val="auto"/>
              </w:rPr>
              <w:t>Customer relationships</w:t>
            </w:r>
          </w:p>
        </w:tc>
        <w:tc>
          <w:tcPr>
            <w:tcW w:w="2080" w:type="dxa"/>
            <w:vAlign w:val="bottom"/>
          </w:tcPr>
          <w:p>
            <w:pPr>
              <w:spacing w:after="0"/>
              <w:rPr>
                <w:sz w:val="16"/>
                <w:szCs w:val="16"/>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color w:val="auto"/>
              </w:rPr>
              <w:t>39,538</w:t>
            </w:r>
          </w:p>
        </w:tc>
        <w:tc>
          <w:tcPr>
            <w:tcW w:w="1380" w:type="dxa"/>
            <w:vAlign w:val="bottom"/>
            <w:gridSpan w:val="2"/>
          </w:tcPr>
          <w:p>
            <w:pPr>
              <w:jc w:val="right"/>
              <w:ind w:right="279"/>
              <w:spacing w:after="0"/>
              <w:rPr>
                <w:sz w:val="20"/>
                <w:szCs w:val="20"/>
                <w:color w:val="auto"/>
              </w:rPr>
            </w:pPr>
            <w:r>
              <w:rPr>
                <w:rFonts w:ascii="Arial" w:cs="Arial" w:eastAsia="Arial" w:hAnsi="Arial"/>
                <w:sz w:val="16"/>
                <w:szCs w:val="16"/>
                <w:color w:val="auto"/>
              </w:rPr>
              <w:t>(2,421)</w:t>
            </w:r>
          </w:p>
        </w:tc>
        <w:tc>
          <w:tcPr>
            <w:tcW w:w="600" w:type="dxa"/>
            <w:vAlign w:val="bottom"/>
          </w:tcPr>
          <w:p>
            <w:pPr>
              <w:spacing w:after="0"/>
              <w:rPr>
                <w:sz w:val="16"/>
                <w:szCs w:val="16"/>
                <w:color w:val="auto"/>
              </w:rPr>
            </w:pPr>
          </w:p>
        </w:tc>
        <w:tc>
          <w:tcPr>
            <w:tcW w:w="6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860" w:type="dxa"/>
            <w:vAlign w:val="bottom"/>
          </w:tcPr>
          <w:p>
            <w:pPr>
              <w:jc w:val="right"/>
              <w:ind w:right="240"/>
              <w:spacing w:after="0"/>
              <w:rPr>
                <w:sz w:val="20"/>
                <w:szCs w:val="20"/>
                <w:color w:val="auto"/>
              </w:rPr>
            </w:pPr>
            <w:r>
              <w:rPr>
                <w:rFonts w:ascii="Arial" w:cs="Arial" w:eastAsia="Arial" w:hAnsi="Arial"/>
                <w:sz w:val="16"/>
                <w:szCs w:val="16"/>
                <w:b w:val="1"/>
                <w:bCs w:val="1"/>
                <w:color w:val="auto"/>
              </w:rPr>
              <w:t>37,117</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20"/>
                <w:szCs w:val="20"/>
                <w:color w:val="auto"/>
              </w:rPr>
            </w:pPr>
            <w:r>
              <w:rPr>
                <w:rFonts w:ascii="Arial" w:cs="Arial" w:eastAsia="Arial" w:hAnsi="Arial"/>
                <w:sz w:val="16"/>
                <w:szCs w:val="16"/>
                <w:color w:val="auto"/>
              </w:rPr>
              <w:t>Customer contracts</w:t>
            </w:r>
          </w:p>
        </w:tc>
        <w:tc>
          <w:tcPr>
            <w:tcW w:w="2080" w:type="dxa"/>
            <w:vAlign w:val="bottom"/>
          </w:tcPr>
          <w:p>
            <w:pPr>
              <w:spacing w:after="0"/>
              <w:rPr>
                <w:sz w:val="16"/>
                <w:szCs w:val="16"/>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color w:val="auto"/>
              </w:rPr>
              <w:t>9,456</w:t>
            </w:r>
          </w:p>
        </w:tc>
        <w:tc>
          <w:tcPr>
            <w:tcW w:w="1380" w:type="dxa"/>
            <w:vAlign w:val="bottom"/>
            <w:gridSpan w:val="2"/>
          </w:tcPr>
          <w:p>
            <w:pPr>
              <w:jc w:val="right"/>
              <w:ind w:right="279"/>
              <w:spacing w:after="0"/>
              <w:rPr>
                <w:sz w:val="20"/>
                <w:szCs w:val="20"/>
                <w:color w:val="auto"/>
              </w:rPr>
            </w:pPr>
            <w:r>
              <w:rPr>
                <w:rFonts w:ascii="Arial" w:cs="Arial" w:eastAsia="Arial" w:hAnsi="Arial"/>
                <w:sz w:val="16"/>
                <w:szCs w:val="16"/>
                <w:color w:val="auto"/>
              </w:rPr>
              <w:t>(2,184)</w:t>
            </w:r>
          </w:p>
        </w:tc>
        <w:tc>
          <w:tcPr>
            <w:tcW w:w="600" w:type="dxa"/>
            <w:vAlign w:val="bottom"/>
          </w:tcPr>
          <w:p>
            <w:pPr>
              <w:spacing w:after="0"/>
              <w:rPr>
                <w:sz w:val="16"/>
                <w:szCs w:val="16"/>
                <w:color w:val="auto"/>
              </w:rPr>
            </w:pPr>
          </w:p>
        </w:tc>
        <w:tc>
          <w:tcPr>
            <w:tcW w:w="6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860" w:type="dxa"/>
            <w:vAlign w:val="bottom"/>
          </w:tcPr>
          <w:p>
            <w:pPr>
              <w:jc w:val="right"/>
              <w:ind w:right="240"/>
              <w:spacing w:after="0"/>
              <w:rPr>
                <w:sz w:val="20"/>
                <w:szCs w:val="20"/>
                <w:color w:val="auto"/>
              </w:rPr>
            </w:pPr>
            <w:r>
              <w:rPr>
                <w:rFonts w:ascii="Arial" w:cs="Arial" w:eastAsia="Arial" w:hAnsi="Arial"/>
                <w:sz w:val="16"/>
                <w:szCs w:val="16"/>
                <w:b w:val="1"/>
                <w:bCs w:val="1"/>
                <w:color w:val="auto"/>
              </w:rPr>
              <w:t>7,272</w:t>
            </w:r>
          </w:p>
        </w:tc>
        <w:tc>
          <w:tcPr>
            <w:tcW w:w="0" w:type="dxa"/>
            <w:vAlign w:val="bottom"/>
          </w:tcPr>
          <w:p>
            <w:pPr>
              <w:spacing w:after="0"/>
              <w:rPr>
                <w:sz w:val="1"/>
                <w:szCs w:val="1"/>
                <w:color w:val="auto"/>
              </w:rPr>
            </w:pPr>
          </w:p>
        </w:tc>
      </w:tr>
      <w:tr>
        <w:trPr>
          <w:trHeight w:val="207"/>
        </w:trPr>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intangibles</w:t>
            </w:r>
          </w:p>
        </w:tc>
        <w:tc>
          <w:tcPr>
            <w:tcW w:w="20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145</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(48)</w:t>
            </w:r>
          </w:p>
        </w:tc>
        <w:tc>
          <w:tcPr>
            <w:tcW w:w="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97</w:t>
            </w:r>
          </w:p>
        </w:tc>
        <w:tc>
          <w:tcPr>
            <w:tcW w:w="0" w:type="dxa"/>
            <w:vAlign w:val="bottom"/>
          </w:tcPr>
          <w:p>
            <w:pPr>
              <w:spacing w:after="0"/>
              <w:rPr>
                <w:sz w:val="1"/>
                <w:szCs w:val="1"/>
                <w:color w:val="auto"/>
              </w:rPr>
            </w:pPr>
          </w:p>
        </w:tc>
      </w:tr>
      <w:tr>
        <w:trPr>
          <w:trHeight w:val="183"/>
        </w:trPr>
        <w:tc>
          <w:tcPr>
            <w:tcW w:w="42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Net amortized intangible assets</w:t>
            </w:r>
          </w:p>
        </w:tc>
        <w:tc>
          <w:tcPr>
            <w:tcW w:w="2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color w:val="auto"/>
              </w:rPr>
              <w:t>49,206</w:t>
            </w: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4,676)</w:t>
            </w:r>
          </w:p>
        </w:tc>
        <w:tc>
          <w:tcPr>
            <w:tcW w:w="600" w:type="dxa"/>
            <w:vAlign w:val="bottom"/>
            <w:tcBorders>
              <w:bottom w:val="single" w:sz="8" w:color="auto"/>
            </w:tcBorders>
          </w:tcPr>
          <w:p>
            <w:pPr>
              <w:jc w:val="right"/>
              <w:ind w:right="42"/>
              <w:spacing w:after="0" w:line="183"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40"/>
              <w:spacing w:after="0" w:line="183" w:lineRule="exact"/>
              <w:rPr>
                <w:sz w:val="20"/>
                <w:szCs w:val="20"/>
                <w:color w:val="auto"/>
              </w:rPr>
            </w:pPr>
            <w:r>
              <w:rPr>
                <w:rFonts w:ascii="Arial" w:cs="Arial" w:eastAsia="Arial" w:hAnsi="Arial"/>
                <w:sz w:val="16"/>
                <w:szCs w:val="16"/>
                <w:b w:val="1"/>
                <w:bCs w:val="1"/>
                <w:color w:val="auto"/>
              </w:rPr>
              <w:t>44,530</w:t>
            </w:r>
          </w:p>
        </w:tc>
        <w:tc>
          <w:tcPr>
            <w:tcW w:w="0" w:type="dxa"/>
            <w:vAlign w:val="bottom"/>
          </w:tcPr>
          <w:p>
            <w:pPr>
              <w:spacing w:after="0"/>
              <w:rPr>
                <w:sz w:val="1"/>
                <w:szCs w:val="1"/>
                <w:color w:val="auto"/>
              </w:rPr>
            </w:pPr>
          </w:p>
        </w:tc>
      </w:tr>
      <w:tr>
        <w:trPr>
          <w:trHeight w:val="347"/>
        </w:trPr>
        <w:tc>
          <w:tcPr>
            <w:tcW w:w="4220" w:type="dxa"/>
            <w:vAlign w:val="bottom"/>
          </w:tcPr>
          <w:p>
            <w:pPr>
              <w:spacing w:after="0"/>
              <w:rPr>
                <w:sz w:val="20"/>
                <w:szCs w:val="20"/>
                <w:color w:val="auto"/>
              </w:rPr>
            </w:pPr>
            <w:r>
              <w:rPr>
                <w:rFonts w:ascii="Arial" w:cs="Arial" w:eastAsia="Arial" w:hAnsi="Arial"/>
                <w:sz w:val="16"/>
                <w:szCs w:val="16"/>
                <w:color w:val="auto"/>
              </w:rPr>
              <w:t>Unamortized intangible assets:</w:t>
            </w:r>
          </w:p>
        </w:tc>
        <w:tc>
          <w:tcPr>
            <w:tcW w:w="2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ind w:right="240"/>
              <w:spacing w:after="0"/>
              <w:rPr>
                <w:sz w:val="20"/>
                <w:szCs w:val="20"/>
                <w:color w:val="auto"/>
              </w:rPr>
            </w:pPr>
            <w:r>
              <w:rPr>
                <w:rFonts w:ascii="Arial" w:cs="Arial" w:eastAsia="Arial" w:hAnsi="Arial"/>
                <w:sz w:val="16"/>
                <w:szCs w:val="16"/>
                <w:b w:val="1"/>
                <w:bCs w:val="1"/>
                <w:color w:val="auto"/>
              </w:rPr>
              <w:t>66,345</w:t>
            </w:r>
          </w:p>
        </w:tc>
        <w:tc>
          <w:tcPr>
            <w:tcW w:w="0" w:type="dxa"/>
            <w:vAlign w:val="bottom"/>
          </w:tcPr>
          <w:p>
            <w:pPr>
              <w:spacing w:after="0"/>
              <w:rPr>
                <w:sz w:val="1"/>
                <w:szCs w:val="1"/>
                <w:color w:val="auto"/>
              </w:rPr>
            </w:pPr>
          </w:p>
        </w:tc>
      </w:tr>
      <w:tr>
        <w:trPr>
          <w:trHeight w:val="169"/>
        </w:trPr>
        <w:tc>
          <w:tcPr>
            <w:tcW w:w="4220" w:type="dxa"/>
            <w:vAlign w:val="bottom"/>
          </w:tcPr>
          <w:p>
            <w:pPr>
              <w:spacing w:after="0" w:line="169" w:lineRule="exact"/>
              <w:rPr>
                <w:sz w:val="20"/>
                <w:szCs w:val="20"/>
                <w:color w:val="auto"/>
              </w:rPr>
            </w:pPr>
            <w:r>
              <w:rPr>
                <w:rFonts w:ascii="Arial" w:cs="Arial" w:eastAsia="Arial" w:hAnsi="Arial"/>
                <w:sz w:val="16"/>
                <w:szCs w:val="16"/>
                <w:color w:val="auto"/>
              </w:rPr>
              <w:t>MC Goodwill</w:t>
            </w:r>
          </w:p>
        </w:tc>
        <w:tc>
          <w:tcPr>
            <w:tcW w:w="208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499"/>
              <w:spacing w:after="0" w:line="169" w:lineRule="exact"/>
              <w:rPr>
                <w:sz w:val="20"/>
                <w:szCs w:val="20"/>
                <w:color w:val="auto"/>
              </w:rPr>
            </w:pPr>
            <w:r>
              <w:rPr>
                <w:rFonts w:ascii="Arial" w:cs="Arial" w:eastAsia="Arial" w:hAnsi="Arial"/>
                <w:sz w:val="16"/>
                <w:szCs w:val="16"/>
                <w:color w:val="auto"/>
              </w:rPr>
              <w:t>68,652</w:t>
            </w:r>
          </w:p>
        </w:tc>
        <w:tc>
          <w:tcPr>
            <w:tcW w:w="54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319"/>
              <w:spacing w:after="0" w:line="169" w:lineRule="exact"/>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19"/>
              <w:spacing w:after="0" w:line="169" w:lineRule="exact"/>
              <w:rPr>
                <w:sz w:val="20"/>
                <w:szCs w:val="20"/>
                <w:color w:val="auto"/>
              </w:rPr>
            </w:pPr>
            <w:r>
              <w:rPr>
                <w:rFonts w:ascii="Arial" w:cs="Arial" w:eastAsia="Arial" w:hAnsi="Arial"/>
                <w:sz w:val="16"/>
                <w:szCs w:val="16"/>
                <w:color w:val="auto"/>
              </w:rPr>
              <w:t>($2,307)</w:t>
            </w: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AEC Goodwill</w:t>
            </w:r>
          </w:p>
        </w:tc>
        <w:tc>
          <w:tcPr>
            <w:tcW w:w="20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95,730</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95,730</w:t>
            </w:r>
          </w:p>
        </w:tc>
        <w:tc>
          <w:tcPr>
            <w:tcW w:w="0" w:type="dxa"/>
            <w:vAlign w:val="bottom"/>
          </w:tcPr>
          <w:p>
            <w:pPr>
              <w:spacing w:after="0"/>
              <w:rPr>
                <w:sz w:val="1"/>
                <w:szCs w:val="1"/>
                <w:color w:val="auto"/>
              </w:rPr>
            </w:pPr>
          </w:p>
        </w:tc>
      </w:tr>
      <w:tr>
        <w:trPr>
          <w:trHeight w:val="183"/>
        </w:trPr>
        <w:tc>
          <w:tcPr>
            <w:tcW w:w="42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unamortized intangible assets:</w:t>
            </w:r>
          </w:p>
        </w:tc>
        <w:tc>
          <w:tcPr>
            <w:tcW w:w="3200" w:type="dxa"/>
            <w:vAlign w:val="bottom"/>
            <w:tcBorders>
              <w:bottom w:val="single" w:sz="8" w:color="auto"/>
            </w:tcBorders>
            <w:gridSpan w:val="2"/>
          </w:tcPr>
          <w:p>
            <w:pPr>
              <w:jc w:val="right"/>
              <w:ind w:right="499"/>
              <w:spacing w:after="0" w:line="183" w:lineRule="exact"/>
              <w:rPr>
                <w:sz w:val="20"/>
                <w:szCs w:val="20"/>
                <w:color w:val="auto"/>
              </w:rPr>
            </w:pPr>
            <w:r>
              <w:rPr>
                <w:rFonts w:ascii="Arial" w:cs="Arial" w:eastAsia="Arial" w:hAnsi="Arial"/>
                <w:sz w:val="16"/>
                <w:szCs w:val="16"/>
                <w:color w:val="auto"/>
              </w:rPr>
              <w:t>$164,382</w:t>
            </w: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gridSpan w:val="2"/>
          </w:tcPr>
          <w:p>
            <w:pPr>
              <w:jc w:val="right"/>
              <w:ind w:right="219"/>
              <w:spacing w:after="0" w:line="183" w:lineRule="exact"/>
              <w:rPr>
                <w:sz w:val="20"/>
                <w:szCs w:val="20"/>
                <w:color w:val="auto"/>
              </w:rPr>
            </w:pPr>
            <w:r>
              <w:rPr>
                <w:rFonts w:ascii="Arial" w:cs="Arial" w:eastAsia="Arial" w:hAnsi="Arial"/>
                <w:sz w:val="16"/>
                <w:szCs w:val="16"/>
                <w:color w:val="auto"/>
              </w:rPr>
              <w:t>($2,307)</w:t>
            </w:r>
          </w:p>
        </w:tc>
        <w:tc>
          <w:tcPr>
            <w:tcW w:w="1380" w:type="dxa"/>
            <w:vAlign w:val="bottom"/>
            <w:tcBorders>
              <w:bottom w:val="single" w:sz="8" w:color="auto"/>
            </w:tcBorders>
            <w:gridSpan w:val="2"/>
          </w:tcPr>
          <w:p>
            <w:pPr>
              <w:jc w:val="right"/>
              <w:ind w:right="240"/>
              <w:spacing w:after="0" w:line="183" w:lineRule="exact"/>
              <w:rPr>
                <w:sz w:val="20"/>
                <w:szCs w:val="20"/>
                <w:color w:val="auto"/>
              </w:rPr>
            </w:pPr>
            <w:r>
              <w:rPr>
                <w:rFonts w:ascii="Arial" w:cs="Arial" w:eastAsia="Arial" w:hAnsi="Arial"/>
                <w:sz w:val="16"/>
                <w:szCs w:val="16"/>
                <w:b w:val="1"/>
                <w:bCs w:val="1"/>
                <w:color w:val="auto"/>
              </w:rPr>
              <w:t>$162,075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Estimated amortization expense of intangibles for the years ending December 31, 2019 through 2023, is as follows:</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4320" w:type="dxa"/>
            <w:vAlign w:val="bottom"/>
            <w:tcBorders>
              <w:top w:val="single" w:sz="8" w:color="auto"/>
            </w:tcBorders>
          </w:tcPr>
          <w:p>
            <w:pPr>
              <w:spacing w:after="0"/>
              <w:rPr>
                <w:sz w:val="14"/>
                <w:szCs w:val="14"/>
                <w:color w:val="auto"/>
              </w:rPr>
            </w:pPr>
          </w:p>
        </w:tc>
        <w:tc>
          <w:tcPr>
            <w:tcW w:w="5100" w:type="dxa"/>
            <w:vAlign w:val="bottom"/>
            <w:tcBorders>
              <w:top w:val="single" w:sz="8" w:color="auto"/>
            </w:tcBorders>
          </w:tcPr>
          <w:p>
            <w:pPr>
              <w:jc w:val="center"/>
              <w:ind w:left="3702"/>
              <w:spacing w:after="0"/>
              <w:rPr>
                <w:sz w:val="20"/>
                <w:szCs w:val="20"/>
                <w:color w:val="auto"/>
              </w:rPr>
            </w:pPr>
            <w:r>
              <w:rPr>
                <w:rFonts w:ascii="Arial" w:cs="Arial" w:eastAsia="Arial" w:hAnsi="Arial"/>
                <w:sz w:val="14"/>
                <w:szCs w:val="14"/>
                <w:b w:val="1"/>
                <w:bCs w:val="1"/>
                <w:color w:val="auto"/>
              </w:rPr>
              <w:t>Annual</w:t>
            </w:r>
          </w:p>
        </w:tc>
      </w:tr>
      <w:tr>
        <w:trPr>
          <w:trHeight w:val="162"/>
        </w:trPr>
        <w:tc>
          <w:tcPr>
            <w:tcW w:w="4320" w:type="dxa"/>
            <w:vAlign w:val="bottom"/>
          </w:tcPr>
          <w:p>
            <w:pPr>
              <w:spacing w:after="0"/>
              <w:rPr>
                <w:sz w:val="14"/>
                <w:szCs w:val="14"/>
                <w:color w:val="auto"/>
              </w:rPr>
            </w:pPr>
          </w:p>
        </w:tc>
        <w:tc>
          <w:tcPr>
            <w:tcW w:w="5100" w:type="dxa"/>
            <w:vAlign w:val="bottom"/>
          </w:tcPr>
          <w:p>
            <w:pPr>
              <w:jc w:val="center"/>
              <w:ind w:left="3722"/>
              <w:spacing w:after="0"/>
              <w:rPr>
                <w:sz w:val="20"/>
                <w:szCs w:val="20"/>
                <w:color w:val="auto"/>
              </w:rPr>
            </w:pPr>
            <w:r>
              <w:rPr>
                <w:rFonts w:ascii="Arial" w:cs="Arial" w:eastAsia="Arial" w:hAnsi="Arial"/>
                <w:sz w:val="14"/>
                <w:szCs w:val="14"/>
                <w:b w:val="1"/>
                <w:bCs w:val="1"/>
                <w:color w:val="auto"/>
              </w:rPr>
              <w:t>amortization</w:t>
            </w:r>
          </w:p>
        </w:tc>
      </w:tr>
      <w:tr>
        <w:trPr>
          <w:trHeight w:val="175"/>
        </w:trPr>
        <w:tc>
          <w:tcPr>
            <w:tcW w:w="4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5100" w:type="dxa"/>
            <w:vAlign w:val="bottom"/>
            <w:tcBorders>
              <w:bottom w:val="single" w:sz="8" w:color="auto"/>
            </w:tcBorders>
          </w:tcPr>
          <w:p>
            <w:pPr>
              <w:jc w:val="center"/>
              <w:ind w:left="3702"/>
              <w:spacing w:after="0"/>
              <w:rPr>
                <w:sz w:val="20"/>
                <w:szCs w:val="20"/>
                <w:color w:val="auto"/>
              </w:rPr>
            </w:pPr>
            <w:r>
              <w:rPr>
                <w:rFonts w:ascii="Arial" w:cs="Arial" w:eastAsia="Arial" w:hAnsi="Arial"/>
                <w:sz w:val="14"/>
                <w:szCs w:val="14"/>
                <w:b w:val="1"/>
                <w:bCs w:val="1"/>
                <w:color w:val="auto"/>
              </w:rPr>
              <w:t>(in thousands)</w:t>
            </w:r>
          </w:p>
        </w:tc>
      </w:tr>
      <w:tr>
        <w:trPr>
          <w:trHeight w:val="184"/>
        </w:trPr>
        <w:tc>
          <w:tcPr>
            <w:tcW w:w="4320" w:type="dxa"/>
            <w:vAlign w:val="bottom"/>
          </w:tcPr>
          <w:p>
            <w:pPr>
              <w:spacing w:after="0"/>
              <w:rPr>
                <w:sz w:val="20"/>
                <w:szCs w:val="20"/>
                <w:color w:val="auto"/>
              </w:rPr>
            </w:pPr>
            <w:r>
              <w:rPr>
                <w:rFonts w:ascii="Arial" w:cs="Arial" w:eastAsia="Arial" w:hAnsi="Arial"/>
                <w:sz w:val="16"/>
                <w:szCs w:val="16"/>
                <w:color w:val="auto"/>
              </w:rPr>
              <w:t>2019</w:t>
            </w:r>
          </w:p>
        </w:tc>
        <w:tc>
          <w:tcPr>
            <w:tcW w:w="5100" w:type="dxa"/>
            <w:vAlign w:val="bottom"/>
          </w:tcPr>
          <w:p>
            <w:pPr>
              <w:jc w:val="right"/>
              <w:ind w:right="322"/>
              <w:spacing w:after="0"/>
              <w:rPr>
                <w:sz w:val="20"/>
                <w:szCs w:val="20"/>
                <w:color w:val="auto"/>
              </w:rPr>
            </w:pPr>
            <w:r>
              <w:rPr>
                <w:rFonts w:ascii="Arial" w:cs="Arial" w:eastAsia="Arial" w:hAnsi="Arial"/>
                <w:sz w:val="16"/>
                <w:szCs w:val="16"/>
                <w:color w:val="auto"/>
              </w:rPr>
              <w:t>$6,234</w:t>
            </w:r>
          </w:p>
        </w:tc>
      </w:tr>
      <w:tr>
        <w:trPr>
          <w:trHeight w:val="189"/>
        </w:trPr>
        <w:tc>
          <w:tcPr>
            <w:tcW w:w="4320" w:type="dxa"/>
            <w:vAlign w:val="bottom"/>
          </w:tcPr>
          <w:p>
            <w:pPr>
              <w:spacing w:after="0"/>
              <w:rPr>
                <w:sz w:val="20"/>
                <w:szCs w:val="20"/>
                <w:color w:val="auto"/>
              </w:rPr>
            </w:pPr>
            <w:r>
              <w:rPr>
                <w:rFonts w:ascii="Arial" w:cs="Arial" w:eastAsia="Arial" w:hAnsi="Arial"/>
                <w:sz w:val="16"/>
                <w:szCs w:val="16"/>
                <w:color w:val="auto"/>
              </w:rPr>
              <w:t>2020</w:t>
            </w:r>
          </w:p>
        </w:tc>
        <w:tc>
          <w:tcPr>
            <w:tcW w:w="5100" w:type="dxa"/>
            <w:vAlign w:val="bottom"/>
          </w:tcPr>
          <w:p>
            <w:pPr>
              <w:jc w:val="right"/>
              <w:ind w:right="342"/>
              <w:spacing w:after="0"/>
              <w:rPr>
                <w:sz w:val="20"/>
                <w:szCs w:val="20"/>
                <w:color w:val="auto"/>
              </w:rPr>
            </w:pPr>
            <w:r>
              <w:rPr>
                <w:rFonts w:ascii="Arial" w:cs="Arial" w:eastAsia="Arial" w:hAnsi="Arial"/>
                <w:sz w:val="16"/>
                <w:szCs w:val="16"/>
                <w:color w:val="auto"/>
              </w:rPr>
              <w:t>6,234</w:t>
            </w:r>
          </w:p>
        </w:tc>
      </w:tr>
      <w:tr>
        <w:trPr>
          <w:trHeight w:val="189"/>
        </w:trPr>
        <w:tc>
          <w:tcPr>
            <w:tcW w:w="4320" w:type="dxa"/>
            <w:vAlign w:val="bottom"/>
          </w:tcPr>
          <w:p>
            <w:pPr>
              <w:spacing w:after="0"/>
              <w:rPr>
                <w:sz w:val="20"/>
                <w:szCs w:val="20"/>
                <w:color w:val="auto"/>
              </w:rPr>
            </w:pPr>
            <w:r>
              <w:rPr>
                <w:rFonts w:ascii="Arial" w:cs="Arial" w:eastAsia="Arial" w:hAnsi="Arial"/>
                <w:sz w:val="16"/>
                <w:szCs w:val="16"/>
                <w:color w:val="auto"/>
              </w:rPr>
              <w:t>2021</w:t>
            </w:r>
          </w:p>
        </w:tc>
        <w:tc>
          <w:tcPr>
            <w:tcW w:w="5100" w:type="dxa"/>
            <w:vAlign w:val="bottom"/>
          </w:tcPr>
          <w:p>
            <w:pPr>
              <w:jc w:val="right"/>
              <w:ind w:right="342"/>
              <w:spacing w:after="0"/>
              <w:rPr>
                <w:sz w:val="20"/>
                <w:szCs w:val="20"/>
                <w:color w:val="auto"/>
              </w:rPr>
            </w:pPr>
            <w:r>
              <w:rPr>
                <w:rFonts w:ascii="Arial" w:cs="Arial" w:eastAsia="Arial" w:hAnsi="Arial"/>
                <w:sz w:val="16"/>
                <w:szCs w:val="16"/>
                <w:color w:val="auto"/>
              </w:rPr>
              <w:t>6,163</w:t>
            </w:r>
          </w:p>
        </w:tc>
      </w:tr>
      <w:tr>
        <w:trPr>
          <w:trHeight w:val="189"/>
        </w:trPr>
        <w:tc>
          <w:tcPr>
            <w:tcW w:w="4320" w:type="dxa"/>
            <w:vAlign w:val="bottom"/>
          </w:tcPr>
          <w:p>
            <w:pPr>
              <w:spacing w:after="0"/>
              <w:rPr>
                <w:sz w:val="20"/>
                <w:szCs w:val="20"/>
                <w:color w:val="auto"/>
              </w:rPr>
            </w:pPr>
            <w:r>
              <w:rPr>
                <w:rFonts w:ascii="Arial" w:cs="Arial" w:eastAsia="Arial" w:hAnsi="Arial"/>
                <w:sz w:val="16"/>
                <w:szCs w:val="16"/>
                <w:color w:val="auto"/>
              </w:rPr>
              <w:t>2022</w:t>
            </w:r>
          </w:p>
        </w:tc>
        <w:tc>
          <w:tcPr>
            <w:tcW w:w="5100" w:type="dxa"/>
            <w:vAlign w:val="bottom"/>
          </w:tcPr>
          <w:p>
            <w:pPr>
              <w:jc w:val="right"/>
              <w:ind w:right="342"/>
              <w:spacing w:after="0"/>
              <w:rPr>
                <w:sz w:val="20"/>
                <w:szCs w:val="20"/>
                <w:color w:val="auto"/>
              </w:rPr>
            </w:pPr>
            <w:r>
              <w:rPr>
                <w:rFonts w:ascii="Arial" w:cs="Arial" w:eastAsia="Arial" w:hAnsi="Arial"/>
                <w:sz w:val="16"/>
                <w:szCs w:val="16"/>
                <w:color w:val="auto"/>
              </w:rPr>
              <w:t>3,949</w:t>
            </w:r>
          </w:p>
        </w:tc>
      </w:tr>
      <w:tr>
        <w:trPr>
          <w:trHeight w:val="187"/>
        </w:trPr>
        <w:tc>
          <w:tcPr>
            <w:tcW w:w="4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2023</w:t>
            </w:r>
          </w:p>
        </w:tc>
        <w:tc>
          <w:tcPr>
            <w:tcW w:w="51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3,228</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Financial Instruments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principally to banks and noteholders, consists of:</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interest rates)</w:t>
            </w:r>
          </w:p>
        </w:tc>
        <w:tc>
          <w:tcPr>
            <w:tcW w:w="180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September 30, 2019</w:t>
            </w:r>
          </w:p>
        </w:tc>
        <w:tc>
          <w:tcPr>
            <w:tcW w:w="184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84"/>
        </w:trPr>
        <w:tc>
          <w:tcPr>
            <w:tcW w:w="7780" w:type="dxa"/>
            <w:vAlign w:val="bottom"/>
          </w:tcPr>
          <w:p>
            <w:pPr>
              <w:spacing w:after="0"/>
              <w:rPr>
                <w:sz w:val="20"/>
                <w:szCs w:val="20"/>
                <w:color w:val="auto"/>
              </w:rPr>
            </w:pPr>
            <w:r>
              <w:rPr>
                <w:rFonts w:ascii="Arial" w:cs="Arial" w:eastAsia="Arial" w:hAnsi="Arial"/>
                <w:sz w:val="16"/>
                <w:szCs w:val="16"/>
                <w:color w:val="auto"/>
              </w:rPr>
              <w:t>Revolving credit agreement with borrowings outstanding at an end of period interest rate of 3.47% in 2019</w:t>
            </w:r>
          </w:p>
        </w:tc>
        <w:tc>
          <w:tcPr>
            <w:tcW w:w="18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80" w:type="dxa"/>
            <w:vAlign w:val="bottom"/>
          </w:tcPr>
          <w:p>
            <w:pPr>
              <w:ind w:left="120"/>
              <w:spacing w:after="0"/>
              <w:rPr>
                <w:sz w:val="20"/>
                <w:szCs w:val="20"/>
                <w:color w:val="auto"/>
              </w:rPr>
            </w:pPr>
            <w:r>
              <w:rPr>
                <w:rFonts w:ascii="Arial" w:cs="Arial" w:eastAsia="Arial" w:hAnsi="Arial"/>
                <w:sz w:val="16"/>
                <w:szCs w:val="16"/>
                <w:color w:val="auto"/>
              </w:rPr>
              <w:t>and 3.69% in 2018 (including the effect of interest rate hedging transactions, as described below), due in</w:t>
            </w:r>
          </w:p>
        </w:tc>
        <w:tc>
          <w:tcPr>
            <w:tcW w:w="1800" w:type="dxa"/>
            <w:vAlign w:val="bottom"/>
            <w:vMerge w:val="restart"/>
          </w:tcPr>
          <w:p>
            <w:pPr>
              <w:jc w:val="right"/>
              <w:ind w:right="520"/>
              <w:spacing w:after="0"/>
              <w:rPr>
                <w:sz w:val="20"/>
                <w:szCs w:val="20"/>
                <w:color w:val="auto"/>
              </w:rPr>
            </w:pPr>
            <w:r>
              <w:rPr>
                <w:rFonts w:ascii="Arial" w:cs="Arial" w:eastAsia="Arial" w:hAnsi="Arial"/>
                <w:sz w:val="16"/>
                <w:szCs w:val="16"/>
                <w:b w:val="1"/>
                <w:bCs w:val="1"/>
                <w:color w:val="auto"/>
              </w:rPr>
              <w:t>$424,000</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120"/>
              <w:spacing w:after="0"/>
              <w:rPr>
                <w:sz w:val="20"/>
                <w:szCs w:val="20"/>
                <w:color w:val="auto"/>
              </w:rPr>
            </w:pPr>
            <w:r>
              <w:rPr>
                <w:rFonts w:ascii="Arial" w:cs="Arial" w:eastAsia="Arial" w:hAnsi="Arial"/>
                <w:sz w:val="16"/>
                <w:szCs w:val="16"/>
                <w:color w:val="auto"/>
              </w:rPr>
              <w:t>2022</w:t>
            </w:r>
          </w:p>
        </w:tc>
        <w:tc>
          <w:tcPr>
            <w:tcW w:w="1800" w:type="dxa"/>
            <w:vAlign w:val="bottom"/>
            <w:vMerge w:val="continue"/>
          </w:tcPr>
          <w:p>
            <w:pPr>
              <w:spacing w:after="0"/>
              <w:rPr>
                <w:sz w:val="16"/>
                <w:szCs w:val="16"/>
                <w:color w:val="auto"/>
              </w:rPr>
            </w:pPr>
          </w:p>
        </w:tc>
        <w:tc>
          <w:tcPr>
            <w:tcW w:w="1840" w:type="dxa"/>
            <w:vAlign w:val="bottom"/>
          </w:tcPr>
          <w:p>
            <w:pPr>
              <w:jc w:val="right"/>
              <w:ind w:right="520"/>
              <w:spacing w:after="0"/>
              <w:rPr>
                <w:sz w:val="20"/>
                <w:szCs w:val="20"/>
                <w:color w:val="auto"/>
              </w:rPr>
            </w:pPr>
            <w:r>
              <w:rPr>
                <w:rFonts w:ascii="Arial" w:cs="Arial" w:eastAsia="Arial" w:hAnsi="Arial"/>
                <w:sz w:val="16"/>
                <w:szCs w:val="16"/>
                <w:color w:val="auto"/>
              </w:rPr>
              <w:t>$499,000</w:t>
            </w:r>
          </w:p>
        </w:tc>
        <w:tc>
          <w:tcPr>
            <w:tcW w:w="0" w:type="dxa"/>
            <w:vAlign w:val="bottom"/>
          </w:tcPr>
          <w:p>
            <w:pPr>
              <w:spacing w:after="0"/>
              <w:rPr>
                <w:sz w:val="1"/>
                <w:szCs w:val="1"/>
                <w:color w:val="auto"/>
              </w:rPr>
            </w:pPr>
          </w:p>
        </w:tc>
      </w:tr>
      <w:tr>
        <w:trPr>
          <w:trHeight w:val="351"/>
        </w:trPr>
        <w:tc>
          <w:tcPr>
            <w:tcW w:w="7780" w:type="dxa"/>
            <w:vAlign w:val="bottom"/>
          </w:tcPr>
          <w:p>
            <w:pPr>
              <w:spacing w:after="0"/>
              <w:rPr>
                <w:sz w:val="20"/>
                <w:szCs w:val="20"/>
                <w:color w:val="auto"/>
              </w:rPr>
            </w:pPr>
            <w:r>
              <w:rPr>
                <w:rFonts w:ascii="Arial" w:cs="Arial" w:eastAsia="Arial" w:hAnsi="Arial"/>
                <w:sz w:val="16"/>
                <w:szCs w:val="16"/>
                <w:color w:val="auto"/>
              </w:rPr>
              <w:t>Finance obligation</w:t>
            </w:r>
          </w:p>
        </w:tc>
        <w:tc>
          <w:tcPr>
            <w:tcW w:w="1800" w:type="dxa"/>
            <w:vAlign w:val="bottom"/>
          </w:tcPr>
          <w:p>
            <w:pPr>
              <w:jc w:val="right"/>
              <w:ind w:right="520"/>
              <w:spacing w:after="0"/>
              <w:rPr>
                <w:sz w:val="20"/>
                <w:szCs w:val="20"/>
                <w:color w:val="auto"/>
              </w:rPr>
            </w:pPr>
            <w:r>
              <w:rPr>
                <w:rFonts w:ascii="Arial" w:cs="Arial" w:eastAsia="Arial" w:hAnsi="Arial"/>
                <w:sz w:val="16"/>
                <w:szCs w:val="16"/>
                <w:b w:val="1"/>
                <w:bCs w:val="1"/>
                <w:color w:val="auto"/>
              </w:rPr>
              <w:t>—</w:t>
            </w:r>
          </w:p>
        </w:tc>
        <w:tc>
          <w:tcPr>
            <w:tcW w:w="1840" w:type="dxa"/>
            <w:vAlign w:val="bottom"/>
          </w:tcPr>
          <w:p>
            <w:pPr>
              <w:jc w:val="right"/>
              <w:ind w:right="520"/>
              <w:spacing w:after="0"/>
              <w:rPr>
                <w:sz w:val="20"/>
                <w:szCs w:val="20"/>
                <w:color w:val="auto"/>
              </w:rPr>
            </w:pPr>
            <w:r>
              <w:rPr>
                <w:rFonts w:ascii="Arial" w:cs="Arial" w:eastAsia="Arial" w:hAnsi="Arial"/>
                <w:sz w:val="16"/>
                <w:szCs w:val="16"/>
                <w:color w:val="auto"/>
              </w:rPr>
              <w:t>25,886</w:t>
            </w:r>
          </w:p>
        </w:tc>
        <w:tc>
          <w:tcPr>
            <w:tcW w:w="0" w:type="dxa"/>
            <w:vAlign w:val="bottom"/>
          </w:tcPr>
          <w:p>
            <w:pPr>
              <w:spacing w:after="0"/>
              <w:rPr>
                <w:sz w:val="1"/>
                <w:szCs w:val="1"/>
                <w:color w:val="auto"/>
              </w:rPr>
            </w:pPr>
          </w:p>
        </w:tc>
      </w:tr>
      <w:tr>
        <w:trPr>
          <w:trHeight w:val="346"/>
        </w:trPr>
        <w:tc>
          <w:tcPr>
            <w:tcW w:w="7780" w:type="dxa"/>
            <w:vAlign w:val="bottom"/>
          </w:tcPr>
          <w:p>
            <w:pPr>
              <w:spacing w:after="0"/>
              <w:rPr>
                <w:sz w:val="20"/>
                <w:szCs w:val="20"/>
                <w:color w:val="auto"/>
              </w:rPr>
            </w:pPr>
            <w:r>
              <w:rPr>
                <w:rFonts w:ascii="Arial" w:cs="Arial" w:eastAsia="Arial" w:hAnsi="Arial"/>
                <w:sz w:val="16"/>
                <w:szCs w:val="16"/>
                <w:color w:val="auto"/>
              </w:rPr>
              <w:t>Other debt, at an average end of period rate of 5.50% in both 2019 and 2018, due in varying amounts</w:t>
            </w:r>
          </w:p>
        </w:tc>
        <w:tc>
          <w:tcPr>
            <w:tcW w:w="1800" w:type="dxa"/>
            <w:vAlign w:val="bottom"/>
            <w:vMerge w:val="restart"/>
          </w:tcPr>
          <w:p>
            <w:pPr>
              <w:jc w:val="right"/>
              <w:ind w:right="520"/>
              <w:spacing w:after="0"/>
              <w:rPr>
                <w:sz w:val="20"/>
                <w:szCs w:val="20"/>
                <w:color w:val="auto"/>
              </w:rPr>
            </w:pPr>
            <w:r>
              <w:rPr>
                <w:rFonts w:ascii="Arial" w:cs="Arial" w:eastAsia="Arial" w:hAnsi="Arial"/>
                <w:sz w:val="16"/>
                <w:szCs w:val="16"/>
                <w:b w:val="1"/>
                <w:bCs w:val="1"/>
                <w:color w:val="auto"/>
              </w:rPr>
              <w:t>32</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7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through 2021</w:t>
            </w:r>
          </w:p>
        </w:tc>
        <w:tc>
          <w:tcPr>
            <w:tcW w:w="180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52"/>
        </w:trPr>
        <w:tc>
          <w:tcPr>
            <w:tcW w:w="7780" w:type="dxa"/>
            <w:vAlign w:val="bottom"/>
          </w:tcPr>
          <w:p>
            <w:pPr>
              <w:spacing w:after="0"/>
              <w:rPr>
                <w:sz w:val="20"/>
                <w:szCs w:val="20"/>
                <w:color w:val="auto"/>
              </w:rPr>
            </w:pPr>
            <w:r>
              <w:rPr>
                <w:rFonts w:ascii="Arial" w:cs="Arial" w:eastAsia="Arial" w:hAnsi="Arial"/>
                <w:sz w:val="16"/>
                <w:szCs w:val="16"/>
                <w:color w:val="auto"/>
              </w:rPr>
              <w:t>Long-term debt</w:t>
            </w:r>
          </w:p>
        </w:tc>
        <w:tc>
          <w:tcPr>
            <w:tcW w:w="1800" w:type="dxa"/>
            <w:vAlign w:val="bottom"/>
          </w:tcPr>
          <w:p>
            <w:pPr>
              <w:jc w:val="right"/>
              <w:ind w:right="520"/>
              <w:spacing w:after="0"/>
              <w:rPr>
                <w:sz w:val="20"/>
                <w:szCs w:val="20"/>
                <w:color w:val="auto"/>
              </w:rPr>
            </w:pPr>
            <w:r>
              <w:rPr>
                <w:rFonts w:ascii="Arial" w:cs="Arial" w:eastAsia="Arial" w:hAnsi="Arial"/>
                <w:sz w:val="16"/>
                <w:szCs w:val="16"/>
                <w:b w:val="1"/>
                <w:bCs w:val="1"/>
                <w:color w:val="auto"/>
              </w:rPr>
              <w:t>424,032</w:t>
            </w:r>
          </w:p>
        </w:tc>
        <w:tc>
          <w:tcPr>
            <w:tcW w:w="1840" w:type="dxa"/>
            <w:vAlign w:val="bottom"/>
          </w:tcPr>
          <w:p>
            <w:pPr>
              <w:jc w:val="right"/>
              <w:ind w:right="540"/>
              <w:spacing w:after="0"/>
              <w:rPr>
                <w:sz w:val="20"/>
                <w:szCs w:val="20"/>
                <w:color w:val="auto"/>
              </w:rPr>
            </w:pPr>
            <w:r>
              <w:rPr>
                <w:rFonts w:ascii="Arial" w:cs="Arial" w:eastAsia="Arial" w:hAnsi="Arial"/>
                <w:sz w:val="16"/>
                <w:szCs w:val="16"/>
                <w:color w:val="auto"/>
              </w:rPr>
              <w:t>524,931</w:t>
            </w:r>
          </w:p>
        </w:tc>
        <w:tc>
          <w:tcPr>
            <w:tcW w:w="0" w:type="dxa"/>
            <w:vAlign w:val="bottom"/>
          </w:tcPr>
          <w:p>
            <w:pPr>
              <w:spacing w:after="0"/>
              <w:rPr>
                <w:sz w:val="1"/>
                <w:szCs w:val="1"/>
                <w:color w:val="auto"/>
              </w:rPr>
            </w:pPr>
          </w:p>
        </w:tc>
      </w:tr>
      <w:tr>
        <w:trPr>
          <w:trHeight w:val="344"/>
        </w:trPr>
        <w:tc>
          <w:tcPr>
            <w:tcW w:w="7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current portion</w:t>
            </w:r>
          </w:p>
        </w:tc>
        <w:tc>
          <w:tcPr>
            <w:tcW w:w="18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w:t>
            </w:r>
          </w:p>
        </w:tc>
        <w:tc>
          <w:tcPr>
            <w:tcW w:w="184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(1,224)</w:t>
            </w:r>
          </w:p>
        </w:tc>
        <w:tc>
          <w:tcPr>
            <w:tcW w:w="0" w:type="dxa"/>
            <w:vAlign w:val="bottom"/>
          </w:tcPr>
          <w:p>
            <w:pPr>
              <w:spacing w:after="0"/>
              <w:rPr>
                <w:sz w:val="1"/>
                <w:szCs w:val="1"/>
                <w:color w:val="auto"/>
              </w:rPr>
            </w:pPr>
          </w:p>
        </w:tc>
      </w:tr>
      <w:tr>
        <w:trPr>
          <w:trHeight w:val="183"/>
        </w:trPr>
        <w:tc>
          <w:tcPr>
            <w:tcW w:w="77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Long-term debt, net of current portion</w:t>
            </w:r>
          </w:p>
        </w:tc>
        <w:tc>
          <w:tcPr>
            <w:tcW w:w="1800" w:type="dxa"/>
            <w:vAlign w:val="bottom"/>
            <w:tcBorders>
              <w:bottom w:val="single" w:sz="8" w:color="auto"/>
            </w:tcBorders>
          </w:tcPr>
          <w:p>
            <w:pPr>
              <w:jc w:val="right"/>
              <w:ind w:right="520"/>
              <w:spacing w:after="0" w:line="183" w:lineRule="exact"/>
              <w:rPr>
                <w:sz w:val="20"/>
                <w:szCs w:val="20"/>
                <w:color w:val="auto"/>
              </w:rPr>
            </w:pPr>
            <w:r>
              <w:rPr>
                <w:rFonts w:ascii="Arial" w:cs="Arial" w:eastAsia="Arial" w:hAnsi="Arial"/>
                <w:sz w:val="16"/>
                <w:szCs w:val="16"/>
                <w:b w:val="1"/>
                <w:bCs w:val="1"/>
                <w:color w:val="auto"/>
              </w:rPr>
              <w:t>$424,012</w:t>
            </w:r>
          </w:p>
        </w:tc>
        <w:tc>
          <w:tcPr>
            <w:tcW w:w="1840" w:type="dxa"/>
            <w:vAlign w:val="bottom"/>
            <w:tcBorders>
              <w:bottom w:val="single" w:sz="8" w:color="auto"/>
            </w:tcBorders>
          </w:tcPr>
          <w:p>
            <w:pPr>
              <w:jc w:val="right"/>
              <w:ind w:right="520"/>
              <w:spacing w:after="0" w:line="183" w:lineRule="exact"/>
              <w:rPr>
                <w:sz w:val="20"/>
                <w:szCs w:val="20"/>
                <w:color w:val="auto"/>
              </w:rPr>
            </w:pPr>
            <w:r>
              <w:rPr>
                <w:rFonts w:ascii="Arial" w:cs="Arial" w:eastAsia="Arial" w:hAnsi="Arial"/>
                <w:sz w:val="16"/>
                <w:szCs w:val="16"/>
                <w:color w:val="auto"/>
              </w:rPr>
              <w:t>$523,707</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On November 7, 2017, we entered into a $685 million unsecured Five-Year Revolving Credit Facility Agreement (the “Credit Agreement”) which amended and restated the prior $550 million Agreement, entered into on April 8, 2016 (the “Prior Agreement”). Under the Credit Agreement, $424 million of borrowings were outstanding as of September 30, 2019. The applicable interest rate for borrowings was LIBOR plus a spread, based on our leverage ratio at the time of borrowing. At the time of the last borrowing on September 30, 2019, the spread was 1.375%. The spread was based on a pricing grid, which ranged from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jc w:val="both"/>
        <w:spacing w:after="0"/>
        <w:rPr>
          <w:sz w:val="20"/>
          <w:szCs w:val="20"/>
          <w:color w:val="auto"/>
        </w:rPr>
      </w:pPr>
      <w:r>
        <w:rPr>
          <w:rFonts w:ascii="Arial" w:cs="Arial" w:eastAsia="Arial" w:hAnsi="Arial"/>
          <w:sz w:val="18"/>
          <w:szCs w:val="18"/>
          <w:color w:val="auto"/>
        </w:rPr>
        <w:t>1.250% to 1.750%, based on our leverage ratio. Based on our maximum leverage ratio and our Consolidated EBITDA, and without modification to any other credit agreements, as of September 30, 2019, we would have been able to borrow an additional $261 million under the Agreement.</w:t>
      </w:r>
    </w:p>
    <w:p>
      <w:pPr>
        <w:spacing w:after="0" w:line="30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Credit Agreement contains customary terms, as well as affirmative covenants, negative covenants and events of default that are comparable to those in the Prior Agreement. The Borrowings are guaranteed by certain of the Company’s subsidiaries.</w:t>
      </w:r>
    </w:p>
    <w:p>
      <w:pPr>
        <w:spacing w:after="0" w:line="8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(as defined in the Credit Agreement).</w:t>
      </w:r>
    </w:p>
    <w:p>
      <w:pPr>
        <w:spacing w:after="0" w:line="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Due to the implementation of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on January 1, 2019, as further described in Note 3 the finance obligation that had a balance of $25.9 million as of December 31, 2018, was eliminated and replaced with a finance lease obligation that is included in Other noncurrent liabilities and Accrued liabilities.</w:t>
      </w:r>
    </w:p>
    <w:p>
      <w:pPr>
        <w:spacing w:after="0" w:line="84"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On November 27, 2017, we terminated our interest rate swap agreements, originally entered into on May 9, 2016, that had effectively fixed the interest rate on $300 million of revolving credit borrowings, in order to enter into a new interest rate swap with a greater notional amount, and the same maturity as the Credit Agreement. We received $6.3 million when the swap agreements were terminated and that payment will be amortized into interest expense through March 2021.</w:t>
      </w:r>
    </w:p>
    <w:p>
      <w:pPr>
        <w:spacing w:after="0" w:line="94"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On May 6, 2016, we terminated other interest rate swap agreements that had effectively fixed the interest rate on $120 million of revolving credit borrowings, in order to enter into a new interest rate swap with a greater notional amount, and the same maturity as the Credit Agreement. We paid $5.2 million to terminate the swap agreements and that cost will be amortized into interest expense through June 2020.</w:t>
      </w:r>
    </w:p>
    <w:p>
      <w:pPr>
        <w:spacing w:after="0" w:line="9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On November 28, 2017, we entered into interest rate swap agreements for the period December 18, 2017 through October 17, 2022. These transactions have the effect of fixing the LIBOR portion of the effective interest rate (before addition of the spread) on $350 million of indebtedness drawn under the Credit Agreement at the rate of 2.11% during the period. Under the terms of these transactions, we pay the fixed rate of 2.11% and the counterparties pay a floating rate based on the one-month LIBOR rate at each monthly calculation date, which on September 16, 2019 was 2.03%, during the swap period. On September 16, 2019, the all-in-rate on the $350 million of debt was 3.485%.</w:t>
      </w:r>
    </w:p>
    <w:p>
      <w:pPr>
        <w:spacing w:after="0" w:line="9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16. No cash collateral was received or pledged in relation to the swap agreements.</w:t>
      </w:r>
    </w:p>
    <w:p>
      <w:pPr>
        <w:spacing w:after="0" w:line="8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Under the Credit Agreement, we are currently required to maintain a leverage ratio (as defined in the agreement) of not greater than 3.50 to 1.00 and minimum interest coverage (as defined) of 3.00 to 1.00.</w:t>
      </w:r>
    </w:p>
    <w:p>
      <w:pPr>
        <w:spacing w:after="0" w:line="89"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As of September 30, 2019, our leverage ratio was 1.42 to 1.00 and our interest coverage ratio was 13.03 to 1.00. We may purchase our Common Stock or pay dividends to the extent our leverage ratio remains at or below 3.50 to 1.00, and may make acquisitions with cash provided our leverage ratio does not exceed the limits noted above.</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Indebtedness under the Credit Agreement is ranked equally in right of payment to all unsecured senior debt.</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were in compliance with all debt covenants as of September 30, 2019.</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Fair-Value Measurements</w:t>
      </w:r>
    </w:p>
    <w:p>
      <w:pPr>
        <w:spacing w:after="0" w:line="12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We had no Level 3 financial assets or liabilities at September 30, 2019, or at December 31, 2018.</w:t>
      </w:r>
    </w:p>
    <w:p>
      <w:pPr>
        <w:spacing w:after="0" w:line="97"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2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2560" w:type="dxa"/>
            <w:vAlign w:val="bottom"/>
            <w:tcBorders>
              <w:top w:val="single" w:sz="8" w:color="auto"/>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September 30, 2019</w:t>
            </w:r>
          </w:p>
        </w:tc>
        <w:tc>
          <w:tcPr>
            <w:tcW w:w="320" w:type="dxa"/>
            <w:vAlign w:val="bottom"/>
            <w:tcBorders>
              <w:top w:val="single" w:sz="8" w:color="auto"/>
              <w:bottom w:val="single" w:sz="8" w:color="auto"/>
            </w:tcBorders>
          </w:tcPr>
          <w:p>
            <w:pPr>
              <w:spacing w:after="0"/>
              <w:rPr>
                <w:sz w:val="15"/>
                <w:szCs w:val="15"/>
                <w:color w:val="auto"/>
              </w:rPr>
            </w:pPr>
          </w:p>
        </w:tc>
        <w:tc>
          <w:tcPr>
            <w:tcW w:w="2900" w:type="dxa"/>
            <w:vAlign w:val="bottom"/>
            <w:tcBorders>
              <w:top w:val="single" w:sz="8" w:color="auto"/>
              <w:bottom w:val="single" w:sz="8" w:color="auto"/>
            </w:tcBorders>
            <w:gridSpan w:val="3"/>
          </w:tcPr>
          <w:p>
            <w:pPr>
              <w:jc w:val="right"/>
              <w:ind w:right="843"/>
              <w:spacing w:after="0"/>
              <w:rPr>
                <w:sz w:val="20"/>
                <w:szCs w:val="20"/>
                <w:color w:val="auto"/>
              </w:rPr>
            </w:pPr>
            <w:r>
              <w:rPr>
                <w:rFonts w:ascii="Arial" w:cs="Arial" w:eastAsia="Arial" w:hAnsi="Arial"/>
                <w:sz w:val="14"/>
                <w:szCs w:val="14"/>
                <w:b w:val="1"/>
                <w:bCs w:val="1"/>
                <w:color w:val="auto"/>
              </w:rPr>
              <w:t>December 31, 2018</w:t>
            </w:r>
          </w:p>
        </w:tc>
      </w:tr>
      <w:tr>
        <w:trPr>
          <w:trHeight w:val="142"/>
        </w:trPr>
        <w:tc>
          <w:tcPr>
            <w:tcW w:w="5420" w:type="dxa"/>
            <w:vAlign w:val="bottom"/>
          </w:tcPr>
          <w:p>
            <w:pPr>
              <w:spacing w:after="0"/>
              <w:rPr>
                <w:sz w:val="12"/>
                <w:szCs w:val="12"/>
                <w:color w:val="auto"/>
              </w:rPr>
            </w:pPr>
          </w:p>
        </w:tc>
        <w:tc>
          <w:tcPr>
            <w:tcW w:w="1220" w:type="dxa"/>
            <w:vAlign w:val="bottom"/>
            <w:gridSpan w:val="2"/>
          </w:tcPr>
          <w:p>
            <w:pPr>
              <w:jc w:val="center"/>
              <w:ind w:right="63"/>
              <w:spacing w:after="0" w:line="143" w:lineRule="exact"/>
              <w:rPr>
                <w:sz w:val="20"/>
                <w:szCs w:val="20"/>
                <w:color w:val="auto"/>
              </w:rPr>
            </w:pPr>
            <w:r>
              <w:rPr>
                <w:rFonts w:ascii="Arial" w:cs="Arial" w:eastAsia="Arial" w:hAnsi="Arial"/>
                <w:sz w:val="14"/>
                <w:szCs w:val="14"/>
                <w:b w:val="1"/>
                <w:bCs w:val="1"/>
                <w:color w:val="auto"/>
              </w:rPr>
              <w:t>Quoted prices</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60" w:type="dxa"/>
            <w:vAlign w:val="bottom"/>
            <w:gridSpan w:val="2"/>
          </w:tcPr>
          <w:p>
            <w:pPr>
              <w:jc w:val="center"/>
              <w:ind w:right="23"/>
              <w:spacing w:after="0" w:line="143" w:lineRule="exact"/>
              <w:rPr>
                <w:sz w:val="20"/>
                <w:szCs w:val="20"/>
                <w:color w:val="auto"/>
              </w:rPr>
            </w:pPr>
            <w:r>
              <w:rPr>
                <w:rFonts w:ascii="Arial" w:cs="Arial" w:eastAsia="Arial" w:hAnsi="Arial"/>
                <w:sz w:val="14"/>
                <w:szCs w:val="14"/>
                <w:b w:val="1"/>
                <w:bCs w:val="1"/>
                <w:color w:val="auto"/>
              </w:rPr>
              <w:t>Quoted prices</w:t>
            </w:r>
          </w:p>
        </w:tc>
        <w:tc>
          <w:tcPr>
            <w:tcW w:w="30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62"/>
        </w:trPr>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263"/>
              <w:spacing w:after="0"/>
              <w:rPr>
                <w:sz w:val="20"/>
                <w:szCs w:val="20"/>
                <w:color w:val="auto"/>
              </w:rPr>
            </w:pPr>
            <w:r>
              <w:rPr>
                <w:rFonts w:ascii="Arial" w:cs="Arial" w:eastAsia="Arial" w:hAnsi="Arial"/>
                <w:sz w:val="14"/>
                <w:szCs w:val="14"/>
                <w:b w:val="1"/>
                <w:bCs w:val="1"/>
                <w:color w:val="auto"/>
              </w:rPr>
              <w:t>in active</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Significant other</w:t>
            </w:r>
          </w:p>
        </w:tc>
        <w:tc>
          <w:tcPr>
            <w:tcW w:w="320" w:type="dxa"/>
            <w:vAlign w:val="bottom"/>
          </w:tcPr>
          <w:p>
            <w:pPr>
              <w:spacing w:after="0"/>
              <w:rPr>
                <w:sz w:val="14"/>
                <w:szCs w:val="14"/>
                <w:color w:val="auto"/>
              </w:rPr>
            </w:pPr>
          </w:p>
        </w:tc>
        <w:tc>
          <w:tcPr>
            <w:tcW w:w="1040" w:type="dxa"/>
            <w:vAlign w:val="bottom"/>
          </w:tcPr>
          <w:p>
            <w:pPr>
              <w:jc w:val="center"/>
              <w:ind w:right="343"/>
              <w:spacing w:after="0"/>
              <w:rPr>
                <w:sz w:val="20"/>
                <w:szCs w:val="20"/>
                <w:color w:val="auto"/>
              </w:rPr>
            </w:pPr>
            <w:r>
              <w:rPr>
                <w:rFonts w:ascii="Arial" w:cs="Arial" w:eastAsia="Arial" w:hAnsi="Arial"/>
                <w:sz w:val="14"/>
                <w:szCs w:val="14"/>
                <w:b w:val="1"/>
                <w:bCs w:val="1"/>
                <w:color w:val="auto"/>
              </w:rPr>
              <w:t>in active</w:t>
            </w:r>
          </w:p>
        </w:tc>
        <w:tc>
          <w:tcPr>
            <w:tcW w:w="300" w:type="dxa"/>
            <w:vAlign w:val="bottom"/>
          </w:tcPr>
          <w:p>
            <w:pPr>
              <w:spacing w:after="0"/>
              <w:rPr>
                <w:sz w:val="14"/>
                <w:szCs w:val="14"/>
                <w:color w:val="auto"/>
              </w:rPr>
            </w:pPr>
          </w:p>
        </w:tc>
        <w:tc>
          <w:tcPr>
            <w:tcW w:w="1560" w:type="dxa"/>
            <w:vAlign w:val="bottom"/>
          </w:tcPr>
          <w:p>
            <w:pPr>
              <w:jc w:val="center"/>
              <w:ind w:right="183"/>
              <w:spacing w:after="0"/>
              <w:rPr>
                <w:sz w:val="20"/>
                <w:szCs w:val="20"/>
                <w:color w:val="auto"/>
              </w:rPr>
            </w:pPr>
            <w:r>
              <w:rPr>
                <w:rFonts w:ascii="Arial" w:cs="Arial" w:eastAsia="Arial" w:hAnsi="Arial"/>
                <w:sz w:val="14"/>
                <w:szCs w:val="14"/>
                <w:b w:val="1"/>
                <w:bCs w:val="1"/>
                <w:color w:val="auto"/>
              </w:rPr>
              <w:t>Significant other</w:t>
            </w:r>
          </w:p>
        </w:tc>
      </w:tr>
      <w:tr>
        <w:trPr>
          <w:trHeight w:val="162"/>
        </w:trPr>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283"/>
              <w:spacing w:after="0"/>
              <w:rPr>
                <w:sz w:val="20"/>
                <w:szCs w:val="20"/>
                <w:color w:val="auto"/>
              </w:rPr>
            </w:pPr>
            <w:r>
              <w:rPr>
                <w:rFonts w:ascii="Arial" w:cs="Arial" w:eastAsia="Arial" w:hAnsi="Arial"/>
                <w:sz w:val="14"/>
                <w:szCs w:val="14"/>
                <w:b w:val="1"/>
                <w:bCs w:val="1"/>
                <w:color w:val="auto"/>
              </w:rPr>
              <w:t>markets</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observable inputs</w:t>
            </w:r>
          </w:p>
        </w:tc>
        <w:tc>
          <w:tcPr>
            <w:tcW w:w="320" w:type="dxa"/>
            <w:vAlign w:val="bottom"/>
          </w:tcPr>
          <w:p>
            <w:pPr>
              <w:spacing w:after="0"/>
              <w:rPr>
                <w:sz w:val="14"/>
                <w:szCs w:val="14"/>
                <w:color w:val="auto"/>
              </w:rPr>
            </w:pPr>
          </w:p>
        </w:tc>
        <w:tc>
          <w:tcPr>
            <w:tcW w:w="1040" w:type="dxa"/>
            <w:vAlign w:val="bottom"/>
          </w:tcPr>
          <w:p>
            <w:pPr>
              <w:jc w:val="center"/>
              <w:ind w:right="343"/>
              <w:spacing w:after="0"/>
              <w:rPr>
                <w:sz w:val="20"/>
                <w:szCs w:val="20"/>
                <w:color w:val="auto"/>
              </w:rPr>
            </w:pPr>
            <w:r>
              <w:rPr>
                <w:rFonts w:ascii="Arial" w:cs="Arial" w:eastAsia="Arial" w:hAnsi="Arial"/>
                <w:sz w:val="14"/>
                <w:szCs w:val="14"/>
                <w:b w:val="1"/>
                <w:bCs w:val="1"/>
                <w:color w:val="auto"/>
              </w:rPr>
              <w:t>markets</w:t>
            </w:r>
          </w:p>
        </w:tc>
        <w:tc>
          <w:tcPr>
            <w:tcW w:w="300" w:type="dxa"/>
            <w:vAlign w:val="bottom"/>
          </w:tcPr>
          <w:p>
            <w:pPr>
              <w:spacing w:after="0"/>
              <w:rPr>
                <w:sz w:val="14"/>
                <w:szCs w:val="14"/>
                <w:color w:val="auto"/>
              </w:rPr>
            </w:pPr>
          </w:p>
        </w:tc>
        <w:tc>
          <w:tcPr>
            <w:tcW w:w="1560" w:type="dxa"/>
            <w:vAlign w:val="bottom"/>
          </w:tcPr>
          <w:p>
            <w:pPr>
              <w:jc w:val="center"/>
              <w:ind w:right="163"/>
              <w:spacing w:after="0"/>
              <w:rPr>
                <w:sz w:val="20"/>
                <w:szCs w:val="20"/>
                <w:color w:val="auto"/>
              </w:rPr>
            </w:pPr>
            <w:r>
              <w:rPr>
                <w:rFonts w:ascii="Arial" w:cs="Arial" w:eastAsia="Arial" w:hAnsi="Arial"/>
                <w:sz w:val="14"/>
                <w:szCs w:val="14"/>
                <w:b w:val="1"/>
                <w:bCs w:val="1"/>
                <w:color w:val="auto"/>
              </w:rPr>
              <w:t>observable inputs</w:t>
            </w:r>
          </w:p>
        </w:tc>
      </w:tr>
      <w:tr>
        <w:trPr>
          <w:trHeight w:val="175"/>
        </w:trPr>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63"/>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361"/>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43"/>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(Level 2)</w:t>
            </w:r>
          </w:p>
        </w:tc>
      </w:tr>
      <w:tr>
        <w:trPr>
          <w:trHeight w:val="168"/>
        </w:trPr>
        <w:tc>
          <w:tcPr>
            <w:tcW w:w="5420" w:type="dxa"/>
            <w:vAlign w:val="bottom"/>
          </w:tcPr>
          <w:p>
            <w:pPr>
              <w:spacing w:after="0" w:line="168" w:lineRule="exact"/>
              <w:rPr>
                <w:sz w:val="20"/>
                <w:szCs w:val="20"/>
                <w:color w:val="auto"/>
              </w:rPr>
            </w:pPr>
            <w:r>
              <w:rPr>
                <w:rFonts w:ascii="Arial" w:cs="Arial" w:eastAsia="Arial" w:hAnsi="Arial"/>
                <w:sz w:val="16"/>
                <w:szCs w:val="16"/>
                <w:b w:val="1"/>
                <w:bCs w:val="1"/>
                <w:color w:val="auto"/>
              </w:rPr>
              <w:t>Fair Value</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05"/>
        </w:trPr>
        <w:tc>
          <w:tcPr>
            <w:tcW w:w="5420" w:type="dxa"/>
            <w:vAlign w:val="bottom"/>
          </w:tcPr>
          <w:p>
            <w:pPr>
              <w:spacing w:after="0"/>
              <w:rPr>
                <w:sz w:val="20"/>
                <w:szCs w:val="20"/>
                <w:color w:val="auto"/>
              </w:rPr>
            </w:pPr>
            <w:r>
              <w:rPr>
                <w:rFonts w:ascii="Arial" w:cs="Arial" w:eastAsia="Arial" w:hAnsi="Arial"/>
                <w:sz w:val="16"/>
                <w:szCs w:val="16"/>
                <w:i w:val="1"/>
                <w:iCs w:val="1"/>
                <w:color w:val="auto"/>
              </w:rPr>
              <w:t>Assets:</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73"/>
        </w:trPr>
        <w:tc>
          <w:tcPr>
            <w:tcW w:w="5420" w:type="dxa"/>
            <w:vAlign w:val="bottom"/>
          </w:tcPr>
          <w:p>
            <w:pPr>
              <w:ind w:left="120"/>
              <w:spacing w:after="0" w:line="173" w:lineRule="exact"/>
              <w:rPr>
                <w:sz w:val="20"/>
                <w:szCs w:val="20"/>
                <w:color w:val="auto"/>
              </w:rPr>
            </w:pPr>
            <w:r>
              <w:rPr>
                <w:rFonts w:ascii="Arial" w:cs="Arial" w:eastAsia="Arial" w:hAnsi="Arial"/>
                <w:sz w:val="16"/>
                <w:szCs w:val="16"/>
                <w:color w:val="auto"/>
              </w:rPr>
              <w:t>Cash equivalents</w:t>
            </w:r>
          </w:p>
        </w:tc>
        <w:tc>
          <w:tcPr>
            <w:tcW w:w="22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43"/>
              <w:spacing w:after="0" w:line="173" w:lineRule="exact"/>
              <w:rPr>
                <w:sz w:val="20"/>
                <w:szCs w:val="20"/>
                <w:color w:val="auto"/>
              </w:rPr>
            </w:pPr>
            <w:r>
              <w:rPr>
                <w:rFonts w:ascii="Arial" w:cs="Arial" w:eastAsia="Arial" w:hAnsi="Arial"/>
                <w:sz w:val="16"/>
                <w:szCs w:val="16"/>
                <w:color w:val="auto"/>
              </w:rPr>
              <w:t>26,317</w:t>
            </w:r>
          </w:p>
        </w:tc>
        <w:tc>
          <w:tcPr>
            <w:tcW w:w="380" w:type="dxa"/>
            <w:vAlign w:val="bottom"/>
          </w:tcPr>
          <w:p>
            <w:pPr>
              <w:jc w:val="right"/>
              <w:ind w:right="5"/>
              <w:spacing w:after="0" w:line="173" w:lineRule="exact"/>
              <w:rPr>
                <w:sz w:val="20"/>
                <w:szCs w:val="20"/>
                <w:color w:val="auto"/>
              </w:rPr>
            </w:pPr>
            <w:r>
              <w:rPr>
                <w:rFonts w:ascii="Arial" w:cs="Arial" w:eastAsia="Arial" w:hAnsi="Arial"/>
                <w:sz w:val="16"/>
                <w:szCs w:val="16"/>
                <w:color w:val="auto"/>
              </w:rPr>
              <w:t>$</w:t>
            </w:r>
          </w:p>
        </w:tc>
        <w:tc>
          <w:tcPr>
            <w:tcW w:w="1180" w:type="dxa"/>
            <w:vAlign w:val="bottom"/>
          </w:tcPr>
          <w:p>
            <w:pPr>
              <w:ind w:left="660"/>
              <w:spacing w:after="0" w:line="173" w:lineRule="exact"/>
              <w:rPr>
                <w:sz w:val="20"/>
                <w:szCs w:val="20"/>
                <w:color w:val="auto"/>
              </w:rPr>
            </w:pPr>
            <w:r>
              <w:rPr>
                <w:rFonts w:ascii="Arial" w:cs="Arial" w:eastAsia="Arial" w:hAnsi="Arial"/>
                <w:sz w:val="16"/>
                <w:szCs w:val="16"/>
                <w:color w:val="auto"/>
              </w:rPr>
              <w:t>—</w:t>
            </w:r>
          </w:p>
        </w:tc>
        <w:tc>
          <w:tcPr>
            <w:tcW w:w="32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83"/>
              <w:spacing w:after="0" w:line="173" w:lineRule="exact"/>
              <w:rPr>
                <w:sz w:val="20"/>
                <w:szCs w:val="20"/>
                <w:color w:val="auto"/>
              </w:rPr>
            </w:pPr>
            <w:r>
              <w:rPr>
                <w:rFonts w:ascii="Arial" w:cs="Arial" w:eastAsia="Arial" w:hAnsi="Arial"/>
                <w:sz w:val="16"/>
                <w:szCs w:val="16"/>
                <w:color w:val="auto"/>
              </w:rPr>
              <w:t>14,234</w:t>
            </w:r>
          </w:p>
        </w:tc>
        <w:tc>
          <w:tcPr>
            <w:tcW w:w="30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560" w:type="dxa"/>
            <w:vAlign w:val="bottom"/>
          </w:tcPr>
          <w:p>
            <w:pPr>
              <w:jc w:val="right"/>
              <w:ind w:right="603"/>
              <w:spacing w:after="0" w:line="173" w:lineRule="exact"/>
              <w:rPr>
                <w:sz w:val="20"/>
                <w:szCs w:val="20"/>
                <w:color w:val="auto"/>
              </w:rPr>
            </w:pPr>
            <w:r>
              <w:rPr>
                <w:rFonts w:ascii="Arial" w:cs="Arial" w:eastAsia="Arial" w:hAnsi="Arial"/>
                <w:sz w:val="16"/>
                <w:szCs w:val="16"/>
                <w:color w:val="auto"/>
              </w:rPr>
              <w:t>—</w:t>
            </w:r>
          </w:p>
        </w:tc>
      </w:tr>
      <w:tr>
        <w:trPr>
          <w:trHeight w:val="205"/>
        </w:trPr>
        <w:tc>
          <w:tcPr>
            <w:tcW w:w="5420" w:type="dxa"/>
            <w:vAlign w:val="bottom"/>
          </w:tcPr>
          <w:p>
            <w:pPr>
              <w:ind w:left="120"/>
              <w:spacing w:after="0"/>
              <w:rPr>
                <w:sz w:val="20"/>
                <w:szCs w:val="20"/>
                <w:color w:val="auto"/>
              </w:rPr>
            </w:pPr>
            <w:r>
              <w:rPr>
                <w:rFonts w:ascii="Arial" w:cs="Arial" w:eastAsia="Arial" w:hAnsi="Arial"/>
                <w:sz w:val="16"/>
                <w:szCs w:val="16"/>
                <w:i w:val="1"/>
                <w:iCs w:val="1"/>
                <w:color w:val="auto"/>
              </w:rPr>
              <w:t>Other Assets:</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89"/>
        </w:trPr>
        <w:tc>
          <w:tcPr>
            <w:tcW w:w="5420" w:type="dxa"/>
            <w:vAlign w:val="bottom"/>
          </w:tcPr>
          <w:p>
            <w:pPr>
              <w:ind w:left="120"/>
              <w:spacing w:after="0"/>
              <w:rPr>
                <w:sz w:val="20"/>
                <w:szCs w:val="20"/>
                <w:color w:val="auto"/>
              </w:rPr>
            </w:pPr>
            <w:r>
              <w:rPr>
                <w:rFonts w:ascii="Arial" w:cs="Arial" w:eastAsia="Arial" w:hAnsi="Arial"/>
                <w:sz w:val="16"/>
                <w:szCs w:val="16"/>
                <w:color w:val="auto"/>
              </w:rPr>
              <w:t>Common stock of unaffiliated foreign public company (a)</w:t>
            </w:r>
          </w:p>
        </w:tc>
        <w:tc>
          <w:tcPr>
            <w:tcW w:w="22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839</w:t>
            </w:r>
          </w:p>
        </w:tc>
        <w:tc>
          <w:tcPr>
            <w:tcW w:w="380" w:type="dxa"/>
            <w:vAlign w:val="bottom"/>
          </w:tcPr>
          <w:p>
            <w:pPr>
              <w:spacing w:after="0"/>
              <w:rPr>
                <w:sz w:val="16"/>
                <w:szCs w:val="16"/>
                <w:color w:val="auto"/>
              </w:rPr>
            </w:pPr>
          </w:p>
        </w:tc>
        <w:tc>
          <w:tcPr>
            <w:tcW w:w="1180" w:type="dxa"/>
            <w:vAlign w:val="bottom"/>
          </w:tcPr>
          <w:p>
            <w:pPr>
              <w:ind w:left="6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731</w:t>
            </w:r>
          </w:p>
        </w:tc>
        <w:tc>
          <w:tcPr>
            <w:tcW w:w="300" w:type="dxa"/>
            <w:vAlign w:val="bottom"/>
          </w:tcPr>
          <w:p>
            <w:pPr>
              <w:spacing w:after="0"/>
              <w:rPr>
                <w:sz w:val="16"/>
                <w:szCs w:val="16"/>
                <w:color w:val="auto"/>
              </w:rPr>
            </w:pPr>
          </w:p>
        </w:tc>
        <w:tc>
          <w:tcPr>
            <w:tcW w:w="1560" w:type="dxa"/>
            <w:vAlign w:val="bottom"/>
          </w:tcPr>
          <w:p>
            <w:pPr>
              <w:jc w:val="right"/>
              <w:ind w:right="603"/>
              <w:spacing w:after="0"/>
              <w:rPr>
                <w:sz w:val="20"/>
                <w:szCs w:val="20"/>
                <w:color w:val="auto"/>
              </w:rPr>
            </w:pPr>
            <w:r>
              <w:rPr>
                <w:rFonts w:ascii="Arial" w:cs="Arial" w:eastAsia="Arial" w:hAnsi="Arial"/>
                <w:sz w:val="16"/>
                <w:szCs w:val="16"/>
                <w:color w:val="auto"/>
              </w:rPr>
              <w:t>—</w:t>
            </w:r>
          </w:p>
        </w:tc>
      </w:tr>
      <w:tr>
        <w:trPr>
          <w:trHeight w:val="173"/>
        </w:trPr>
        <w:tc>
          <w:tcPr>
            <w:tcW w:w="5420" w:type="dxa"/>
            <w:vAlign w:val="bottom"/>
          </w:tcPr>
          <w:p>
            <w:pPr>
              <w:spacing w:after="0" w:line="173" w:lineRule="exact"/>
              <w:rPr>
                <w:sz w:val="20"/>
                <w:szCs w:val="20"/>
                <w:color w:val="auto"/>
              </w:rPr>
            </w:pPr>
            <w:r>
              <w:rPr>
                <w:rFonts w:ascii="Arial" w:cs="Arial" w:eastAsia="Arial" w:hAnsi="Arial"/>
                <w:sz w:val="16"/>
                <w:szCs w:val="16"/>
                <w:color w:val="auto"/>
              </w:rPr>
              <w:t>Interest rate swaps</w:t>
            </w:r>
          </w:p>
        </w:tc>
        <w:tc>
          <w:tcPr>
            <w:tcW w:w="220" w:type="dxa"/>
            <w:vAlign w:val="bottom"/>
          </w:tcPr>
          <w:p>
            <w:pPr>
              <w:spacing w:after="0"/>
              <w:rPr>
                <w:sz w:val="15"/>
                <w:szCs w:val="15"/>
                <w:color w:val="auto"/>
              </w:rPr>
            </w:pPr>
          </w:p>
        </w:tc>
        <w:tc>
          <w:tcPr>
            <w:tcW w:w="1000" w:type="dxa"/>
            <w:vAlign w:val="bottom"/>
          </w:tcPr>
          <w:p>
            <w:pPr>
              <w:jc w:val="right"/>
              <w:ind w:right="43"/>
              <w:spacing w:after="0" w:line="173" w:lineRule="exact"/>
              <w:rPr>
                <w:sz w:val="20"/>
                <w:szCs w:val="20"/>
                <w:color w:val="auto"/>
              </w:rPr>
            </w:pPr>
            <w:r>
              <w:rPr>
                <w:rFonts w:ascii="Arial" w:cs="Arial" w:eastAsia="Arial" w:hAnsi="Arial"/>
                <w:sz w:val="16"/>
                <w:szCs w:val="16"/>
                <w:color w:val="auto"/>
              </w:rPr>
              <w:t>—</w:t>
            </w:r>
          </w:p>
        </w:tc>
        <w:tc>
          <w:tcPr>
            <w:tcW w:w="380" w:type="dxa"/>
            <w:vAlign w:val="bottom"/>
          </w:tcPr>
          <w:p>
            <w:pPr>
              <w:spacing w:after="0"/>
              <w:rPr>
                <w:sz w:val="15"/>
                <w:szCs w:val="15"/>
                <w:color w:val="auto"/>
              </w:rPr>
            </w:pPr>
          </w:p>
        </w:tc>
        <w:tc>
          <w:tcPr>
            <w:tcW w:w="1180" w:type="dxa"/>
            <w:vAlign w:val="bottom"/>
          </w:tcPr>
          <w:p>
            <w:pPr>
              <w:ind w:left="660"/>
              <w:spacing w:after="0" w:line="173"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83"/>
              <w:spacing w:after="0" w:line="173"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1560" w:type="dxa"/>
            <w:vAlign w:val="bottom"/>
          </w:tcPr>
          <w:p>
            <w:pPr>
              <w:jc w:val="right"/>
              <w:ind w:right="423"/>
              <w:spacing w:after="0" w:line="173" w:lineRule="exact"/>
              <w:rPr>
                <w:sz w:val="20"/>
                <w:szCs w:val="20"/>
                <w:color w:val="auto"/>
              </w:rPr>
            </w:pPr>
            <w:r>
              <w:rPr>
                <w:rFonts w:ascii="Arial" w:cs="Arial" w:eastAsia="Arial" w:hAnsi="Arial"/>
                <w:sz w:val="16"/>
                <w:szCs w:val="16"/>
                <w:color w:val="auto"/>
              </w:rPr>
              <w:t>4,548(c)</w:t>
            </w:r>
          </w:p>
        </w:tc>
      </w:tr>
      <w:tr>
        <w:trPr>
          <w:trHeight w:val="189"/>
        </w:trPr>
        <w:tc>
          <w:tcPr>
            <w:tcW w:w="5420" w:type="dxa"/>
            <w:vAlign w:val="bottom"/>
          </w:tcPr>
          <w:p>
            <w:pPr>
              <w:spacing w:after="0"/>
              <w:rPr>
                <w:sz w:val="20"/>
                <w:szCs w:val="20"/>
                <w:color w:val="auto"/>
              </w:rPr>
            </w:pPr>
            <w:r>
              <w:rPr>
                <w:rFonts w:ascii="Arial" w:cs="Arial" w:eastAsia="Arial" w:hAnsi="Arial"/>
                <w:sz w:val="16"/>
                <w:szCs w:val="16"/>
                <w:i w:val="1"/>
                <w:iCs w:val="1"/>
                <w:color w:val="auto"/>
              </w:rPr>
              <w:t>Liabilities:</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1"/>
        </w:trPr>
        <w:tc>
          <w:tcPr>
            <w:tcW w:w="5420" w:type="dxa"/>
            <w:vAlign w:val="bottom"/>
          </w:tcPr>
          <w:p>
            <w:pPr>
              <w:ind w:left="120"/>
              <w:spacing w:after="0"/>
              <w:rPr>
                <w:sz w:val="20"/>
                <w:szCs w:val="20"/>
                <w:color w:val="auto"/>
              </w:rPr>
            </w:pPr>
            <w:r>
              <w:rPr>
                <w:rFonts w:ascii="Arial" w:cs="Arial" w:eastAsia="Arial" w:hAnsi="Arial"/>
                <w:sz w:val="16"/>
                <w:szCs w:val="16"/>
                <w:i w:val="1"/>
                <w:iCs w:val="1"/>
                <w:color w:val="auto"/>
              </w:rPr>
              <w:t>Other noncurrent liabilities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5420" w:type="dxa"/>
            <w:vAlign w:val="bottom"/>
          </w:tcPr>
          <w:p>
            <w:pPr>
              <w:ind w:left="120"/>
              <w:spacing w:after="0"/>
              <w:rPr>
                <w:sz w:val="20"/>
                <w:szCs w:val="20"/>
                <w:color w:val="auto"/>
              </w:rPr>
            </w:pPr>
            <w:r>
              <w:rPr>
                <w:rFonts w:ascii="Arial" w:cs="Arial" w:eastAsia="Arial" w:hAnsi="Arial"/>
                <w:sz w:val="16"/>
                <w:szCs w:val="16"/>
                <w:color w:val="auto"/>
              </w:rPr>
              <w:t>Interest rate swaps</w:t>
            </w:r>
          </w:p>
        </w:tc>
        <w:tc>
          <w:tcPr>
            <w:tcW w:w="220" w:type="dxa"/>
            <w:vAlign w:val="bottom"/>
          </w:tcPr>
          <w:p>
            <w:pPr>
              <w:spacing w:after="0"/>
              <w:rPr>
                <w:sz w:val="18"/>
                <w:szCs w:val="18"/>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tcPr>
          <w:p>
            <w:pPr>
              <w:ind w:left="300"/>
              <w:spacing w:after="0"/>
              <w:rPr>
                <w:sz w:val="20"/>
                <w:szCs w:val="20"/>
                <w:color w:val="auto"/>
              </w:rPr>
            </w:pPr>
            <w:r>
              <w:rPr>
                <w:rFonts w:ascii="Arial" w:cs="Arial" w:eastAsia="Arial" w:hAnsi="Arial"/>
                <w:sz w:val="16"/>
                <w:szCs w:val="16"/>
                <w:color w:val="auto"/>
              </w:rPr>
              <w:t>(7,021)(b)</w:t>
            </w:r>
          </w:p>
        </w:tc>
        <w:tc>
          <w:tcPr>
            <w:tcW w:w="320" w:type="dxa"/>
            <w:vAlign w:val="bottom"/>
          </w:tcPr>
          <w:p>
            <w:pPr>
              <w:spacing w:after="0"/>
              <w:rPr>
                <w:sz w:val="18"/>
                <w:szCs w:val="18"/>
                <w:color w:val="auto"/>
              </w:rPr>
            </w:pP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560" w:type="dxa"/>
            <w:vAlign w:val="bottom"/>
          </w:tcPr>
          <w:p>
            <w:pPr>
              <w:jc w:val="right"/>
              <w:ind w:right="603"/>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60" w:hanging="352"/>
        <w:spacing w:after="0"/>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Original cost basis $0.5 million.</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Net of $15.5 million receivable floating leg and $22.5 million liability fixed leg.</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Net of $32.0 million receivable floating leg and $27.5 million liability fixed leg.</w:t>
      </w:r>
    </w:p>
    <w:p>
      <w:pPr>
        <w:spacing w:after="0" w:line="191"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89"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common stock of the unaffiliated foreign public company is traded in an active market exchange. The shares are measured at fair value using closing stock prices and are recorded in the Consolidated Balance Sheets as Other assets. Changes in the fair value of the investment are reported in the Consolidated Statements of Income.</w:t>
      </w:r>
    </w:p>
    <w:p>
      <w:pPr>
        <w:spacing w:after="0" w:line="9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 net.</w:t>
      </w:r>
    </w:p>
    <w:p>
      <w:pPr>
        <w:spacing w:after="0" w:line="9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spacing w:after="0" w:line="95"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Changes in exchange rates can result in revaluation gains and losses that are recorded in Selling, general and administrative expenses or Other (income)/expense, net. Revaluation gains and losses occur when our business units have cash, intercompany (recorded in Other (income)/expense, net) or third-party trade (recorded in selling, general and administrative expenses) receivable or payable balances in a currency other than their local reporting (or functional) currency.</w:t>
      </w:r>
    </w:p>
    <w:p>
      <w:pPr>
        <w:spacing w:after="0" w:line="94"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Consolidated Statements of Income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94"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Unrealized gains and losses on the swaps flow through the caption Derivative valuation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adjustment in the Shareholders’ equity section of the Consolidated Balance Sheets. As of September 30, 2019, these interest rate swaps were determined to be highly effective hedges of interest rate cash flow risk. Amounts accumulated in Other comprehensive income are reclassified as Interest expense, net when the related interest payments (that is, the hedged forecasted transactions), and amortization related to the swap buyouts, affect earnings. Interest (income)/expense related to payments under the active swap agreements totaled ($0.8) million for the nine month period ended September 30, 2019, and $ 0.6 million for the nine month period ended September 30, 2018. Additionally, non-cash interest income related to the amortization of swap buyouts totaled $0.3 million for the nine month period ended September 30, 2019 and $0.5 million for the nine month period ended September 30, 2018.</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Gains/(losses) related to changes in fair value of derivative instruments that were recognized in Other (income)/expense, net in the</w:t>
      </w:r>
    </w:p>
    <w:p>
      <w:pPr>
        <w:spacing w:after="0"/>
        <w:rPr>
          <w:sz w:val="20"/>
          <w:szCs w:val="20"/>
          <w:color w:val="auto"/>
        </w:rPr>
      </w:pPr>
      <w:r>
        <w:rPr>
          <w:rFonts w:ascii="Arial" w:cs="Arial" w:eastAsia="Arial" w:hAnsi="Arial"/>
          <w:sz w:val="18"/>
          <w:szCs w:val="18"/>
          <w:color w:val="auto"/>
        </w:rPr>
        <w:t>Consolidated Statements of Income were as follows:</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4660" w:type="dxa"/>
            <w:vAlign w:val="bottom"/>
            <w:tcBorders>
              <w:top w:val="single" w:sz="8" w:color="auto"/>
            </w:tcBorders>
          </w:tcPr>
          <w:p>
            <w:pPr>
              <w:spacing w:after="0"/>
              <w:rPr>
                <w:sz w:val="14"/>
                <w:szCs w:val="14"/>
                <w:color w:val="auto"/>
              </w:rPr>
            </w:pPr>
          </w:p>
        </w:tc>
        <w:tc>
          <w:tcPr>
            <w:tcW w:w="2980" w:type="dxa"/>
            <w:vAlign w:val="bottom"/>
            <w:tcBorders>
              <w:top w:val="single" w:sz="8" w:color="auto"/>
            </w:tcBorders>
            <w:gridSpan w:val="2"/>
          </w:tcPr>
          <w:p>
            <w:pPr>
              <w:ind w:left="1140"/>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tcBorders>
              <w:top w:val="single" w:sz="8" w:color="auto"/>
            </w:tcBorders>
            <w:gridSpan w:val="2"/>
          </w:tcPr>
          <w:p>
            <w:pPr>
              <w:jc w:val="center"/>
              <w:ind w:left="12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Pr>
          <w:p>
            <w:pPr>
              <w:spacing w:after="0"/>
              <w:rPr>
                <w:sz w:val="14"/>
                <w:szCs w:val="14"/>
                <w:color w:val="auto"/>
              </w:rPr>
            </w:pPr>
          </w:p>
        </w:tc>
        <w:tc>
          <w:tcPr>
            <w:tcW w:w="1780" w:type="dxa"/>
            <w:vAlign w:val="bottom"/>
            <w:gridSpan w:val="2"/>
          </w:tcPr>
          <w:p>
            <w:pPr>
              <w:jc w:val="center"/>
              <w:ind w:left="126"/>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340" w:type="dxa"/>
            <w:vAlign w:val="bottom"/>
            <w:tcBorders>
              <w:bottom w:val="single" w:sz="8" w:color="auto"/>
            </w:tcBorders>
          </w:tcPr>
          <w:p>
            <w:pPr>
              <w:jc w:val="right"/>
              <w:ind w:right="906"/>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4"/>
        </w:trPr>
        <w:tc>
          <w:tcPr>
            <w:tcW w:w="4660" w:type="dxa"/>
            <w:vAlign w:val="bottom"/>
          </w:tcPr>
          <w:p>
            <w:pPr>
              <w:spacing w:after="0"/>
              <w:rPr>
                <w:sz w:val="20"/>
                <w:szCs w:val="20"/>
                <w:color w:val="auto"/>
              </w:rPr>
            </w:pPr>
            <w:r>
              <w:rPr>
                <w:rFonts w:ascii="Arial" w:cs="Arial" w:eastAsia="Arial" w:hAnsi="Arial"/>
                <w:sz w:val="16"/>
                <w:szCs w:val="16"/>
                <w:color w:val="auto"/>
              </w:rPr>
              <w:t>Derivatives not designated as hedging instruments</w:t>
            </w:r>
          </w:p>
        </w:tc>
        <w:tc>
          <w:tcPr>
            <w:tcW w:w="2340" w:type="dxa"/>
            <w:vAlign w:val="bottom"/>
            <w:vMerge w:val="restart"/>
          </w:tcPr>
          <w:p>
            <w:pPr>
              <w:jc w:val="right"/>
              <w:ind w:right="906"/>
              <w:spacing w:after="0"/>
              <w:rPr>
                <w:sz w:val="20"/>
                <w:szCs w:val="20"/>
                <w:color w:val="auto"/>
              </w:rPr>
            </w:pPr>
            <w:r>
              <w:rPr>
                <w:rFonts w:ascii="Arial" w:cs="Arial" w:eastAsia="Arial" w:hAnsi="Arial"/>
                <w:sz w:val="16"/>
                <w:szCs w:val="16"/>
                <w:b w:val="1"/>
                <w:bCs w:val="1"/>
                <w:color w:val="auto"/>
              </w:rPr>
              <w:t>$ —</w:t>
            </w:r>
          </w:p>
        </w:tc>
        <w:tc>
          <w:tcPr>
            <w:tcW w:w="640" w:type="dxa"/>
            <w:vAlign w:val="bottom"/>
          </w:tcPr>
          <w:p>
            <w:pPr>
              <w:spacing w:after="0"/>
              <w:rPr>
                <w:sz w:val="16"/>
                <w:szCs w:val="16"/>
                <w:color w:val="auto"/>
              </w:rPr>
            </w:pPr>
          </w:p>
        </w:tc>
        <w:tc>
          <w:tcPr>
            <w:tcW w:w="1000" w:type="dxa"/>
            <w:vAlign w:val="bottom"/>
            <w:vMerge w:val="restart"/>
          </w:tcPr>
          <w:p>
            <w:pPr>
              <w:jc w:val="right"/>
              <w:ind w:right="146"/>
              <w:spacing w:after="0"/>
              <w:rPr>
                <w:sz w:val="20"/>
                <w:szCs w:val="20"/>
                <w:color w:val="auto"/>
              </w:rPr>
            </w:pPr>
            <w:r>
              <w:rPr>
                <w:rFonts w:ascii="Arial" w:cs="Arial" w:eastAsia="Arial" w:hAnsi="Arial"/>
                <w:sz w:val="16"/>
                <w:szCs w:val="16"/>
                <w:b w:val="1"/>
                <w:bCs w:val="1"/>
                <w:color w:val="auto"/>
              </w:rPr>
              <w:t>$ —</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currency options gains/(losses)</w:t>
            </w:r>
          </w:p>
        </w:tc>
        <w:tc>
          <w:tcPr>
            <w:tcW w:w="23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color w:val="auto"/>
              </w:rPr>
              <w:t>$10</w:t>
            </w:r>
          </w:p>
        </w:tc>
        <w:tc>
          <w:tcPr>
            <w:tcW w:w="10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9740" w:firstLine="8"/>
        <w:spacing w:after="0" w:line="372" w:lineRule="auto"/>
        <w:tabs>
          <w:tab w:leader="none" w:pos="30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b w:val="1"/>
          <w:bCs w:val="1"/>
          <w:color w:val="auto"/>
        </w:rPr>
        <w:t>Asbestos Litigation</w:t>
      </w:r>
    </w:p>
    <w:p>
      <w:pPr>
        <w:spacing w:after="0" w:line="2"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were defending 3,701 claims as of September 30, 2019.</w:t>
      </w:r>
    </w:p>
    <w:p>
      <w:pPr>
        <w:spacing w:after="0" w:line="10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Borders>
              <w:top w:val="single" w:sz="8" w:color="auto"/>
            </w:tcBorders>
          </w:tcPr>
          <w:p>
            <w:pPr>
              <w:spacing w:after="0"/>
              <w:rPr>
                <w:sz w:val="14"/>
                <w:szCs w:val="14"/>
                <w:color w:val="auto"/>
              </w:rPr>
            </w:pPr>
          </w:p>
        </w:tc>
        <w:tc>
          <w:tcPr>
            <w:tcW w:w="220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Amounts Paid</w:t>
            </w:r>
          </w:p>
        </w:tc>
      </w:tr>
      <w:tr>
        <w:trPr>
          <w:trHeight w:val="162"/>
        </w:trPr>
        <w:tc>
          <w:tcPr>
            <w:tcW w:w="2760" w:type="dxa"/>
            <w:vAlign w:val="bottom"/>
          </w:tcPr>
          <w:p>
            <w:pPr>
              <w:spacing w:after="0"/>
              <w:rPr>
                <w:sz w:val="14"/>
                <w:szCs w:val="14"/>
                <w:color w:val="auto"/>
              </w:rPr>
            </w:pPr>
          </w:p>
        </w:tc>
        <w:tc>
          <w:tcPr>
            <w:tcW w:w="2200" w:type="dxa"/>
            <w:vAlign w:val="bottom"/>
          </w:tcPr>
          <w:p>
            <w:pPr>
              <w:jc w:val="center"/>
              <w:ind w:left="581"/>
              <w:spacing w:after="0"/>
              <w:rPr>
                <w:sz w:val="20"/>
                <w:szCs w:val="20"/>
                <w:color w:val="auto"/>
              </w:rPr>
            </w:pPr>
            <w:r>
              <w:rPr>
                <w:rFonts w:ascii="Arial" w:cs="Arial" w:eastAsia="Arial" w:hAnsi="Arial"/>
                <w:sz w:val="14"/>
                <w:szCs w:val="14"/>
                <w:b w:val="1"/>
                <w:bCs w:val="1"/>
                <w:color w:val="auto"/>
              </w:rPr>
              <w:t>Opening Number of</w:t>
            </w:r>
          </w:p>
        </w:tc>
        <w:tc>
          <w:tcPr>
            <w:tcW w:w="1740" w:type="dxa"/>
            <w:vAlign w:val="bottom"/>
          </w:tcPr>
          <w:p>
            <w:pPr>
              <w:jc w:val="right"/>
              <w:ind w:right="221"/>
              <w:spacing w:after="0"/>
              <w:rPr>
                <w:sz w:val="20"/>
                <w:szCs w:val="20"/>
                <w:color w:val="auto"/>
              </w:rPr>
            </w:pPr>
            <w:r>
              <w:rPr>
                <w:rFonts w:ascii="Arial" w:cs="Arial" w:eastAsia="Arial" w:hAnsi="Arial"/>
                <w:sz w:val="14"/>
                <w:szCs w:val="14"/>
                <w:b w:val="1"/>
                <w:bCs w:val="1"/>
                <w:color w:val="auto"/>
              </w:rPr>
              <w:t>Claims Dismissed,</w:t>
            </w:r>
          </w:p>
        </w:tc>
        <w:tc>
          <w:tcPr>
            <w:tcW w:w="1300" w:type="dxa"/>
            <w:vAlign w:val="bottom"/>
          </w:tcPr>
          <w:p>
            <w:pPr>
              <w:spacing w:after="0"/>
              <w:rPr>
                <w:sz w:val="14"/>
                <w:szCs w:val="14"/>
                <w:color w:val="auto"/>
              </w:rPr>
            </w:pPr>
          </w:p>
        </w:tc>
        <w:tc>
          <w:tcPr>
            <w:tcW w:w="1660" w:type="dxa"/>
            <w:vAlign w:val="bottom"/>
          </w:tcPr>
          <w:p>
            <w:pPr>
              <w:jc w:val="center"/>
              <w:ind w:left="101"/>
              <w:spacing w:after="0"/>
              <w:rPr>
                <w:sz w:val="20"/>
                <w:szCs w:val="20"/>
                <w:color w:val="auto"/>
              </w:rPr>
            </w:pPr>
            <w:r>
              <w:rPr>
                <w:rFonts w:ascii="Arial" w:cs="Arial" w:eastAsia="Arial" w:hAnsi="Arial"/>
                <w:sz w:val="14"/>
                <w:szCs w:val="14"/>
                <w:b w:val="1"/>
                <w:bCs w:val="1"/>
                <w:color w:val="auto"/>
              </w:rPr>
              <w:t>Closing Number of</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(thousands) to Settle or</w:t>
            </w:r>
          </w:p>
        </w:tc>
      </w:tr>
      <w:tr>
        <w:trPr>
          <w:trHeight w:val="175"/>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2200" w:type="dxa"/>
            <w:vAlign w:val="bottom"/>
            <w:tcBorders>
              <w:bottom w:val="single" w:sz="8" w:color="auto"/>
            </w:tcBorders>
          </w:tcPr>
          <w:p>
            <w:pPr>
              <w:jc w:val="center"/>
              <w:ind w:left="601"/>
              <w:spacing w:after="0"/>
              <w:rPr>
                <w:sz w:val="20"/>
                <w:szCs w:val="20"/>
                <w:color w:val="auto"/>
              </w:rPr>
            </w:pPr>
            <w:r>
              <w:rPr>
                <w:rFonts w:ascii="Arial" w:cs="Arial" w:eastAsia="Arial" w:hAnsi="Arial"/>
                <w:sz w:val="14"/>
                <w:szCs w:val="14"/>
                <w:b w:val="1"/>
                <w:bCs w:val="1"/>
                <w:color w:val="auto"/>
              </w:rPr>
              <w:t>Claims</w:t>
            </w:r>
          </w:p>
        </w:tc>
        <w:tc>
          <w:tcPr>
            <w:tcW w:w="17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Settled, or Resolved</w:t>
            </w:r>
          </w:p>
        </w:tc>
        <w:tc>
          <w:tcPr>
            <w:tcW w:w="13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New Claims</w:t>
            </w:r>
          </w:p>
        </w:tc>
        <w:tc>
          <w:tcPr>
            <w:tcW w:w="1660" w:type="dxa"/>
            <w:vAlign w:val="bottom"/>
            <w:tcBorders>
              <w:bottom w:val="single" w:sz="8" w:color="auto"/>
            </w:tcBorders>
          </w:tcPr>
          <w:p>
            <w:pPr>
              <w:jc w:val="center"/>
              <w:ind w:left="101"/>
              <w:spacing w:after="0"/>
              <w:rPr>
                <w:sz w:val="20"/>
                <w:szCs w:val="20"/>
                <w:color w:val="auto"/>
              </w:rPr>
            </w:pPr>
            <w:r>
              <w:rPr>
                <w:rFonts w:ascii="Arial" w:cs="Arial" w:eastAsia="Arial" w:hAnsi="Arial"/>
                <w:sz w:val="14"/>
                <w:szCs w:val="14"/>
                <w:b w:val="1"/>
                <w:bCs w:val="1"/>
                <w:color w:val="auto"/>
              </w:rPr>
              <w:t>Claims</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Resolve</w:t>
            </w:r>
          </w:p>
        </w:tc>
      </w:tr>
      <w:tr>
        <w:trPr>
          <w:trHeight w:val="184"/>
        </w:trPr>
        <w:tc>
          <w:tcPr>
            <w:tcW w:w="2760" w:type="dxa"/>
            <w:vAlign w:val="bottom"/>
          </w:tcPr>
          <w:p>
            <w:pPr>
              <w:spacing w:after="0"/>
              <w:rPr>
                <w:sz w:val="20"/>
                <w:szCs w:val="20"/>
                <w:color w:val="auto"/>
              </w:rPr>
            </w:pPr>
            <w:r>
              <w:rPr>
                <w:rFonts w:ascii="Arial" w:cs="Arial" w:eastAsia="Arial" w:hAnsi="Arial"/>
                <w:sz w:val="16"/>
                <w:szCs w:val="16"/>
                <w:color w:val="auto"/>
              </w:rPr>
              <w:t>2014</w:t>
            </w:r>
          </w:p>
        </w:tc>
        <w:tc>
          <w:tcPr>
            <w:tcW w:w="2200" w:type="dxa"/>
            <w:vAlign w:val="bottom"/>
          </w:tcPr>
          <w:p>
            <w:pPr>
              <w:jc w:val="center"/>
              <w:ind w:left="601"/>
              <w:spacing w:after="0"/>
              <w:rPr>
                <w:sz w:val="20"/>
                <w:szCs w:val="20"/>
                <w:color w:val="auto"/>
              </w:rPr>
            </w:pPr>
            <w:r>
              <w:rPr>
                <w:rFonts w:ascii="Arial" w:cs="Arial" w:eastAsia="Arial" w:hAnsi="Arial"/>
                <w:sz w:val="16"/>
                <w:szCs w:val="16"/>
                <w:color w:val="auto"/>
                <w:w w:val="99"/>
              </w:rPr>
              <w:t>4,299</w:t>
            </w:r>
          </w:p>
        </w:tc>
        <w:tc>
          <w:tcPr>
            <w:tcW w:w="1740" w:type="dxa"/>
            <w:vAlign w:val="bottom"/>
          </w:tcPr>
          <w:p>
            <w:pPr>
              <w:jc w:val="right"/>
              <w:ind w:right="721"/>
              <w:spacing w:after="0"/>
              <w:rPr>
                <w:sz w:val="20"/>
                <w:szCs w:val="20"/>
                <w:color w:val="auto"/>
              </w:rPr>
            </w:pPr>
            <w:r>
              <w:rPr>
                <w:rFonts w:ascii="Arial" w:cs="Arial" w:eastAsia="Arial" w:hAnsi="Arial"/>
                <w:sz w:val="16"/>
                <w:szCs w:val="16"/>
                <w:color w:val="auto"/>
              </w:rPr>
              <w:t>625</w:t>
            </w:r>
          </w:p>
        </w:tc>
        <w:tc>
          <w:tcPr>
            <w:tcW w:w="1300" w:type="dxa"/>
            <w:vAlign w:val="bottom"/>
          </w:tcPr>
          <w:p>
            <w:pPr>
              <w:jc w:val="right"/>
              <w:ind w:right="460"/>
              <w:spacing w:after="0"/>
              <w:rPr>
                <w:sz w:val="20"/>
                <w:szCs w:val="20"/>
                <w:color w:val="auto"/>
              </w:rPr>
            </w:pPr>
            <w:r>
              <w:rPr>
                <w:rFonts w:ascii="Arial" w:cs="Arial" w:eastAsia="Arial" w:hAnsi="Arial"/>
                <w:sz w:val="16"/>
                <w:szCs w:val="16"/>
                <w:color w:val="auto"/>
              </w:rPr>
              <w:t>147</w:t>
            </w:r>
          </w:p>
        </w:tc>
        <w:tc>
          <w:tcPr>
            <w:tcW w:w="1660" w:type="dxa"/>
            <w:vAlign w:val="bottom"/>
          </w:tcPr>
          <w:p>
            <w:pPr>
              <w:jc w:val="center"/>
              <w:ind w:left="101"/>
              <w:spacing w:after="0"/>
              <w:rPr>
                <w:sz w:val="20"/>
                <w:szCs w:val="20"/>
                <w:color w:val="auto"/>
              </w:rPr>
            </w:pPr>
            <w:r>
              <w:rPr>
                <w:rFonts w:ascii="Arial" w:cs="Arial" w:eastAsia="Arial" w:hAnsi="Arial"/>
                <w:sz w:val="16"/>
                <w:szCs w:val="16"/>
                <w:color w:val="auto"/>
                <w:w w:val="99"/>
              </w:rPr>
              <w:t>3,821</w:t>
            </w:r>
          </w:p>
        </w:tc>
        <w:tc>
          <w:tcPr>
            <w:tcW w:w="1760" w:type="dxa"/>
            <w:vAlign w:val="bottom"/>
          </w:tcPr>
          <w:p>
            <w:pPr>
              <w:jc w:val="right"/>
              <w:ind w:right="602"/>
              <w:spacing w:after="0"/>
              <w:rPr>
                <w:sz w:val="20"/>
                <w:szCs w:val="20"/>
                <w:color w:val="auto"/>
              </w:rPr>
            </w:pPr>
            <w:r>
              <w:rPr>
                <w:rFonts w:ascii="Arial" w:cs="Arial" w:eastAsia="Arial" w:hAnsi="Arial"/>
                <w:sz w:val="16"/>
                <w:szCs w:val="16"/>
                <w:color w:val="auto"/>
              </w:rPr>
              <w:t>$437</w:t>
            </w:r>
          </w:p>
        </w:tc>
      </w:tr>
      <w:tr>
        <w:trPr>
          <w:trHeight w:val="189"/>
        </w:trPr>
        <w:tc>
          <w:tcPr>
            <w:tcW w:w="2760" w:type="dxa"/>
            <w:vAlign w:val="bottom"/>
          </w:tcPr>
          <w:p>
            <w:pPr>
              <w:spacing w:after="0"/>
              <w:rPr>
                <w:sz w:val="20"/>
                <w:szCs w:val="20"/>
                <w:color w:val="auto"/>
              </w:rPr>
            </w:pPr>
            <w:r>
              <w:rPr>
                <w:rFonts w:ascii="Arial" w:cs="Arial" w:eastAsia="Arial" w:hAnsi="Arial"/>
                <w:sz w:val="16"/>
                <w:szCs w:val="16"/>
                <w:color w:val="auto"/>
              </w:rPr>
              <w:t>2015</w:t>
            </w:r>
          </w:p>
        </w:tc>
        <w:tc>
          <w:tcPr>
            <w:tcW w:w="2200" w:type="dxa"/>
            <w:vAlign w:val="bottom"/>
          </w:tcPr>
          <w:p>
            <w:pPr>
              <w:jc w:val="center"/>
              <w:ind w:left="601"/>
              <w:spacing w:after="0"/>
              <w:rPr>
                <w:sz w:val="20"/>
                <w:szCs w:val="20"/>
                <w:color w:val="auto"/>
              </w:rPr>
            </w:pPr>
            <w:r>
              <w:rPr>
                <w:rFonts w:ascii="Arial" w:cs="Arial" w:eastAsia="Arial" w:hAnsi="Arial"/>
                <w:sz w:val="16"/>
                <w:szCs w:val="16"/>
                <w:color w:val="auto"/>
                <w:w w:val="99"/>
              </w:rPr>
              <w:t>3,821</w:t>
            </w:r>
          </w:p>
        </w:tc>
        <w:tc>
          <w:tcPr>
            <w:tcW w:w="1740" w:type="dxa"/>
            <w:vAlign w:val="bottom"/>
          </w:tcPr>
          <w:p>
            <w:pPr>
              <w:jc w:val="right"/>
              <w:ind w:right="721"/>
              <w:spacing w:after="0"/>
              <w:rPr>
                <w:sz w:val="20"/>
                <w:szCs w:val="20"/>
                <w:color w:val="auto"/>
              </w:rPr>
            </w:pPr>
            <w:r>
              <w:rPr>
                <w:rFonts w:ascii="Arial" w:cs="Arial" w:eastAsia="Arial" w:hAnsi="Arial"/>
                <w:sz w:val="16"/>
                <w:szCs w:val="16"/>
                <w:color w:val="auto"/>
              </w:rPr>
              <w:t>116</w:t>
            </w:r>
          </w:p>
        </w:tc>
        <w:tc>
          <w:tcPr>
            <w:tcW w:w="1300" w:type="dxa"/>
            <w:vAlign w:val="bottom"/>
          </w:tcPr>
          <w:p>
            <w:pPr>
              <w:jc w:val="right"/>
              <w:ind w:right="460"/>
              <w:spacing w:after="0"/>
              <w:rPr>
                <w:sz w:val="20"/>
                <w:szCs w:val="20"/>
                <w:color w:val="auto"/>
              </w:rPr>
            </w:pPr>
            <w:r>
              <w:rPr>
                <w:rFonts w:ascii="Arial" w:cs="Arial" w:eastAsia="Arial" w:hAnsi="Arial"/>
                <w:sz w:val="16"/>
                <w:szCs w:val="16"/>
                <w:color w:val="auto"/>
              </w:rPr>
              <w:t>86</w:t>
            </w:r>
          </w:p>
        </w:tc>
        <w:tc>
          <w:tcPr>
            <w:tcW w:w="1660" w:type="dxa"/>
            <w:vAlign w:val="bottom"/>
          </w:tcPr>
          <w:p>
            <w:pPr>
              <w:jc w:val="center"/>
              <w:ind w:left="101"/>
              <w:spacing w:after="0"/>
              <w:rPr>
                <w:sz w:val="20"/>
                <w:szCs w:val="20"/>
                <w:color w:val="auto"/>
              </w:rPr>
            </w:pPr>
            <w:r>
              <w:rPr>
                <w:rFonts w:ascii="Arial" w:cs="Arial" w:eastAsia="Arial" w:hAnsi="Arial"/>
                <w:sz w:val="16"/>
                <w:szCs w:val="16"/>
                <w:color w:val="auto"/>
                <w:w w:val="99"/>
              </w:rPr>
              <w:t>3,791</w:t>
            </w:r>
          </w:p>
        </w:tc>
        <w:tc>
          <w:tcPr>
            <w:tcW w:w="1760" w:type="dxa"/>
            <w:vAlign w:val="bottom"/>
          </w:tcPr>
          <w:p>
            <w:pPr>
              <w:jc w:val="right"/>
              <w:ind w:right="602"/>
              <w:spacing w:after="0"/>
              <w:rPr>
                <w:sz w:val="20"/>
                <w:szCs w:val="20"/>
                <w:color w:val="auto"/>
              </w:rPr>
            </w:pPr>
            <w:r>
              <w:rPr>
                <w:rFonts w:ascii="Arial" w:cs="Arial" w:eastAsia="Arial" w:hAnsi="Arial"/>
                <w:sz w:val="16"/>
                <w:szCs w:val="16"/>
                <w:color w:val="auto"/>
              </w:rPr>
              <w:t>164</w:t>
            </w:r>
          </w:p>
        </w:tc>
      </w:tr>
      <w:tr>
        <w:trPr>
          <w:trHeight w:val="189"/>
        </w:trPr>
        <w:tc>
          <w:tcPr>
            <w:tcW w:w="2760" w:type="dxa"/>
            <w:vAlign w:val="bottom"/>
          </w:tcPr>
          <w:p>
            <w:pPr>
              <w:spacing w:after="0"/>
              <w:rPr>
                <w:sz w:val="20"/>
                <w:szCs w:val="20"/>
                <w:color w:val="auto"/>
              </w:rPr>
            </w:pPr>
            <w:r>
              <w:rPr>
                <w:rFonts w:ascii="Arial" w:cs="Arial" w:eastAsia="Arial" w:hAnsi="Arial"/>
                <w:sz w:val="16"/>
                <w:szCs w:val="16"/>
                <w:color w:val="auto"/>
              </w:rPr>
              <w:t>2016</w:t>
            </w:r>
          </w:p>
        </w:tc>
        <w:tc>
          <w:tcPr>
            <w:tcW w:w="2200" w:type="dxa"/>
            <w:vAlign w:val="bottom"/>
          </w:tcPr>
          <w:p>
            <w:pPr>
              <w:jc w:val="center"/>
              <w:ind w:left="601"/>
              <w:spacing w:after="0"/>
              <w:rPr>
                <w:sz w:val="20"/>
                <w:szCs w:val="20"/>
                <w:color w:val="auto"/>
              </w:rPr>
            </w:pPr>
            <w:r>
              <w:rPr>
                <w:rFonts w:ascii="Arial" w:cs="Arial" w:eastAsia="Arial" w:hAnsi="Arial"/>
                <w:sz w:val="16"/>
                <w:szCs w:val="16"/>
                <w:color w:val="auto"/>
                <w:w w:val="99"/>
              </w:rPr>
              <w:t>3,791</w:t>
            </w:r>
          </w:p>
        </w:tc>
        <w:tc>
          <w:tcPr>
            <w:tcW w:w="1740" w:type="dxa"/>
            <w:vAlign w:val="bottom"/>
          </w:tcPr>
          <w:p>
            <w:pPr>
              <w:jc w:val="right"/>
              <w:ind w:right="721"/>
              <w:spacing w:after="0"/>
              <w:rPr>
                <w:sz w:val="20"/>
                <w:szCs w:val="20"/>
                <w:color w:val="auto"/>
              </w:rPr>
            </w:pPr>
            <w:r>
              <w:rPr>
                <w:rFonts w:ascii="Arial" w:cs="Arial" w:eastAsia="Arial" w:hAnsi="Arial"/>
                <w:sz w:val="16"/>
                <w:szCs w:val="16"/>
                <w:color w:val="auto"/>
              </w:rPr>
              <w:t>148</w:t>
            </w:r>
          </w:p>
        </w:tc>
        <w:tc>
          <w:tcPr>
            <w:tcW w:w="1300" w:type="dxa"/>
            <w:vAlign w:val="bottom"/>
          </w:tcPr>
          <w:p>
            <w:pPr>
              <w:jc w:val="right"/>
              <w:ind w:right="460"/>
              <w:spacing w:after="0"/>
              <w:rPr>
                <w:sz w:val="20"/>
                <w:szCs w:val="20"/>
                <w:color w:val="auto"/>
              </w:rPr>
            </w:pPr>
            <w:r>
              <w:rPr>
                <w:rFonts w:ascii="Arial" w:cs="Arial" w:eastAsia="Arial" w:hAnsi="Arial"/>
                <w:sz w:val="16"/>
                <w:szCs w:val="16"/>
                <w:color w:val="auto"/>
              </w:rPr>
              <w:t>102</w:t>
            </w:r>
          </w:p>
        </w:tc>
        <w:tc>
          <w:tcPr>
            <w:tcW w:w="1660" w:type="dxa"/>
            <w:vAlign w:val="bottom"/>
          </w:tcPr>
          <w:p>
            <w:pPr>
              <w:jc w:val="center"/>
              <w:ind w:left="101"/>
              <w:spacing w:after="0"/>
              <w:rPr>
                <w:sz w:val="20"/>
                <w:szCs w:val="20"/>
                <w:color w:val="auto"/>
              </w:rPr>
            </w:pPr>
            <w:r>
              <w:rPr>
                <w:rFonts w:ascii="Arial" w:cs="Arial" w:eastAsia="Arial" w:hAnsi="Arial"/>
                <w:sz w:val="16"/>
                <w:szCs w:val="16"/>
                <w:color w:val="auto"/>
                <w:w w:val="99"/>
              </w:rPr>
              <w:t>3,745</w:t>
            </w:r>
          </w:p>
        </w:tc>
        <w:tc>
          <w:tcPr>
            <w:tcW w:w="1760" w:type="dxa"/>
            <w:vAlign w:val="bottom"/>
          </w:tcPr>
          <w:p>
            <w:pPr>
              <w:jc w:val="right"/>
              <w:ind w:right="602"/>
              <w:spacing w:after="0"/>
              <w:rPr>
                <w:sz w:val="20"/>
                <w:szCs w:val="20"/>
                <w:color w:val="auto"/>
              </w:rPr>
            </w:pPr>
            <w:r>
              <w:rPr>
                <w:rFonts w:ascii="Arial" w:cs="Arial" w:eastAsia="Arial" w:hAnsi="Arial"/>
                <w:sz w:val="16"/>
                <w:szCs w:val="16"/>
                <w:color w:val="auto"/>
              </w:rPr>
              <w:t>758</w:t>
            </w:r>
          </w:p>
        </w:tc>
      </w:tr>
      <w:tr>
        <w:trPr>
          <w:trHeight w:val="189"/>
        </w:trPr>
        <w:tc>
          <w:tcPr>
            <w:tcW w:w="2760" w:type="dxa"/>
            <w:vAlign w:val="bottom"/>
          </w:tcPr>
          <w:p>
            <w:pPr>
              <w:spacing w:after="0"/>
              <w:rPr>
                <w:sz w:val="20"/>
                <w:szCs w:val="20"/>
                <w:color w:val="auto"/>
              </w:rPr>
            </w:pPr>
            <w:r>
              <w:rPr>
                <w:rFonts w:ascii="Arial" w:cs="Arial" w:eastAsia="Arial" w:hAnsi="Arial"/>
                <w:sz w:val="16"/>
                <w:szCs w:val="16"/>
                <w:color w:val="auto"/>
              </w:rPr>
              <w:t>2017</w:t>
            </w:r>
          </w:p>
        </w:tc>
        <w:tc>
          <w:tcPr>
            <w:tcW w:w="2200" w:type="dxa"/>
            <w:vAlign w:val="bottom"/>
          </w:tcPr>
          <w:p>
            <w:pPr>
              <w:jc w:val="center"/>
              <w:ind w:left="601"/>
              <w:spacing w:after="0"/>
              <w:rPr>
                <w:sz w:val="20"/>
                <w:szCs w:val="20"/>
                <w:color w:val="auto"/>
              </w:rPr>
            </w:pPr>
            <w:r>
              <w:rPr>
                <w:rFonts w:ascii="Arial" w:cs="Arial" w:eastAsia="Arial" w:hAnsi="Arial"/>
                <w:sz w:val="16"/>
                <w:szCs w:val="16"/>
                <w:color w:val="auto"/>
                <w:w w:val="99"/>
              </w:rPr>
              <w:t>3,745</w:t>
            </w:r>
          </w:p>
        </w:tc>
        <w:tc>
          <w:tcPr>
            <w:tcW w:w="1740" w:type="dxa"/>
            <w:vAlign w:val="bottom"/>
          </w:tcPr>
          <w:p>
            <w:pPr>
              <w:jc w:val="right"/>
              <w:ind w:right="721"/>
              <w:spacing w:after="0"/>
              <w:rPr>
                <w:sz w:val="20"/>
                <w:szCs w:val="20"/>
                <w:color w:val="auto"/>
              </w:rPr>
            </w:pPr>
            <w:r>
              <w:rPr>
                <w:rFonts w:ascii="Arial" w:cs="Arial" w:eastAsia="Arial" w:hAnsi="Arial"/>
                <w:sz w:val="16"/>
                <w:szCs w:val="16"/>
                <w:color w:val="auto"/>
              </w:rPr>
              <w:t>105</w:t>
            </w:r>
          </w:p>
        </w:tc>
        <w:tc>
          <w:tcPr>
            <w:tcW w:w="1300" w:type="dxa"/>
            <w:vAlign w:val="bottom"/>
          </w:tcPr>
          <w:p>
            <w:pPr>
              <w:jc w:val="right"/>
              <w:ind w:right="460"/>
              <w:spacing w:after="0"/>
              <w:rPr>
                <w:sz w:val="20"/>
                <w:szCs w:val="20"/>
                <w:color w:val="auto"/>
              </w:rPr>
            </w:pPr>
            <w:r>
              <w:rPr>
                <w:rFonts w:ascii="Arial" w:cs="Arial" w:eastAsia="Arial" w:hAnsi="Arial"/>
                <w:sz w:val="16"/>
                <w:szCs w:val="16"/>
                <w:color w:val="auto"/>
              </w:rPr>
              <w:t>90</w:t>
            </w:r>
          </w:p>
        </w:tc>
        <w:tc>
          <w:tcPr>
            <w:tcW w:w="1660" w:type="dxa"/>
            <w:vAlign w:val="bottom"/>
          </w:tcPr>
          <w:p>
            <w:pPr>
              <w:jc w:val="center"/>
              <w:ind w:left="101"/>
              <w:spacing w:after="0"/>
              <w:rPr>
                <w:sz w:val="20"/>
                <w:szCs w:val="20"/>
                <w:color w:val="auto"/>
              </w:rPr>
            </w:pPr>
            <w:r>
              <w:rPr>
                <w:rFonts w:ascii="Arial" w:cs="Arial" w:eastAsia="Arial" w:hAnsi="Arial"/>
                <w:sz w:val="16"/>
                <w:szCs w:val="16"/>
                <w:color w:val="auto"/>
                <w:w w:val="99"/>
              </w:rPr>
              <w:t>3,730</w:t>
            </w:r>
          </w:p>
        </w:tc>
        <w:tc>
          <w:tcPr>
            <w:tcW w:w="1760" w:type="dxa"/>
            <w:vAlign w:val="bottom"/>
          </w:tcPr>
          <w:p>
            <w:pPr>
              <w:jc w:val="right"/>
              <w:ind w:right="602"/>
              <w:spacing w:after="0"/>
              <w:rPr>
                <w:sz w:val="20"/>
                <w:szCs w:val="20"/>
                <w:color w:val="auto"/>
              </w:rPr>
            </w:pPr>
            <w:r>
              <w:rPr>
                <w:rFonts w:ascii="Arial" w:cs="Arial" w:eastAsia="Arial" w:hAnsi="Arial"/>
                <w:sz w:val="16"/>
                <w:szCs w:val="16"/>
                <w:color w:val="auto"/>
              </w:rPr>
              <w:t>55</w:t>
            </w:r>
          </w:p>
        </w:tc>
      </w:tr>
      <w:tr>
        <w:trPr>
          <w:trHeight w:val="187"/>
        </w:trPr>
        <w:tc>
          <w:tcPr>
            <w:tcW w:w="2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2018</w:t>
            </w:r>
          </w:p>
        </w:tc>
        <w:tc>
          <w:tcPr>
            <w:tcW w:w="2200" w:type="dxa"/>
            <w:vAlign w:val="bottom"/>
            <w:tcBorders>
              <w:bottom w:val="single" w:sz="8" w:color="auto"/>
            </w:tcBorders>
          </w:tcPr>
          <w:p>
            <w:pPr>
              <w:jc w:val="center"/>
              <w:ind w:left="601"/>
              <w:spacing w:after="0"/>
              <w:rPr>
                <w:sz w:val="20"/>
                <w:szCs w:val="20"/>
                <w:color w:val="auto"/>
              </w:rPr>
            </w:pPr>
            <w:r>
              <w:rPr>
                <w:rFonts w:ascii="Arial" w:cs="Arial" w:eastAsia="Arial" w:hAnsi="Arial"/>
                <w:sz w:val="16"/>
                <w:szCs w:val="16"/>
                <w:color w:val="auto"/>
                <w:w w:val="99"/>
              </w:rPr>
              <w:t>3,730</w:t>
            </w:r>
          </w:p>
        </w:tc>
        <w:tc>
          <w:tcPr>
            <w:tcW w:w="1740" w:type="dxa"/>
            <w:vAlign w:val="bottom"/>
            <w:tcBorders>
              <w:bottom w:val="single" w:sz="8" w:color="auto"/>
            </w:tcBorders>
          </w:tcPr>
          <w:p>
            <w:pPr>
              <w:jc w:val="right"/>
              <w:ind w:right="721"/>
              <w:spacing w:after="0"/>
              <w:rPr>
                <w:sz w:val="20"/>
                <w:szCs w:val="20"/>
                <w:color w:val="auto"/>
              </w:rPr>
            </w:pPr>
            <w:r>
              <w:rPr>
                <w:rFonts w:ascii="Arial" w:cs="Arial" w:eastAsia="Arial" w:hAnsi="Arial"/>
                <w:sz w:val="16"/>
                <w:szCs w:val="16"/>
                <w:color w:val="auto"/>
              </w:rPr>
              <w:t>152</w:t>
            </w:r>
          </w:p>
        </w:tc>
        <w:tc>
          <w:tcPr>
            <w:tcW w:w="13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106</w:t>
            </w:r>
          </w:p>
        </w:tc>
        <w:tc>
          <w:tcPr>
            <w:tcW w:w="1660" w:type="dxa"/>
            <w:vAlign w:val="bottom"/>
            <w:tcBorders>
              <w:bottom w:val="single" w:sz="8" w:color="auto"/>
            </w:tcBorders>
          </w:tcPr>
          <w:p>
            <w:pPr>
              <w:jc w:val="center"/>
              <w:ind w:left="101"/>
              <w:spacing w:after="0"/>
              <w:rPr>
                <w:sz w:val="20"/>
                <w:szCs w:val="20"/>
                <w:color w:val="auto"/>
              </w:rPr>
            </w:pPr>
            <w:r>
              <w:rPr>
                <w:rFonts w:ascii="Arial" w:cs="Arial" w:eastAsia="Arial" w:hAnsi="Arial"/>
                <w:sz w:val="16"/>
                <w:szCs w:val="16"/>
                <w:color w:val="auto"/>
                <w:w w:val="99"/>
              </w:rPr>
              <w:t>3,684</w:t>
            </w:r>
          </w:p>
        </w:tc>
        <w:tc>
          <w:tcPr>
            <w:tcW w:w="176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color w:val="auto"/>
              </w:rPr>
              <w:t>100</w:t>
            </w:r>
          </w:p>
        </w:tc>
      </w:tr>
      <w:tr>
        <w:trPr>
          <w:trHeight w:val="183"/>
        </w:trPr>
        <w:tc>
          <w:tcPr>
            <w:tcW w:w="27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2019 (as of September 30)</w:t>
            </w:r>
          </w:p>
        </w:tc>
        <w:tc>
          <w:tcPr>
            <w:tcW w:w="2200" w:type="dxa"/>
            <w:vAlign w:val="bottom"/>
            <w:tcBorders>
              <w:bottom w:val="single" w:sz="8" w:color="auto"/>
            </w:tcBorders>
          </w:tcPr>
          <w:p>
            <w:pPr>
              <w:jc w:val="center"/>
              <w:ind w:left="601"/>
              <w:spacing w:after="0" w:line="183" w:lineRule="exact"/>
              <w:rPr>
                <w:sz w:val="20"/>
                <w:szCs w:val="20"/>
                <w:color w:val="auto"/>
              </w:rPr>
            </w:pPr>
            <w:r>
              <w:rPr>
                <w:rFonts w:ascii="Arial" w:cs="Arial" w:eastAsia="Arial" w:hAnsi="Arial"/>
                <w:sz w:val="16"/>
                <w:szCs w:val="16"/>
                <w:b w:val="1"/>
                <w:bCs w:val="1"/>
                <w:color w:val="auto"/>
                <w:w w:val="99"/>
              </w:rPr>
              <w:t>3,684</w:t>
            </w:r>
          </w:p>
        </w:tc>
        <w:tc>
          <w:tcPr>
            <w:tcW w:w="1740" w:type="dxa"/>
            <w:vAlign w:val="bottom"/>
            <w:tcBorders>
              <w:bottom w:val="single" w:sz="8" w:color="auto"/>
            </w:tcBorders>
          </w:tcPr>
          <w:p>
            <w:pPr>
              <w:jc w:val="right"/>
              <w:ind w:right="721"/>
              <w:spacing w:after="0" w:line="183" w:lineRule="exact"/>
              <w:rPr>
                <w:sz w:val="20"/>
                <w:szCs w:val="20"/>
                <w:color w:val="auto"/>
              </w:rPr>
            </w:pPr>
            <w:r>
              <w:rPr>
                <w:rFonts w:ascii="Arial" w:cs="Arial" w:eastAsia="Arial" w:hAnsi="Arial"/>
                <w:sz w:val="16"/>
                <w:szCs w:val="16"/>
                <w:b w:val="1"/>
                <w:bCs w:val="1"/>
                <w:color w:val="auto"/>
              </w:rPr>
              <w:t>29</w:t>
            </w:r>
          </w:p>
        </w:tc>
        <w:tc>
          <w:tcPr>
            <w:tcW w:w="1300" w:type="dxa"/>
            <w:vAlign w:val="bottom"/>
            <w:tcBorders>
              <w:bottom w:val="single" w:sz="8" w:color="auto"/>
            </w:tcBorders>
          </w:tcPr>
          <w:p>
            <w:pPr>
              <w:jc w:val="right"/>
              <w:ind w:right="460"/>
              <w:spacing w:after="0" w:line="183" w:lineRule="exact"/>
              <w:rPr>
                <w:sz w:val="20"/>
                <w:szCs w:val="20"/>
                <w:color w:val="auto"/>
              </w:rPr>
            </w:pPr>
            <w:r>
              <w:rPr>
                <w:rFonts w:ascii="Arial" w:cs="Arial" w:eastAsia="Arial" w:hAnsi="Arial"/>
                <w:sz w:val="16"/>
                <w:szCs w:val="16"/>
                <w:b w:val="1"/>
                <w:bCs w:val="1"/>
                <w:color w:val="auto"/>
              </w:rPr>
              <w:t>46</w:t>
            </w:r>
          </w:p>
        </w:tc>
        <w:tc>
          <w:tcPr>
            <w:tcW w:w="1660" w:type="dxa"/>
            <w:vAlign w:val="bottom"/>
            <w:tcBorders>
              <w:bottom w:val="single" w:sz="8" w:color="auto"/>
            </w:tcBorders>
          </w:tcPr>
          <w:p>
            <w:pPr>
              <w:jc w:val="center"/>
              <w:ind w:left="101"/>
              <w:spacing w:after="0" w:line="183" w:lineRule="exact"/>
              <w:rPr>
                <w:sz w:val="20"/>
                <w:szCs w:val="20"/>
                <w:color w:val="auto"/>
              </w:rPr>
            </w:pPr>
            <w:r>
              <w:rPr>
                <w:rFonts w:ascii="Arial" w:cs="Arial" w:eastAsia="Arial" w:hAnsi="Arial"/>
                <w:sz w:val="16"/>
                <w:szCs w:val="16"/>
                <w:b w:val="1"/>
                <w:bCs w:val="1"/>
                <w:color w:val="auto"/>
                <w:w w:val="99"/>
              </w:rPr>
              <w:t>3,701</w:t>
            </w:r>
          </w:p>
        </w:tc>
        <w:tc>
          <w:tcPr>
            <w:tcW w:w="1760" w:type="dxa"/>
            <w:vAlign w:val="bottom"/>
            <w:tcBorders>
              <w:bottom w:val="single" w:sz="8" w:color="auto"/>
            </w:tcBorders>
          </w:tcPr>
          <w:p>
            <w:pPr>
              <w:jc w:val="right"/>
              <w:ind w:right="602"/>
              <w:spacing w:after="0" w:line="183" w:lineRule="exact"/>
              <w:rPr>
                <w:sz w:val="20"/>
                <w:szCs w:val="20"/>
                <w:color w:val="auto"/>
              </w:rPr>
            </w:pPr>
            <w:r>
              <w:rPr>
                <w:rFonts w:ascii="Arial" w:cs="Arial" w:eastAsia="Arial" w:hAnsi="Arial"/>
                <w:sz w:val="16"/>
                <w:szCs w:val="16"/>
                <w:b w:val="1"/>
                <w:bCs w:val="1"/>
                <w:color w:val="auto"/>
              </w:rPr>
              <w:t>$ —</w:t>
            </w:r>
          </w:p>
        </w:tc>
      </w:tr>
    </w:tbl>
    <w:p>
      <w:pPr>
        <w:spacing w:after="0" w:line="20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spacing w:after="0" w:line="9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September 30, 2019 we had resolved, by means of settlement or dismissal, 37,775 claims. The total cost of resolving all claims was $10.3 million. Of this amount, almost 100% was paid by our insurance carrier, who has confirmed that we have approximately $140 million of remaining coverage under primary and excess policies that should be available with respect to current and future asbestos claims.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The Company’s subsidiary, Brandon Drying Fabrics, Inc. (“Brandon”), is also a separate defendant in many of the asbestos cases in which Albany is named as a defendant, despite never having manufactured any fabrics containing asbestos. While Brandon was defending against 7,710 claims as of September 30, 2019, only twelve claims have been filed against Brandon since January 1, 2012, and no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spacing w:after="0" w:line="97"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97"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Changes in Shareholders’ Equity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changes in Shareholders’ Equity for the period December 31, 2018 to September 30,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3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3"/>
                <w:szCs w:val="13"/>
                <w:b w:val="1"/>
                <w:bCs w:val="1"/>
                <w:color w:val="auto"/>
              </w:rPr>
              <w:t>Class A Common</w:t>
            </w:r>
          </w:p>
        </w:tc>
        <w:tc>
          <w:tcPr>
            <w:tcW w:w="126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3"/>
                <w:szCs w:val="13"/>
                <w:b w:val="1"/>
                <w:bCs w:val="1"/>
                <w:color w:val="auto"/>
              </w:rPr>
              <w:t>Class B Common</w:t>
            </w:r>
          </w:p>
        </w:tc>
        <w:tc>
          <w:tcPr>
            <w:tcW w:w="9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3"/>
                <w:szCs w:val="13"/>
                <w:b w:val="1"/>
                <w:bCs w:val="1"/>
                <w:color w:val="auto"/>
                <w:w w:val="97"/>
              </w:rPr>
              <w:t>Accumulated items</w:t>
            </w:r>
          </w:p>
        </w:tc>
        <w:tc>
          <w:tcPr>
            <w:tcW w:w="6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3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4"/>
              </w:rPr>
              <w:t>of other</w:t>
            </w: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320" w:type="dxa"/>
            <w:vAlign w:val="bottom"/>
          </w:tcPr>
          <w:p>
            <w:pPr>
              <w:spacing w:after="0"/>
              <w:rPr>
                <w:sz w:val="5"/>
                <w:szCs w:val="5"/>
                <w:color w:val="auto"/>
              </w:rPr>
            </w:pPr>
          </w:p>
        </w:tc>
        <w:tc>
          <w:tcPr>
            <w:tcW w:w="1280" w:type="dxa"/>
            <w:vAlign w:val="bottom"/>
            <w:gridSpan w:val="2"/>
            <w:vMerge w:val="restart"/>
          </w:tcPr>
          <w:p>
            <w:pPr>
              <w:jc w:val="right"/>
              <w:ind w:right="413"/>
              <w:spacing w:after="0" w:line="138" w:lineRule="exact"/>
              <w:rPr>
                <w:sz w:val="20"/>
                <w:szCs w:val="20"/>
                <w:color w:val="auto"/>
              </w:rPr>
            </w:pPr>
            <w:r>
              <w:rPr>
                <w:rFonts w:ascii="Arial" w:cs="Arial" w:eastAsia="Arial" w:hAnsi="Arial"/>
                <w:sz w:val="13"/>
                <w:szCs w:val="13"/>
                <w:b w:val="1"/>
                <w:bCs w:val="1"/>
                <w:color w:val="auto"/>
              </w:rPr>
              <w:t>Stock</w:t>
            </w:r>
          </w:p>
        </w:tc>
        <w:tc>
          <w:tcPr>
            <w:tcW w:w="1260" w:type="dxa"/>
            <w:vAlign w:val="bottom"/>
            <w:gridSpan w:val="2"/>
            <w:vMerge w:val="restart"/>
          </w:tcPr>
          <w:p>
            <w:pPr>
              <w:jc w:val="right"/>
              <w:ind w:right="393"/>
              <w:spacing w:after="0" w:line="138" w:lineRule="exact"/>
              <w:rPr>
                <w:sz w:val="20"/>
                <w:szCs w:val="20"/>
                <w:color w:val="auto"/>
              </w:rPr>
            </w:pPr>
            <w:r>
              <w:rPr>
                <w:rFonts w:ascii="Arial" w:cs="Arial" w:eastAsia="Arial" w:hAnsi="Arial"/>
                <w:sz w:val="13"/>
                <w:szCs w:val="13"/>
                <w:b w:val="1"/>
                <w:bCs w:val="1"/>
                <w:color w:val="auto"/>
              </w:rPr>
              <w:t>Stock</w:t>
            </w: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540" w:type="dxa"/>
            <w:vAlign w:val="bottom"/>
            <w:gridSpan w:val="2"/>
            <w:vMerge w:val="restart"/>
          </w:tcPr>
          <w:p>
            <w:pPr>
              <w:jc w:val="right"/>
              <w:ind w:right="13"/>
              <w:spacing w:after="0" w:line="138" w:lineRule="exact"/>
              <w:rPr>
                <w:sz w:val="20"/>
                <w:szCs w:val="20"/>
                <w:color w:val="auto"/>
              </w:rPr>
            </w:pPr>
            <w:r>
              <w:rPr>
                <w:rFonts w:ascii="Arial" w:cs="Arial" w:eastAsia="Arial" w:hAnsi="Arial"/>
                <w:sz w:val="13"/>
                <w:szCs w:val="13"/>
                <w:b w:val="1"/>
                <w:bCs w:val="1"/>
                <w:color w:val="auto"/>
                <w:w w:val="99"/>
              </w:rPr>
              <w:t>Class A Treasury Stock</w:t>
            </w:r>
          </w:p>
        </w:tc>
        <w:tc>
          <w:tcPr>
            <w:tcW w:w="10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320" w:type="dxa"/>
            <w:vAlign w:val="bottom"/>
          </w:tcPr>
          <w:p>
            <w:pPr>
              <w:spacing w:after="0"/>
              <w:rPr>
                <w:sz w:val="7"/>
                <w:szCs w:val="7"/>
                <w:color w:val="auto"/>
              </w:rPr>
            </w:pPr>
          </w:p>
        </w:tc>
        <w:tc>
          <w:tcPr>
            <w:tcW w:w="1280" w:type="dxa"/>
            <w:vAlign w:val="bottom"/>
            <w:tcBorders>
              <w:bottom w:val="single" w:sz="8" w:color="auto"/>
            </w:tcBorders>
            <w:gridSpan w:val="2"/>
            <w:vMerge w:val="continue"/>
          </w:tcPr>
          <w:p>
            <w:pPr>
              <w:spacing w:after="0"/>
              <w:rPr>
                <w:sz w:val="7"/>
                <w:szCs w:val="7"/>
                <w:color w:val="auto"/>
              </w:rPr>
            </w:pPr>
          </w:p>
        </w:tc>
        <w:tc>
          <w:tcPr>
            <w:tcW w:w="1260" w:type="dxa"/>
            <w:vAlign w:val="bottom"/>
            <w:tcBorders>
              <w:bottom w:val="single" w:sz="8" w:color="auto"/>
            </w:tcBorders>
            <w:gridSpan w:val="2"/>
            <w:vMerge w:val="continue"/>
          </w:tcPr>
          <w:p>
            <w:pPr>
              <w:spacing w:after="0"/>
              <w:rPr>
                <w:sz w:val="7"/>
                <w:szCs w:val="7"/>
                <w:color w:val="auto"/>
              </w:rPr>
            </w:pPr>
          </w:p>
        </w:tc>
        <w:tc>
          <w:tcPr>
            <w:tcW w:w="960" w:type="dxa"/>
            <w:vAlign w:val="bottom"/>
            <w:vMerge w:val="restart"/>
          </w:tcPr>
          <w:p>
            <w:pPr>
              <w:jc w:val="right"/>
              <w:ind w:right="133"/>
              <w:spacing w:after="0" w:line="135" w:lineRule="exact"/>
              <w:rPr>
                <w:sz w:val="20"/>
                <w:szCs w:val="20"/>
                <w:color w:val="auto"/>
              </w:rPr>
            </w:pPr>
            <w:r>
              <w:rPr>
                <w:rFonts w:ascii="Arial" w:cs="Arial" w:eastAsia="Arial" w:hAnsi="Arial"/>
                <w:sz w:val="13"/>
                <w:szCs w:val="13"/>
                <w:b w:val="1"/>
                <w:bCs w:val="1"/>
                <w:color w:val="auto"/>
              </w:rPr>
              <w:t>Additional</w:t>
            </w:r>
          </w:p>
        </w:tc>
        <w:tc>
          <w:tcPr>
            <w:tcW w:w="800" w:type="dxa"/>
            <w:vAlign w:val="bottom"/>
            <w:vMerge w:val="restart"/>
          </w:tcPr>
          <w:p>
            <w:pPr>
              <w:jc w:val="right"/>
              <w:ind w:right="93"/>
              <w:spacing w:after="0" w:line="135" w:lineRule="exact"/>
              <w:rPr>
                <w:sz w:val="20"/>
                <w:szCs w:val="20"/>
                <w:color w:val="auto"/>
              </w:rPr>
            </w:pPr>
            <w:r>
              <w:rPr>
                <w:rFonts w:ascii="Arial" w:cs="Arial" w:eastAsia="Arial" w:hAnsi="Arial"/>
                <w:sz w:val="13"/>
                <w:szCs w:val="13"/>
                <w:b w:val="1"/>
                <w:bCs w:val="1"/>
                <w:color w:val="auto"/>
              </w:rPr>
              <w:t>Retained</w:t>
            </w:r>
          </w:p>
        </w:tc>
        <w:tc>
          <w:tcPr>
            <w:tcW w:w="13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540" w:type="dxa"/>
            <w:vAlign w:val="bottom"/>
            <w:tcBorders>
              <w:bottom w:val="single" w:sz="8" w:color="auto"/>
            </w:tcBorders>
            <w:gridSpan w:val="2"/>
            <w:vMerge w:val="continue"/>
          </w:tcPr>
          <w:p>
            <w:pPr>
              <w:spacing w:after="0"/>
              <w:rPr>
                <w:sz w:val="7"/>
                <w:szCs w:val="7"/>
                <w:color w:val="auto"/>
              </w:rPr>
            </w:pPr>
          </w:p>
        </w:tc>
        <w:tc>
          <w:tcPr>
            <w:tcW w:w="1040" w:type="dxa"/>
            <w:vAlign w:val="bottom"/>
            <w:vMerge w:val="restart"/>
          </w:tcPr>
          <w:p>
            <w:pPr>
              <w:jc w:val="right"/>
              <w:ind w:right="13"/>
              <w:spacing w:after="0" w:line="135" w:lineRule="exact"/>
              <w:rPr>
                <w:sz w:val="20"/>
                <w:szCs w:val="20"/>
                <w:color w:val="auto"/>
              </w:rPr>
            </w:pPr>
            <w:r>
              <w:rPr>
                <w:rFonts w:ascii="Arial" w:cs="Arial" w:eastAsia="Arial" w:hAnsi="Arial"/>
                <w:sz w:val="13"/>
                <w:szCs w:val="13"/>
                <w:b w:val="1"/>
                <w:bCs w:val="1"/>
                <w:color w:val="auto"/>
              </w:rPr>
              <w:t>Noncontrolling</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2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132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Shares</w:t>
            </w: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Amount</w:t>
            </w: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Shares</w:t>
            </w: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Amount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96"/>
              </w:rPr>
              <w:t>paid-in capital</w:t>
            </w: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earnings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income</w:t>
            </w: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Shares</w:t>
            </w: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Amount</w:t>
            </w: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Interest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142"/>
        </w:trPr>
        <w:tc>
          <w:tcPr>
            <w:tcW w:w="23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December 31, 2018</w:t>
            </w:r>
          </w:p>
        </w:tc>
        <w:tc>
          <w:tcPr>
            <w:tcW w:w="6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37,450</w:t>
            </w: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$37</w:t>
            </w:r>
          </w:p>
        </w:tc>
        <w:tc>
          <w:tcPr>
            <w:tcW w:w="6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3,234</w:t>
            </w: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$ 3</w:t>
            </w:r>
          </w:p>
        </w:tc>
        <w:tc>
          <w:tcPr>
            <w:tcW w:w="9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$430,555</w:t>
            </w:r>
          </w:p>
        </w:tc>
        <w:tc>
          <w:tcPr>
            <w:tcW w:w="8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$589,645</w:t>
            </w:r>
          </w:p>
        </w:tc>
        <w:tc>
          <w:tcPr>
            <w:tcW w:w="1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$(158,388)</w:t>
            </w:r>
          </w:p>
        </w:tc>
        <w:tc>
          <w:tcPr>
            <w:tcW w:w="6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8,419</w:t>
            </w:r>
          </w:p>
        </w:tc>
        <w:tc>
          <w:tcPr>
            <w:tcW w:w="9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$(256,603)</w:t>
            </w:r>
          </w:p>
        </w:tc>
        <w:tc>
          <w:tcPr>
            <w:tcW w:w="10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$3,031</w:t>
            </w:r>
          </w:p>
        </w:tc>
        <w:tc>
          <w:tcPr>
            <w:tcW w:w="9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$608,280</w:t>
            </w:r>
          </w:p>
        </w:tc>
        <w:tc>
          <w:tcPr>
            <w:tcW w:w="0" w:type="dxa"/>
            <w:vAlign w:val="bottom"/>
          </w:tcPr>
          <w:p>
            <w:pPr>
              <w:spacing w:after="0"/>
              <w:rPr>
                <w:sz w:val="1"/>
                <w:szCs w:val="1"/>
                <w:color w:val="auto"/>
              </w:rPr>
            </w:pPr>
          </w:p>
        </w:tc>
      </w:tr>
      <w:tr>
        <w:trPr>
          <w:trHeight w:val="141"/>
        </w:trPr>
        <w:tc>
          <w:tcPr>
            <w:tcW w:w="2320" w:type="dxa"/>
            <w:vAlign w:val="bottom"/>
          </w:tcPr>
          <w:p>
            <w:pPr>
              <w:spacing w:after="0" w:line="141" w:lineRule="exact"/>
              <w:rPr>
                <w:sz w:val="20"/>
                <w:szCs w:val="20"/>
                <w:color w:val="auto"/>
              </w:rPr>
            </w:pPr>
            <w:r>
              <w:rPr>
                <w:rFonts w:ascii="Arial" w:cs="Arial" w:eastAsia="Arial" w:hAnsi="Arial"/>
                <w:sz w:val="14"/>
                <w:szCs w:val="14"/>
                <w:color w:val="auto"/>
              </w:rPr>
              <w:t>Adoption of accounting standards(a)</w:t>
            </w:r>
          </w:p>
        </w:tc>
        <w:tc>
          <w:tcPr>
            <w:tcW w:w="620" w:type="dxa"/>
            <w:vAlign w:val="bottom"/>
          </w:tcPr>
          <w:p>
            <w:pPr>
              <w:jc w:val="right"/>
              <w:ind w:right="33"/>
              <w:spacing w:after="0" w:line="141"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1"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3"/>
              <w:spacing w:after="0" w:line="141"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3"/>
              <w:spacing w:after="0" w:line="141"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1"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1" w:lineRule="exact"/>
              <w:rPr>
                <w:sz w:val="20"/>
                <w:szCs w:val="20"/>
                <w:color w:val="auto"/>
              </w:rPr>
            </w:pPr>
            <w:r>
              <w:rPr>
                <w:rFonts w:ascii="Arial" w:cs="Arial" w:eastAsia="Arial" w:hAnsi="Arial"/>
                <w:sz w:val="14"/>
                <w:szCs w:val="14"/>
                <w:color w:val="auto"/>
              </w:rPr>
              <w:t>35</w:t>
            </w:r>
          </w:p>
        </w:tc>
        <w:tc>
          <w:tcPr>
            <w:tcW w:w="1320" w:type="dxa"/>
            <w:vAlign w:val="bottom"/>
          </w:tcPr>
          <w:p>
            <w:pPr>
              <w:jc w:val="right"/>
              <w:ind w:right="273"/>
              <w:spacing w:after="0" w:line="141"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1"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1"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1"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3"/>
              <w:spacing w:after="0" w:line="141"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29,190</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218</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29,408</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Compensation and benefits paid or</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payable in shares</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25</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(547)</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Options exercised</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3</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44</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Shares issued to Directors</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Dividends declared</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Class A Common Stock, $0.18 per</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share</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(5,231)</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(5,231)</w:t>
            </w: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Class B Common Stock, $0.18 per</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share</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(582)</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Cumulative translation adjustments</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(654)</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(8)</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Pension and postretirement liability</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adjustments</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(1,487)</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(1,487)</w:t>
            </w:r>
          </w:p>
        </w:tc>
        <w:tc>
          <w:tcPr>
            <w:tcW w:w="0" w:type="dxa"/>
            <w:vAlign w:val="bottom"/>
          </w:tcPr>
          <w:p>
            <w:pPr>
              <w:spacing w:after="0"/>
              <w:rPr>
                <w:sz w:val="1"/>
                <w:szCs w:val="1"/>
                <w:color w:val="auto"/>
              </w:rPr>
            </w:pPr>
          </w:p>
        </w:tc>
      </w:tr>
      <w:tr>
        <w:trPr>
          <w:trHeight w:val="149"/>
        </w:trPr>
        <w:tc>
          <w:tcPr>
            <w:tcW w:w="23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Derivative valuation adjustment</w:t>
            </w:r>
          </w:p>
        </w:tc>
        <w:tc>
          <w:tcPr>
            <w:tcW w:w="620" w:type="dxa"/>
            <w:vAlign w:val="bottom"/>
            <w:tcBorders>
              <w:bottom w:val="single" w:sz="8" w:color="auto"/>
            </w:tcBorders>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33"/>
              <w:spacing w:after="0" w:line="149" w:lineRule="exact"/>
              <w:rPr>
                <w:sz w:val="20"/>
                <w:szCs w:val="20"/>
                <w:color w:val="auto"/>
              </w:rPr>
            </w:pPr>
            <w:r>
              <w:rPr>
                <w:rFonts w:ascii="Arial" w:cs="Arial" w:eastAsia="Arial" w:hAnsi="Arial"/>
                <w:sz w:val="14"/>
                <w:szCs w:val="14"/>
                <w:color w:val="auto"/>
              </w:rPr>
              <w:t>(2,851)</w:t>
            </w:r>
          </w:p>
        </w:tc>
        <w:tc>
          <w:tcPr>
            <w:tcW w:w="640" w:type="dxa"/>
            <w:vAlign w:val="bottom"/>
            <w:tcBorders>
              <w:bottom w:val="single" w:sz="8" w:color="auto"/>
            </w:tcBorders>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73"/>
              <w:spacing w:after="0" w:line="149" w:lineRule="exact"/>
              <w:rPr>
                <w:sz w:val="20"/>
                <w:szCs w:val="20"/>
                <w:color w:val="auto"/>
              </w:rPr>
            </w:pPr>
            <w:r>
              <w:rPr>
                <w:rFonts w:ascii="Arial" w:cs="Arial" w:eastAsia="Arial" w:hAnsi="Arial"/>
                <w:sz w:val="14"/>
                <w:szCs w:val="14"/>
                <w:color w:val="auto"/>
              </w:rPr>
              <w:t>(2,851)</w:t>
            </w:r>
          </w:p>
        </w:tc>
        <w:tc>
          <w:tcPr>
            <w:tcW w:w="0" w:type="dxa"/>
            <w:vAlign w:val="bottom"/>
          </w:tcPr>
          <w:p>
            <w:pPr>
              <w:spacing w:after="0"/>
              <w:rPr>
                <w:sz w:val="1"/>
                <w:szCs w:val="1"/>
                <w:color w:val="auto"/>
              </w:rPr>
            </w:pPr>
          </w:p>
        </w:tc>
      </w:tr>
      <w:tr>
        <w:trPr>
          <w:trHeight w:val="142"/>
        </w:trPr>
        <w:tc>
          <w:tcPr>
            <w:tcW w:w="23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March 31, 2019</w:t>
            </w:r>
          </w:p>
        </w:tc>
        <w:tc>
          <w:tcPr>
            <w:tcW w:w="6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37,478</w:t>
            </w: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$37</w:t>
            </w:r>
          </w:p>
        </w:tc>
        <w:tc>
          <w:tcPr>
            <w:tcW w:w="6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3,234</w:t>
            </w: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$ 3</w:t>
            </w:r>
          </w:p>
        </w:tc>
        <w:tc>
          <w:tcPr>
            <w:tcW w:w="9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$430,052</w:t>
            </w:r>
          </w:p>
        </w:tc>
        <w:tc>
          <w:tcPr>
            <w:tcW w:w="8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$613,057</w:t>
            </w:r>
          </w:p>
        </w:tc>
        <w:tc>
          <w:tcPr>
            <w:tcW w:w="1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$(163,380)</w:t>
            </w:r>
          </w:p>
        </w:tc>
        <w:tc>
          <w:tcPr>
            <w:tcW w:w="6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8,419</w:t>
            </w:r>
          </w:p>
        </w:tc>
        <w:tc>
          <w:tcPr>
            <w:tcW w:w="9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$(256,603)</w:t>
            </w:r>
          </w:p>
        </w:tc>
        <w:tc>
          <w:tcPr>
            <w:tcW w:w="10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$3,241</w:t>
            </w:r>
          </w:p>
        </w:tc>
        <w:tc>
          <w:tcPr>
            <w:tcW w:w="9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$626,407</w:t>
            </w:r>
          </w:p>
        </w:tc>
        <w:tc>
          <w:tcPr>
            <w:tcW w:w="0" w:type="dxa"/>
            <w:vAlign w:val="bottom"/>
          </w:tcPr>
          <w:p>
            <w:pPr>
              <w:spacing w:after="0"/>
              <w:rPr>
                <w:sz w:val="1"/>
                <w:szCs w:val="1"/>
                <w:color w:val="auto"/>
              </w:rPr>
            </w:pPr>
          </w:p>
        </w:tc>
      </w:tr>
      <w:tr>
        <w:trPr>
          <w:trHeight w:val="141"/>
        </w:trPr>
        <w:tc>
          <w:tcPr>
            <w:tcW w:w="2320" w:type="dxa"/>
            <w:vAlign w:val="bottom"/>
          </w:tcPr>
          <w:p>
            <w:pPr>
              <w:spacing w:after="0" w:line="141" w:lineRule="exact"/>
              <w:rPr>
                <w:sz w:val="20"/>
                <w:szCs w:val="20"/>
                <w:color w:val="auto"/>
              </w:rPr>
            </w:pPr>
            <w:r>
              <w:rPr>
                <w:rFonts w:ascii="Arial" w:cs="Arial" w:eastAsia="Arial" w:hAnsi="Arial"/>
                <w:sz w:val="14"/>
                <w:szCs w:val="14"/>
                <w:color w:val="auto"/>
              </w:rPr>
              <w:t>Net income</w:t>
            </w:r>
          </w:p>
        </w:tc>
        <w:tc>
          <w:tcPr>
            <w:tcW w:w="620" w:type="dxa"/>
            <w:vAlign w:val="bottom"/>
          </w:tcPr>
          <w:p>
            <w:pPr>
              <w:jc w:val="right"/>
              <w:ind w:right="33"/>
              <w:spacing w:after="0" w:line="141"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1"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3"/>
              <w:spacing w:after="0" w:line="141"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3"/>
              <w:spacing w:after="0" w:line="141"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1"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1" w:lineRule="exact"/>
              <w:rPr>
                <w:sz w:val="20"/>
                <w:szCs w:val="20"/>
                <w:color w:val="auto"/>
              </w:rPr>
            </w:pPr>
            <w:r>
              <w:rPr>
                <w:rFonts w:ascii="Arial" w:cs="Arial" w:eastAsia="Arial" w:hAnsi="Arial"/>
                <w:sz w:val="14"/>
                <w:szCs w:val="14"/>
                <w:color w:val="auto"/>
              </w:rPr>
              <w:t>34,054</w:t>
            </w:r>
          </w:p>
        </w:tc>
        <w:tc>
          <w:tcPr>
            <w:tcW w:w="1320" w:type="dxa"/>
            <w:vAlign w:val="bottom"/>
          </w:tcPr>
          <w:p>
            <w:pPr>
              <w:jc w:val="right"/>
              <w:ind w:right="273"/>
              <w:spacing w:after="0" w:line="141"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1"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1"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73"/>
              <w:spacing w:after="0" w:line="141" w:lineRule="exact"/>
              <w:rPr>
                <w:sz w:val="20"/>
                <w:szCs w:val="20"/>
                <w:color w:val="auto"/>
              </w:rPr>
            </w:pPr>
            <w:r>
              <w:rPr>
                <w:rFonts w:ascii="Arial" w:cs="Arial" w:eastAsia="Arial" w:hAnsi="Arial"/>
                <w:sz w:val="14"/>
                <w:szCs w:val="14"/>
                <w:color w:val="auto"/>
              </w:rPr>
              <w:t>205</w:t>
            </w:r>
          </w:p>
        </w:tc>
        <w:tc>
          <w:tcPr>
            <w:tcW w:w="900" w:type="dxa"/>
            <w:vAlign w:val="bottom"/>
          </w:tcPr>
          <w:p>
            <w:pPr>
              <w:jc w:val="right"/>
              <w:ind w:right="113"/>
              <w:spacing w:after="0" w:line="141" w:lineRule="exact"/>
              <w:rPr>
                <w:sz w:val="20"/>
                <w:szCs w:val="20"/>
                <w:color w:val="auto"/>
              </w:rPr>
            </w:pPr>
            <w:r>
              <w:rPr>
                <w:rFonts w:ascii="Arial" w:cs="Arial" w:eastAsia="Arial" w:hAnsi="Arial"/>
                <w:sz w:val="14"/>
                <w:szCs w:val="14"/>
                <w:color w:val="auto"/>
              </w:rPr>
              <w:t>34,259</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Compensation and benefits paid or</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payable in shares</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958</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(10)</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212</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1,170</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Options exercised</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2</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28</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Shares issued to Directors</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Dividends declared</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Class A Common Stock, $0.18 per</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share</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(5,523)</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(5,523)</w:t>
            </w: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Class B Common Stock, $0.18 per</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share</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(291)</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w w:val="96"/>
              </w:rPr>
              <w:t>Conversion of Class B shares to Class</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A shares, rounding(b)</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1,616</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2</w:t>
            </w:r>
          </w:p>
        </w:tc>
        <w:tc>
          <w:tcPr>
            <w:tcW w:w="6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(1,616)</w:t>
            </w:r>
          </w:p>
        </w:tc>
        <w:tc>
          <w:tcPr>
            <w:tcW w:w="64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(1)</w:t>
            </w:r>
          </w:p>
        </w:tc>
        <w:tc>
          <w:tcPr>
            <w:tcW w:w="96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(1)</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Cumulative translation adjustments</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2</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Pension and postretirement liability</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adjustments</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(40)</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3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Derivative valuation adjustment</w:t>
            </w:r>
          </w:p>
        </w:tc>
        <w:tc>
          <w:tcPr>
            <w:tcW w:w="620" w:type="dxa"/>
            <w:vAlign w:val="bottom"/>
            <w:tcBorders>
              <w:bottom w:val="single" w:sz="8" w:color="auto"/>
            </w:tcBorders>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33"/>
              <w:spacing w:after="0" w:line="149" w:lineRule="exact"/>
              <w:rPr>
                <w:sz w:val="20"/>
                <w:szCs w:val="20"/>
                <w:color w:val="auto"/>
              </w:rPr>
            </w:pPr>
            <w:r>
              <w:rPr>
                <w:rFonts w:ascii="Arial" w:cs="Arial" w:eastAsia="Arial" w:hAnsi="Arial"/>
                <w:sz w:val="14"/>
                <w:szCs w:val="14"/>
                <w:color w:val="auto"/>
              </w:rPr>
              <w:t>(4,695)</w:t>
            </w:r>
          </w:p>
        </w:tc>
        <w:tc>
          <w:tcPr>
            <w:tcW w:w="640" w:type="dxa"/>
            <w:vAlign w:val="bottom"/>
            <w:tcBorders>
              <w:bottom w:val="single" w:sz="8" w:color="auto"/>
            </w:tcBorders>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73"/>
              <w:spacing w:after="0" w:line="149" w:lineRule="exact"/>
              <w:rPr>
                <w:sz w:val="20"/>
                <w:szCs w:val="20"/>
                <w:color w:val="auto"/>
              </w:rPr>
            </w:pPr>
            <w:r>
              <w:rPr>
                <w:rFonts w:ascii="Arial" w:cs="Arial" w:eastAsia="Arial" w:hAnsi="Arial"/>
                <w:sz w:val="14"/>
                <w:szCs w:val="14"/>
                <w:color w:val="auto"/>
              </w:rPr>
              <w:t>(4,695)</w:t>
            </w:r>
          </w:p>
        </w:tc>
        <w:tc>
          <w:tcPr>
            <w:tcW w:w="0" w:type="dxa"/>
            <w:vAlign w:val="bottom"/>
          </w:tcPr>
          <w:p>
            <w:pPr>
              <w:spacing w:after="0"/>
              <w:rPr>
                <w:sz w:val="1"/>
                <w:szCs w:val="1"/>
                <w:color w:val="auto"/>
              </w:rPr>
            </w:pPr>
          </w:p>
        </w:tc>
      </w:tr>
      <w:tr>
        <w:trPr>
          <w:trHeight w:val="142"/>
        </w:trPr>
        <w:tc>
          <w:tcPr>
            <w:tcW w:w="23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June 30, 2019</w:t>
            </w:r>
          </w:p>
        </w:tc>
        <w:tc>
          <w:tcPr>
            <w:tcW w:w="6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39,096</w:t>
            </w: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$39</w:t>
            </w:r>
          </w:p>
        </w:tc>
        <w:tc>
          <w:tcPr>
            <w:tcW w:w="6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1,618</w:t>
            </w: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$ 2</w:t>
            </w:r>
          </w:p>
        </w:tc>
        <w:tc>
          <w:tcPr>
            <w:tcW w:w="9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$431,037</w:t>
            </w:r>
          </w:p>
        </w:tc>
        <w:tc>
          <w:tcPr>
            <w:tcW w:w="8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$641,297</w:t>
            </w:r>
          </w:p>
        </w:tc>
        <w:tc>
          <w:tcPr>
            <w:tcW w:w="13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 (168,116)</w:t>
            </w:r>
          </w:p>
        </w:tc>
        <w:tc>
          <w:tcPr>
            <w:tcW w:w="6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8,409</w:t>
            </w:r>
          </w:p>
        </w:tc>
        <w:tc>
          <w:tcPr>
            <w:tcW w:w="9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$(256,391)</w:t>
            </w:r>
          </w:p>
        </w:tc>
        <w:tc>
          <w:tcPr>
            <w:tcW w:w="10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$3,448</w:t>
            </w:r>
          </w:p>
        </w:tc>
        <w:tc>
          <w:tcPr>
            <w:tcW w:w="9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$651,316</w:t>
            </w:r>
          </w:p>
        </w:tc>
        <w:tc>
          <w:tcPr>
            <w:tcW w:w="0" w:type="dxa"/>
            <w:vAlign w:val="bottom"/>
          </w:tcPr>
          <w:p>
            <w:pPr>
              <w:spacing w:after="0"/>
              <w:rPr>
                <w:sz w:val="1"/>
                <w:szCs w:val="1"/>
                <w:color w:val="auto"/>
              </w:rPr>
            </w:pPr>
          </w:p>
        </w:tc>
      </w:tr>
      <w:tr>
        <w:trPr>
          <w:trHeight w:val="141"/>
        </w:trPr>
        <w:tc>
          <w:tcPr>
            <w:tcW w:w="2320" w:type="dxa"/>
            <w:vAlign w:val="bottom"/>
          </w:tcPr>
          <w:p>
            <w:pPr>
              <w:spacing w:after="0" w:line="141" w:lineRule="exact"/>
              <w:rPr>
                <w:sz w:val="20"/>
                <w:szCs w:val="20"/>
                <w:color w:val="auto"/>
              </w:rPr>
            </w:pPr>
            <w:r>
              <w:rPr>
                <w:rFonts w:ascii="Arial" w:cs="Arial" w:eastAsia="Arial" w:hAnsi="Arial"/>
                <w:sz w:val="14"/>
                <w:szCs w:val="14"/>
                <w:color w:val="auto"/>
              </w:rPr>
              <w:t>Net income</w:t>
            </w:r>
          </w:p>
        </w:tc>
        <w:tc>
          <w:tcPr>
            <w:tcW w:w="620" w:type="dxa"/>
            <w:vAlign w:val="bottom"/>
          </w:tcPr>
          <w:p>
            <w:pPr>
              <w:jc w:val="right"/>
              <w:ind w:right="33"/>
              <w:spacing w:after="0" w:line="141"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1"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3"/>
              <w:spacing w:after="0" w:line="141"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3"/>
              <w:spacing w:after="0" w:line="141"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1"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1" w:lineRule="exact"/>
              <w:rPr>
                <w:sz w:val="20"/>
                <w:szCs w:val="20"/>
                <w:color w:val="auto"/>
              </w:rPr>
            </w:pPr>
            <w:r>
              <w:rPr>
                <w:rFonts w:ascii="Arial" w:cs="Arial" w:eastAsia="Arial" w:hAnsi="Arial"/>
                <w:sz w:val="14"/>
                <w:szCs w:val="14"/>
                <w:color w:val="auto"/>
              </w:rPr>
              <w:t>40,009</w:t>
            </w:r>
          </w:p>
        </w:tc>
        <w:tc>
          <w:tcPr>
            <w:tcW w:w="1320" w:type="dxa"/>
            <w:vAlign w:val="bottom"/>
          </w:tcPr>
          <w:p>
            <w:pPr>
              <w:jc w:val="right"/>
              <w:ind w:right="273"/>
              <w:spacing w:after="0" w:line="141"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1"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1"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1" w:lineRule="exact"/>
              <w:rPr>
                <w:sz w:val="20"/>
                <w:szCs w:val="20"/>
                <w:color w:val="auto"/>
              </w:rPr>
            </w:pPr>
            <w:r>
              <w:rPr>
                <w:rFonts w:ascii="Arial" w:cs="Arial" w:eastAsia="Arial" w:hAnsi="Arial"/>
                <w:sz w:val="14"/>
                <w:szCs w:val="14"/>
                <w:color w:val="auto"/>
              </w:rPr>
              <w:t>116</w:t>
            </w:r>
          </w:p>
        </w:tc>
        <w:tc>
          <w:tcPr>
            <w:tcW w:w="900" w:type="dxa"/>
            <w:vAlign w:val="bottom"/>
          </w:tcPr>
          <w:p>
            <w:pPr>
              <w:jc w:val="right"/>
              <w:ind w:right="113"/>
              <w:spacing w:after="0" w:line="141" w:lineRule="exact"/>
              <w:rPr>
                <w:sz w:val="20"/>
                <w:szCs w:val="20"/>
                <w:color w:val="auto"/>
              </w:rPr>
            </w:pPr>
            <w:r>
              <w:rPr>
                <w:rFonts w:ascii="Arial" w:cs="Arial" w:eastAsia="Arial" w:hAnsi="Arial"/>
                <w:sz w:val="14"/>
                <w:szCs w:val="14"/>
                <w:color w:val="auto"/>
              </w:rPr>
              <w:t>40,125</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Compensation and benefits paid or</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payable in shares</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790</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Options exercised</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2</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33</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Shares issued to Directors</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Dividends declared</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Class A Common Stock, $0.18 per</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share</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(5,524)</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(5,524)</w:t>
            </w: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Class B Common Stock, $0.18 per</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share</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(291)</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Cumulative translation adjustments</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(22,522)</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(13)</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(22,535)</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Pension and postretirement liability</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adjustments</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(490)</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49"/>
        </w:trPr>
        <w:tc>
          <w:tcPr>
            <w:tcW w:w="23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Derivative valuation adjustment</w:t>
            </w:r>
          </w:p>
        </w:tc>
        <w:tc>
          <w:tcPr>
            <w:tcW w:w="620" w:type="dxa"/>
            <w:vAlign w:val="bottom"/>
            <w:tcBorders>
              <w:bottom w:val="single" w:sz="8" w:color="auto"/>
            </w:tcBorders>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33"/>
              <w:spacing w:after="0" w:line="149" w:lineRule="exact"/>
              <w:rPr>
                <w:sz w:val="20"/>
                <w:szCs w:val="20"/>
                <w:color w:val="auto"/>
              </w:rPr>
            </w:pPr>
            <w:r>
              <w:rPr>
                <w:rFonts w:ascii="Arial" w:cs="Arial" w:eastAsia="Arial" w:hAnsi="Arial"/>
                <w:sz w:val="14"/>
                <w:szCs w:val="14"/>
                <w:color w:val="auto"/>
              </w:rPr>
              <w:t>(1,323)</w:t>
            </w:r>
          </w:p>
        </w:tc>
        <w:tc>
          <w:tcPr>
            <w:tcW w:w="640" w:type="dxa"/>
            <w:vAlign w:val="bottom"/>
            <w:tcBorders>
              <w:bottom w:val="single" w:sz="8" w:color="auto"/>
            </w:tcBorders>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73"/>
              <w:spacing w:after="0" w:line="149" w:lineRule="exact"/>
              <w:rPr>
                <w:sz w:val="20"/>
                <w:szCs w:val="20"/>
                <w:color w:val="auto"/>
              </w:rPr>
            </w:pPr>
            <w:r>
              <w:rPr>
                <w:rFonts w:ascii="Arial" w:cs="Arial" w:eastAsia="Arial" w:hAnsi="Arial"/>
                <w:sz w:val="14"/>
                <w:szCs w:val="14"/>
                <w:color w:val="auto"/>
              </w:rPr>
              <w:t>(1,323)</w:t>
            </w:r>
          </w:p>
        </w:tc>
        <w:tc>
          <w:tcPr>
            <w:tcW w:w="0" w:type="dxa"/>
            <w:vAlign w:val="bottom"/>
          </w:tcPr>
          <w:p>
            <w:pPr>
              <w:spacing w:after="0"/>
              <w:rPr>
                <w:sz w:val="1"/>
                <w:szCs w:val="1"/>
                <w:color w:val="auto"/>
              </w:rPr>
            </w:pPr>
          </w:p>
        </w:tc>
      </w:tr>
      <w:tr>
        <w:trPr>
          <w:trHeight w:val="142"/>
        </w:trPr>
        <w:tc>
          <w:tcPr>
            <w:tcW w:w="23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September 30, 2019</w:t>
            </w:r>
          </w:p>
        </w:tc>
        <w:tc>
          <w:tcPr>
            <w:tcW w:w="6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39,098</w:t>
            </w: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$39</w:t>
            </w:r>
          </w:p>
        </w:tc>
        <w:tc>
          <w:tcPr>
            <w:tcW w:w="6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1,618</w:t>
            </w: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$ 2</w:t>
            </w:r>
          </w:p>
        </w:tc>
        <w:tc>
          <w:tcPr>
            <w:tcW w:w="9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$431,860</w:t>
            </w:r>
          </w:p>
        </w:tc>
        <w:tc>
          <w:tcPr>
            <w:tcW w:w="8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$675,491</w:t>
            </w:r>
          </w:p>
        </w:tc>
        <w:tc>
          <w:tcPr>
            <w:tcW w:w="1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$(191,471)</w:t>
            </w:r>
          </w:p>
        </w:tc>
        <w:tc>
          <w:tcPr>
            <w:tcW w:w="6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8,409</w:t>
            </w:r>
          </w:p>
        </w:tc>
        <w:tc>
          <w:tcPr>
            <w:tcW w:w="9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$(256,391)</w:t>
            </w:r>
          </w:p>
        </w:tc>
        <w:tc>
          <w:tcPr>
            <w:tcW w:w="10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$3,551</w:t>
            </w:r>
          </w:p>
        </w:tc>
        <w:tc>
          <w:tcPr>
            <w:tcW w:w="9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$663,081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changes in Shareholders’ Equity for the period December 31, 2017 to September 30,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3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3"/>
                <w:szCs w:val="13"/>
                <w:b w:val="1"/>
                <w:bCs w:val="1"/>
                <w:color w:val="auto"/>
              </w:rPr>
              <w:t>Class A Common</w:t>
            </w:r>
          </w:p>
        </w:tc>
        <w:tc>
          <w:tcPr>
            <w:tcW w:w="126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3"/>
                <w:szCs w:val="13"/>
                <w:b w:val="1"/>
                <w:bCs w:val="1"/>
                <w:color w:val="auto"/>
              </w:rPr>
              <w:t>Class B Common</w:t>
            </w:r>
          </w:p>
        </w:tc>
        <w:tc>
          <w:tcPr>
            <w:tcW w:w="9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3"/>
                <w:szCs w:val="13"/>
                <w:b w:val="1"/>
                <w:bCs w:val="1"/>
                <w:color w:val="auto"/>
                <w:w w:val="97"/>
              </w:rPr>
              <w:t>Accumulated items</w:t>
            </w:r>
          </w:p>
        </w:tc>
        <w:tc>
          <w:tcPr>
            <w:tcW w:w="6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3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4"/>
              </w:rPr>
              <w:t>of other</w:t>
            </w: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320" w:type="dxa"/>
            <w:vAlign w:val="bottom"/>
          </w:tcPr>
          <w:p>
            <w:pPr>
              <w:spacing w:after="0"/>
              <w:rPr>
                <w:sz w:val="5"/>
                <w:szCs w:val="5"/>
                <w:color w:val="auto"/>
              </w:rPr>
            </w:pPr>
          </w:p>
        </w:tc>
        <w:tc>
          <w:tcPr>
            <w:tcW w:w="1280" w:type="dxa"/>
            <w:vAlign w:val="bottom"/>
            <w:gridSpan w:val="2"/>
            <w:vMerge w:val="restart"/>
          </w:tcPr>
          <w:p>
            <w:pPr>
              <w:jc w:val="right"/>
              <w:ind w:right="413"/>
              <w:spacing w:after="0" w:line="138" w:lineRule="exact"/>
              <w:rPr>
                <w:sz w:val="20"/>
                <w:szCs w:val="20"/>
                <w:color w:val="auto"/>
              </w:rPr>
            </w:pPr>
            <w:r>
              <w:rPr>
                <w:rFonts w:ascii="Arial" w:cs="Arial" w:eastAsia="Arial" w:hAnsi="Arial"/>
                <w:sz w:val="13"/>
                <w:szCs w:val="13"/>
                <w:b w:val="1"/>
                <w:bCs w:val="1"/>
                <w:color w:val="auto"/>
              </w:rPr>
              <w:t>Stock</w:t>
            </w:r>
          </w:p>
        </w:tc>
        <w:tc>
          <w:tcPr>
            <w:tcW w:w="1260" w:type="dxa"/>
            <w:vAlign w:val="bottom"/>
            <w:gridSpan w:val="2"/>
            <w:vMerge w:val="restart"/>
          </w:tcPr>
          <w:p>
            <w:pPr>
              <w:jc w:val="right"/>
              <w:ind w:right="393"/>
              <w:spacing w:after="0" w:line="138" w:lineRule="exact"/>
              <w:rPr>
                <w:sz w:val="20"/>
                <w:szCs w:val="20"/>
                <w:color w:val="auto"/>
              </w:rPr>
            </w:pPr>
            <w:r>
              <w:rPr>
                <w:rFonts w:ascii="Arial" w:cs="Arial" w:eastAsia="Arial" w:hAnsi="Arial"/>
                <w:sz w:val="13"/>
                <w:szCs w:val="13"/>
                <w:b w:val="1"/>
                <w:bCs w:val="1"/>
                <w:color w:val="auto"/>
              </w:rPr>
              <w:t>Stock</w:t>
            </w: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540" w:type="dxa"/>
            <w:vAlign w:val="bottom"/>
            <w:gridSpan w:val="2"/>
            <w:vMerge w:val="restart"/>
          </w:tcPr>
          <w:p>
            <w:pPr>
              <w:jc w:val="right"/>
              <w:ind w:right="13"/>
              <w:spacing w:after="0" w:line="138" w:lineRule="exact"/>
              <w:rPr>
                <w:sz w:val="20"/>
                <w:szCs w:val="20"/>
                <w:color w:val="auto"/>
              </w:rPr>
            </w:pPr>
            <w:r>
              <w:rPr>
                <w:rFonts w:ascii="Arial" w:cs="Arial" w:eastAsia="Arial" w:hAnsi="Arial"/>
                <w:sz w:val="13"/>
                <w:szCs w:val="13"/>
                <w:b w:val="1"/>
                <w:bCs w:val="1"/>
                <w:color w:val="auto"/>
                <w:w w:val="99"/>
              </w:rPr>
              <w:t>Class A Treasury Stock</w:t>
            </w:r>
          </w:p>
        </w:tc>
        <w:tc>
          <w:tcPr>
            <w:tcW w:w="10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320" w:type="dxa"/>
            <w:vAlign w:val="bottom"/>
          </w:tcPr>
          <w:p>
            <w:pPr>
              <w:spacing w:after="0"/>
              <w:rPr>
                <w:sz w:val="7"/>
                <w:szCs w:val="7"/>
                <w:color w:val="auto"/>
              </w:rPr>
            </w:pPr>
          </w:p>
        </w:tc>
        <w:tc>
          <w:tcPr>
            <w:tcW w:w="1280" w:type="dxa"/>
            <w:vAlign w:val="bottom"/>
            <w:tcBorders>
              <w:bottom w:val="single" w:sz="8" w:color="auto"/>
            </w:tcBorders>
            <w:gridSpan w:val="2"/>
            <w:vMerge w:val="continue"/>
          </w:tcPr>
          <w:p>
            <w:pPr>
              <w:spacing w:after="0"/>
              <w:rPr>
                <w:sz w:val="7"/>
                <w:szCs w:val="7"/>
                <w:color w:val="auto"/>
              </w:rPr>
            </w:pPr>
          </w:p>
        </w:tc>
        <w:tc>
          <w:tcPr>
            <w:tcW w:w="1260" w:type="dxa"/>
            <w:vAlign w:val="bottom"/>
            <w:tcBorders>
              <w:bottom w:val="single" w:sz="8" w:color="auto"/>
            </w:tcBorders>
            <w:gridSpan w:val="2"/>
            <w:vMerge w:val="continue"/>
          </w:tcPr>
          <w:p>
            <w:pPr>
              <w:spacing w:after="0"/>
              <w:rPr>
                <w:sz w:val="7"/>
                <w:szCs w:val="7"/>
                <w:color w:val="auto"/>
              </w:rPr>
            </w:pPr>
          </w:p>
        </w:tc>
        <w:tc>
          <w:tcPr>
            <w:tcW w:w="960" w:type="dxa"/>
            <w:vAlign w:val="bottom"/>
            <w:vMerge w:val="restart"/>
          </w:tcPr>
          <w:p>
            <w:pPr>
              <w:jc w:val="right"/>
              <w:ind w:right="133"/>
              <w:spacing w:after="0" w:line="135" w:lineRule="exact"/>
              <w:rPr>
                <w:sz w:val="20"/>
                <w:szCs w:val="20"/>
                <w:color w:val="auto"/>
              </w:rPr>
            </w:pPr>
            <w:r>
              <w:rPr>
                <w:rFonts w:ascii="Arial" w:cs="Arial" w:eastAsia="Arial" w:hAnsi="Arial"/>
                <w:sz w:val="13"/>
                <w:szCs w:val="13"/>
                <w:b w:val="1"/>
                <w:bCs w:val="1"/>
                <w:color w:val="auto"/>
              </w:rPr>
              <w:t>Additional</w:t>
            </w:r>
          </w:p>
        </w:tc>
        <w:tc>
          <w:tcPr>
            <w:tcW w:w="800" w:type="dxa"/>
            <w:vAlign w:val="bottom"/>
            <w:vMerge w:val="restart"/>
          </w:tcPr>
          <w:p>
            <w:pPr>
              <w:jc w:val="right"/>
              <w:ind w:right="93"/>
              <w:spacing w:after="0" w:line="135" w:lineRule="exact"/>
              <w:rPr>
                <w:sz w:val="20"/>
                <w:szCs w:val="20"/>
                <w:color w:val="auto"/>
              </w:rPr>
            </w:pPr>
            <w:r>
              <w:rPr>
                <w:rFonts w:ascii="Arial" w:cs="Arial" w:eastAsia="Arial" w:hAnsi="Arial"/>
                <w:sz w:val="13"/>
                <w:szCs w:val="13"/>
                <w:b w:val="1"/>
                <w:bCs w:val="1"/>
                <w:color w:val="auto"/>
              </w:rPr>
              <w:t>Retained</w:t>
            </w:r>
          </w:p>
        </w:tc>
        <w:tc>
          <w:tcPr>
            <w:tcW w:w="13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540" w:type="dxa"/>
            <w:vAlign w:val="bottom"/>
            <w:tcBorders>
              <w:bottom w:val="single" w:sz="8" w:color="auto"/>
            </w:tcBorders>
            <w:gridSpan w:val="2"/>
            <w:vMerge w:val="continue"/>
          </w:tcPr>
          <w:p>
            <w:pPr>
              <w:spacing w:after="0"/>
              <w:rPr>
                <w:sz w:val="7"/>
                <w:szCs w:val="7"/>
                <w:color w:val="auto"/>
              </w:rPr>
            </w:pPr>
          </w:p>
        </w:tc>
        <w:tc>
          <w:tcPr>
            <w:tcW w:w="1040" w:type="dxa"/>
            <w:vAlign w:val="bottom"/>
            <w:vMerge w:val="restart"/>
          </w:tcPr>
          <w:p>
            <w:pPr>
              <w:jc w:val="right"/>
              <w:ind w:right="13"/>
              <w:spacing w:after="0" w:line="135" w:lineRule="exact"/>
              <w:rPr>
                <w:sz w:val="20"/>
                <w:szCs w:val="20"/>
                <w:color w:val="auto"/>
              </w:rPr>
            </w:pPr>
            <w:r>
              <w:rPr>
                <w:rFonts w:ascii="Arial" w:cs="Arial" w:eastAsia="Arial" w:hAnsi="Arial"/>
                <w:sz w:val="13"/>
                <w:szCs w:val="13"/>
                <w:b w:val="1"/>
                <w:bCs w:val="1"/>
                <w:color w:val="auto"/>
              </w:rPr>
              <w:t>Noncontrolling</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2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132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Shares</w:t>
            </w: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Amount</w:t>
            </w: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Shares</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Amount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96"/>
              </w:rPr>
              <w:t>paid-in capital</w:t>
            </w: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earnings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income</w:t>
            </w: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Shares</w:t>
            </w: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Amount</w:t>
            </w: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Interest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142"/>
        </w:trPr>
        <w:tc>
          <w:tcPr>
            <w:tcW w:w="23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December 31, 2017</w:t>
            </w:r>
          </w:p>
        </w:tc>
        <w:tc>
          <w:tcPr>
            <w:tcW w:w="6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37,396</w:t>
            </w: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$37</w:t>
            </w:r>
          </w:p>
        </w:tc>
        <w:tc>
          <w:tcPr>
            <w:tcW w:w="6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3,234</w:t>
            </w: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$ 3</w:t>
            </w:r>
          </w:p>
        </w:tc>
        <w:tc>
          <w:tcPr>
            <w:tcW w:w="9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$428,423</w:t>
            </w:r>
          </w:p>
        </w:tc>
        <w:tc>
          <w:tcPr>
            <w:tcW w:w="8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$534,082</w:t>
            </w:r>
          </w:p>
        </w:tc>
        <w:tc>
          <w:tcPr>
            <w:tcW w:w="1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$(135,901)</w:t>
            </w:r>
          </w:p>
        </w:tc>
        <w:tc>
          <w:tcPr>
            <w:tcW w:w="6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8,431</w:t>
            </w:r>
          </w:p>
        </w:tc>
        <w:tc>
          <w:tcPr>
            <w:tcW w:w="9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$(256,876)</w:t>
            </w:r>
          </w:p>
        </w:tc>
        <w:tc>
          <w:tcPr>
            <w:tcW w:w="10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$3,247</w:t>
            </w:r>
          </w:p>
        </w:tc>
        <w:tc>
          <w:tcPr>
            <w:tcW w:w="9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$573,015</w:t>
            </w:r>
          </w:p>
        </w:tc>
        <w:tc>
          <w:tcPr>
            <w:tcW w:w="0" w:type="dxa"/>
            <w:vAlign w:val="bottom"/>
          </w:tcPr>
          <w:p>
            <w:pPr>
              <w:spacing w:after="0"/>
              <w:rPr>
                <w:sz w:val="1"/>
                <w:szCs w:val="1"/>
                <w:color w:val="auto"/>
              </w:rPr>
            </w:pPr>
          </w:p>
        </w:tc>
      </w:tr>
      <w:tr>
        <w:trPr>
          <w:trHeight w:val="141"/>
        </w:trPr>
        <w:tc>
          <w:tcPr>
            <w:tcW w:w="2320" w:type="dxa"/>
            <w:vAlign w:val="bottom"/>
          </w:tcPr>
          <w:p>
            <w:pPr>
              <w:spacing w:after="0" w:line="141" w:lineRule="exact"/>
              <w:rPr>
                <w:sz w:val="20"/>
                <w:szCs w:val="20"/>
                <w:color w:val="auto"/>
              </w:rPr>
            </w:pPr>
            <w:r>
              <w:rPr>
                <w:rFonts w:ascii="Arial" w:cs="Arial" w:eastAsia="Arial" w:hAnsi="Arial"/>
                <w:sz w:val="14"/>
                <w:szCs w:val="14"/>
                <w:color w:val="auto"/>
              </w:rPr>
              <w:t>Adoption of accounting standards(c)</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(d)</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(5,068)</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(327)</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(5,395)</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7,662</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237</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7,899</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Compensation and benefits paid or</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payable in shares</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44</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289</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Options exercised</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8</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147</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Shares issued to Directors</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Dividends declared</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Class A Common Stock, $0.17 per</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share</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(4,933)</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(4,933)</w:t>
            </w: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Class B Common Stock, $0.17 per</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share</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(550)</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Cumulative translation adjustments</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17,646</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(7)</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17,639</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Pension and postretirement liability</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adjustments</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(13)</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3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Derivative valuation adjustment</w:t>
            </w:r>
          </w:p>
        </w:tc>
        <w:tc>
          <w:tcPr>
            <w:tcW w:w="620" w:type="dxa"/>
            <w:vAlign w:val="bottom"/>
            <w:tcBorders>
              <w:bottom w:val="single" w:sz="8" w:color="auto"/>
            </w:tcBorders>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73"/>
              <w:spacing w:after="0" w:line="149" w:lineRule="exact"/>
              <w:rPr>
                <w:sz w:val="20"/>
                <w:szCs w:val="20"/>
                <w:color w:val="auto"/>
              </w:rPr>
            </w:pPr>
            <w:r>
              <w:rPr>
                <w:rFonts w:ascii="Arial" w:cs="Arial" w:eastAsia="Arial" w:hAnsi="Arial"/>
                <w:sz w:val="14"/>
                <w:szCs w:val="14"/>
                <w:color w:val="auto"/>
              </w:rPr>
              <w:t>4,480</w:t>
            </w:r>
          </w:p>
        </w:tc>
        <w:tc>
          <w:tcPr>
            <w:tcW w:w="640" w:type="dxa"/>
            <w:vAlign w:val="bottom"/>
            <w:tcBorders>
              <w:bottom w:val="single" w:sz="8" w:color="auto"/>
            </w:tcBorders>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4,480</w:t>
            </w:r>
          </w:p>
        </w:tc>
        <w:tc>
          <w:tcPr>
            <w:tcW w:w="0" w:type="dxa"/>
            <w:vAlign w:val="bottom"/>
          </w:tcPr>
          <w:p>
            <w:pPr>
              <w:spacing w:after="0"/>
              <w:rPr>
                <w:sz w:val="1"/>
                <w:szCs w:val="1"/>
                <w:color w:val="auto"/>
              </w:rPr>
            </w:pPr>
          </w:p>
        </w:tc>
      </w:tr>
      <w:tr>
        <w:trPr>
          <w:trHeight w:val="142"/>
        </w:trPr>
        <w:tc>
          <w:tcPr>
            <w:tcW w:w="23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March 31, 2018</w:t>
            </w:r>
          </w:p>
        </w:tc>
        <w:tc>
          <w:tcPr>
            <w:tcW w:w="6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37,448</w:t>
            </w: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$37</w:t>
            </w:r>
          </w:p>
        </w:tc>
        <w:tc>
          <w:tcPr>
            <w:tcW w:w="6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3,234</w:t>
            </w: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$ 3</w:t>
            </w:r>
          </w:p>
        </w:tc>
        <w:tc>
          <w:tcPr>
            <w:tcW w:w="9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$428,859</w:t>
            </w:r>
          </w:p>
        </w:tc>
        <w:tc>
          <w:tcPr>
            <w:tcW w:w="8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$531,193</w:t>
            </w:r>
          </w:p>
        </w:tc>
        <w:tc>
          <w:tcPr>
            <w:tcW w:w="13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 (113,788)</w:t>
            </w:r>
          </w:p>
        </w:tc>
        <w:tc>
          <w:tcPr>
            <w:tcW w:w="6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8,431</w:t>
            </w:r>
          </w:p>
        </w:tc>
        <w:tc>
          <w:tcPr>
            <w:tcW w:w="9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$(256,876)</w:t>
            </w:r>
          </w:p>
        </w:tc>
        <w:tc>
          <w:tcPr>
            <w:tcW w:w="10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$3,150</w:t>
            </w:r>
          </w:p>
        </w:tc>
        <w:tc>
          <w:tcPr>
            <w:tcW w:w="9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$592,578</w:t>
            </w:r>
          </w:p>
        </w:tc>
        <w:tc>
          <w:tcPr>
            <w:tcW w:w="0" w:type="dxa"/>
            <w:vAlign w:val="bottom"/>
          </w:tcPr>
          <w:p>
            <w:pPr>
              <w:spacing w:after="0"/>
              <w:rPr>
                <w:sz w:val="1"/>
                <w:szCs w:val="1"/>
                <w:color w:val="auto"/>
              </w:rPr>
            </w:pPr>
          </w:p>
        </w:tc>
      </w:tr>
      <w:tr>
        <w:trPr>
          <w:trHeight w:val="141"/>
        </w:trPr>
        <w:tc>
          <w:tcPr>
            <w:tcW w:w="2320" w:type="dxa"/>
            <w:vAlign w:val="bottom"/>
          </w:tcPr>
          <w:p>
            <w:pPr>
              <w:spacing w:after="0" w:line="141" w:lineRule="exact"/>
              <w:rPr>
                <w:sz w:val="20"/>
                <w:szCs w:val="20"/>
                <w:color w:val="auto"/>
              </w:rPr>
            </w:pPr>
            <w:r>
              <w:rPr>
                <w:rFonts w:ascii="Arial" w:cs="Arial" w:eastAsia="Arial" w:hAnsi="Arial"/>
                <w:sz w:val="14"/>
                <w:szCs w:val="14"/>
                <w:color w:val="auto"/>
              </w:rPr>
              <w:t>Net income</w:t>
            </w:r>
          </w:p>
        </w:tc>
        <w:tc>
          <w:tcPr>
            <w:tcW w:w="620" w:type="dxa"/>
            <w:vAlign w:val="bottom"/>
          </w:tcPr>
          <w:p>
            <w:pPr>
              <w:jc w:val="right"/>
              <w:ind w:right="33"/>
              <w:spacing w:after="0" w:line="141"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1"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1"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1"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1"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1" w:lineRule="exact"/>
              <w:rPr>
                <w:sz w:val="20"/>
                <w:szCs w:val="20"/>
                <w:color w:val="auto"/>
              </w:rPr>
            </w:pPr>
            <w:r>
              <w:rPr>
                <w:rFonts w:ascii="Arial" w:cs="Arial" w:eastAsia="Arial" w:hAnsi="Arial"/>
                <w:sz w:val="14"/>
                <w:szCs w:val="14"/>
                <w:color w:val="auto"/>
              </w:rPr>
              <w:t>29,902</w:t>
            </w:r>
          </w:p>
        </w:tc>
        <w:tc>
          <w:tcPr>
            <w:tcW w:w="1320" w:type="dxa"/>
            <w:vAlign w:val="bottom"/>
          </w:tcPr>
          <w:p>
            <w:pPr>
              <w:jc w:val="right"/>
              <w:ind w:right="273"/>
              <w:spacing w:after="0" w:line="141"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1"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1"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13"/>
              <w:spacing w:after="0" w:line="141" w:lineRule="exact"/>
              <w:rPr>
                <w:sz w:val="20"/>
                <w:szCs w:val="20"/>
                <w:color w:val="auto"/>
              </w:rPr>
            </w:pPr>
            <w:r>
              <w:rPr>
                <w:rFonts w:ascii="Arial" w:cs="Arial" w:eastAsia="Arial" w:hAnsi="Arial"/>
                <w:sz w:val="14"/>
                <w:szCs w:val="14"/>
                <w:color w:val="auto"/>
              </w:rPr>
              <w:t>(59)</w:t>
            </w:r>
          </w:p>
        </w:tc>
        <w:tc>
          <w:tcPr>
            <w:tcW w:w="900" w:type="dxa"/>
            <w:vAlign w:val="bottom"/>
          </w:tcPr>
          <w:p>
            <w:pPr>
              <w:jc w:val="right"/>
              <w:ind w:right="113"/>
              <w:spacing w:after="0" w:line="141" w:lineRule="exact"/>
              <w:rPr>
                <w:sz w:val="20"/>
                <w:szCs w:val="20"/>
                <w:color w:val="auto"/>
              </w:rPr>
            </w:pPr>
            <w:r>
              <w:rPr>
                <w:rFonts w:ascii="Arial" w:cs="Arial" w:eastAsia="Arial" w:hAnsi="Arial"/>
                <w:sz w:val="14"/>
                <w:szCs w:val="14"/>
                <w:color w:val="auto"/>
              </w:rPr>
              <w:t>29,843</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Compensation and benefits paid or</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payable in shares</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773</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spacing w:after="0"/>
              <w:rPr>
                <w:sz w:val="12"/>
                <w:szCs w:val="12"/>
                <w:color w:val="auto"/>
              </w:rPr>
            </w:pP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274</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1,047</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Options exercised</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3</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Shares issued to Directors</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(12)</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Dividends declared</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Class A Common Stock, $0.17 per</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share</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(4,935)</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(4,935)</w:t>
            </w: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Class B Common Stock, $0.17 per</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share</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(550)</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Cumulative translation adjustments</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(33,216)</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11</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(33,205)</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Pension and postretirement liability</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adjustments</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2,127</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2,127</w:t>
            </w:r>
          </w:p>
        </w:tc>
        <w:tc>
          <w:tcPr>
            <w:tcW w:w="0" w:type="dxa"/>
            <w:vAlign w:val="bottom"/>
          </w:tcPr>
          <w:p>
            <w:pPr>
              <w:spacing w:after="0"/>
              <w:rPr>
                <w:sz w:val="1"/>
                <w:szCs w:val="1"/>
                <w:color w:val="auto"/>
              </w:rPr>
            </w:pPr>
          </w:p>
        </w:tc>
      </w:tr>
      <w:tr>
        <w:trPr>
          <w:trHeight w:val="149"/>
        </w:trPr>
        <w:tc>
          <w:tcPr>
            <w:tcW w:w="23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Derivative valuation adjustment</w:t>
            </w:r>
          </w:p>
        </w:tc>
        <w:tc>
          <w:tcPr>
            <w:tcW w:w="620" w:type="dxa"/>
            <w:vAlign w:val="bottom"/>
            <w:tcBorders>
              <w:bottom w:val="single" w:sz="8" w:color="auto"/>
            </w:tcBorders>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73"/>
              <w:spacing w:after="0" w:line="149" w:lineRule="exact"/>
              <w:rPr>
                <w:sz w:val="20"/>
                <w:szCs w:val="20"/>
                <w:color w:val="auto"/>
              </w:rPr>
            </w:pPr>
            <w:r>
              <w:rPr>
                <w:rFonts w:ascii="Arial" w:cs="Arial" w:eastAsia="Arial" w:hAnsi="Arial"/>
                <w:sz w:val="14"/>
                <w:szCs w:val="14"/>
                <w:color w:val="auto"/>
              </w:rPr>
              <w:t>1,722</w:t>
            </w:r>
          </w:p>
        </w:tc>
        <w:tc>
          <w:tcPr>
            <w:tcW w:w="640" w:type="dxa"/>
            <w:vAlign w:val="bottom"/>
            <w:tcBorders>
              <w:bottom w:val="single" w:sz="8" w:color="auto"/>
            </w:tcBorders>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1,722</w:t>
            </w:r>
          </w:p>
        </w:tc>
        <w:tc>
          <w:tcPr>
            <w:tcW w:w="0" w:type="dxa"/>
            <w:vAlign w:val="bottom"/>
          </w:tcPr>
          <w:p>
            <w:pPr>
              <w:spacing w:after="0"/>
              <w:rPr>
                <w:sz w:val="1"/>
                <w:szCs w:val="1"/>
                <w:color w:val="auto"/>
              </w:rPr>
            </w:pPr>
          </w:p>
        </w:tc>
      </w:tr>
      <w:tr>
        <w:trPr>
          <w:trHeight w:val="142"/>
        </w:trPr>
        <w:tc>
          <w:tcPr>
            <w:tcW w:w="23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June 30, 2018</w:t>
            </w:r>
          </w:p>
        </w:tc>
        <w:tc>
          <w:tcPr>
            <w:tcW w:w="6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37,448</w:t>
            </w: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$37</w:t>
            </w:r>
          </w:p>
        </w:tc>
        <w:tc>
          <w:tcPr>
            <w:tcW w:w="6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3,234</w:t>
            </w: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$ 3</w:t>
            </w:r>
          </w:p>
        </w:tc>
        <w:tc>
          <w:tcPr>
            <w:tcW w:w="9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$429,635</w:t>
            </w:r>
          </w:p>
        </w:tc>
        <w:tc>
          <w:tcPr>
            <w:tcW w:w="8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$555,610</w:t>
            </w:r>
          </w:p>
        </w:tc>
        <w:tc>
          <w:tcPr>
            <w:tcW w:w="1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$(143,155)</w:t>
            </w:r>
          </w:p>
        </w:tc>
        <w:tc>
          <w:tcPr>
            <w:tcW w:w="6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8,419</w:t>
            </w:r>
          </w:p>
        </w:tc>
        <w:tc>
          <w:tcPr>
            <w:tcW w:w="9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$(256,602)</w:t>
            </w:r>
          </w:p>
        </w:tc>
        <w:tc>
          <w:tcPr>
            <w:tcW w:w="10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$3,102</w:t>
            </w:r>
          </w:p>
        </w:tc>
        <w:tc>
          <w:tcPr>
            <w:tcW w:w="9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$588,630</w:t>
            </w:r>
          </w:p>
        </w:tc>
        <w:tc>
          <w:tcPr>
            <w:tcW w:w="0" w:type="dxa"/>
            <w:vAlign w:val="bottom"/>
          </w:tcPr>
          <w:p>
            <w:pPr>
              <w:spacing w:after="0"/>
              <w:rPr>
                <w:sz w:val="1"/>
                <w:szCs w:val="1"/>
                <w:color w:val="auto"/>
              </w:rPr>
            </w:pPr>
          </w:p>
        </w:tc>
      </w:tr>
      <w:tr>
        <w:trPr>
          <w:trHeight w:val="141"/>
        </w:trPr>
        <w:tc>
          <w:tcPr>
            <w:tcW w:w="2320" w:type="dxa"/>
            <w:vAlign w:val="bottom"/>
          </w:tcPr>
          <w:p>
            <w:pPr>
              <w:spacing w:after="0" w:line="141" w:lineRule="exact"/>
              <w:rPr>
                <w:sz w:val="20"/>
                <w:szCs w:val="20"/>
                <w:color w:val="auto"/>
              </w:rPr>
            </w:pPr>
            <w:r>
              <w:rPr>
                <w:rFonts w:ascii="Arial" w:cs="Arial" w:eastAsia="Arial" w:hAnsi="Arial"/>
                <w:sz w:val="14"/>
                <w:szCs w:val="14"/>
                <w:color w:val="auto"/>
              </w:rPr>
              <w:t>Net income</w:t>
            </w:r>
          </w:p>
        </w:tc>
        <w:tc>
          <w:tcPr>
            <w:tcW w:w="620" w:type="dxa"/>
            <w:vAlign w:val="bottom"/>
          </w:tcPr>
          <w:p>
            <w:pPr>
              <w:jc w:val="right"/>
              <w:ind w:right="33"/>
              <w:spacing w:after="0" w:line="141"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1"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1"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1"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1"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1" w:lineRule="exact"/>
              <w:rPr>
                <w:sz w:val="20"/>
                <w:szCs w:val="20"/>
                <w:color w:val="auto"/>
              </w:rPr>
            </w:pPr>
            <w:r>
              <w:rPr>
                <w:rFonts w:ascii="Arial" w:cs="Arial" w:eastAsia="Arial" w:hAnsi="Arial"/>
                <w:sz w:val="14"/>
                <w:szCs w:val="14"/>
                <w:color w:val="auto"/>
              </w:rPr>
              <w:t>27,736</w:t>
            </w:r>
          </w:p>
        </w:tc>
        <w:tc>
          <w:tcPr>
            <w:tcW w:w="1320" w:type="dxa"/>
            <w:vAlign w:val="bottom"/>
          </w:tcPr>
          <w:p>
            <w:pPr>
              <w:jc w:val="right"/>
              <w:ind w:right="273"/>
              <w:spacing w:after="0" w:line="141"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1"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1"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13"/>
              <w:spacing w:after="0" w:line="141" w:lineRule="exact"/>
              <w:rPr>
                <w:sz w:val="20"/>
                <w:szCs w:val="20"/>
                <w:color w:val="auto"/>
              </w:rPr>
            </w:pPr>
            <w:r>
              <w:rPr>
                <w:rFonts w:ascii="Arial" w:cs="Arial" w:eastAsia="Arial" w:hAnsi="Arial"/>
                <w:sz w:val="14"/>
                <w:szCs w:val="14"/>
                <w:color w:val="auto"/>
              </w:rPr>
              <w:t>(269)</w:t>
            </w:r>
          </w:p>
        </w:tc>
        <w:tc>
          <w:tcPr>
            <w:tcW w:w="900" w:type="dxa"/>
            <w:vAlign w:val="bottom"/>
          </w:tcPr>
          <w:p>
            <w:pPr>
              <w:jc w:val="right"/>
              <w:ind w:right="113"/>
              <w:spacing w:after="0" w:line="141" w:lineRule="exact"/>
              <w:rPr>
                <w:sz w:val="20"/>
                <w:szCs w:val="20"/>
                <w:color w:val="auto"/>
              </w:rPr>
            </w:pPr>
            <w:r>
              <w:rPr>
                <w:rFonts w:ascii="Arial" w:cs="Arial" w:eastAsia="Arial" w:hAnsi="Arial"/>
                <w:sz w:val="14"/>
                <w:szCs w:val="14"/>
                <w:color w:val="auto"/>
              </w:rPr>
              <w:t>28,005</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Compensation and benefits paid or</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payable in shares</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544</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spacing w:after="0"/>
              <w:rPr>
                <w:sz w:val="12"/>
                <w:szCs w:val="12"/>
                <w:color w:val="auto"/>
              </w:rPr>
            </w:pPr>
          </w:p>
        </w:tc>
        <w:tc>
          <w:tcPr>
            <w:tcW w:w="9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Options exercised</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2</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52</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Shares issued to Directors</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Dividends declared</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Class A Common Stock, $0.17 per</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share</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(4,935)</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(4,935)</w:t>
            </w: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Class B Common Stock, $0.17 per</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220"/>
              <w:spacing w:after="0" w:line="149" w:lineRule="exact"/>
              <w:rPr>
                <w:sz w:val="20"/>
                <w:szCs w:val="20"/>
                <w:color w:val="auto"/>
              </w:rPr>
            </w:pPr>
            <w:r>
              <w:rPr>
                <w:rFonts w:ascii="Arial" w:cs="Arial" w:eastAsia="Arial" w:hAnsi="Arial"/>
                <w:sz w:val="14"/>
                <w:szCs w:val="14"/>
                <w:color w:val="auto"/>
              </w:rPr>
              <w:t>share</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(550)</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Cumulative translation adjustments</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(8,012)</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(5)</w:t>
            </w:r>
          </w:p>
        </w:tc>
        <w:tc>
          <w:tcPr>
            <w:tcW w:w="9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(8,017)</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Pension and postretirement liability</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adjustments</w:t>
            </w:r>
          </w:p>
        </w:tc>
        <w:tc>
          <w:tcPr>
            <w:tcW w:w="6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129</w:t>
            </w: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49"/>
        </w:trPr>
        <w:tc>
          <w:tcPr>
            <w:tcW w:w="23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Derivative valuation adjustment</w:t>
            </w:r>
          </w:p>
        </w:tc>
        <w:tc>
          <w:tcPr>
            <w:tcW w:w="620" w:type="dxa"/>
            <w:vAlign w:val="bottom"/>
            <w:tcBorders>
              <w:bottom w:val="single" w:sz="8" w:color="auto"/>
            </w:tcBorders>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53"/>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73"/>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73"/>
              <w:spacing w:after="0" w:line="149" w:lineRule="exact"/>
              <w:rPr>
                <w:sz w:val="20"/>
                <w:szCs w:val="20"/>
                <w:color w:val="auto"/>
              </w:rPr>
            </w:pPr>
            <w:r>
              <w:rPr>
                <w:rFonts w:ascii="Arial" w:cs="Arial" w:eastAsia="Arial" w:hAnsi="Arial"/>
                <w:sz w:val="14"/>
                <w:szCs w:val="14"/>
                <w:color w:val="auto"/>
              </w:rPr>
              <w:t>1,277</w:t>
            </w:r>
          </w:p>
        </w:tc>
        <w:tc>
          <w:tcPr>
            <w:tcW w:w="640" w:type="dxa"/>
            <w:vAlign w:val="bottom"/>
            <w:tcBorders>
              <w:bottom w:val="single" w:sz="8" w:color="auto"/>
            </w:tcBorders>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13"/>
              <w:spacing w:after="0" w:line="149" w:lineRule="exact"/>
              <w:rPr>
                <w:sz w:val="20"/>
                <w:szCs w:val="20"/>
                <w:color w:val="auto"/>
              </w:rPr>
            </w:pPr>
            <w:r>
              <w:rPr>
                <w:rFonts w:ascii="Arial" w:cs="Arial" w:eastAsia="Arial" w:hAnsi="Arial"/>
                <w:sz w:val="14"/>
                <w:szCs w:val="14"/>
                <w:color w:val="auto"/>
              </w:rPr>
              <w:t>1,277</w:t>
            </w:r>
          </w:p>
        </w:tc>
        <w:tc>
          <w:tcPr>
            <w:tcW w:w="0" w:type="dxa"/>
            <w:vAlign w:val="bottom"/>
          </w:tcPr>
          <w:p>
            <w:pPr>
              <w:spacing w:after="0"/>
              <w:rPr>
                <w:sz w:val="1"/>
                <w:szCs w:val="1"/>
                <w:color w:val="auto"/>
              </w:rPr>
            </w:pPr>
          </w:p>
        </w:tc>
      </w:tr>
      <w:tr>
        <w:trPr>
          <w:trHeight w:val="142"/>
        </w:trPr>
        <w:tc>
          <w:tcPr>
            <w:tcW w:w="23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September 30, 2018</w:t>
            </w:r>
          </w:p>
        </w:tc>
        <w:tc>
          <w:tcPr>
            <w:tcW w:w="6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37,450</w:t>
            </w: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$37</w:t>
            </w:r>
          </w:p>
        </w:tc>
        <w:tc>
          <w:tcPr>
            <w:tcW w:w="6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3,234</w:t>
            </w: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$ 3</w:t>
            </w:r>
          </w:p>
        </w:tc>
        <w:tc>
          <w:tcPr>
            <w:tcW w:w="9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$430,231</w:t>
            </w:r>
          </w:p>
        </w:tc>
        <w:tc>
          <w:tcPr>
            <w:tcW w:w="8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$577,861</w:t>
            </w:r>
          </w:p>
        </w:tc>
        <w:tc>
          <w:tcPr>
            <w:tcW w:w="1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$(149,761)</w:t>
            </w:r>
          </w:p>
        </w:tc>
        <w:tc>
          <w:tcPr>
            <w:tcW w:w="6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8,419</w:t>
            </w:r>
          </w:p>
        </w:tc>
        <w:tc>
          <w:tcPr>
            <w:tcW w:w="9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$(256,603)</w:t>
            </w:r>
          </w:p>
        </w:tc>
        <w:tc>
          <w:tcPr>
            <w:tcW w:w="10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$3,366</w:t>
            </w:r>
          </w:p>
        </w:tc>
        <w:tc>
          <w:tcPr>
            <w:tcW w:w="9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$605,134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27" w:lineRule="exact"/>
        <w:rPr>
          <w:sz w:val="20"/>
          <w:szCs w:val="20"/>
          <w:color w:val="auto"/>
        </w:rPr>
      </w:pPr>
    </w:p>
    <w:p>
      <w:pPr>
        <w:ind w:left="360" w:right="360" w:hanging="352"/>
        <w:spacing w:after="0" w:line="257" w:lineRule="auto"/>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As described in Note 3, the Company adopted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effective January 1, 2019, which resulted in an increase to Retained earnings of less than $0.1 million.</w:t>
      </w:r>
    </w:p>
    <w:p>
      <w:pPr>
        <w:ind w:left="360" w:right="220" w:hanging="352"/>
        <w:spacing w:after="0" w:line="246" w:lineRule="auto"/>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second quarter of 2019, Standish Family Holdings, LLC executed a secondary offering of Albany shares. As a result of the offering, 1.6 million shares of Class B Common Stock previously owned by Standish Family Holdings, LLC were converted to Class A Common Stock and then sold to third parties. Costs associated with the offering were charged directly to Standish Family Holdings, LLC.</w:t>
      </w:r>
    </w:p>
    <w:p>
      <w:pPr>
        <w:spacing w:after="0" w:line="1" w:lineRule="exact"/>
        <w:rPr>
          <w:rFonts w:ascii="Arial" w:cs="Arial" w:eastAsia="Arial" w:hAnsi="Arial"/>
          <w:sz w:val="16"/>
          <w:szCs w:val="16"/>
          <w:color w:val="auto"/>
        </w:rPr>
      </w:pPr>
    </w:p>
    <w:p>
      <w:pPr>
        <w:ind w:left="360" w:right="100" w:hanging="352"/>
        <w:spacing w:after="0" w:line="246" w:lineRule="auto"/>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adopted ASC 606 effective January 1, 2018, which resulted in a decrease to Retained earnings of $5.6 million and a $0.3 million decrease to Noncontrolling interest.</w:t>
      </w:r>
    </w:p>
    <w:p>
      <w:pPr>
        <w:ind w:left="360" w:hanging="352"/>
        <w:spacing w:after="0"/>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adopted ASU 2016-16 effective January 1, 2018, which resulted in a $0.5 million increase to Retained earnings.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 Recent Accounting Pronouncements</w:t>
      </w:r>
    </w:p>
    <w:p>
      <w:pPr>
        <w:spacing w:after="0" w:line="126"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In June 2016, an accounting update was issued which changes the way entities recognize impairment of many financial assets by requiring immediate recognition of credit losses expected to occur over their remaining life. In April and May of 2019 additional accounting updates were made regarding the application of this standard. We are continuing to evaluate the expected impact on our consolidated financial statements and related disclosures. We will adopt the new standard effective January 1, 2020.</w:t>
      </w:r>
    </w:p>
    <w:p>
      <w:pPr>
        <w:spacing w:after="0" w:line="94"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In August 2018, an accounting update was issued which aims to improve the overall usefulness of disclosures to financial statement users and reduce unnecessary costs to companies when preparing fair value measurement disclosures. We are currently evaluating the impact of this update. We will adopt the new standard effective January 1, 2020.</w:t>
      </w:r>
    </w:p>
    <w:p>
      <w:pPr>
        <w:spacing w:after="0" w:line="95"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In August 2018, an accounting update was issued which aims to improve the overall usefulness of disclosures to financial statement users and reduce unnecessary costs to companies when preparing defined benefit plan disclosures. We do not expect a significant impact to our consolidated assets and liabilities, net earnings, or cash flows as a result of adopting this new standard. We plan to adopt the new standard effective January 1, 2021.</w:t>
      </w:r>
    </w:p>
    <w:p>
      <w:pPr>
        <w:spacing w:after="0" w:line="94"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In November 2018, an accounting update was issued which clarifies when transactions between collaborative arrangement participants are in the scope of ASC 606. The update also provides some guidance on presentation of transactions not in the scope of ASC 606. We are currently evaluating the impact of this update. We will adopt the new standard effective January 1, 2020.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“anticipate,” “intend,” “estimate,” “project,” ”look for,” “will,” “should,” “guidance,” “guide” and similar expressions identify forward-looking statements, which generally are not historical in nature. Because forward-looking statements are subject to certain risks and uncertainties, (including, without limitation, those set forth in the Company’s most recent Annual Report on Form 10-K or prior Quarterly Reports on Form 10-Q) actual results may differ materially from those expressed or implied by such forward-looking statements.</w:t>
      </w:r>
    </w:p>
    <w:p>
      <w:pPr>
        <w:spacing w:after="0" w:line="94"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48" w:lineRule="exact"/>
        <w:rPr>
          <w:sz w:val="20"/>
          <w:szCs w:val="20"/>
          <w:color w:val="auto"/>
        </w:rPr>
      </w:pPr>
    </w:p>
    <w:p>
      <w:pPr>
        <w:ind w:left="580" w:hanging="248"/>
        <w:spacing w:after="0" w:line="246"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and Albany Engineered Composites segments compete, along with the general risks associated with macroeconomic conditions;</w:t>
      </w:r>
    </w:p>
    <w:p>
      <w:pPr>
        <w:spacing w:after="0" w:line="34" w:lineRule="exact"/>
        <w:rPr>
          <w:rFonts w:ascii="Arial" w:cs="Arial" w:eastAsia="Arial" w:hAnsi="Arial"/>
          <w:sz w:val="18"/>
          <w:szCs w:val="18"/>
          <w:color w:val="auto"/>
        </w:rPr>
      </w:pPr>
    </w:p>
    <w:p>
      <w:pPr>
        <w:ind w:left="580" w:right="20" w:hanging="248"/>
        <w:spacing w:after="0" w:line="246"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Machine Clothing segment, greater than anticipated declines in the demand for publication grades of paper, or lower than anticipated growth in other paper grades;</w:t>
      </w:r>
    </w:p>
    <w:p>
      <w:pPr>
        <w:spacing w:after="0" w:line="34" w:lineRule="exact"/>
        <w:rPr>
          <w:rFonts w:ascii="Arial" w:cs="Arial" w:eastAsia="Arial" w:hAnsi="Arial"/>
          <w:sz w:val="18"/>
          <w:szCs w:val="18"/>
          <w:color w:val="auto"/>
        </w:rPr>
      </w:pPr>
    </w:p>
    <w:p>
      <w:pPr>
        <w:ind w:left="580" w:hanging="248"/>
        <w:spacing w:after="0" w:line="246"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Albany Engineered Composites segment, unanticipated reductions in demand, delays, technical difficulties or cancellations in aerospace programs that are expected to drive growth;</w:t>
      </w:r>
    </w:p>
    <w:p>
      <w:pPr>
        <w:spacing w:after="0" w:line="48"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achieve or maintain anticipated profitable growth in our Albany Engineered Composites segment; and</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w:t>
      </w:r>
    </w:p>
    <w:p>
      <w:pPr>
        <w:spacing w:after="0" w:line="104"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“Business Environment Overview and Trends” sections of this quarterly report, as well as in Item 1A-“Risk Factors” section of our most recent Annual Report on Form 10-K. Statements expressing our assessments of the growth potential of the Albany Engineered Composites segment are not intended as forecasts of actual future growth, and should not be relied on as such. While we believe such assessments to have a reasonable basis, such assessments are, by their nature, inherently uncertain. This report sets forth a number of assumptions regarding these assessments, including projected timing and volume of demand for aircraft and for LEAP aircraft engines. Such assumptions could prove incorrect.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98"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Overview and Trends</w:t>
      </w:r>
    </w:p>
    <w:p>
      <w:pPr>
        <w:spacing w:after="0" w:line="12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Our reportable segments, Machine Clothing (MC) and Albany Engineered Composites (AEC), draw on the same advanced textiles and materials processing capabilities, and compete on the basis of product-based advantage that is grounded in those core capabilities.</w:t>
      </w:r>
    </w:p>
    <w:p>
      <w:pPr>
        <w:spacing w:after="0" w:line="89"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The MC segment is the Company’s long-established core business and primary generator of cash. While it has suffered from well-documented declines in publication grades in the Company’s traditional markets, the paper and paperboard industry is still expected to grow slightly on a global basis, driven by demand for packaging and tissue grades, as well as the expansion of paper consumption and production in Asia and South America. We feel we are now well-positioned in key markets, with high-quality, low-cost production in growth markets, substantially lower fixed costs in mature markets, and continued strength in new product development, technical product support, and manufacturing technology. Because of pricing pressures and industry overcapacity, the machine clothing and paper industries will continue to face top line pressure. Despite continued market pressure on revenue, the business retains the potential for maintaining stable earnings in the future. It has been a significant generator of cash, and we seek to maintain the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cash-generating potential of this business by maintaining the low costs that we achieved through continuous focus on cost reduction initiatives, and competing vigorously by using our differentiated and technically superior products to reduce our customers’ total cost of operation and improve their paper quality.</w:t>
      </w:r>
    </w:p>
    <w:p>
      <w:pPr>
        <w:spacing w:after="0" w:line="95"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The AEC segment provides significant growth potential for our Company both near and long term. Our strategy is to grow by focusing our proprietary 3D-woven technology, as well as our non-3D technology capabilities, on high-value aerospace (both commercial and defense) applications, while at the same time performing successfully on our portfolio of growth programs. AEC (including Albany Safran Composites, LLC (ASC), in which our customer SAFRAN Group owns a 10 percent noncontrolling interest) supplies a number of customers in the aerospace industry. AEC’s largest aerospace customer is the SAFRAN Group and sales to SAFRAN, through ASC, (consisting primarily of fan blades and cases for CFM’s LEAP engine) accounted for approximately 19 percent of the Company’s consolidated net sales in 2018. AEC, through ASC, also supplies 3D-woven composite fan cases for the GE9X engine. AEC’s current portfolio of non-3D programs includes components for the F-35, fuselage components for the Boeing 787, components for the CH-53K helicopter, vacuum waste tanks for Boeing 7-Series aircraft, and missile bodies for Lockheed Martin’s JASSM air-to-surface missiles. AEC is actively engaged in research to develop new applications in both commercial and defense aircraft engine and airframe markets. In 2018, approximately 25 percent of AEC sales were related to U.S. government contracts or programs.</w:t>
      </w:r>
    </w:p>
    <w:p>
      <w:pPr>
        <w:spacing w:after="0" w:line="98"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A number of countries, including the United States, have issued orders grounding Boeing 737 Max 8 and/or Max 9 aircraft. If these recent groundings cause a decrease in demand for, or production of, this aircraft, it could have an adverse impact on demand for the LEAP 1B engine variant, which could in turn have an adverse impact on demand for the parts we supply for such engine. During the third quarter of 2019, we worked with our customer to implement certain reductions in our production plans for LEAP components for the second half of the year, while at the same time maintaining a production rate somewhat higher than the delivery rate of our components, in order to retain the our existing workforce and avoid regressing on the learning curve. The Company is continuing to monitor developments with our customer. Due to the nature of the contract with our customer, under the relevant accounting standards we are recognizing revenue and gross profit on that extra production in 2019, rather than in any future period in which the produced components will be delivered to the customer. This is generating a pull-forward of revenue from those periods into 2019. In addition, considerable uncertainty still exists with respect to the return-to-service of the 737-MAX and the subsequent ramp-up in our production of LEAP-1B components, which may lead to additional impacts to our revenues from LEAP-1B components in 2020 and future periods. The nature of our cost-plus fee arrangement, however, should somewhat mitigate the impact of such factors on gross margin rate in such future periods.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60" w:type="dxa"/>
            <w:vAlign w:val="bottom"/>
            <w:tcBorders>
              <w:top w:val="single" w:sz="8" w:color="auto"/>
            </w:tcBorders>
          </w:tcPr>
          <w:p>
            <w:pPr>
              <w:spacing w:after="0"/>
              <w:rPr>
                <w:sz w:val="14"/>
                <w:szCs w:val="14"/>
                <w:color w:val="auto"/>
              </w:rPr>
            </w:pPr>
          </w:p>
        </w:tc>
        <w:tc>
          <w:tcPr>
            <w:tcW w:w="3400" w:type="dxa"/>
            <w:vAlign w:val="bottom"/>
            <w:tcBorders>
              <w:top w:val="single" w:sz="8" w:color="auto"/>
            </w:tcBorders>
            <w:gridSpan w:val="3"/>
          </w:tcPr>
          <w:p>
            <w:pPr>
              <w:jc w:val="center"/>
              <w:ind w:left="183"/>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Borders>
              <w:top w:val="single" w:sz="8" w:color="auto"/>
            </w:tcBorders>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(in thousands, except percentages)</w:t>
            </w:r>
          </w:p>
        </w:tc>
        <w:tc>
          <w:tcPr>
            <w:tcW w:w="1240" w:type="dxa"/>
            <w:vAlign w:val="bottom"/>
            <w:tcBorders>
              <w:bottom w:val="single" w:sz="8" w:color="auto"/>
            </w:tcBorders>
          </w:tcPr>
          <w:p>
            <w:pPr>
              <w:jc w:val="right"/>
              <w:ind w:right="203"/>
              <w:spacing w:after="0" w:line="155" w:lineRule="exact"/>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jc w:val="right"/>
              <w:ind w:right="101"/>
              <w:spacing w:after="0" w:line="155" w:lineRule="exact"/>
              <w:rPr>
                <w:sz w:val="20"/>
                <w:szCs w:val="20"/>
                <w:color w:val="auto"/>
              </w:rPr>
            </w:pPr>
            <w:r>
              <w:rPr>
                <w:rFonts w:ascii="Arial" w:cs="Arial" w:eastAsia="Arial" w:hAnsi="Arial"/>
                <w:sz w:val="14"/>
                <w:szCs w:val="14"/>
                <w:b w:val="1"/>
                <w:bCs w:val="1"/>
                <w:color w:val="auto"/>
              </w:rPr>
              <w:t>% Change</w:t>
            </w:r>
          </w:p>
        </w:tc>
        <w:tc>
          <w:tcPr>
            <w:tcW w:w="880" w:type="dxa"/>
            <w:vAlign w:val="bottom"/>
            <w:tcBorders>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2019</w:t>
            </w:r>
          </w:p>
        </w:tc>
        <w:tc>
          <w:tcPr>
            <w:tcW w:w="13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jc w:val="right"/>
              <w:ind w:right="101"/>
              <w:spacing w:after="0" w:line="155" w:lineRule="exact"/>
              <w:rPr>
                <w:sz w:val="20"/>
                <w:szCs w:val="20"/>
                <w:color w:val="auto"/>
              </w:rPr>
            </w:pPr>
            <w:r>
              <w:rPr>
                <w:rFonts w:ascii="Arial" w:cs="Arial" w:eastAsia="Arial" w:hAnsi="Arial"/>
                <w:sz w:val="14"/>
                <w:szCs w:val="14"/>
                <w:b w:val="1"/>
                <w:bCs w:val="1"/>
                <w:color w:val="auto"/>
              </w:rPr>
              <w:t>% Change</w:t>
            </w:r>
          </w:p>
        </w:tc>
      </w:tr>
      <w:tr>
        <w:trPr>
          <w:trHeight w:val="164"/>
        </w:trPr>
        <w:tc>
          <w:tcPr>
            <w:tcW w:w="2880" w:type="dxa"/>
            <w:vAlign w:val="bottom"/>
            <w:gridSpan w:val="2"/>
          </w:tcPr>
          <w:p>
            <w:pPr>
              <w:spacing w:after="0" w:line="165" w:lineRule="exact"/>
              <w:rPr>
                <w:sz w:val="20"/>
                <w:szCs w:val="20"/>
                <w:color w:val="auto"/>
              </w:rPr>
            </w:pPr>
            <w:r>
              <w:rPr>
                <w:rFonts w:ascii="Arial" w:cs="Arial" w:eastAsia="Arial" w:hAnsi="Arial"/>
                <w:sz w:val="16"/>
                <w:szCs w:val="16"/>
                <w:color w:val="auto"/>
              </w:rPr>
              <w:t>Machine Clothing</w:t>
            </w:r>
          </w:p>
        </w:tc>
        <w:tc>
          <w:tcPr>
            <w:tcW w:w="1240" w:type="dxa"/>
            <w:vAlign w:val="bottom"/>
          </w:tcPr>
          <w:p>
            <w:pPr>
              <w:jc w:val="right"/>
              <w:ind w:right="23"/>
              <w:spacing w:after="0" w:line="165" w:lineRule="exact"/>
              <w:rPr>
                <w:sz w:val="20"/>
                <w:szCs w:val="20"/>
                <w:color w:val="auto"/>
              </w:rPr>
            </w:pPr>
            <w:r>
              <w:rPr>
                <w:rFonts w:ascii="Arial" w:cs="Arial" w:eastAsia="Arial" w:hAnsi="Arial"/>
                <w:sz w:val="16"/>
                <w:szCs w:val="16"/>
                <w:b w:val="1"/>
                <w:bCs w:val="1"/>
                <w:color w:val="auto"/>
              </w:rPr>
              <w:t>$151,324</w:t>
            </w:r>
          </w:p>
        </w:tc>
        <w:tc>
          <w:tcPr>
            <w:tcW w:w="1180" w:type="dxa"/>
            <w:vAlign w:val="bottom"/>
          </w:tcPr>
          <w:p>
            <w:pPr>
              <w:jc w:val="right"/>
              <w:ind w:right="163"/>
              <w:spacing w:after="0" w:line="165" w:lineRule="exact"/>
              <w:rPr>
                <w:sz w:val="20"/>
                <w:szCs w:val="20"/>
                <w:color w:val="auto"/>
              </w:rPr>
            </w:pPr>
            <w:r>
              <w:rPr>
                <w:rFonts w:ascii="Arial" w:cs="Arial" w:eastAsia="Arial" w:hAnsi="Arial"/>
                <w:sz w:val="16"/>
                <w:szCs w:val="16"/>
                <w:color w:val="auto"/>
              </w:rPr>
              <w:t>$157,608</w:t>
            </w:r>
          </w:p>
        </w:tc>
        <w:tc>
          <w:tcPr>
            <w:tcW w:w="980" w:type="dxa"/>
            <w:vAlign w:val="bottom"/>
          </w:tcPr>
          <w:p>
            <w:pPr>
              <w:jc w:val="right"/>
              <w:ind w:right="141"/>
              <w:spacing w:after="0" w:line="165" w:lineRule="exact"/>
              <w:rPr>
                <w:sz w:val="20"/>
                <w:szCs w:val="20"/>
                <w:color w:val="auto"/>
              </w:rPr>
            </w:pPr>
            <w:r>
              <w:rPr>
                <w:rFonts w:ascii="Arial" w:cs="Arial" w:eastAsia="Arial" w:hAnsi="Arial"/>
                <w:sz w:val="16"/>
                <w:szCs w:val="16"/>
                <w:color w:val="auto"/>
              </w:rPr>
              <w:t>-4.0%</w:t>
            </w:r>
          </w:p>
        </w:tc>
        <w:tc>
          <w:tcPr>
            <w:tcW w:w="88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$450,673</w:t>
            </w:r>
          </w:p>
        </w:tc>
        <w:tc>
          <w:tcPr>
            <w:tcW w:w="1380" w:type="dxa"/>
            <w:vAlign w:val="bottom"/>
          </w:tcPr>
          <w:p>
            <w:pPr>
              <w:jc w:val="right"/>
              <w:ind w:right="283"/>
              <w:spacing w:after="0" w:line="165" w:lineRule="exact"/>
              <w:rPr>
                <w:sz w:val="20"/>
                <w:szCs w:val="20"/>
                <w:color w:val="auto"/>
              </w:rPr>
            </w:pPr>
            <w:r>
              <w:rPr>
                <w:rFonts w:ascii="Arial" w:cs="Arial" w:eastAsia="Arial" w:hAnsi="Arial"/>
                <w:sz w:val="16"/>
                <w:szCs w:val="16"/>
                <w:color w:val="auto"/>
              </w:rPr>
              <w:t>$461,165</w:t>
            </w:r>
          </w:p>
        </w:tc>
        <w:tc>
          <w:tcPr>
            <w:tcW w:w="880" w:type="dxa"/>
            <w:vAlign w:val="bottom"/>
          </w:tcPr>
          <w:p>
            <w:pPr>
              <w:jc w:val="right"/>
              <w:ind w:right="141"/>
              <w:spacing w:after="0" w:line="165" w:lineRule="exact"/>
              <w:rPr>
                <w:sz w:val="20"/>
                <w:szCs w:val="20"/>
                <w:color w:val="auto"/>
              </w:rPr>
            </w:pPr>
            <w:r>
              <w:rPr>
                <w:rFonts w:ascii="Arial" w:cs="Arial" w:eastAsia="Arial" w:hAnsi="Arial"/>
                <w:sz w:val="16"/>
                <w:szCs w:val="16"/>
                <w:color w:val="auto"/>
              </w:rPr>
              <w:t>-2.3%</w:t>
            </w:r>
          </w:p>
        </w:tc>
      </w:tr>
      <w:tr>
        <w:trPr>
          <w:trHeight w:val="207"/>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Albany Engineered Composites</w:t>
            </w:r>
          </w:p>
        </w:tc>
        <w:tc>
          <w:tcPr>
            <w:tcW w:w="12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119,809</w:t>
            </w:r>
          </w:p>
        </w:tc>
        <w:tc>
          <w:tcPr>
            <w:tcW w:w="118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94,281</w:t>
            </w: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27.1%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345,781</w:t>
            </w:r>
          </w:p>
        </w:tc>
        <w:tc>
          <w:tcPr>
            <w:tcW w:w="138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269,701</w:t>
            </w:r>
          </w:p>
        </w:tc>
        <w:tc>
          <w:tcPr>
            <w:tcW w:w="8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28.2%</w:t>
            </w:r>
          </w:p>
        </w:tc>
      </w:tr>
      <w:tr>
        <w:trPr>
          <w:trHeight w:val="183"/>
        </w:trPr>
        <w:tc>
          <w:tcPr>
            <w:tcW w:w="288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6"/>
                <w:szCs w:val="16"/>
                <w:color w:val="auto"/>
              </w:rPr>
              <w:t>Total</w:t>
            </w:r>
          </w:p>
        </w:tc>
        <w:tc>
          <w:tcPr>
            <w:tcW w:w="1240" w:type="dxa"/>
            <w:vAlign w:val="bottom"/>
            <w:tcBorders>
              <w:bottom w:val="single" w:sz="8" w:color="auto"/>
            </w:tcBorders>
          </w:tcPr>
          <w:p>
            <w:pPr>
              <w:jc w:val="right"/>
              <w:ind w:right="23"/>
              <w:spacing w:after="0" w:line="183" w:lineRule="exact"/>
              <w:rPr>
                <w:sz w:val="20"/>
                <w:szCs w:val="20"/>
                <w:color w:val="auto"/>
              </w:rPr>
            </w:pPr>
            <w:r>
              <w:rPr>
                <w:rFonts w:ascii="Arial" w:cs="Arial" w:eastAsia="Arial" w:hAnsi="Arial"/>
                <w:sz w:val="16"/>
                <w:szCs w:val="16"/>
                <w:b w:val="1"/>
                <w:bCs w:val="1"/>
                <w:color w:val="auto"/>
              </w:rPr>
              <w:t>$271,133</w:t>
            </w:r>
          </w:p>
        </w:tc>
        <w:tc>
          <w:tcPr>
            <w:tcW w:w="1180" w:type="dxa"/>
            <w:vAlign w:val="bottom"/>
            <w:tcBorders>
              <w:bottom w:val="single" w:sz="8" w:color="auto"/>
            </w:tcBorders>
          </w:tcPr>
          <w:p>
            <w:pPr>
              <w:jc w:val="right"/>
              <w:ind w:right="163"/>
              <w:spacing w:after="0" w:line="183" w:lineRule="exact"/>
              <w:rPr>
                <w:sz w:val="20"/>
                <w:szCs w:val="20"/>
                <w:color w:val="auto"/>
              </w:rPr>
            </w:pPr>
            <w:r>
              <w:rPr>
                <w:rFonts w:ascii="Arial" w:cs="Arial" w:eastAsia="Arial" w:hAnsi="Arial"/>
                <w:sz w:val="16"/>
                <w:szCs w:val="16"/>
                <w:color w:val="auto"/>
              </w:rPr>
              <w:t>$251,889</w:t>
            </w:r>
          </w:p>
        </w:tc>
        <w:tc>
          <w:tcPr>
            <w:tcW w:w="980" w:type="dxa"/>
            <w:vAlign w:val="bottom"/>
            <w:tcBorders>
              <w:bottom w:val="single" w:sz="8" w:color="auto"/>
            </w:tcBorders>
          </w:tcPr>
          <w:p>
            <w:pPr>
              <w:jc w:val="right"/>
              <w:ind w:right="141"/>
              <w:spacing w:after="0" w:line="183" w:lineRule="exact"/>
              <w:rPr>
                <w:sz w:val="20"/>
                <w:szCs w:val="20"/>
                <w:color w:val="auto"/>
              </w:rPr>
            </w:pPr>
            <w:r>
              <w:rPr>
                <w:rFonts w:ascii="Arial" w:cs="Arial" w:eastAsia="Arial" w:hAnsi="Arial"/>
                <w:sz w:val="16"/>
                <w:szCs w:val="16"/>
                <w:color w:val="auto"/>
              </w:rPr>
              <w:t>7.6%</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$796,454</w:t>
            </w:r>
          </w:p>
        </w:tc>
        <w:tc>
          <w:tcPr>
            <w:tcW w:w="1380" w:type="dxa"/>
            <w:vAlign w:val="bottom"/>
            <w:tcBorders>
              <w:bottom w:val="single" w:sz="8" w:color="auto"/>
            </w:tcBorders>
          </w:tcPr>
          <w:p>
            <w:pPr>
              <w:jc w:val="right"/>
              <w:ind w:right="283"/>
              <w:spacing w:after="0" w:line="183" w:lineRule="exact"/>
              <w:rPr>
                <w:sz w:val="20"/>
                <w:szCs w:val="20"/>
                <w:color w:val="auto"/>
              </w:rPr>
            </w:pPr>
            <w:r>
              <w:rPr>
                <w:rFonts w:ascii="Arial" w:cs="Arial" w:eastAsia="Arial" w:hAnsi="Arial"/>
                <w:sz w:val="16"/>
                <w:szCs w:val="16"/>
                <w:color w:val="auto"/>
              </w:rPr>
              <w:t>$730,866</w:t>
            </w:r>
          </w:p>
        </w:tc>
        <w:tc>
          <w:tcPr>
            <w:tcW w:w="880" w:type="dxa"/>
            <w:vAlign w:val="bottom"/>
            <w:tcBorders>
              <w:bottom w:val="single" w:sz="8" w:color="auto"/>
            </w:tcBorders>
          </w:tcPr>
          <w:p>
            <w:pPr>
              <w:jc w:val="right"/>
              <w:ind w:right="141"/>
              <w:spacing w:after="0" w:line="183" w:lineRule="exact"/>
              <w:rPr>
                <w:sz w:val="20"/>
                <w:szCs w:val="20"/>
                <w:color w:val="auto"/>
              </w:rPr>
            </w:pPr>
            <w:r>
              <w:rPr>
                <w:rFonts w:ascii="Arial" w:cs="Arial" w:eastAsia="Arial" w:hAnsi="Arial"/>
                <w:sz w:val="16"/>
                <w:szCs w:val="16"/>
                <w:color w:val="auto"/>
              </w:rPr>
              <w:t>9.0%</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provide a comparison of 2019 Net sales, excluding the impact of currency translation effects, to 2018 Net sales: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Borders>
              <w:top w:val="single" w:sz="8" w:color="auto"/>
            </w:tcBorders>
          </w:tcPr>
          <w:p>
            <w:pPr>
              <w:spacing w:after="0"/>
              <w:rPr>
                <w:sz w:val="14"/>
                <w:szCs w:val="14"/>
                <w:color w:val="auto"/>
              </w:rPr>
            </w:pPr>
          </w:p>
        </w:tc>
        <w:tc>
          <w:tcPr>
            <w:tcW w:w="24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Decrease due to</w:t>
            </w:r>
          </w:p>
        </w:tc>
        <w:tc>
          <w:tcPr>
            <w:tcW w:w="13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 Change compared</w:t>
            </w:r>
          </w:p>
        </w:tc>
      </w:tr>
      <w:tr>
        <w:trPr>
          <w:trHeight w:val="162"/>
        </w:trPr>
        <w:tc>
          <w:tcPr>
            <w:tcW w:w="35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changes in</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Q3 2019 sales on</w:t>
            </w:r>
          </w:p>
        </w:tc>
        <w:tc>
          <w:tcPr>
            <w:tcW w:w="13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to Q3 2018, excluding</w:t>
            </w:r>
          </w:p>
        </w:tc>
      </w:tr>
      <w:tr>
        <w:trPr>
          <w:trHeight w:val="162"/>
        </w:trPr>
        <w:tc>
          <w:tcPr>
            <w:tcW w:w="3520" w:type="dxa"/>
            <w:vAlign w:val="bottom"/>
          </w:tcPr>
          <w:p>
            <w:pPr>
              <w:spacing w:after="0"/>
              <w:rPr>
                <w:sz w:val="14"/>
                <w:szCs w:val="14"/>
                <w:color w:val="auto"/>
              </w:rPr>
            </w:pPr>
          </w:p>
        </w:tc>
        <w:tc>
          <w:tcPr>
            <w:tcW w:w="2400" w:type="dxa"/>
            <w:vAlign w:val="bottom"/>
          </w:tcPr>
          <w:p>
            <w:pPr>
              <w:jc w:val="right"/>
              <w:ind w:right="203"/>
              <w:spacing w:after="0"/>
              <w:rPr>
                <w:sz w:val="20"/>
                <w:szCs w:val="20"/>
                <w:color w:val="auto"/>
              </w:rPr>
            </w:pPr>
            <w:r>
              <w:rPr>
                <w:rFonts w:ascii="Arial" w:cs="Arial" w:eastAsia="Arial" w:hAnsi="Arial"/>
                <w:sz w:val="14"/>
                <w:szCs w:val="14"/>
                <w:b w:val="1"/>
                <w:bCs w:val="1"/>
                <w:color w:val="auto"/>
              </w:rPr>
              <w:t>Net sales as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same basis as Q3</w:t>
            </w:r>
          </w:p>
        </w:tc>
        <w:tc>
          <w:tcPr>
            <w:tcW w:w="1320" w:type="dxa"/>
            <w:vAlign w:val="bottom"/>
          </w:tcPr>
          <w:p>
            <w:pPr>
              <w:jc w:val="right"/>
              <w:ind w:right="143"/>
              <w:spacing w:after="0"/>
              <w:rPr>
                <w:sz w:val="20"/>
                <w:szCs w:val="20"/>
                <w:color w:val="auto"/>
              </w:rPr>
            </w:pPr>
            <w:r>
              <w:rPr>
                <w:rFonts w:ascii="Arial" w:cs="Arial" w:eastAsia="Arial" w:hAnsi="Arial"/>
                <w:sz w:val="14"/>
                <w:szCs w:val="14"/>
                <w:b w:val="1"/>
                <w:bCs w:val="1"/>
                <w:color w:val="auto"/>
              </w:rPr>
              <w:t>Net sales as</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changes in currency</w:t>
            </w:r>
          </w:p>
        </w:tc>
      </w:tr>
      <w:tr>
        <w:trPr>
          <w:trHeight w:val="175"/>
        </w:trPr>
        <w:tc>
          <w:tcPr>
            <w:tcW w:w="3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percentages)</w:t>
            </w:r>
          </w:p>
        </w:tc>
        <w:tc>
          <w:tcPr>
            <w:tcW w:w="24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reported, Q3 2019</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translation rates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reported, Q3 2018</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translation rates</w:t>
            </w:r>
          </w:p>
        </w:tc>
      </w:tr>
      <w:tr>
        <w:trPr>
          <w:trHeight w:val="164"/>
        </w:trPr>
        <w:tc>
          <w:tcPr>
            <w:tcW w:w="3520" w:type="dxa"/>
            <w:vAlign w:val="bottom"/>
          </w:tcPr>
          <w:p>
            <w:pPr>
              <w:spacing w:after="0" w:line="165" w:lineRule="exact"/>
              <w:rPr>
                <w:sz w:val="20"/>
                <w:szCs w:val="20"/>
                <w:color w:val="auto"/>
              </w:rPr>
            </w:pPr>
            <w:r>
              <w:rPr>
                <w:rFonts w:ascii="Arial" w:cs="Arial" w:eastAsia="Arial" w:hAnsi="Arial"/>
                <w:sz w:val="16"/>
                <w:szCs w:val="16"/>
                <w:color w:val="auto"/>
              </w:rPr>
              <w:t>Machine Clothing</w:t>
            </w:r>
          </w:p>
        </w:tc>
        <w:tc>
          <w:tcPr>
            <w:tcW w:w="2400" w:type="dxa"/>
            <w:vAlign w:val="bottom"/>
          </w:tcPr>
          <w:p>
            <w:pPr>
              <w:jc w:val="right"/>
              <w:ind w:right="283"/>
              <w:spacing w:after="0" w:line="165" w:lineRule="exact"/>
              <w:rPr>
                <w:sz w:val="20"/>
                <w:szCs w:val="20"/>
                <w:color w:val="auto"/>
              </w:rPr>
            </w:pPr>
            <w:r>
              <w:rPr>
                <w:rFonts w:ascii="Arial" w:cs="Arial" w:eastAsia="Arial" w:hAnsi="Arial"/>
                <w:sz w:val="16"/>
                <w:szCs w:val="16"/>
                <w:b w:val="1"/>
                <w:bCs w:val="1"/>
                <w:color w:val="auto"/>
              </w:rPr>
              <w:t>$151,324</w:t>
            </w:r>
          </w:p>
        </w:tc>
        <w:tc>
          <w:tcPr>
            <w:tcW w:w="1300" w:type="dxa"/>
            <w:vAlign w:val="bottom"/>
          </w:tcPr>
          <w:p>
            <w:pPr>
              <w:jc w:val="right"/>
              <w:ind w:right="324"/>
              <w:spacing w:after="0" w:line="165" w:lineRule="exact"/>
              <w:rPr>
                <w:sz w:val="20"/>
                <w:szCs w:val="20"/>
                <w:color w:val="auto"/>
              </w:rPr>
            </w:pPr>
            <w:r>
              <w:rPr>
                <w:rFonts w:ascii="Arial" w:cs="Arial" w:eastAsia="Arial" w:hAnsi="Arial"/>
                <w:sz w:val="16"/>
                <w:szCs w:val="16"/>
                <w:color w:val="auto"/>
              </w:rPr>
              <w:t>$2,181</w:t>
            </w:r>
          </w:p>
        </w:tc>
        <w:tc>
          <w:tcPr>
            <w:tcW w:w="1360" w:type="dxa"/>
            <w:vAlign w:val="bottom"/>
          </w:tcPr>
          <w:p>
            <w:pPr>
              <w:jc w:val="right"/>
              <w:ind w:right="263"/>
              <w:spacing w:after="0" w:line="165" w:lineRule="exact"/>
              <w:rPr>
                <w:sz w:val="20"/>
                <w:szCs w:val="20"/>
                <w:color w:val="auto"/>
              </w:rPr>
            </w:pPr>
            <w:r>
              <w:rPr>
                <w:rFonts w:ascii="Arial" w:cs="Arial" w:eastAsia="Arial" w:hAnsi="Arial"/>
                <w:sz w:val="16"/>
                <w:szCs w:val="16"/>
                <w:color w:val="auto"/>
              </w:rPr>
              <w:t>$153,505</w:t>
            </w:r>
          </w:p>
        </w:tc>
        <w:tc>
          <w:tcPr>
            <w:tcW w:w="1320" w:type="dxa"/>
            <w:vAlign w:val="bottom"/>
          </w:tcPr>
          <w:p>
            <w:pPr>
              <w:jc w:val="right"/>
              <w:ind w:right="223"/>
              <w:spacing w:after="0" w:line="165" w:lineRule="exact"/>
              <w:rPr>
                <w:sz w:val="20"/>
                <w:szCs w:val="20"/>
                <w:color w:val="auto"/>
              </w:rPr>
            </w:pPr>
            <w:r>
              <w:rPr>
                <w:rFonts w:ascii="Arial" w:cs="Arial" w:eastAsia="Arial" w:hAnsi="Arial"/>
                <w:sz w:val="16"/>
                <w:szCs w:val="16"/>
                <w:color w:val="auto"/>
              </w:rPr>
              <w:t>$157,608</w:t>
            </w:r>
          </w:p>
        </w:tc>
        <w:tc>
          <w:tcPr>
            <w:tcW w:w="1520" w:type="dxa"/>
            <w:vAlign w:val="bottom"/>
          </w:tcPr>
          <w:p>
            <w:pPr>
              <w:jc w:val="right"/>
              <w:ind w:right="364"/>
              <w:spacing w:after="0" w:line="165" w:lineRule="exact"/>
              <w:rPr>
                <w:sz w:val="20"/>
                <w:szCs w:val="20"/>
                <w:color w:val="auto"/>
              </w:rPr>
            </w:pPr>
            <w:r>
              <w:rPr>
                <w:rFonts w:ascii="Arial" w:cs="Arial" w:eastAsia="Arial" w:hAnsi="Arial"/>
                <w:sz w:val="16"/>
                <w:szCs w:val="16"/>
                <w:color w:val="auto"/>
              </w:rPr>
              <w:t>-2.6%</w:t>
            </w:r>
          </w:p>
        </w:tc>
      </w:tr>
      <w:tr>
        <w:trPr>
          <w:trHeight w:val="207"/>
        </w:trPr>
        <w:tc>
          <w:tcPr>
            <w:tcW w:w="3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Albany Engineered Composites</w:t>
            </w:r>
          </w:p>
        </w:tc>
        <w:tc>
          <w:tcPr>
            <w:tcW w:w="240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b w:val="1"/>
                <w:bCs w:val="1"/>
                <w:color w:val="auto"/>
              </w:rPr>
              <w:t>119,809</w:t>
            </w:r>
          </w:p>
        </w:tc>
        <w:tc>
          <w:tcPr>
            <w:tcW w:w="130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color w:val="auto"/>
              </w:rPr>
              <w:t>1,163</w:t>
            </w:r>
          </w:p>
        </w:tc>
        <w:tc>
          <w:tcPr>
            <w:tcW w:w="136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color w:val="auto"/>
              </w:rPr>
              <w:t>120,972</w:t>
            </w:r>
          </w:p>
        </w:tc>
        <w:tc>
          <w:tcPr>
            <w:tcW w:w="132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auto"/>
              </w:rPr>
              <w:t>94,281</w:t>
            </w:r>
          </w:p>
        </w:tc>
        <w:tc>
          <w:tcPr>
            <w:tcW w:w="1520" w:type="dxa"/>
            <w:vAlign w:val="bottom"/>
            <w:tcBorders>
              <w:bottom w:val="single" w:sz="8" w:color="auto"/>
            </w:tcBorders>
          </w:tcPr>
          <w:p>
            <w:pPr>
              <w:jc w:val="right"/>
              <w:ind w:right="364"/>
              <w:spacing w:after="0"/>
              <w:rPr>
                <w:sz w:val="20"/>
                <w:szCs w:val="20"/>
                <w:color w:val="auto"/>
              </w:rPr>
            </w:pPr>
            <w:r>
              <w:rPr>
                <w:rFonts w:ascii="Arial" w:cs="Arial" w:eastAsia="Arial" w:hAnsi="Arial"/>
                <w:sz w:val="16"/>
                <w:szCs w:val="16"/>
                <w:color w:val="auto"/>
              </w:rPr>
              <w:t>28.3%</w:t>
            </w:r>
          </w:p>
        </w:tc>
      </w:tr>
      <w:tr>
        <w:trPr>
          <w:trHeight w:val="183"/>
        </w:trPr>
        <w:tc>
          <w:tcPr>
            <w:tcW w:w="35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w:t>
            </w:r>
          </w:p>
        </w:tc>
        <w:tc>
          <w:tcPr>
            <w:tcW w:w="2400" w:type="dxa"/>
            <w:vAlign w:val="bottom"/>
            <w:tcBorders>
              <w:bottom w:val="single" w:sz="8" w:color="auto"/>
            </w:tcBorders>
          </w:tcPr>
          <w:p>
            <w:pPr>
              <w:jc w:val="right"/>
              <w:ind w:right="283"/>
              <w:spacing w:after="0" w:line="183" w:lineRule="exact"/>
              <w:rPr>
                <w:sz w:val="20"/>
                <w:szCs w:val="20"/>
                <w:color w:val="auto"/>
              </w:rPr>
            </w:pPr>
            <w:r>
              <w:rPr>
                <w:rFonts w:ascii="Arial" w:cs="Arial" w:eastAsia="Arial" w:hAnsi="Arial"/>
                <w:sz w:val="16"/>
                <w:szCs w:val="16"/>
                <w:b w:val="1"/>
                <w:bCs w:val="1"/>
                <w:color w:val="auto"/>
              </w:rPr>
              <w:t>$271,133</w:t>
            </w:r>
          </w:p>
        </w:tc>
        <w:tc>
          <w:tcPr>
            <w:tcW w:w="1300" w:type="dxa"/>
            <w:vAlign w:val="bottom"/>
            <w:tcBorders>
              <w:bottom w:val="single" w:sz="8" w:color="auto"/>
            </w:tcBorders>
          </w:tcPr>
          <w:p>
            <w:pPr>
              <w:jc w:val="right"/>
              <w:ind w:right="324"/>
              <w:spacing w:after="0" w:line="183" w:lineRule="exact"/>
              <w:rPr>
                <w:sz w:val="20"/>
                <w:szCs w:val="20"/>
                <w:color w:val="auto"/>
              </w:rPr>
            </w:pPr>
            <w:r>
              <w:rPr>
                <w:rFonts w:ascii="Arial" w:cs="Arial" w:eastAsia="Arial" w:hAnsi="Arial"/>
                <w:sz w:val="16"/>
                <w:szCs w:val="16"/>
                <w:color w:val="auto"/>
              </w:rPr>
              <w:t>$3,344</w:t>
            </w:r>
          </w:p>
        </w:tc>
        <w:tc>
          <w:tcPr>
            <w:tcW w:w="1360" w:type="dxa"/>
            <w:vAlign w:val="bottom"/>
            <w:tcBorders>
              <w:bottom w:val="single" w:sz="8" w:color="auto"/>
            </w:tcBorders>
          </w:tcPr>
          <w:p>
            <w:pPr>
              <w:jc w:val="right"/>
              <w:ind w:right="263"/>
              <w:spacing w:after="0" w:line="183" w:lineRule="exact"/>
              <w:rPr>
                <w:sz w:val="20"/>
                <w:szCs w:val="20"/>
                <w:color w:val="auto"/>
              </w:rPr>
            </w:pPr>
            <w:r>
              <w:rPr>
                <w:rFonts w:ascii="Arial" w:cs="Arial" w:eastAsia="Arial" w:hAnsi="Arial"/>
                <w:sz w:val="16"/>
                <w:szCs w:val="16"/>
                <w:color w:val="auto"/>
              </w:rPr>
              <w:t>$274,477</w:t>
            </w:r>
          </w:p>
        </w:tc>
        <w:tc>
          <w:tcPr>
            <w:tcW w:w="1320" w:type="dxa"/>
            <w:vAlign w:val="bottom"/>
            <w:tcBorders>
              <w:bottom w:val="single" w:sz="8" w:color="auto"/>
            </w:tcBorders>
          </w:tcPr>
          <w:p>
            <w:pPr>
              <w:jc w:val="right"/>
              <w:ind w:right="223"/>
              <w:spacing w:after="0" w:line="183" w:lineRule="exact"/>
              <w:rPr>
                <w:sz w:val="20"/>
                <w:szCs w:val="20"/>
                <w:color w:val="auto"/>
              </w:rPr>
            </w:pPr>
            <w:r>
              <w:rPr>
                <w:rFonts w:ascii="Arial" w:cs="Arial" w:eastAsia="Arial" w:hAnsi="Arial"/>
                <w:sz w:val="16"/>
                <w:szCs w:val="16"/>
                <w:color w:val="auto"/>
              </w:rPr>
              <w:t>$251,889</w:t>
            </w:r>
          </w:p>
        </w:tc>
        <w:tc>
          <w:tcPr>
            <w:tcW w:w="1520" w:type="dxa"/>
            <w:vAlign w:val="bottom"/>
            <w:tcBorders>
              <w:bottom w:val="single" w:sz="8" w:color="auto"/>
            </w:tcBorders>
          </w:tcPr>
          <w:p>
            <w:pPr>
              <w:jc w:val="right"/>
              <w:ind w:right="364"/>
              <w:spacing w:after="0" w:line="183" w:lineRule="exact"/>
              <w:rPr>
                <w:sz w:val="20"/>
                <w:szCs w:val="20"/>
                <w:color w:val="auto"/>
              </w:rPr>
            </w:pPr>
            <w:r>
              <w:rPr>
                <w:rFonts w:ascii="Arial" w:cs="Arial" w:eastAsia="Arial" w:hAnsi="Arial"/>
                <w:sz w:val="16"/>
                <w:szCs w:val="16"/>
                <w:color w:val="auto"/>
              </w:rPr>
              <w:t>9.0%</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Borders>
              <w:top w:val="single" w:sz="8" w:color="auto"/>
            </w:tcBorders>
          </w:tcPr>
          <w:p>
            <w:pPr>
              <w:spacing w:after="0"/>
              <w:rPr>
                <w:sz w:val="14"/>
                <w:szCs w:val="14"/>
                <w:color w:val="auto"/>
              </w:rPr>
            </w:pPr>
          </w:p>
        </w:tc>
        <w:tc>
          <w:tcPr>
            <w:tcW w:w="2280" w:type="dxa"/>
            <w:vAlign w:val="bottom"/>
            <w:tcBorders>
              <w:top w:val="single" w:sz="8" w:color="auto"/>
            </w:tcBorders>
          </w:tcPr>
          <w:p>
            <w:pPr>
              <w:jc w:val="center"/>
              <w:ind w:left="945"/>
              <w:spacing w:after="0"/>
              <w:rPr>
                <w:sz w:val="20"/>
                <w:szCs w:val="20"/>
                <w:color w:val="auto"/>
              </w:rPr>
            </w:pPr>
            <w:r>
              <w:rPr>
                <w:rFonts w:ascii="Arial" w:cs="Arial" w:eastAsia="Arial" w:hAnsi="Arial"/>
                <w:sz w:val="14"/>
                <w:szCs w:val="14"/>
                <w:b w:val="1"/>
                <w:bCs w:val="1"/>
                <w:color w:val="auto"/>
              </w:rPr>
              <w:t>Net sales as</w:t>
            </w:r>
          </w:p>
        </w:tc>
        <w:tc>
          <w:tcPr>
            <w:tcW w:w="13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r>
      <w:tr>
        <w:trPr>
          <w:trHeight w:val="162"/>
        </w:trPr>
        <w:tc>
          <w:tcPr>
            <w:tcW w:w="3580" w:type="dxa"/>
            <w:vAlign w:val="bottom"/>
          </w:tcPr>
          <w:p>
            <w:pPr>
              <w:spacing w:after="0"/>
              <w:rPr>
                <w:sz w:val="14"/>
                <w:szCs w:val="14"/>
                <w:color w:val="auto"/>
              </w:rPr>
            </w:pPr>
          </w:p>
        </w:tc>
        <w:tc>
          <w:tcPr>
            <w:tcW w:w="2280" w:type="dxa"/>
            <w:vAlign w:val="bottom"/>
          </w:tcPr>
          <w:p>
            <w:pPr>
              <w:jc w:val="center"/>
              <w:ind w:left="925"/>
              <w:spacing w:after="0"/>
              <w:rPr>
                <w:sz w:val="20"/>
                <w:szCs w:val="20"/>
                <w:color w:val="auto"/>
              </w:rPr>
            </w:pPr>
            <w:r>
              <w:rPr>
                <w:rFonts w:ascii="Arial" w:cs="Arial" w:eastAsia="Arial" w:hAnsi="Arial"/>
                <w:sz w:val="14"/>
                <w:szCs w:val="14"/>
                <w:b w:val="1"/>
                <w:bCs w:val="1"/>
                <w:color w:val="auto"/>
              </w:rPr>
              <w:t>reported, nine</w:t>
            </w:r>
          </w:p>
        </w:tc>
        <w:tc>
          <w:tcPr>
            <w:tcW w:w="1320" w:type="dxa"/>
            <w:vAlign w:val="bottom"/>
          </w:tcPr>
          <w:p>
            <w:pPr>
              <w:jc w:val="center"/>
              <w:ind w:left="4"/>
              <w:spacing w:after="0"/>
              <w:rPr>
                <w:sz w:val="20"/>
                <w:szCs w:val="20"/>
                <w:color w:val="auto"/>
              </w:rPr>
            </w:pPr>
            <w:r>
              <w:rPr>
                <w:rFonts w:ascii="Arial" w:cs="Arial" w:eastAsia="Arial" w:hAnsi="Arial"/>
                <w:sz w:val="14"/>
                <w:szCs w:val="14"/>
                <w:b w:val="1"/>
                <w:bCs w:val="1"/>
                <w:color w:val="auto"/>
              </w:rPr>
              <w:t>Decrease due to</w:t>
            </w:r>
          </w:p>
        </w:tc>
        <w:tc>
          <w:tcPr>
            <w:tcW w:w="14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Net sales as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 Change compared</w:t>
            </w:r>
          </w:p>
        </w:tc>
      </w:tr>
      <w:tr>
        <w:trPr>
          <w:trHeight w:val="162"/>
        </w:trPr>
        <w:tc>
          <w:tcPr>
            <w:tcW w:w="3580" w:type="dxa"/>
            <w:vAlign w:val="bottom"/>
          </w:tcPr>
          <w:p>
            <w:pPr>
              <w:spacing w:after="0"/>
              <w:rPr>
                <w:sz w:val="14"/>
                <w:szCs w:val="14"/>
                <w:color w:val="auto"/>
              </w:rPr>
            </w:pPr>
          </w:p>
        </w:tc>
        <w:tc>
          <w:tcPr>
            <w:tcW w:w="2280" w:type="dxa"/>
            <w:vAlign w:val="bottom"/>
          </w:tcPr>
          <w:p>
            <w:pPr>
              <w:jc w:val="center"/>
              <w:ind w:left="945"/>
              <w:spacing w:after="0"/>
              <w:rPr>
                <w:sz w:val="20"/>
                <w:szCs w:val="20"/>
                <w:color w:val="auto"/>
              </w:rPr>
            </w:pPr>
            <w:r>
              <w:rPr>
                <w:rFonts w:ascii="Arial" w:cs="Arial" w:eastAsia="Arial" w:hAnsi="Arial"/>
                <w:sz w:val="14"/>
                <w:szCs w:val="14"/>
                <w:b w:val="1"/>
                <w:bCs w:val="1"/>
                <w:color w:val="auto"/>
              </w:rPr>
              <w:t>months ended</w:t>
            </w:r>
          </w:p>
        </w:tc>
        <w:tc>
          <w:tcPr>
            <w:tcW w:w="1320" w:type="dxa"/>
            <w:vAlign w:val="bottom"/>
          </w:tcPr>
          <w:p>
            <w:pPr>
              <w:jc w:val="center"/>
              <w:ind w:left="4"/>
              <w:spacing w:after="0"/>
              <w:rPr>
                <w:sz w:val="20"/>
                <w:szCs w:val="20"/>
                <w:color w:val="auto"/>
              </w:rPr>
            </w:pPr>
            <w:r>
              <w:rPr>
                <w:rFonts w:ascii="Arial" w:cs="Arial" w:eastAsia="Arial" w:hAnsi="Arial"/>
                <w:sz w:val="14"/>
                <w:szCs w:val="14"/>
                <w:b w:val="1"/>
                <w:bCs w:val="1"/>
                <w:color w:val="auto"/>
              </w:rPr>
              <w:t>changes in</w:t>
            </w:r>
          </w:p>
        </w:tc>
        <w:tc>
          <w:tcPr>
            <w:tcW w:w="1460" w:type="dxa"/>
            <w:vAlign w:val="bottom"/>
          </w:tcPr>
          <w:p>
            <w:pPr>
              <w:jc w:val="right"/>
              <w:ind w:right="43"/>
              <w:spacing w:after="0"/>
              <w:rPr>
                <w:sz w:val="20"/>
                <w:szCs w:val="20"/>
                <w:color w:val="auto"/>
              </w:rPr>
            </w:pPr>
            <w:r>
              <w:rPr>
                <w:rFonts w:ascii="Arial" w:cs="Arial" w:eastAsia="Arial" w:hAnsi="Arial"/>
                <w:sz w:val="14"/>
                <w:szCs w:val="14"/>
                <w:b w:val="1"/>
                <w:bCs w:val="1"/>
                <w:color w:val="auto"/>
              </w:rPr>
              <w:t>First nine months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reported, nine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to 2018, excluding</w:t>
            </w:r>
          </w:p>
        </w:tc>
      </w:tr>
      <w:tr>
        <w:trPr>
          <w:trHeight w:val="162"/>
        </w:trPr>
        <w:tc>
          <w:tcPr>
            <w:tcW w:w="3580" w:type="dxa"/>
            <w:vAlign w:val="bottom"/>
          </w:tcPr>
          <w:p>
            <w:pPr>
              <w:spacing w:after="0"/>
              <w:rPr>
                <w:sz w:val="14"/>
                <w:szCs w:val="14"/>
                <w:color w:val="auto"/>
              </w:rPr>
            </w:pPr>
          </w:p>
        </w:tc>
        <w:tc>
          <w:tcPr>
            <w:tcW w:w="2280" w:type="dxa"/>
            <w:vAlign w:val="bottom"/>
          </w:tcPr>
          <w:p>
            <w:pPr>
              <w:jc w:val="center"/>
              <w:ind w:left="945"/>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Pr>
          <w:p>
            <w:pPr>
              <w:jc w:val="center"/>
              <w:ind w:left="4"/>
              <w:spacing w:after="0"/>
              <w:rPr>
                <w:sz w:val="20"/>
                <w:szCs w:val="20"/>
                <w:color w:val="auto"/>
              </w:rPr>
            </w:pPr>
            <w:r>
              <w:rPr>
                <w:rFonts w:ascii="Arial" w:cs="Arial" w:eastAsia="Arial" w:hAnsi="Arial"/>
                <w:sz w:val="14"/>
                <w:szCs w:val="14"/>
                <w:b w:val="1"/>
                <w:bCs w:val="1"/>
                <w:color w:val="auto"/>
              </w:rPr>
              <w:t>currency</w:t>
            </w:r>
          </w:p>
        </w:tc>
        <w:tc>
          <w:tcPr>
            <w:tcW w:w="1460" w:type="dxa"/>
            <w:vAlign w:val="bottom"/>
          </w:tcPr>
          <w:p>
            <w:pPr>
              <w:jc w:val="right"/>
              <w:ind w:right="103"/>
              <w:spacing w:after="0"/>
              <w:rPr>
                <w:sz w:val="20"/>
                <w:szCs w:val="20"/>
                <w:color w:val="auto"/>
              </w:rPr>
            </w:pPr>
            <w:r>
              <w:rPr>
                <w:rFonts w:ascii="Arial" w:cs="Arial" w:eastAsia="Arial" w:hAnsi="Arial"/>
                <w:sz w:val="14"/>
                <w:szCs w:val="14"/>
                <w:b w:val="1"/>
                <w:bCs w:val="1"/>
                <w:color w:val="auto"/>
              </w:rPr>
              <w:t>of 2019 sales on</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months ended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changes in currency</w:t>
            </w:r>
          </w:p>
        </w:tc>
      </w:tr>
      <w:tr>
        <w:trPr>
          <w:trHeight w:val="175"/>
        </w:trPr>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percentages)</w:t>
            </w:r>
          </w:p>
        </w:tc>
        <w:tc>
          <w:tcPr>
            <w:tcW w:w="2280" w:type="dxa"/>
            <w:vAlign w:val="bottom"/>
            <w:tcBorders>
              <w:bottom w:val="single" w:sz="8" w:color="auto"/>
            </w:tcBorders>
          </w:tcPr>
          <w:p>
            <w:pPr>
              <w:jc w:val="center"/>
              <w:ind w:left="925"/>
              <w:spacing w:after="0"/>
              <w:rPr>
                <w:sz w:val="20"/>
                <w:szCs w:val="20"/>
                <w:color w:val="auto"/>
              </w:rPr>
            </w:pPr>
            <w:r>
              <w:rPr>
                <w:rFonts w:ascii="Arial" w:cs="Arial" w:eastAsia="Arial" w:hAnsi="Arial"/>
                <w:sz w:val="14"/>
                <w:szCs w:val="14"/>
                <w:b w:val="1"/>
                <w:bCs w:val="1"/>
                <w:color w:val="auto"/>
              </w:rPr>
              <w:t>2019</w:t>
            </w:r>
          </w:p>
        </w:tc>
        <w:tc>
          <w:tcPr>
            <w:tcW w:w="1320" w:type="dxa"/>
            <w:vAlign w:val="bottom"/>
            <w:tcBorders>
              <w:bottom w:val="single" w:sz="8" w:color="auto"/>
            </w:tcBorders>
          </w:tcPr>
          <w:p>
            <w:pPr>
              <w:jc w:val="center"/>
              <w:ind w:left="4"/>
              <w:spacing w:after="0"/>
              <w:rPr>
                <w:sz w:val="20"/>
                <w:szCs w:val="20"/>
                <w:color w:val="auto"/>
              </w:rPr>
            </w:pPr>
            <w:r>
              <w:rPr>
                <w:rFonts w:ascii="Arial" w:cs="Arial" w:eastAsia="Arial" w:hAnsi="Arial"/>
                <w:sz w:val="14"/>
                <w:szCs w:val="14"/>
                <w:b w:val="1"/>
                <w:bCs w:val="1"/>
                <w:color w:val="auto"/>
              </w:rPr>
              <w:t>translation rates</w:t>
            </w:r>
          </w:p>
        </w:tc>
        <w:tc>
          <w:tcPr>
            <w:tcW w:w="2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same basis as 2018September 30, 2018</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translation rates</w:t>
            </w:r>
          </w:p>
        </w:tc>
      </w:tr>
      <w:tr>
        <w:trPr>
          <w:trHeight w:val="164"/>
        </w:trPr>
        <w:tc>
          <w:tcPr>
            <w:tcW w:w="3580" w:type="dxa"/>
            <w:vAlign w:val="bottom"/>
          </w:tcPr>
          <w:p>
            <w:pPr>
              <w:spacing w:after="0" w:line="165" w:lineRule="exact"/>
              <w:rPr>
                <w:sz w:val="20"/>
                <w:szCs w:val="20"/>
                <w:color w:val="auto"/>
              </w:rPr>
            </w:pPr>
            <w:r>
              <w:rPr>
                <w:rFonts w:ascii="Arial" w:cs="Arial" w:eastAsia="Arial" w:hAnsi="Arial"/>
                <w:sz w:val="16"/>
                <w:szCs w:val="16"/>
                <w:color w:val="auto"/>
              </w:rPr>
              <w:t>Machine Clothing</w:t>
            </w:r>
          </w:p>
        </w:tc>
        <w:tc>
          <w:tcPr>
            <w:tcW w:w="2280" w:type="dxa"/>
            <w:vAlign w:val="bottom"/>
          </w:tcPr>
          <w:p>
            <w:pPr>
              <w:jc w:val="right"/>
              <w:ind w:right="225"/>
              <w:spacing w:after="0" w:line="165" w:lineRule="exact"/>
              <w:rPr>
                <w:sz w:val="20"/>
                <w:szCs w:val="20"/>
                <w:color w:val="auto"/>
              </w:rPr>
            </w:pPr>
            <w:r>
              <w:rPr>
                <w:rFonts w:ascii="Arial" w:cs="Arial" w:eastAsia="Arial" w:hAnsi="Arial"/>
                <w:sz w:val="16"/>
                <w:szCs w:val="16"/>
                <w:b w:val="1"/>
                <w:bCs w:val="1"/>
                <w:color w:val="auto"/>
              </w:rPr>
              <w:t>$450,673</w:t>
            </w:r>
          </w:p>
        </w:tc>
        <w:tc>
          <w:tcPr>
            <w:tcW w:w="1320" w:type="dxa"/>
            <w:vAlign w:val="bottom"/>
          </w:tcPr>
          <w:p>
            <w:pPr>
              <w:jc w:val="right"/>
              <w:ind w:right="244"/>
              <w:spacing w:after="0" w:line="165" w:lineRule="exact"/>
              <w:rPr>
                <w:sz w:val="20"/>
                <w:szCs w:val="20"/>
                <w:color w:val="auto"/>
              </w:rPr>
            </w:pPr>
            <w:r>
              <w:rPr>
                <w:rFonts w:ascii="Arial" w:cs="Arial" w:eastAsia="Arial" w:hAnsi="Arial"/>
                <w:sz w:val="16"/>
                <w:szCs w:val="16"/>
                <w:color w:val="auto"/>
              </w:rPr>
              <w:t>$ 9,310</w:t>
            </w:r>
          </w:p>
        </w:tc>
        <w:tc>
          <w:tcPr>
            <w:tcW w:w="1460" w:type="dxa"/>
            <w:vAlign w:val="bottom"/>
          </w:tcPr>
          <w:p>
            <w:pPr>
              <w:jc w:val="right"/>
              <w:ind w:right="323"/>
              <w:spacing w:after="0" w:line="165" w:lineRule="exact"/>
              <w:rPr>
                <w:sz w:val="20"/>
                <w:szCs w:val="20"/>
                <w:color w:val="auto"/>
              </w:rPr>
            </w:pPr>
            <w:r>
              <w:rPr>
                <w:rFonts w:ascii="Arial" w:cs="Arial" w:eastAsia="Arial" w:hAnsi="Arial"/>
                <w:sz w:val="16"/>
                <w:szCs w:val="16"/>
                <w:color w:val="auto"/>
              </w:rPr>
              <w:t>$459,983</w:t>
            </w:r>
          </w:p>
        </w:tc>
        <w:tc>
          <w:tcPr>
            <w:tcW w:w="1300" w:type="dxa"/>
            <w:vAlign w:val="bottom"/>
          </w:tcPr>
          <w:p>
            <w:pPr>
              <w:jc w:val="right"/>
              <w:ind w:right="263"/>
              <w:spacing w:after="0" w:line="165" w:lineRule="exact"/>
              <w:rPr>
                <w:sz w:val="20"/>
                <w:szCs w:val="20"/>
                <w:color w:val="auto"/>
              </w:rPr>
            </w:pPr>
            <w:r>
              <w:rPr>
                <w:rFonts w:ascii="Arial" w:cs="Arial" w:eastAsia="Arial" w:hAnsi="Arial"/>
                <w:sz w:val="16"/>
                <w:szCs w:val="16"/>
                <w:color w:val="auto"/>
              </w:rPr>
              <w:t>$461,165</w:t>
            </w:r>
          </w:p>
        </w:tc>
        <w:tc>
          <w:tcPr>
            <w:tcW w:w="1480" w:type="dxa"/>
            <w:vAlign w:val="bottom"/>
          </w:tcPr>
          <w:p>
            <w:pPr>
              <w:jc w:val="right"/>
              <w:ind w:right="364"/>
              <w:spacing w:after="0" w:line="165" w:lineRule="exact"/>
              <w:rPr>
                <w:sz w:val="20"/>
                <w:szCs w:val="20"/>
                <w:color w:val="auto"/>
              </w:rPr>
            </w:pPr>
            <w:r>
              <w:rPr>
                <w:rFonts w:ascii="Arial" w:cs="Arial" w:eastAsia="Arial" w:hAnsi="Arial"/>
                <w:sz w:val="16"/>
                <w:szCs w:val="16"/>
                <w:color w:val="auto"/>
              </w:rPr>
              <w:t>-0.3%</w:t>
            </w:r>
          </w:p>
        </w:tc>
      </w:tr>
      <w:tr>
        <w:trPr>
          <w:trHeight w:val="207"/>
        </w:trPr>
        <w:tc>
          <w:tcPr>
            <w:tcW w:w="3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Albany Engineered Composites</w:t>
            </w:r>
          </w:p>
        </w:tc>
        <w:tc>
          <w:tcPr>
            <w:tcW w:w="2280" w:type="dxa"/>
            <w:vAlign w:val="bottom"/>
            <w:tcBorders>
              <w:bottom w:val="single" w:sz="8" w:color="auto"/>
            </w:tcBorders>
          </w:tcPr>
          <w:p>
            <w:pPr>
              <w:jc w:val="right"/>
              <w:ind w:right="225"/>
              <w:spacing w:after="0"/>
              <w:rPr>
                <w:sz w:val="20"/>
                <w:szCs w:val="20"/>
                <w:color w:val="auto"/>
              </w:rPr>
            </w:pPr>
            <w:r>
              <w:rPr>
                <w:rFonts w:ascii="Arial" w:cs="Arial" w:eastAsia="Arial" w:hAnsi="Arial"/>
                <w:sz w:val="16"/>
                <w:szCs w:val="16"/>
                <w:b w:val="1"/>
                <w:bCs w:val="1"/>
                <w:color w:val="auto"/>
              </w:rPr>
              <w:t>345,781</w:t>
            </w:r>
          </w:p>
        </w:tc>
        <w:tc>
          <w:tcPr>
            <w:tcW w:w="132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color w:val="auto"/>
              </w:rPr>
              <w:t>4,062</w:t>
            </w:r>
          </w:p>
        </w:tc>
        <w:tc>
          <w:tcPr>
            <w:tcW w:w="146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color w:val="auto"/>
              </w:rPr>
              <w:t>349,843</w:t>
            </w:r>
          </w:p>
        </w:tc>
        <w:tc>
          <w:tcPr>
            <w:tcW w:w="130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color w:val="auto"/>
              </w:rPr>
              <w:t>269,701</w:t>
            </w:r>
          </w:p>
        </w:tc>
        <w:tc>
          <w:tcPr>
            <w:tcW w:w="1480" w:type="dxa"/>
            <w:vAlign w:val="bottom"/>
            <w:tcBorders>
              <w:bottom w:val="single" w:sz="8" w:color="auto"/>
            </w:tcBorders>
          </w:tcPr>
          <w:p>
            <w:pPr>
              <w:jc w:val="right"/>
              <w:ind w:right="364"/>
              <w:spacing w:after="0"/>
              <w:rPr>
                <w:sz w:val="20"/>
                <w:szCs w:val="20"/>
                <w:color w:val="auto"/>
              </w:rPr>
            </w:pPr>
            <w:r>
              <w:rPr>
                <w:rFonts w:ascii="Arial" w:cs="Arial" w:eastAsia="Arial" w:hAnsi="Arial"/>
                <w:sz w:val="16"/>
                <w:szCs w:val="16"/>
                <w:color w:val="auto"/>
              </w:rPr>
              <w:t>29.7%</w:t>
            </w:r>
          </w:p>
        </w:tc>
      </w:tr>
      <w:tr>
        <w:trPr>
          <w:trHeight w:val="183"/>
        </w:trPr>
        <w:tc>
          <w:tcPr>
            <w:tcW w:w="35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w:t>
            </w:r>
          </w:p>
        </w:tc>
        <w:tc>
          <w:tcPr>
            <w:tcW w:w="2280" w:type="dxa"/>
            <w:vAlign w:val="bottom"/>
            <w:tcBorders>
              <w:bottom w:val="single" w:sz="8" w:color="auto"/>
            </w:tcBorders>
          </w:tcPr>
          <w:p>
            <w:pPr>
              <w:jc w:val="right"/>
              <w:ind w:right="225"/>
              <w:spacing w:after="0" w:line="183" w:lineRule="exact"/>
              <w:rPr>
                <w:sz w:val="20"/>
                <w:szCs w:val="20"/>
                <w:color w:val="auto"/>
              </w:rPr>
            </w:pPr>
            <w:r>
              <w:rPr>
                <w:rFonts w:ascii="Arial" w:cs="Arial" w:eastAsia="Arial" w:hAnsi="Arial"/>
                <w:sz w:val="16"/>
                <w:szCs w:val="16"/>
                <w:b w:val="1"/>
                <w:bCs w:val="1"/>
                <w:color w:val="auto"/>
              </w:rPr>
              <w:t>$796,454</w:t>
            </w:r>
          </w:p>
        </w:tc>
        <w:tc>
          <w:tcPr>
            <w:tcW w:w="1320" w:type="dxa"/>
            <w:vAlign w:val="bottom"/>
            <w:tcBorders>
              <w:bottom w:val="single" w:sz="8" w:color="auto"/>
            </w:tcBorders>
          </w:tcPr>
          <w:p>
            <w:pPr>
              <w:jc w:val="right"/>
              <w:ind w:right="244"/>
              <w:spacing w:after="0" w:line="183" w:lineRule="exact"/>
              <w:rPr>
                <w:sz w:val="20"/>
                <w:szCs w:val="20"/>
                <w:color w:val="auto"/>
              </w:rPr>
            </w:pPr>
            <w:r>
              <w:rPr>
                <w:rFonts w:ascii="Arial" w:cs="Arial" w:eastAsia="Arial" w:hAnsi="Arial"/>
                <w:sz w:val="16"/>
                <w:szCs w:val="16"/>
                <w:color w:val="auto"/>
              </w:rPr>
              <w:t>$13,372</w:t>
            </w:r>
          </w:p>
        </w:tc>
        <w:tc>
          <w:tcPr>
            <w:tcW w:w="1460" w:type="dxa"/>
            <w:vAlign w:val="bottom"/>
            <w:tcBorders>
              <w:bottom w:val="single" w:sz="8" w:color="auto"/>
            </w:tcBorders>
          </w:tcPr>
          <w:p>
            <w:pPr>
              <w:jc w:val="right"/>
              <w:ind w:right="323"/>
              <w:spacing w:after="0" w:line="183" w:lineRule="exact"/>
              <w:rPr>
                <w:sz w:val="20"/>
                <w:szCs w:val="20"/>
                <w:color w:val="auto"/>
              </w:rPr>
            </w:pPr>
            <w:r>
              <w:rPr>
                <w:rFonts w:ascii="Arial" w:cs="Arial" w:eastAsia="Arial" w:hAnsi="Arial"/>
                <w:sz w:val="16"/>
                <w:szCs w:val="16"/>
                <w:color w:val="auto"/>
              </w:rPr>
              <w:t>$809,826</w:t>
            </w:r>
          </w:p>
        </w:tc>
        <w:tc>
          <w:tcPr>
            <w:tcW w:w="1300" w:type="dxa"/>
            <w:vAlign w:val="bottom"/>
            <w:tcBorders>
              <w:bottom w:val="single" w:sz="8" w:color="auto"/>
            </w:tcBorders>
          </w:tcPr>
          <w:p>
            <w:pPr>
              <w:jc w:val="right"/>
              <w:ind w:right="263"/>
              <w:spacing w:after="0" w:line="183" w:lineRule="exact"/>
              <w:rPr>
                <w:sz w:val="20"/>
                <w:szCs w:val="20"/>
                <w:color w:val="auto"/>
              </w:rPr>
            </w:pPr>
            <w:r>
              <w:rPr>
                <w:rFonts w:ascii="Arial" w:cs="Arial" w:eastAsia="Arial" w:hAnsi="Arial"/>
                <w:sz w:val="16"/>
                <w:szCs w:val="16"/>
                <w:color w:val="auto"/>
              </w:rPr>
              <w:t>$730,866</w:t>
            </w:r>
          </w:p>
        </w:tc>
        <w:tc>
          <w:tcPr>
            <w:tcW w:w="1480" w:type="dxa"/>
            <w:vAlign w:val="bottom"/>
            <w:tcBorders>
              <w:bottom w:val="single" w:sz="8" w:color="auto"/>
            </w:tcBorders>
          </w:tcPr>
          <w:p>
            <w:pPr>
              <w:jc w:val="right"/>
              <w:ind w:right="364"/>
              <w:spacing w:after="0" w:line="183" w:lineRule="exact"/>
              <w:rPr>
                <w:sz w:val="20"/>
                <w:szCs w:val="20"/>
                <w:color w:val="auto"/>
              </w:rPr>
            </w:pPr>
            <w:r>
              <w:rPr>
                <w:rFonts w:ascii="Arial" w:cs="Arial" w:eastAsia="Arial" w:hAnsi="Arial"/>
                <w:sz w:val="16"/>
                <w:szCs w:val="16"/>
                <w:color w:val="auto"/>
              </w:rPr>
              <w:t>10.8%</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85" w:lineRule="exact"/>
        <w:rPr>
          <w:sz w:val="20"/>
          <w:szCs w:val="20"/>
          <w:color w:val="auto"/>
        </w:rPr>
      </w:pPr>
    </w:p>
    <w:p>
      <w:pPr>
        <w:ind w:left="580" w:hanging="248"/>
        <w:spacing w:after="0" w:line="246"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Net sales by $3.3 million during the third quarter of 2019, as compared to 2018, principally due to the weaker euro in 2019.</w:t>
      </w:r>
    </w:p>
    <w:p>
      <w:pPr>
        <w:spacing w:after="0" w:line="34"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49" w:lineRule="exact"/>
        <w:rPr>
          <w:rFonts w:ascii="Arial" w:cs="Arial" w:eastAsia="Arial" w:hAnsi="Arial"/>
          <w:sz w:val="18"/>
          <w:szCs w:val="18"/>
          <w:color w:val="auto"/>
        </w:rPr>
      </w:pPr>
    </w:p>
    <w:p>
      <w:pPr>
        <w:ind w:left="840" w:hanging="256"/>
        <w:spacing w:after="0"/>
        <w:tabs>
          <w:tab w:leader="none" w:pos="8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Net sales increased 9.0% compared to the same period in 2018.</w:t>
      </w:r>
    </w:p>
    <w:p>
      <w:pPr>
        <w:spacing w:after="0" w:line="63" w:lineRule="exact"/>
        <w:rPr>
          <w:rFonts w:ascii="Arial" w:cs="Arial" w:eastAsia="Arial" w:hAnsi="Arial"/>
          <w:sz w:val="18"/>
          <w:szCs w:val="18"/>
          <w:color w:val="auto"/>
        </w:rPr>
      </w:pPr>
    </w:p>
    <w:p>
      <w:pPr>
        <w:ind w:left="840" w:hanging="256"/>
        <w:spacing w:after="0" w:line="246" w:lineRule="auto"/>
        <w:tabs>
          <w:tab w:leader="none" w:pos="8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Net sales in MC decreased 2.6% compared to the third quarter of 2018. A decline in the publication grade sales was partially offset by a modest net increase across other grades.</w:t>
      </w:r>
    </w:p>
    <w:p>
      <w:pPr>
        <w:spacing w:after="0" w:line="34" w:lineRule="exact"/>
        <w:rPr>
          <w:rFonts w:ascii="Arial" w:cs="Arial" w:eastAsia="Arial" w:hAnsi="Arial"/>
          <w:sz w:val="18"/>
          <w:szCs w:val="18"/>
          <w:color w:val="auto"/>
        </w:rPr>
      </w:pPr>
    </w:p>
    <w:p>
      <w:pPr>
        <w:ind w:left="840" w:hanging="256"/>
        <w:spacing w:after="0"/>
        <w:tabs>
          <w:tab w:leader="none" w:pos="8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Net sales in AEC increased 28.3% primarily driven by growth in the LEAP, F-35 and Boeing 787 fuselage frames programs.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72" w:lineRule="exact"/>
        <w:rPr>
          <w:sz w:val="20"/>
          <w:szCs w:val="20"/>
          <w:color w:val="auto"/>
        </w:rPr>
      </w:pPr>
    </w:p>
    <w:p>
      <w:pPr>
        <w:ind w:left="580" w:hanging="248"/>
        <w:spacing w:after="0" w:line="246"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Net sales by $13.4 million for the first nine months of 2019, as compared to 2018, principally due to the weaker euro in 2019.</w:t>
      </w:r>
    </w:p>
    <w:p>
      <w:pPr>
        <w:spacing w:after="0" w:line="48" w:lineRule="exact"/>
        <w:rPr>
          <w:rFonts w:ascii="Arial" w:cs="Arial" w:eastAsia="Arial" w:hAnsi="Arial"/>
          <w:sz w:val="18"/>
          <w:szCs w:val="18"/>
          <w:color w:val="auto"/>
        </w:rPr>
      </w:pPr>
    </w:p>
    <w:p>
      <w:pPr>
        <w:ind w:left="580" w:hanging="24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49" w:lineRule="exact"/>
        <w:rPr>
          <w:rFonts w:ascii="Arial" w:cs="Arial" w:eastAsia="Arial" w:hAnsi="Arial"/>
          <w:sz w:val="18"/>
          <w:szCs w:val="18"/>
          <w:color w:val="auto"/>
        </w:rPr>
      </w:pPr>
    </w:p>
    <w:p>
      <w:pPr>
        <w:ind w:left="840" w:hanging="256"/>
        <w:spacing w:after="0"/>
        <w:tabs>
          <w:tab w:leader="none" w:pos="8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Net sales increased 10.8% compared to the same period in 2018.</w:t>
      </w:r>
    </w:p>
    <w:p>
      <w:pPr>
        <w:spacing w:after="0" w:line="49" w:lineRule="exact"/>
        <w:rPr>
          <w:rFonts w:ascii="Arial" w:cs="Arial" w:eastAsia="Arial" w:hAnsi="Arial"/>
          <w:sz w:val="18"/>
          <w:szCs w:val="18"/>
          <w:color w:val="auto"/>
        </w:rPr>
      </w:pPr>
    </w:p>
    <w:p>
      <w:pPr>
        <w:ind w:left="840" w:hanging="256"/>
        <w:spacing w:after="0" w:line="246" w:lineRule="auto"/>
        <w:tabs>
          <w:tab w:leader="none" w:pos="8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Net sales in MC decreased 0.3% compared to 2018. A decline in the publication grade sales was partially offset by a modest net increase across other grades.</w:t>
      </w:r>
    </w:p>
    <w:p>
      <w:pPr>
        <w:spacing w:after="0" w:line="48" w:lineRule="exact"/>
        <w:rPr>
          <w:rFonts w:ascii="Arial" w:cs="Arial" w:eastAsia="Arial" w:hAnsi="Arial"/>
          <w:sz w:val="18"/>
          <w:szCs w:val="18"/>
          <w:color w:val="auto"/>
        </w:rPr>
      </w:pPr>
    </w:p>
    <w:p>
      <w:pPr>
        <w:ind w:left="840" w:hanging="256"/>
        <w:spacing w:after="0"/>
        <w:tabs>
          <w:tab w:leader="none" w:pos="8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Net sales in AEC increased 29.7% primarily driven by growth in the LEAP, F-35 and Boeing 787 fuselage frames programs.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3780" w:type="dxa"/>
            <w:vAlign w:val="bottom"/>
            <w:tcBorders>
              <w:top w:val="single" w:sz="8" w:color="auto"/>
            </w:tcBorders>
          </w:tcPr>
          <w:p>
            <w:pPr>
              <w:spacing w:after="0"/>
              <w:rPr>
                <w:sz w:val="14"/>
                <w:szCs w:val="14"/>
                <w:color w:val="auto"/>
              </w:rPr>
            </w:pPr>
          </w:p>
        </w:tc>
        <w:tc>
          <w:tcPr>
            <w:tcW w:w="2880" w:type="dxa"/>
            <w:vAlign w:val="bottom"/>
            <w:tcBorders>
              <w:top w:val="single" w:sz="8" w:color="auto"/>
            </w:tcBorders>
            <w:gridSpan w:val="2"/>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2760" w:type="dxa"/>
            <w:vAlign w:val="bottom"/>
            <w:tcBorders>
              <w:top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2880" w:type="dxa"/>
            <w:vAlign w:val="bottom"/>
            <w:tcBorders>
              <w:bottom w:val="single" w:sz="8" w:color="auto"/>
            </w:tcBorders>
            <w:gridSpan w:val="2"/>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2760" w:type="dxa"/>
            <w:vAlign w:val="bottom"/>
            <w:tcBorders>
              <w:bottom w:val="single" w:sz="8" w:color="auto"/>
            </w:tcBorders>
            <w:gridSpan w:val="2"/>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3780" w:type="dxa"/>
            <w:vAlign w:val="bottom"/>
            <w:tcBorders>
              <w:bottom w:val="single" w:sz="8" w:color="auto"/>
            </w:tcBorders>
            <w:vMerge w:val="continue"/>
          </w:tcPr>
          <w:p>
            <w:pPr>
              <w:spacing w:after="0"/>
              <w:rPr>
                <w:sz w:val="13"/>
                <w:szCs w:val="13"/>
                <w:color w:val="auto"/>
              </w:rPr>
            </w:pPr>
          </w:p>
        </w:tc>
        <w:tc>
          <w:tcPr>
            <w:tcW w:w="1520" w:type="dxa"/>
            <w:vAlign w:val="bottom"/>
            <w:tcBorders>
              <w:bottom w:val="single" w:sz="8" w:color="auto"/>
            </w:tcBorders>
          </w:tcPr>
          <w:p>
            <w:pPr>
              <w:jc w:val="right"/>
              <w:ind w:right="582"/>
              <w:spacing w:after="0" w:line="155" w:lineRule="exact"/>
              <w:rPr>
                <w:sz w:val="20"/>
                <w:szCs w:val="20"/>
                <w:color w:val="auto"/>
              </w:rPr>
            </w:pPr>
            <w:r>
              <w:rPr>
                <w:rFonts w:ascii="Arial" w:cs="Arial" w:eastAsia="Arial" w:hAnsi="Arial"/>
                <w:sz w:val="14"/>
                <w:szCs w:val="14"/>
                <w:b w:val="1"/>
                <w:bCs w:val="1"/>
                <w:color w:val="auto"/>
              </w:rPr>
              <w:t>2019</w:t>
            </w:r>
          </w:p>
        </w:tc>
        <w:tc>
          <w:tcPr>
            <w:tcW w:w="1360" w:type="dxa"/>
            <w:vAlign w:val="bottom"/>
            <w:tcBorders>
              <w:bottom w:val="single" w:sz="8" w:color="auto"/>
            </w:tcBorders>
          </w:tcPr>
          <w:p>
            <w:pPr>
              <w:jc w:val="right"/>
              <w:ind w:right="520"/>
              <w:spacing w:after="0" w:line="155" w:lineRule="exact"/>
              <w:rPr>
                <w:sz w:val="20"/>
                <w:szCs w:val="20"/>
                <w:color w:val="auto"/>
              </w:rPr>
            </w:pPr>
            <w:r>
              <w:rPr>
                <w:rFonts w:ascii="Arial" w:cs="Arial" w:eastAsia="Arial" w:hAnsi="Arial"/>
                <w:sz w:val="14"/>
                <w:szCs w:val="14"/>
                <w:b w:val="1"/>
                <w:bCs w:val="1"/>
                <w:color w:val="auto"/>
              </w:rPr>
              <w:t>2018</w:t>
            </w:r>
          </w:p>
        </w:tc>
        <w:tc>
          <w:tcPr>
            <w:tcW w:w="1420" w:type="dxa"/>
            <w:vAlign w:val="bottom"/>
            <w:tcBorders>
              <w:bottom w:val="single" w:sz="8" w:color="auto"/>
            </w:tcBorders>
          </w:tcPr>
          <w:p>
            <w:pPr>
              <w:jc w:val="right"/>
              <w:ind w:right="522"/>
              <w:spacing w:after="0" w:line="155" w:lineRule="exact"/>
              <w:rPr>
                <w:sz w:val="20"/>
                <w:szCs w:val="20"/>
                <w:color w:val="auto"/>
              </w:rPr>
            </w:pPr>
            <w:r>
              <w:rPr>
                <w:rFonts w:ascii="Arial" w:cs="Arial" w:eastAsia="Arial" w:hAnsi="Arial"/>
                <w:sz w:val="14"/>
                <w:szCs w:val="14"/>
                <w:b w:val="1"/>
                <w:bCs w:val="1"/>
                <w:color w:val="auto"/>
              </w:rPr>
              <w:t>2019</w:t>
            </w:r>
          </w:p>
        </w:tc>
        <w:tc>
          <w:tcPr>
            <w:tcW w:w="1340" w:type="dxa"/>
            <w:vAlign w:val="bottom"/>
            <w:tcBorders>
              <w:bottom w:val="single" w:sz="8" w:color="auto"/>
            </w:tcBorders>
          </w:tcPr>
          <w:p>
            <w:pPr>
              <w:jc w:val="right"/>
              <w:ind w:right="460"/>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4"/>
        </w:trPr>
        <w:tc>
          <w:tcPr>
            <w:tcW w:w="3780" w:type="dxa"/>
            <w:vAlign w:val="bottom"/>
          </w:tcPr>
          <w:p>
            <w:pPr>
              <w:spacing w:after="0" w:line="165" w:lineRule="exact"/>
              <w:rPr>
                <w:sz w:val="20"/>
                <w:szCs w:val="20"/>
                <w:color w:val="auto"/>
              </w:rPr>
            </w:pPr>
            <w:r>
              <w:rPr>
                <w:rFonts w:ascii="Arial" w:cs="Arial" w:eastAsia="Arial" w:hAnsi="Arial"/>
                <w:sz w:val="16"/>
                <w:szCs w:val="16"/>
                <w:color w:val="auto"/>
              </w:rPr>
              <w:t>Machine Clothing</w:t>
            </w:r>
          </w:p>
        </w:tc>
        <w:tc>
          <w:tcPr>
            <w:tcW w:w="1520" w:type="dxa"/>
            <w:vAlign w:val="bottom"/>
          </w:tcPr>
          <w:p>
            <w:pPr>
              <w:jc w:val="right"/>
              <w:ind w:right="402"/>
              <w:spacing w:after="0" w:line="165" w:lineRule="exact"/>
              <w:rPr>
                <w:sz w:val="20"/>
                <w:szCs w:val="20"/>
                <w:color w:val="auto"/>
              </w:rPr>
            </w:pPr>
            <w:r>
              <w:rPr>
                <w:rFonts w:ascii="Arial" w:cs="Arial" w:eastAsia="Arial" w:hAnsi="Arial"/>
                <w:sz w:val="16"/>
                <w:szCs w:val="16"/>
                <w:b w:val="1"/>
                <w:bCs w:val="1"/>
                <w:color w:val="auto"/>
              </w:rPr>
              <w:t>$ 79,225</w:t>
            </w:r>
          </w:p>
        </w:tc>
        <w:tc>
          <w:tcPr>
            <w:tcW w:w="1360" w:type="dxa"/>
            <w:vAlign w:val="bottom"/>
          </w:tcPr>
          <w:p>
            <w:pPr>
              <w:jc w:val="right"/>
              <w:ind w:right="380"/>
              <w:spacing w:after="0" w:line="165" w:lineRule="exact"/>
              <w:rPr>
                <w:sz w:val="20"/>
                <w:szCs w:val="20"/>
                <w:color w:val="auto"/>
              </w:rPr>
            </w:pPr>
            <w:r>
              <w:rPr>
                <w:rFonts w:ascii="Arial" w:cs="Arial" w:eastAsia="Arial" w:hAnsi="Arial"/>
                <w:sz w:val="16"/>
                <w:szCs w:val="16"/>
                <w:color w:val="auto"/>
              </w:rPr>
              <w:t>$78,727</w:t>
            </w:r>
          </w:p>
        </w:tc>
        <w:tc>
          <w:tcPr>
            <w:tcW w:w="1420" w:type="dxa"/>
            <w:vAlign w:val="bottom"/>
          </w:tcPr>
          <w:p>
            <w:pPr>
              <w:jc w:val="right"/>
              <w:ind w:right="342"/>
              <w:spacing w:after="0" w:line="165" w:lineRule="exact"/>
              <w:rPr>
                <w:sz w:val="20"/>
                <w:szCs w:val="20"/>
                <w:color w:val="auto"/>
              </w:rPr>
            </w:pPr>
            <w:r>
              <w:rPr>
                <w:rFonts w:ascii="Arial" w:cs="Arial" w:eastAsia="Arial" w:hAnsi="Arial"/>
                <w:sz w:val="16"/>
                <w:szCs w:val="16"/>
                <w:b w:val="1"/>
                <w:bCs w:val="1"/>
                <w:color w:val="auto"/>
              </w:rPr>
              <w:t>$234,040</w:t>
            </w:r>
          </w:p>
        </w:tc>
        <w:tc>
          <w:tcPr>
            <w:tcW w:w="1340" w:type="dxa"/>
            <w:vAlign w:val="bottom"/>
          </w:tcPr>
          <w:p>
            <w:pPr>
              <w:jc w:val="right"/>
              <w:ind w:right="280"/>
              <w:spacing w:after="0" w:line="165" w:lineRule="exact"/>
              <w:rPr>
                <w:sz w:val="20"/>
                <w:szCs w:val="20"/>
                <w:color w:val="auto"/>
              </w:rPr>
            </w:pPr>
            <w:r>
              <w:rPr>
                <w:rFonts w:ascii="Arial" w:cs="Arial" w:eastAsia="Arial" w:hAnsi="Arial"/>
                <w:sz w:val="16"/>
                <w:szCs w:val="16"/>
                <w:color w:val="auto"/>
              </w:rPr>
              <w:t>$224,111</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Albany Engineered Composites</w:t>
            </w:r>
          </w:p>
        </w:tc>
        <w:tc>
          <w:tcPr>
            <w:tcW w:w="1520" w:type="dxa"/>
            <w:vAlign w:val="bottom"/>
          </w:tcPr>
          <w:p>
            <w:pPr>
              <w:jc w:val="right"/>
              <w:ind w:right="402"/>
              <w:spacing w:after="0"/>
              <w:rPr>
                <w:sz w:val="20"/>
                <w:szCs w:val="20"/>
                <w:color w:val="auto"/>
              </w:rPr>
            </w:pPr>
            <w:r>
              <w:rPr>
                <w:rFonts w:ascii="Arial" w:cs="Arial" w:eastAsia="Arial" w:hAnsi="Arial"/>
                <w:sz w:val="16"/>
                <w:szCs w:val="16"/>
                <w:b w:val="1"/>
                <w:bCs w:val="1"/>
                <w:color w:val="auto"/>
              </w:rPr>
              <w:t>24,882</w:t>
            </w:r>
          </w:p>
        </w:tc>
        <w:tc>
          <w:tcPr>
            <w:tcW w:w="1360" w:type="dxa"/>
            <w:vAlign w:val="bottom"/>
          </w:tcPr>
          <w:p>
            <w:pPr>
              <w:jc w:val="right"/>
              <w:ind w:right="380"/>
              <w:spacing w:after="0"/>
              <w:rPr>
                <w:sz w:val="20"/>
                <w:szCs w:val="20"/>
                <w:color w:val="auto"/>
              </w:rPr>
            </w:pPr>
            <w:r>
              <w:rPr>
                <w:rFonts w:ascii="Arial" w:cs="Arial" w:eastAsia="Arial" w:hAnsi="Arial"/>
                <w:sz w:val="16"/>
                <w:szCs w:val="16"/>
                <w:color w:val="auto"/>
              </w:rPr>
              <w:t>13,727</w:t>
            </w:r>
          </w:p>
        </w:tc>
        <w:tc>
          <w:tcPr>
            <w:tcW w:w="1420" w:type="dxa"/>
            <w:vAlign w:val="bottom"/>
          </w:tcPr>
          <w:p>
            <w:pPr>
              <w:jc w:val="right"/>
              <w:ind w:right="362"/>
              <w:spacing w:after="0"/>
              <w:rPr>
                <w:sz w:val="20"/>
                <w:szCs w:val="20"/>
                <w:color w:val="auto"/>
              </w:rPr>
            </w:pPr>
            <w:r>
              <w:rPr>
                <w:rFonts w:ascii="Arial" w:cs="Arial" w:eastAsia="Arial" w:hAnsi="Arial"/>
                <w:sz w:val="16"/>
                <w:szCs w:val="16"/>
                <w:b w:val="1"/>
                <w:bCs w:val="1"/>
                <w:color w:val="auto"/>
              </w:rPr>
              <w:t>67,020</w:t>
            </w:r>
          </w:p>
        </w:tc>
        <w:tc>
          <w:tcPr>
            <w:tcW w:w="1340" w:type="dxa"/>
            <w:vAlign w:val="bottom"/>
          </w:tcPr>
          <w:p>
            <w:pPr>
              <w:jc w:val="right"/>
              <w:ind w:right="280"/>
              <w:spacing w:after="0"/>
              <w:rPr>
                <w:sz w:val="20"/>
                <w:szCs w:val="20"/>
                <w:color w:val="auto"/>
              </w:rPr>
            </w:pPr>
            <w:r>
              <w:rPr>
                <w:rFonts w:ascii="Arial" w:cs="Arial" w:eastAsia="Arial" w:hAnsi="Arial"/>
                <w:sz w:val="16"/>
                <w:szCs w:val="16"/>
                <w:color w:val="auto"/>
              </w:rPr>
              <w:t>37,877</w:t>
            </w:r>
          </w:p>
        </w:tc>
        <w:tc>
          <w:tcPr>
            <w:tcW w:w="0" w:type="dxa"/>
            <w:vAlign w:val="bottom"/>
          </w:tcPr>
          <w:p>
            <w:pPr>
              <w:spacing w:after="0"/>
              <w:rPr>
                <w:sz w:val="1"/>
                <w:szCs w:val="1"/>
                <w:color w:val="auto"/>
              </w:rPr>
            </w:pPr>
          </w:p>
        </w:tc>
      </w:tr>
      <w:tr>
        <w:trPr>
          <w:trHeight w:val="207"/>
        </w:trPr>
        <w:tc>
          <w:tcPr>
            <w:tcW w:w="3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Corporate expenses</w:t>
            </w:r>
          </w:p>
        </w:tc>
        <w:tc>
          <w:tcPr>
            <w:tcW w:w="15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(52)</w:t>
            </w:r>
          </w:p>
        </w:tc>
        <w:tc>
          <w:tcPr>
            <w:tcW w:w="14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183"/>
        </w:trPr>
        <w:tc>
          <w:tcPr>
            <w:tcW w:w="37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w:t>
            </w:r>
          </w:p>
        </w:tc>
        <w:tc>
          <w:tcPr>
            <w:tcW w:w="1520" w:type="dxa"/>
            <w:vAlign w:val="bottom"/>
            <w:tcBorders>
              <w:bottom w:val="single" w:sz="8" w:color="auto"/>
            </w:tcBorders>
          </w:tcPr>
          <w:p>
            <w:pPr>
              <w:jc w:val="right"/>
              <w:ind w:right="402"/>
              <w:spacing w:after="0" w:line="183" w:lineRule="exact"/>
              <w:rPr>
                <w:sz w:val="20"/>
                <w:szCs w:val="20"/>
                <w:color w:val="auto"/>
              </w:rPr>
            </w:pPr>
            <w:r>
              <w:rPr>
                <w:rFonts w:ascii="Arial" w:cs="Arial" w:eastAsia="Arial" w:hAnsi="Arial"/>
                <w:sz w:val="16"/>
                <w:szCs w:val="16"/>
                <w:b w:val="1"/>
                <w:bCs w:val="1"/>
                <w:color w:val="auto"/>
              </w:rPr>
              <w:t>$104,107</w:t>
            </w:r>
          </w:p>
        </w:tc>
        <w:tc>
          <w:tcPr>
            <w:tcW w:w="1360" w:type="dxa"/>
            <w:vAlign w:val="bottom"/>
            <w:tcBorders>
              <w:bottom w:val="single" w:sz="8" w:color="auto"/>
            </w:tcBorders>
          </w:tcPr>
          <w:p>
            <w:pPr>
              <w:jc w:val="right"/>
              <w:ind w:right="380"/>
              <w:spacing w:after="0" w:line="183" w:lineRule="exact"/>
              <w:rPr>
                <w:sz w:val="20"/>
                <w:szCs w:val="20"/>
                <w:color w:val="auto"/>
              </w:rPr>
            </w:pPr>
            <w:r>
              <w:rPr>
                <w:rFonts w:ascii="Arial" w:cs="Arial" w:eastAsia="Arial" w:hAnsi="Arial"/>
                <w:sz w:val="16"/>
                <w:szCs w:val="16"/>
                <w:color w:val="auto"/>
              </w:rPr>
              <w:t>$92,402</w:t>
            </w:r>
          </w:p>
        </w:tc>
        <w:tc>
          <w:tcPr>
            <w:tcW w:w="1420" w:type="dxa"/>
            <w:vAlign w:val="bottom"/>
            <w:tcBorders>
              <w:bottom w:val="single" w:sz="8" w:color="auto"/>
            </w:tcBorders>
          </w:tcPr>
          <w:p>
            <w:pPr>
              <w:jc w:val="right"/>
              <w:ind w:right="342"/>
              <w:spacing w:after="0" w:line="183" w:lineRule="exact"/>
              <w:rPr>
                <w:sz w:val="20"/>
                <w:szCs w:val="20"/>
                <w:color w:val="auto"/>
              </w:rPr>
            </w:pPr>
            <w:r>
              <w:rPr>
                <w:rFonts w:ascii="Arial" w:cs="Arial" w:eastAsia="Arial" w:hAnsi="Arial"/>
                <w:sz w:val="16"/>
                <w:szCs w:val="16"/>
                <w:b w:val="1"/>
                <w:bCs w:val="1"/>
                <w:color w:val="auto"/>
              </w:rPr>
              <w:t>$301,060</w:t>
            </w:r>
          </w:p>
        </w:tc>
        <w:tc>
          <w:tcPr>
            <w:tcW w:w="1340" w:type="dxa"/>
            <w:vAlign w:val="bottom"/>
            <w:tcBorders>
              <w:bottom w:val="single" w:sz="8" w:color="auto"/>
            </w:tcBorders>
          </w:tcPr>
          <w:p>
            <w:pPr>
              <w:jc w:val="right"/>
              <w:ind w:right="280"/>
              <w:spacing w:after="0" w:line="183" w:lineRule="exact"/>
              <w:rPr>
                <w:sz w:val="20"/>
                <w:szCs w:val="20"/>
                <w:color w:val="auto"/>
              </w:rPr>
            </w:pPr>
            <w:r>
              <w:rPr>
                <w:rFonts w:ascii="Arial" w:cs="Arial" w:eastAsia="Arial" w:hAnsi="Arial"/>
                <w:sz w:val="16"/>
                <w:szCs w:val="16"/>
                <w:color w:val="auto"/>
              </w:rPr>
              <w:t>$261,827</w:t>
            </w:r>
          </w:p>
        </w:tc>
        <w:tc>
          <w:tcPr>
            <w:tcW w:w="0" w:type="dxa"/>
            <w:vAlign w:val="bottom"/>
          </w:tcPr>
          <w:p>
            <w:pPr>
              <w:spacing w:after="0"/>
              <w:rPr>
                <w:sz w:val="1"/>
                <w:szCs w:val="1"/>
                <w:color w:val="auto"/>
              </w:rPr>
            </w:pPr>
          </w:p>
        </w:tc>
      </w:tr>
      <w:tr>
        <w:trPr>
          <w:trHeight w:val="183"/>
        </w:trPr>
        <w:tc>
          <w:tcPr>
            <w:tcW w:w="37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 of Net sales</w:t>
            </w:r>
          </w:p>
        </w:tc>
        <w:tc>
          <w:tcPr>
            <w:tcW w:w="1520" w:type="dxa"/>
            <w:vAlign w:val="bottom"/>
            <w:tcBorders>
              <w:bottom w:val="single" w:sz="8" w:color="auto"/>
            </w:tcBorders>
          </w:tcPr>
          <w:p>
            <w:pPr>
              <w:jc w:val="right"/>
              <w:ind w:right="242"/>
              <w:spacing w:after="0" w:line="183" w:lineRule="exact"/>
              <w:rPr>
                <w:sz w:val="20"/>
                <w:szCs w:val="20"/>
                <w:color w:val="auto"/>
              </w:rPr>
            </w:pPr>
            <w:r>
              <w:rPr>
                <w:rFonts w:ascii="Arial" w:cs="Arial" w:eastAsia="Arial" w:hAnsi="Arial"/>
                <w:sz w:val="16"/>
                <w:szCs w:val="16"/>
                <w:b w:val="1"/>
                <w:bCs w:val="1"/>
                <w:color w:val="auto"/>
              </w:rPr>
              <w:t>38.4%</w:t>
            </w:r>
          </w:p>
        </w:tc>
        <w:tc>
          <w:tcPr>
            <w:tcW w:w="1360" w:type="dxa"/>
            <w:vAlign w:val="bottom"/>
            <w:tcBorders>
              <w:bottom w:val="single" w:sz="8" w:color="auto"/>
            </w:tcBorders>
          </w:tcPr>
          <w:p>
            <w:pPr>
              <w:jc w:val="right"/>
              <w:ind w:right="240"/>
              <w:spacing w:after="0" w:line="183" w:lineRule="exact"/>
              <w:rPr>
                <w:sz w:val="20"/>
                <w:szCs w:val="20"/>
                <w:color w:val="auto"/>
              </w:rPr>
            </w:pPr>
            <w:r>
              <w:rPr>
                <w:rFonts w:ascii="Arial" w:cs="Arial" w:eastAsia="Arial" w:hAnsi="Arial"/>
                <w:sz w:val="16"/>
                <w:szCs w:val="16"/>
                <w:color w:val="auto"/>
              </w:rPr>
              <w:t>36.7%</w:t>
            </w:r>
          </w:p>
        </w:tc>
        <w:tc>
          <w:tcPr>
            <w:tcW w:w="1420" w:type="dxa"/>
            <w:vAlign w:val="bottom"/>
            <w:tcBorders>
              <w:bottom w:val="single" w:sz="8" w:color="auto"/>
            </w:tcBorders>
          </w:tcPr>
          <w:p>
            <w:pPr>
              <w:jc w:val="right"/>
              <w:ind w:right="202"/>
              <w:spacing w:after="0" w:line="183" w:lineRule="exact"/>
              <w:rPr>
                <w:sz w:val="20"/>
                <w:szCs w:val="20"/>
                <w:color w:val="auto"/>
              </w:rPr>
            </w:pPr>
            <w:r>
              <w:rPr>
                <w:rFonts w:ascii="Arial" w:cs="Arial" w:eastAsia="Arial" w:hAnsi="Arial"/>
                <w:sz w:val="16"/>
                <w:szCs w:val="16"/>
                <w:b w:val="1"/>
                <w:bCs w:val="1"/>
                <w:color w:val="auto"/>
              </w:rPr>
              <w:t>37.8%</w:t>
            </w:r>
          </w:p>
        </w:tc>
        <w:tc>
          <w:tcPr>
            <w:tcW w:w="1340" w:type="dxa"/>
            <w:vAlign w:val="bottom"/>
            <w:tcBorders>
              <w:bottom w:val="single" w:sz="8" w:color="auto"/>
            </w:tcBorders>
          </w:tcPr>
          <w:p>
            <w:pPr>
              <w:jc w:val="right"/>
              <w:ind w:right="140"/>
              <w:spacing w:after="0" w:line="183" w:lineRule="exact"/>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6"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The increase in 2019 Gross profit, as compared to the same period in 2018, was principally due to the net effect of the following individually significant items:</w:t>
      </w:r>
    </w:p>
    <w:p>
      <w:pPr>
        <w:spacing w:after="0" w:line="48" w:lineRule="exact"/>
        <w:rPr>
          <w:sz w:val="20"/>
          <w:szCs w:val="20"/>
          <w:color w:val="auto"/>
        </w:rPr>
      </w:pPr>
    </w:p>
    <w:p>
      <w:pPr>
        <w:jc w:val="both"/>
        <w:ind w:left="580" w:hanging="248"/>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AEC gross profit, principally due to higher sales and the favorable effect of changes in the estimated profitability of long-term contracts, which increased Gross profit by $3.3 million in the third quarter of 2019, compared to a $2.1 million increase in the same period of 2018.</w:t>
      </w:r>
    </w:p>
    <w:p>
      <w:pPr>
        <w:spacing w:after="0" w:line="40" w:lineRule="exact"/>
        <w:rPr>
          <w:rFonts w:ascii="Arial" w:cs="Arial" w:eastAsia="Arial" w:hAnsi="Arial"/>
          <w:sz w:val="18"/>
          <w:szCs w:val="18"/>
          <w:color w:val="auto"/>
        </w:rPr>
      </w:pPr>
    </w:p>
    <w:p>
      <w:pPr>
        <w:ind w:left="580" w:hanging="248"/>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MC gross profit, principally due to lower depreciation expense, partially offset by lower Net sales.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27" w:lineRule="exact"/>
        <w:rPr>
          <w:sz w:val="20"/>
          <w:szCs w:val="20"/>
          <w:color w:val="auto"/>
        </w:rPr>
      </w:pPr>
    </w:p>
    <w:p>
      <w:pPr>
        <w:ind w:left="580" w:hanging="248"/>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currency translation rates did not have a significant effect on gross profit in 2019.</w:t>
      </w:r>
    </w:p>
    <w:p>
      <w:pPr>
        <w:spacing w:after="0" w:line="8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Nine month comparison</w:t>
      </w:r>
    </w:p>
    <w:p>
      <w:pPr>
        <w:spacing w:after="0" w:line="126"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The increase in 2019 gross profit, as compared to the same period in 2018, was principally due to the net effect of the following individually significant items:</w:t>
      </w:r>
    </w:p>
    <w:p>
      <w:pPr>
        <w:spacing w:after="0" w:line="48" w:lineRule="exact"/>
        <w:rPr>
          <w:sz w:val="20"/>
          <w:szCs w:val="20"/>
          <w:color w:val="auto"/>
        </w:rPr>
      </w:pPr>
    </w:p>
    <w:p>
      <w:pPr>
        <w:jc w:val="both"/>
        <w:ind w:left="580" w:hanging="248"/>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AEC gross profit, principally due to higher sales and the favorable effect of changes in the estimated profitability of long-term contracts which increased Gross profit by $8.8 million in the first nine months of 2019, compared to an increase of $0.5 million in 2018.</w:t>
      </w:r>
    </w:p>
    <w:p>
      <w:pPr>
        <w:spacing w:after="0" w:line="40" w:lineRule="exact"/>
        <w:rPr>
          <w:rFonts w:ascii="Arial" w:cs="Arial" w:eastAsia="Arial" w:hAnsi="Arial"/>
          <w:sz w:val="18"/>
          <w:szCs w:val="18"/>
          <w:color w:val="auto"/>
        </w:rPr>
      </w:pPr>
    </w:p>
    <w:p>
      <w:pPr>
        <w:ind w:left="580" w:hanging="248"/>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MC gross profit, principally due to improved labor productivity.</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currency translation rates did not have a significant effect on Gross profit in 2019.</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Selling, Technical, General and Research (STG&amp;R) expenses include; selling, general, administrative, technical and research expenses.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STG&amp;R expenses by business segment:</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3780" w:type="dxa"/>
            <w:vAlign w:val="bottom"/>
            <w:tcBorders>
              <w:top w:val="single" w:sz="8" w:color="auto"/>
            </w:tcBorders>
          </w:tcPr>
          <w:p>
            <w:pPr>
              <w:spacing w:after="0"/>
              <w:rPr>
                <w:sz w:val="14"/>
                <w:szCs w:val="14"/>
                <w:color w:val="auto"/>
              </w:rPr>
            </w:pPr>
          </w:p>
        </w:tc>
        <w:tc>
          <w:tcPr>
            <w:tcW w:w="2880" w:type="dxa"/>
            <w:vAlign w:val="bottom"/>
            <w:tcBorders>
              <w:top w:val="single" w:sz="8" w:color="auto"/>
            </w:tcBorders>
            <w:gridSpan w:val="2"/>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2760" w:type="dxa"/>
            <w:vAlign w:val="bottom"/>
            <w:tcBorders>
              <w:top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2880" w:type="dxa"/>
            <w:vAlign w:val="bottom"/>
            <w:tcBorders>
              <w:bottom w:val="single" w:sz="8" w:color="auto"/>
            </w:tcBorders>
            <w:gridSpan w:val="2"/>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2760" w:type="dxa"/>
            <w:vAlign w:val="bottom"/>
            <w:tcBorders>
              <w:bottom w:val="single" w:sz="8" w:color="auto"/>
            </w:tcBorders>
            <w:gridSpan w:val="2"/>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3780" w:type="dxa"/>
            <w:vAlign w:val="bottom"/>
            <w:tcBorders>
              <w:bottom w:val="single" w:sz="8" w:color="auto"/>
            </w:tcBorders>
            <w:vMerge w:val="continue"/>
          </w:tcPr>
          <w:p>
            <w:pPr>
              <w:spacing w:after="0"/>
              <w:rPr>
                <w:sz w:val="13"/>
                <w:szCs w:val="13"/>
                <w:color w:val="auto"/>
              </w:rPr>
            </w:pPr>
          </w:p>
        </w:tc>
        <w:tc>
          <w:tcPr>
            <w:tcW w:w="1480" w:type="dxa"/>
            <w:vAlign w:val="bottom"/>
            <w:tcBorders>
              <w:bottom w:val="single" w:sz="8" w:color="auto"/>
            </w:tcBorders>
          </w:tcPr>
          <w:p>
            <w:pPr>
              <w:jc w:val="right"/>
              <w:ind w:right="542"/>
              <w:spacing w:after="0" w:line="155" w:lineRule="exact"/>
              <w:rPr>
                <w:sz w:val="20"/>
                <w:szCs w:val="20"/>
                <w:color w:val="auto"/>
              </w:rPr>
            </w:pPr>
            <w:r>
              <w:rPr>
                <w:rFonts w:ascii="Arial" w:cs="Arial" w:eastAsia="Arial" w:hAnsi="Arial"/>
                <w:sz w:val="14"/>
                <w:szCs w:val="14"/>
                <w:b w:val="1"/>
                <w:bCs w:val="1"/>
                <w:color w:val="auto"/>
              </w:rPr>
              <w:t>2019</w:t>
            </w:r>
          </w:p>
        </w:tc>
        <w:tc>
          <w:tcPr>
            <w:tcW w:w="1400" w:type="dxa"/>
            <w:vAlign w:val="bottom"/>
            <w:tcBorders>
              <w:bottom w:val="single" w:sz="8" w:color="auto"/>
            </w:tcBorders>
          </w:tcPr>
          <w:p>
            <w:pPr>
              <w:jc w:val="right"/>
              <w:ind w:right="520"/>
              <w:spacing w:after="0" w:line="155" w:lineRule="exact"/>
              <w:rPr>
                <w:sz w:val="20"/>
                <w:szCs w:val="20"/>
                <w:color w:val="auto"/>
              </w:rPr>
            </w:pPr>
            <w:r>
              <w:rPr>
                <w:rFonts w:ascii="Arial" w:cs="Arial" w:eastAsia="Arial" w:hAnsi="Arial"/>
                <w:sz w:val="14"/>
                <w:szCs w:val="14"/>
                <w:b w:val="1"/>
                <w:bCs w:val="1"/>
                <w:color w:val="auto"/>
              </w:rPr>
              <w:t>2018</w:t>
            </w:r>
          </w:p>
        </w:tc>
        <w:tc>
          <w:tcPr>
            <w:tcW w:w="1440" w:type="dxa"/>
            <w:vAlign w:val="bottom"/>
            <w:tcBorders>
              <w:bottom w:val="single" w:sz="8" w:color="auto"/>
            </w:tcBorders>
          </w:tcPr>
          <w:p>
            <w:pPr>
              <w:jc w:val="right"/>
              <w:ind w:right="542"/>
              <w:spacing w:after="0" w:line="155" w:lineRule="exact"/>
              <w:rPr>
                <w:sz w:val="20"/>
                <w:szCs w:val="20"/>
                <w:color w:val="auto"/>
              </w:rPr>
            </w:pPr>
            <w:r>
              <w:rPr>
                <w:rFonts w:ascii="Arial" w:cs="Arial" w:eastAsia="Arial" w:hAnsi="Arial"/>
                <w:sz w:val="14"/>
                <w:szCs w:val="14"/>
                <w:b w:val="1"/>
                <w:bCs w:val="1"/>
                <w:color w:val="auto"/>
              </w:rPr>
              <w:t>2019</w:t>
            </w:r>
          </w:p>
        </w:tc>
        <w:tc>
          <w:tcPr>
            <w:tcW w:w="1320" w:type="dxa"/>
            <w:vAlign w:val="bottom"/>
            <w:tcBorders>
              <w:bottom w:val="single" w:sz="8" w:color="auto"/>
            </w:tcBorders>
          </w:tcPr>
          <w:p>
            <w:pPr>
              <w:jc w:val="right"/>
              <w:ind w:right="460"/>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4"/>
        </w:trPr>
        <w:tc>
          <w:tcPr>
            <w:tcW w:w="3780" w:type="dxa"/>
            <w:vAlign w:val="bottom"/>
          </w:tcPr>
          <w:p>
            <w:pPr>
              <w:spacing w:after="0" w:line="165" w:lineRule="exact"/>
              <w:rPr>
                <w:sz w:val="20"/>
                <w:szCs w:val="20"/>
                <w:color w:val="auto"/>
              </w:rPr>
            </w:pPr>
            <w:r>
              <w:rPr>
                <w:rFonts w:ascii="Arial" w:cs="Arial" w:eastAsia="Arial" w:hAnsi="Arial"/>
                <w:sz w:val="16"/>
                <w:szCs w:val="16"/>
                <w:color w:val="auto"/>
              </w:rPr>
              <w:t>Machine Clothing</w:t>
            </w:r>
          </w:p>
        </w:tc>
        <w:tc>
          <w:tcPr>
            <w:tcW w:w="1480" w:type="dxa"/>
            <w:vAlign w:val="bottom"/>
          </w:tcPr>
          <w:p>
            <w:pPr>
              <w:jc w:val="right"/>
              <w:ind w:right="402"/>
              <w:spacing w:after="0" w:line="165" w:lineRule="exact"/>
              <w:rPr>
                <w:sz w:val="20"/>
                <w:szCs w:val="20"/>
                <w:color w:val="auto"/>
              </w:rPr>
            </w:pPr>
            <w:r>
              <w:rPr>
                <w:rFonts w:ascii="Arial" w:cs="Arial" w:eastAsia="Arial" w:hAnsi="Arial"/>
                <w:sz w:val="16"/>
                <w:szCs w:val="16"/>
                <w:b w:val="1"/>
                <w:bCs w:val="1"/>
                <w:color w:val="auto"/>
              </w:rPr>
              <w:t>$27,529</w:t>
            </w:r>
          </w:p>
        </w:tc>
        <w:tc>
          <w:tcPr>
            <w:tcW w:w="1400" w:type="dxa"/>
            <w:vAlign w:val="bottom"/>
          </w:tcPr>
          <w:p>
            <w:pPr>
              <w:jc w:val="right"/>
              <w:ind w:right="380"/>
              <w:spacing w:after="0" w:line="165" w:lineRule="exact"/>
              <w:rPr>
                <w:sz w:val="20"/>
                <w:szCs w:val="20"/>
                <w:color w:val="auto"/>
              </w:rPr>
            </w:pPr>
            <w:r>
              <w:rPr>
                <w:rFonts w:ascii="Arial" w:cs="Arial" w:eastAsia="Arial" w:hAnsi="Arial"/>
                <w:sz w:val="16"/>
                <w:szCs w:val="16"/>
                <w:color w:val="auto"/>
              </w:rPr>
              <w:t>$28,661</w:t>
            </w:r>
          </w:p>
        </w:tc>
        <w:tc>
          <w:tcPr>
            <w:tcW w:w="1440" w:type="dxa"/>
            <w:vAlign w:val="bottom"/>
          </w:tcPr>
          <w:p>
            <w:pPr>
              <w:jc w:val="right"/>
              <w:ind w:right="382"/>
              <w:spacing w:after="0" w:line="165" w:lineRule="exact"/>
              <w:rPr>
                <w:sz w:val="20"/>
                <w:szCs w:val="20"/>
                <w:color w:val="auto"/>
              </w:rPr>
            </w:pPr>
            <w:r>
              <w:rPr>
                <w:rFonts w:ascii="Arial" w:cs="Arial" w:eastAsia="Arial" w:hAnsi="Arial"/>
                <w:sz w:val="16"/>
                <w:szCs w:val="16"/>
                <w:b w:val="1"/>
                <w:bCs w:val="1"/>
                <w:color w:val="auto"/>
              </w:rPr>
              <w:t>$ 87,227</w:t>
            </w:r>
          </w:p>
        </w:tc>
        <w:tc>
          <w:tcPr>
            <w:tcW w:w="1320" w:type="dxa"/>
            <w:vAlign w:val="bottom"/>
          </w:tcPr>
          <w:p>
            <w:pPr>
              <w:jc w:val="right"/>
              <w:ind w:right="300"/>
              <w:spacing w:after="0" w:line="165" w:lineRule="exact"/>
              <w:rPr>
                <w:sz w:val="20"/>
                <w:szCs w:val="20"/>
                <w:color w:val="auto"/>
              </w:rPr>
            </w:pPr>
            <w:r>
              <w:rPr>
                <w:rFonts w:ascii="Arial" w:cs="Arial" w:eastAsia="Arial" w:hAnsi="Arial"/>
                <w:sz w:val="16"/>
                <w:szCs w:val="16"/>
                <w:color w:val="auto"/>
              </w:rPr>
              <w:t>$ 86,639</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Albany Engineered Composites</w:t>
            </w:r>
          </w:p>
        </w:tc>
        <w:tc>
          <w:tcPr>
            <w:tcW w:w="1480" w:type="dxa"/>
            <w:vAlign w:val="bottom"/>
          </w:tcPr>
          <w:p>
            <w:pPr>
              <w:jc w:val="right"/>
              <w:ind w:right="402"/>
              <w:spacing w:after="0"/>
              <w:rPr>
                <w:sz w:val="20"/>
                <w:szCs w:val="20"/>
                <w:color w:val="auto"/>
              </w:rPr>
            </w:pPr>
            <w:r>
              <w:rPr>
                <w:rFonts w:ascii="Arial" w:cs="Arial" w:eastAsia="Arial" w:hAnsi="Arial"/>
                <w:sz w:val="16"/>
                <w:szCs w:val="16"/>
                <w:b w:val="1"/>
                <w:bCs w:val="1"/>
                <w:color w:val="auto"/>
              </w:rPr>
              <w:t>7,572</w:t>
            </w:r>
          </w:p>
        </w:tc>
        <w:tc>
          <w:tcPr>
            <w:tcW w:w="1400" w:type="dxa"/>
            <w:vAlign w:val="bottom"/>
          </w:tcPr>
          <w:p>
            <w:pPr>
              <w:jc w:val="right"/>
              <w:ind w:right="380"/>
              <w:spacing w:after="0"/>
              <w:rPr>
                <w:sz w:val="20"/>
                <w:szCs w:val="20"/>
                <w:color w:val="auto"/>
              </w:rPr>
            </w:pPr>
            <w:r>
              <w:rPr>
                <w:rFonts w:ascii="Arial" w:cs="Arial" w:eastAsia="Arial" w:hAnsi="Arial"/>
                <w:sz w:val="16"/>
                <w:szCs w:val="16"/>
                <w:color w:val="auto"/>
              </w:rPr>
              <w:t>7,927</w:t>
            </w:r>
          </w:p>
        </w:tc>
        <w:tc>
          <w:tcPr>
            <w:tcW w:w="1440" w:type="dxa"/>
            <w:vAlign w:val="bottom"/>
          </w:tcPr>
          <w:p>
            <w:pPr>
              <w:jc w:val="right"/>
              <w:ind w:right="382"/>
              <w:spacing w:after="0"/>
              <w:rPr>
                <w:sz w:val="20"/>
                <w:szCs w:val="20"/>
                <w:color w:val="auto"/>
              </w:rPr>
            </w:pPr>
            <w:r>
              <w:rPr>
                <w:rFonts w:ascii="Arial" w:cs="Arial" w:eastAsia="Arial" w:hAnsi="Arial"/>
                <w:sz w:val="16"/>
                <w:szCs w:val="16"/>
                <w:b w:val="1"/>
                <w:bCs w:val="1"/>
                <w:color w:val="auto"/>
              </w:rPr>
              <w:t>22,404</w:t>
            </w:r>
          </w:p>
        </w:tc>
        <w:tc>
          <w:tcPr>
            <w:tcW w:w="1320" w:type="dxa"/>
            <w:vAlign w:val="bottom"/>
          </w:tcPr>
          <w:p>
            <w:pPr>
              <w:jc w:val="right"/>
              <w:ind w:right="300"/>
              <w:spacing w:after="0"/>
              <w:rPr>
                <w:sz w:val="20"/>
                <w:szCs w:val="20"/>
                <w:color w:val="auto"/>
              </w:rPr>
            </w:pPr>
            <w:r>
              <w:rPr>
                <w:rFonts w:ascii="Arial" w:cs="Arial" w:eastAsia="Arial" w:hAnsi="Arial"/>
                <w:sz w:val="16"/>
                <w:szCs w:val="16"/>
                <w:color w:val="auto"/>
              </w:rPr>
              <w:t>24,931</w:t>
            </w:r>
          </w:p>
        </w:tc>
        <w:tc>
          <w:tcPr>
            <w:tcW w:w="0" w:type="dxa"/>
            <w:vAlign w:val="bottom"/>
          </w:tcPr>
          <w:p>
            <w:pPr>
              <w:spacing w:after="0"/>
              <w:rPr>
                <w:sz w:val="1"/>
                <w:szCs w:val="1"/>
                <w:color w:val="auto"/>
              </w:rPr>
            </w:pPr>
          </w:p>
        </w:tc>
      </w:tr>
      <w:tr>
        <w:trPr>
          <w:trHeight w:val="207"/>
        </w:trPr>
        <w:tc>
          <w:tcPr>
            <w:tcW w:w="3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Corporate expenses</w:t>
            </w:r>
          </w:p>
        </w:tc>
        <w:tc>
          <w:tcPr>
            <w:tcW w:w="148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13,572</w:t>
            </w:r>
          </w:p>
        </w:tc>
        <w:tc>
          <w:tcPr>
            <w:tcW w:w="14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12,428</w:t>
            </w:r>
          </w:p>
        </w:tc>
        <w:tc>
          <w:tcPr>
            <w:tcW w:w="14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40,294</w:t>
            </w:r>
          </w:p>
        </w:tc>
        <w:tc>
          <w:tcPr>
            <w:tcW w:w="13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36,549</w:t>
            </w:r>
          </w:p>
        </w:tc>
        <w:tc>
          <w:tcPr>
            <w:tcW w:w="0" w:type="dxa"/>
            <w:vAlign w:val="bottom"/>
          </w:tcPr>
          <w:p>
            <w:pPr>
              <w:spacing w:after="0"/>
              <w:rPr>
                <w:sz w:val="1"/>
                <w:szCs w:val="1"/>
                <w:color w:val="auto"/>
              </w:rPr>
            </w:pPr>
          </w:p>
        </w:tc>
      </w:tr>
      <w:tr>
        <w:trPr>
          <w:trHeight w:val="183"/>
        </w:trPr>
        <w:tc>
          <w:tcPr>
            <w:tcW w:w="37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w:t>
            </w:r>
          </w:p>
        </w:tc>
        <w:tc>
          <w:tcPr>
            <w:tcW w:w="1480" w:type="dxa"/>
            <w:vAlign w:val="bottom"/>
            <w:tcBorders>
              <w:bottom w:val="single" w:sz="8" w:color="auto"/>
            </w:tcBorders>
          </w:tcPr>
          <w:p>
            <w:pPr>
              <w:jc w:val="right"/>
              <w:ind w:right="402"/>
              <w:spacing w:after="0" w:line="183" w:lineRule="exact"/>
              <w:rPr>
                <w:sz w:val="20"/>
                <w:szCs w:val="20"/>
                <w:color w:val="auto"/>
              </w:rPr>
            </w:pPr>
            <w:r>
              <w:rPr>
                <w:rFonts w:ascii="Arial" w:cs="Arial" w:eastAsia="Arial" w:hAnsi="Arial"/>
                <w:sz w:val="16"/>
                <w:szCs w:val="16"/>
                <w:b w:val="1"/>
                <w:bCs w:val="1"/>
                <w:color w:val="auto"/>
              </w:rPr>
              <w:t>$48,673</w:t>
            </w:r>
          </w:p>
        </w:tc>
        <w:tc>
          <w:tcPr>
            <w:tcW w:w="1400" w:type="dxa"/>
            <w:vAlign w:val="bottom"/>
            <w:tcBorders>
              <w:bottom w:val="single" w:sz="8" w:color="auto"/>
            </w:tcBorders>
          </w:tcPr>
          <w:p>
            <w:pPr>
              <w:jc w:val="right"/>
              <w:ind w:right="380"/>
              <w:spacing w:after="0" w:line="183" w:lineRule="exact"/>
              <w:rPr>
                <w:sz w:val="20"/>
                <w:szCs w:val="20"/>
                <w:color w:val="auto"/>
              </w:rPr>
            </w:pPr>
            <w:r>
              <w:rPr>
                <w:rFonts w:ascii="Arial" w:cs="Arial" w:eastAsia="Arial" w:hAnsi="Arial"/>
                <w:sz w:val="16"/>
                <w:szCs w:val="16"/>
                <w:color w:val="auto"/>
              </w:rPr>
              <w:t>$49,016</w:t>
            </w:r>
          </w:p>
        </w:tc>
        <w:tc>
          <w:tcPr>
            <w:tcW w:w="1440" w:type="dxa"/>
            <w:vAlign w:val="bottom"/>
            <w:tcBorders>
              <w:bottom w:val="single" w:sz="8" w:color="auto"/>
            </w:tcBorders>
          </w:tcPr>
          <w:p>
            <w:pPr>
              <w:jc w:val="right"/>
              <w:ind w:right="362"/>
              <w:spacing w:after="0" w:line="183" w:lineRule="exact"/>
              <w:rPr>
                <w:sz w:val="20"/>
                <w:szCs w:val="20"/>
                <w:color w:val="auto"/>
              </w:rPr>
            </w:pPr>
            <w:r>
              <w:rPr>
                <w:rFonts w:ascii="Arial" w:cs="Arial" w:eastAsia="Arial" w:hAnsi="Arial"/>
                <w:sz w:val="16"/>
                <w:szCs w:val="16"/>
                <w:b w:val="1"/>
                <w:bCs w:val="1"/>
                <w:color w:val="auto"/>
              </w:rPr>
              <w:t>$149,925</w:t>
            </w:r>
          </w:p>
        </w:tc>
        <w:tc>
          <w:tcPr>
            <w:tcW w:w="1320" w:type="dxa"/>
            <w:vAlign w:val="bottom"/>
            <w:tcBorders>
              <w:bottom w:val="single" w:sz="8" w:color="auto"/>
            </w:tcBorders>
          </w:tcPr>
          <w:p>
            <w:pPr>
              <w:jc w:val="right"/>
              <w:ind w:right="280"/>
              <w:spacing w:after="0" w:line="183" w:lineRule="exact"/>
              <w:rPr>
                <w:sz w:val="20"/>
                <w:szCs w:val="20"/>
                <w:color w:val="auto"/>
              </w:rPr>
            </w:pPr>
            <w:r>
              <w:rPr>
                <w:rFonts w:ascii="Arial" w:cs="Arial" w:eastAsia="Arial" w:hAnsi="Arial"/>
                <w:sz w:val="16"/>
                <w:szCs w:val="16"/>
                <w:color w:val="auto"/>
              </w:rPr>
              <w:t>$148,119</w:t>
            </w:r>
          </w:p>
        </w:tc>
        <w:tc>
          <w:tcPr>
            <w:tcW w:w="0" w:type="dxa"/>
            <w:vAlign w:val="bottom"/>
          </w:tcPr>
          <w:p>
            <w:pPr>
              <w:spacing w:after="0"/>
              <w:rPr>
                <w:sz w:val="1"/>
                <w:szCs w:val="1"/>
                <w:color w:val="auto"/>
              </w:rPr>
            </w:pPr>
          </w:p>
        </w:tc>
      </w:tr>
      <w:tr>
        <w:trPr>
          <w:trHeight w:val="183"/>
        </w:trPr>
        <w:tc>
          <w:tcPr>
            <w:tcW w:w="37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 of Net sales</w:t>
            </w:r>
          </w:p>
        </w:tc>
        <w:tc>
          <w:tcPr>
            <w:tcW w:w="1480" w:type="dxa"/>
            <w:vAlign w:val="bottom"/>
            <w:tcBorders>
              <w:bottom w:val="single" w:sz="8" w:color="auto"/>
            </w:tcBorders>
          </w:tcPr>
          <w:p>
            <w:pPr>
              <w:jc w:val="right"/>
              <w:ind w:right="242"/>
              <w:spacing w:after="0" w:line="183" w:lineRule="exact"/>
              <w:rPr>
                <w:sz w:val="20"/>
                <w:szCs w:val="20"/>
                <w:color w:val="auto"/>
              </w:rPr>
            </w:pPr>
            <w:r>
              <w:rPr>
                <w:rFonts w:ascii="Arial" w:cs="Arial" w:eastAsia="Arial" w:hAnsi="Arial"/>
                <w:sz w:val="16"/>
                <w:szCs w:val="16"/>
                <w:b w:val="1"/>
                <w:bCs w:val="1"/>
                <w:color w:val="auto"/>
              </w:rPr>
              <w:t>18.0%</w:t>
            </w:r>
          </w:p>
        </w:tc>
        <w:tc>
          <w:tcPr>
            <w:tcW w:w="1400" w:type="dxa"/>
            <w:vAlign w:val="bottom"/>
            <w:tcBorders>
              <w:bottom w:val="single" w:sz="8" w:color="auto"/>
            </w:tcBorders>
          </w:tcPr>
          <w:p>
            <w:pPr>
              <w:jc w:val="right"/>
              <w:ind w:right="240"/>
              <w:spacing w:after="0" w:line="183" w:lineRule="exact"/>
              <w:rPr>
                <w:sz w:val="20"/>
                <w:szCs w:val="20"/>
                <w:color w:val="auto"/>
              </w:rPr>
            </w:pPr>
            <w:r>
              <w:rPr>
                <w:rFonts w:ascii="Arial" w:cs="Arial" w:eastAsia="Arial" w:hAnsi="Arial"/>
                <w:sz w:val="16"/>
                <w:szCs w:val="16"/>
                <w:color w:val="auto"/>
              </w:rPr>
              <w:t>19.5%</w:t>
            </w:r>
          </w:p>
        </w:tc>
        <w:tc>
          <w:tcPr>
            <w:tcW w:w="1440" w:type="dxa"/>
            <w:vAlign w:val="bottom"/>
            <w:tcBorders>
              <w:bottom w:val="single" w:sz="8" w:color="auto"/>
            </w:tcBorders>
          </w:tcPr>
          <w:p>
            <w:pPr>
              <w:jc w:val="right"/>
              <w:ind w:right="222"/>
              <w:spacing w:after="0" w:line="183" w:lineRule="exact"/>
              <w:rPr>
                <w:sz w:val="20"/>
                <w:szCs w:val="20"/>
                <w:color w:val="auto"/>
              </w:rPr>
            </w:pPr>
            <w:r>
              <w:rPr>
                <w:rFonts w:ascii="Arial" w:cs="Arial" w:eastAsia="Arial" w:hAnsi="Arial"/>
                <w:sz w:val="16"/>
                <w:szCs w:val="16"/>
                <w:b w:val="1"/>
                <w:bCs w:val="1"/>
                <w:color w:val="auto"/>
              </w:rPr>
              <w:t>18.8%</w:t>
            </w:r>
          </w:p>
        </w:tc>
        <w:tc>
          <w:tcPr>
            <w:tcW w:w="1320" w:type="dxa"/>
            <w:vAlign w:val="bottom"/>
            <w:tcBorders>
              <w:bottom w:val="single" w:sz="8" w:color="auto"/>
            </w:tcBorders>
          </w:tcPr>
          <w:p>
            <w:pPr>
              <w:jc w:val="right"/>
              <w:ind w:right="140"/>
              <w:spacing w:after="0" w:line="183" w:lineRule="exact"/>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6"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The overall decrease in STG&amp;R expenses in the third quarter of 2019, compared to the same period in 2018, was principally due to the net effect of the following individually significant items:</w:t>
      </w:r>
    </w:p>
    <w:p>
      <w:pPr>
        <w:spacing w:after="0" w:line="35" w:lineRule="exact"/>
        <w:rPr>
          <w:sz w:val="20"/>
          <w:szCs w:val="20"/>
          <w:color w:val="auto"/>
        </w:rPr>
      </w:pPr>
    </w:p>
    <w:p>
      <w:pPr>
        <w:ind w:left="580" w:hanging="248"/>
        <w:spacing w:after="0" w:line="246"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MC, revaluation of nonfunctional currency assets and liabilities resulted in third-quarter gain of $1.0 million in 2019 and a negligible gain in 2018.</w:t>
      </w:r>
    </w:p>
    <w:p>
      <w:pPr>
        <w:spacing w:after="0" w:line="48" w:lineRule="exact"/>
        <w:rPr>
          <w:rFonts w:ascii="Arial" w:cs="Arial" w:eastAsia="Arial" w:hAnsi="Arial"/>
          <w:sz w:val="18"/>
          <w:szCs w:val="18"/>
          <w:color w:val="auto"/>
        </w:rPr>
      </w:pPr>
    </w:p>
    <w:p>
      <w:pPr>
        <w:ind w:left="580" w:hanging="248"/>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AEC, lower spending on research and development in 2019, as compared to 2018.</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Corporate STG&amp;R expenses increased principally due to professional fees associated with various initiatives.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26"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The overall increase in STG&amp;R expenses in the first nine months of 2019, compared to the same period in 2018, was principally due to the net effect of the following individually significant items:</w:t>
      </w:r>
    </w:p>
    <w:p>
      <w:pPr>
        <w:spacing w:after="0" w:line="35" w:lineRule="exact"/>
        <w:rPr>
          <w:sz w:val="20"/>
          <w:szCs w:val="20"/>
          <w:color w:val="auto"/>
        </w:rPr>
      </w:pPr>
    </w:p>
    <w:p>
      <w:pPr>
        <w:ind w:left="580" w:right="20" w:hanging="248"/>
        <w:spacing w:after="0" w:line="246"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MC, revaluation of nonfunctional currency assets and liabilities resulted in gains of $0.7 million in 2019, and gains of $0.9 million in 2018.</w:t>
      </w:r>
    </w:p>
    <w:p>
      <w:pPr>
        <w:spacing w:after="0" w:line="48"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AEC, lower spending on research and development and professional fees and in 2019, as compared to 2018.</w:t>
      </w:r>
    </w:p>
    <w:p>
      <w:pPr>
        <w:spacing w:after="0" w:line="49" w:lineRule="exact"/>
        <w:rPr>
          <w:rFonts w:ascii="Arial" w:cs="Arial" w:eastAsia="Arial" w:hAnsi="Arial"/>
          <w:sz w:val="18"/>
          <w:szCs w:val="18"/>
          <w:color w:val="auto"/>
        </w:rPr>
      </w:pPr>
    </w:p>
    <w:p>
      <w:pPr>
        <w:ind w:left="580" w:right="20" w:hanging="248"/>
        <w:spacing w:after="0" w:line="246"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Corporate STG&amp;R expenses increased principally due to costs in 2019 for terminations and professional fees associated with various initiatives.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6"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The following table is a subset of the STG&amp;R expenses table above and summarizes expenses associated with internally funded research and development by business segment:</w:t>
      </w:r>
    </w:p>
    <w:p>
      <w:pPr>
        <w:spacing w:after="0" w:line="124"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3680" w:type="dxa"/>
            <w:vAlign w:val="bottom"/>
            <w:tcBorders>
              <w:top w:val="single" w:sz="8" w:color="auto"/>
            </w:tcBorders>
          </w:tcPr>
          <w:p>
            <w:pPr>
              <w:spacing w:after="0"/>
              <w:rPr>
                <w:sz w:val="14"/>
                <w:szCs w:val="14"/>
                <w:color w:val="auto"/>
              </w:rPr>
            </w:pPr>
          </w:p>
        </w:tc>
        <w:tc>
          <w:tcPr>
            <w:tcW w:w="3460" w:type="dxa"/>
            <w:vAlign w:val="bottom"/>
            <w:tcBorders>
              <w:top w:val="single" w:sz="8" w:color="auto"/>
            </w:tcBorders>
            <w:gridSpan w:val="2"/>
          </w:tcPr>
          <w:p>
            <w:pPr>
              <w:jc w:val="right"/>
              <w:ind w:right="401"/>
              <w:spacing w:after="0"/>
              <w:rPr>
                <w:sz w:val="20"/>
                <w:szCs w:val="20"/>
                <w:color w:val="auto"/>
              </w:rPr>
            </w:pPr>
            <w:r>
              <w:rPr>
                <w:rFonts w:ascii="Arial" w:cs="Arial" w:eastAsia="Arial" w:hAnsi="Arial"/>
                <w:sz w:val="14"/>
                <w:szCs w:val="14"/>
                <w:b w:val="1"/>
                <w:bCs w:val="1"/>
                <w:color w:val="auto"/>
              </w:rPr>
              <w:t>Three months ended</w:t>
            </w:r>
          </w:p>
        </w:tc>
        <w:tc>
          <w:tcPr>
            <w:tcW w:w="2280" w:type="dxa"/>
            <w:vAlign w:val="bottom"/>
            <w:tcBorders>
              <w:top w:val="single" w:sz="8" w:color="auto"/>
            </w:tcBorders>
            <w:gridSpan w:val="2"/>
          </w:tcPr>
          <w:p>
            <w:pPr>
              <w:jc w:val="right"/>
              <w:ind w:right="381"/>
              <w:spacing w:after="0"/>
              <w:rPr>
                <w:sz w:val="20"/>
                <w:szCs w:val="20"/>
                <w:color w:val="auto"/>
              </w:rPr>
            </w:pPr>
            <w:r>
              <w:rPr>
                <w:rFonts w:ascii="Arial" w:cs="Arial" w:eastAsia="Arial" w:hAnsi="Arial"/>
                <w:sz w:val="14"/>
                <w:szCs w:val="14"/>
                <w:b w:val="1"/>
                <w:bCs w:val="1"/>
                <w:color w:val="auto"/>
              </w:rPr>
              <w:t>Nine months ended</w:t>
            </w:r>
          </w:p>
        </w:tc>
      </w:tr>
      <w:tr>
        <w:trPr>
          <w:trHeight w:val="162"/>
        </w:trPr>
        <w:tc>
          <w:tcPr>
            <w:tcW w:w="3680" w:type="dxa"/>
            <w:vAlign w:val="bottom"/>
          </w:tcPr>
          <w:p>
            <w:pPr>
              <w:spacing w:after="0"/>
              <w:rPr>
                <w:sz w:val="14"/>
                <w:szCs w:val="14"/>
                <w:color w:val="auto"/>
              </w:rPr>
            </w:pPr>
          </w:p>
        </w:tc>
        <w:tc>
          <w:tcPr>
            <w:tcW w:w="3460" w:type="dxa"/>
            <w:vAlign w:val="bottom"/>
            <w:gridSpan w:val="2"/>
          </w:tcPr>
          <w:p>
            <w:pPr>
              <w:jc w:val="right"/>
              <w:ind w:right="621"/>
              <w:spacing w:after="0"/>
              <w:rPr>
                <w:sz w:val="20"/>
                <w:szCs w:val="20"/>
                <w:color w:val="auto"/>
              </w:rPr>
            </w:pPr>
            <w:r>
              <w:rPr>
                <w:rFonts w:ascii="Arial" w:cs="Arial" w:eastAsia="Arial" w:hAnsi="Arial"/>
                <w:sz w:val="14"/>
                <w:szCs w:val="14"/>
                <w:b w:val="1"/>
                <w:bCs w:val="1"/>
                <w:color w:val="auto"/>
              </w:rPr>
              <w:t>September 30,</w:t>
            </w:r>
          </w:p>
        </w:tc>
        <w:tc>
          <w:tcPr>
            <w:tcW w:w="2280" w:type="dxa"/>
            <w:vAlign w:val="bottom"/>
            <w:gridSpan w:val="2"/>
          </w:tcPr>
          <w:p>
            <w:pPr>
              <w:jc w:val="right"/>
              <w:ind w:right="561"/>
              <w:spacing w:after="0"/>
              <w:rPr>
                <w:sz w:val="20"/>
                <w:szCs w:val="20"/>
                <w:color w:val="auto"/>
              </w:rPr>
            </w:pPr>
            <w:r>
              <w:rPr>
                <w:rFonts w:ascii="Arial" w:cs="Arial" w:eastAsia="Arial" w:hAnsi="Arial"/>
                <w:sz w:val="14"/>
                <w:szCs w:val="14"/>
                <w:b w:val="1"/>
                <w:bCs w:val="1"/>
                <w:color w:val="auto"/>
              </w:rPr>
              <w:t>September 30,</w:t>
            </w:r>
          </w:p>
        </w:tc>
      </w:tr>
      <w:tr>
        <w:trPr>
          <w:trHeight w:val="175"/>
        </w:trPr>
        <w:tc>
          <w:tcPr>
            <w:tcW w:w="3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26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2019</w:t>
            </w:r>
          </w:p>
        </w:tc>
        <w:tc>
          <w:tcPr>
            <w:tcW w:w="10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r>
      <w:tr>
        <w:trPr>
          <w:trHeight w:val="164"/>
        </w:trPr>
        <w:tc>
          <w:tcPr>
            <w:tcW w:w="3680" w:type="dxa"/>
            <w:vAlign w:val="bottom"/>
          </w:tcPr>
          <w:p>
            <w:pPr>
              <w:spacing w:after="0" w:line="165" w:lineRule="exact"/>
              <w:rPr>
                <w:sz w:val="20"/>
                <w:szCs w:val="20"/>
                <w:color w:val="auto"/>
              </w:rPr>
            </w:pPr>
            <w:r>
              <w:rPr>
                <w:rFonts w:ascii="Arial" w:cs="Arial" w:eastAsia="Arial" w:hAnsi="Arial"/>
                <w:sz w:val="16"/>
                <w:szCs w:val="16"/>
                <w:color w:val="auto"/>
              </w:rPr>
              <w:t>Machine Clothing</w:t>
            </w:r>
          </w:p>
        </w:tc>
        <w:tc>
          <w:tcPr>
            <w:tcW w:w="2260" w:type="dxa"/>
            <w:vAlign w:val="bottom"/>
          </w:tcPr>
          <w:p>
            <w:pPr>
              <w:jc w:val="right"/>
              <w:ind w:right="283"/>
              <w:spacing w:after="0" w:line="165" w:lineRule="exact"/>
              <w:rPr>
                <w:sz w:val="20"/>
                <w:szCs w:val="20"/>
                <w:color w:val="auto"/>
              </w:rPr>
            </w:pPr>
            <w:r>
              <w:rPr>
                <w:rFonts w:ascii="Arial" w:cs="Arial" w:eastAsia="Arial" w:hAnsi="Arial"/>
                <w:sz w:val="16"/>
                <w:szCs w:val="16"/>
                <w:b w:val="1"/>
                <w:bCs w:val="1"/>
                <w:color w:val="auto"/>
              </w:rPr>
              <w:t>$3,967</w:t>
            </w:r>
          </w:p>
        </w:tc>
        <w:tc>
          <w:tcPr>
            <w:tcW w:w="1200" w:type="dxa"/>
            <w:vAlign w:val="bottom"/>
          </w:tcPr>
          <w:p>
            <w:pPr>
              <w:jc w:val="right"/>
              <w:ind w:right="261"/>
              <w:spacing w:after="0" w:line="165" w:lineRule="exact"/>
              <w:rPr>
                <w:sz w:val="20"/>
                <w:szCs w:val="20"/>
                <w:color w:val="auto"/>
              </w:rPr>
            </w:pPr>
            <w:r>
              <w:rPr>
                <w:rFonts w:ascii="Arial" w:cs="Arial" w:eastAsia="Arial" w:hAnsi="Arial"/>
                <w:sz w:val="16"/>
                <w:szCs w:val="16"/>
                <w:color w:val="auto"/>
              </w:rPr>
              <w:t>$4,208</w:t>
            </w:r>
          </w:p>
        </w:tc>
        <w:tc>
          <w:tcPr>
            <w:tcW w:w="1200" w:type="dxa"/>
            <w:vAlign w:val="bottom"/>
          </w:tcPr>
          <w:p>
            <w:pPr>
              <w:jc w:val="right"/>
              <w:ind w:right="203"/>
              <w:spacing w:after="0" w:line="165" w:lineRule="exact"/>
              <w:rPr>
                <w:sz w:val="20"/>
                <w:szCs w:val="20"/>
                <w:color w:val="auto"/>
              </w:rPr>
            </w:pPr>
            <w:r>
              <w:rPr>
                <w:rFonts w:ascii="Arial" w:cs="Arial" w:eastAsia="Arial" w:hAnsi="Arial"/>
                <w:sz w:val="16"/>
                <w:szCs w:val="16"/>
                <w:b w:val="1"/>
                <w:bCs w:val="1"/>
                <w:color w:val="auto"/>
              </w:rPr>
              <w:t>$12,429</w:t>
            </w:r>
          </w:p>
        </w:tc>
        <w:tc>
          <w:tcPr>
            <w:tcW w:w="1080" w:type="dxa"/>
            <w:vAlign w:val="bottom"/>
          </w:tcPr>
          <w:p>
            <w:pPr>
              <w:jc w:val="right"/>
              <w:ind w:right="141"/>
              <w:spacing w:after="0" w:line="165" w:lineRule="exact"/>
              <w:rPr>
                <w:sz w:val="20"/>
                <w:szCs w:val="20"/>
                <w:color w:val="auto"/>
              </w:rPr>
            </w:pPr>
            <w:r>
              <w:rPr>
                <w:rFonts w:ascii="Arial" w:cs="Arial" w:eastAsia="Arial" w:hAnsi="Arial"/>
                <w:sz w:val="16"/>
                <w:szCs w:val="16"/>
                <w:color w:val="auto"/>
              </w:rPr>
              <w:t>$12,837</w:t>
            </w:r>
          </w:p>
        </w:tc>
      </w:tr>
      <w:tr>
        <w:trPr>
          <w:trHeight w:val="207"/>
        </w:trPr>
        <w:tc>
          <w:tcPr>
            <w:tcW w:w="3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Albany Engineered Composites</w:t>
            </w:r>
          </w:p>
        </w:tc>
        <w:tc>
          <w:tcPr>
            <w:tcW w:w="226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b w:val="1"/>
                <w:bCs w:val="1"/>
                <w:color w:val="auto"/>
              </w:rPr>
              <w:t>2,233</w:t>
            </w:r>
          </w:p>
        </w:tc>
        <w:tc>
          <w:tcPr>
            <w:tcW w:w="120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3,117</w:t>
            </w:r>
          </w:p>
        </w:tc>
        <w:tc>
          <w:tcPr>
            <w:tcW w:w="120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b w:val="1"/>
                <w:bCs w:val="1"/>
                <w:color w:val="auto"/>
              </w:rPr>
              <w:t>7,870</w:t>
            </w: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9,447</w:t>
            </w:r>
          </w:p>
        </w:tc>
      </w:tr>
      <w:tr>
        <w:trPr>
          <w:trHeight w:val="183"/>
        </w:trPr>
        <w:tc>
          <w:tcPr>
            <w:tcW w:w="36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w:t>
            </w:r>
          </w:p>
        </w:tc>
        <w:tc>
          <w:tcPr>
            <w:tcW w:w="2260" w:type="dxa"/>
            <w:vAlign w:val="bottom"/>
            <w:tcBorders>
              <w:bottom w:val="single" w:sz="8" w:color="auto"/>
            </w:tcBorders>
          </w:tcPr>
          <w:p>
            <w:pPr>
              <w:jc w:val="right"/>
              <w:ind w:right="283"/>
              <w:spacing w:after="0" w:line="183" w:lineRule="exact"/>
              <w:rPr>
                <w:sz w:val="20"/>
                <w:szCs w:val="20"/>
                <w:color w:val="auto"/>
              </w:rPr>
            </w:pPr>
            <w:r>
              <w:rPr>
                <w:rFonts w:ascii="Arial" w:cs="Arial" w:eastAsia="Arial" w:hAnsi="Arial"/>
                <w:sz w:val="16"/>
                <w:szCs w:val="16"/>
                <w:b w:val="1"/>
                <w:bCs w:val="1"/>
                <w:color w:val="auto"/>
              </w:rPr>
              <w:t>$6,200</w:t>
            </w:r>
          </w:p>
        </w:tc>
        <w:tc>
          <w:tcPr>
            <w:tcW w:w="1200" w:type="dxa"/>
            <w:vAlign w:val="bottom"/>
            <w:tcBorders>
              <w:bottom w:val="single" w:sz="8" w:color="auto"/>
            </w:tcBorders>
          </w:tcPr>
          <w:p>
            <w:pPr>
              <w:jc w:val="right"/>
              <w:ind w:right="261"/>
              <w:spacing w:after="0" w:line="183" w:lineRule="exact"/>
              <w:rPr>
                <w:sz w:val="20"/>
                <w:szCs w:val="20"/>
                <w:color w:val="auto"/>
              </w:rPr>
            </w:pPr>
            <w:r>
              <w:rPr>
                <w:rFonts w:ascii="Arial" w:cs="Arial" w:eastAsia="Arial" w:hAnsi="Arial"/>
                <w:sz w:val="16"/>
                <w:szCs w:val="16"/>
                <w:color w:val="auto"/>
              </w:rPr>
              <w:t>$7,325</w:t>
            </w:r>
          </w:p>
        </w:tc>
        <w:tc>
          <w:tcPr>
            <w:tcW w:w="1200" w:type="dxa"/>
            <w:vAlign w:val="bottom"/>
            <w:tcBorders>
              <w:bottom w:val="single" w:sz="8" w:color="auto"/>
            </w:tcBorders>
          </w:tcPr>
          <w:p>
            <w:pPr>
              <w:jc w:val="right"/>
              <w:ind w:right="203"/>
              <w:spacing w:after="0" w:line="183" w:lineRule="exact"/>
              <w:rPr>
                <w:sz w:val="20"/>
                <w:szCs w:val="20"/>
                <w:color w:val="auto"/>
              </w:rPr>
            </w:pPr>
            <w:r>
              <w:rPr>
                <w:rFonts w:ascii="Arial" w:cs="Arial" w:eastAsia="Arial" w:hAnsi="Arial"/>
                <w:sz w:val="16"/>
                <w:szCs w:val="16"/>
                <w:b w:val="1"/>
                <w:bCs w:val="1"/>
                <w:color w:val="auto"/>
              </w:rPr>
              <w:t>$20,299</w:t>
            </w:r>
          </w:p>
        </w:tc>
        <w:tc>
          <w:tcPr>
            <w:tcW w:w="1080" w:type="dxa"/>
            <w:vAlign w:val="bottom"/>
            <w:tcBorders>
              <w:bottom w:val="single" w:sz="8" w:color="auto"/>
            </w:tcBorders>
          </w:tcPr>
          <w:p>
            <w:pPr>
              <w:jc w:val="right"/>
              <w:ind w:right="141"/>
              <w:spacing w:after="0" w:line="183" w:lineRule="exact"/>
              <w:rPr>
                <w:sz w:val="20"/>
                <w:szCs w:val="20"/>
                <w:color w:val="auto"/>
              </w:rPr>
            </w:pPr>
            <w:r>
              <w:rPr>
                <w:rFonts w:ascii="Arial" w:cs="Arial" w:eastAsia="Arial" w:hAnsi="Arial"/>
                <w:sz w:val="16"/>
                <w:szCs w:val="16"/>
                <w:color w:val="auto"/>
              </w:rPr>
              <w:t>$22,284</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126"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18"/>
          <w:szCs w:val="18"/>
          <w:color w:val="auto"/>
        </w:rPr>
        <w:t>In addition to the items discussed above affecting Gross profit, and STG&amp;R expenses, operating income was affected by restructuring costs of $1.1 million in the first nine months of 2019, and $13.7 million for the same period in 2018.</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restructuring expenses by business segment:</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3680" w:type="dxa"/>
            <w:vAlign w:val="bottom"/>
            <w:tcBorders>
              <w:top w:val="single" w:sz="8" w:color="auto"/>
            </w:tcBorders>
          </w:tcPr>
          <w:p>
            <w:pPr>
              <w:spacing w:after="0"/>
              <w:rPr>
                <w:sz w:val="14"/>
                <w:szCs w:val="14"/>
                <w:color w:val="auto"/>
              </w:rPr>
            </w:pPr>
          </w:p>
        </w:tc>
        <w:tc>
          <w:tcPr>
            <w:tcW w:w="3520" w:type="dxa"/>
            <w:vAlign w:val="bottom"/>
            <w:tcBorders>
              <w:top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Three months ended</w:t>
            </w:r>
          </w:p>
        </w:tc>
        <w:tc>
          <w:tcPr>
            <w:tcW w:w="2220" w:type="dxa"/>
            <w:vAlign w:val="bottom"/>
            <w:tcBorders>
              <w:top w:val="single" w:sz="8" w:color="auto"/>
            </w:tcBorders>
            <w:gridSpan w:val="2"/>
          </w:tcPr>
          <w:p>
            <w:pPr>
              <w:jc w:val="right"/>
              <w:ind w:right="381"/>
              <w:spacing w:after="0"/>
              <w:rPr>
                <w:sz w:val="20"/>
                <w:szCs w:val="20"/>
                <w:color w:val="auto"/>
              </w:rPr>
            </w:pPr>
            <w:r>
              <w:rPr>
                <w:rFonts w:ascii="Arial" w:cs="Arial" w:eastAsia="Arial" w:hAnsi="Arial"/>
                <w:sz w:val="14"/>
                <w:szCs w:val="14"/>
                <w:b w:val="1"/>
                <w:bCs w:val="1"/>
                <w:color w:val="auto"/>
              </w:rPr>
              <w:t>nine months ended</w:t>
            </w:r>
          </w:p>
        </w:tc>
      </w:tr>
      <w:tr>
        <w:trPr>
          <w:trHeight w:val="162"/>
        </w:trPr>
        <w:tc>
          <w:tcPr>
            <w:tcW w:w="3680" w:type="dxa"/>
            <w:vAlign w:val="bottom"/>
          </w:tcPr>
          <w:p>
            <w:pPr>
              <w:spacing w:after="0"/>
              <w:rPr>
                <w:sz w:val="14"/>
                <w:szCs w:val="14"/>
                <w:color w:val="auto"/>
              </w:rPr>
            </w:pPr>
          </w:p>
        </w:tc>
        <w:tc>
          <w:tcPr>
            <w:tcW w:w="3520" w:type="dxa"/>
            <w:vAlign w:val="bottom"/>
            <w:gridSpan w:val="3"/>
          </w:tcPr>
          <w:p>
            <w:pPr>
              <w:jc w:val="right"/>
              <w:ind w:right="679"/>
              <w:spacing w:after="0"/>
              <w:rPr>
                <w:sz w:val="20"/>
                <w:szCs w:val="20"/>
                <w:color w:val="auto"/>
              </w:rPr>
            </w:pPr>
            <w:r>
              <w:rPr>
                <w:rFonts w:ascii="Arial" w:cs="Arial" w:eastAsia="Arial" w:hAnsi="Arial"/>
                <w:sz w:val="14"/>
                <w:szCs w:val="14"/>
                <w:b w:val="1"/>
                <w:bCs w:val="1"/>
                <w:color w:val="auto"/>
              </w:rPr>
              <w:t>September 30,</w:t>
            </w:r>
          </w:p>
        </w:tc>
        <w:tc>
          <w:tcPr>
            <w:tcW w:w="2220" w:type="dxa"/>
            <w:vAlign w:val="bottom"/>
            <w:gridSpan w:val="2"/>
          </w:tcPr>
          <w:p>
            <w:pPr>
              <w:jc w:val="right"/>
              <w:ind w:right="561"/>
              <w:spacing w:after="0"/>
              <w:rPr>
                <w:sz w:val="20"/>
                <w:szCs w:val="20"/>
                <w:color w:val="auto"/>
              </w:rPr>
            </w:pPr>
            <w:r>
              <w:rPr>
                <w:rFonts w:ascii="Arial" w:cs="Arial" w:eastAsia="Arial" w:hAnsi="Arial"/>
                <w:sz w:val="14"/>
                <w:szCs w:val="14"/>
                <w:b w:val="1"/>
                <w:bCs w:val="1"/>
                <w:color w:val="auto"/>
              </w:rPr>
              <w:t>September 30,</w:t>
            </w:r>
          </w:p>
        </w:tc>
      </w:tr>
      <w:tr>
        <w:trPr>
          <w:trHeight w:val="175"/>
        </w:trPr>
        <w:tc>
          <w:tcPr>
            <w:tcW w:w="3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2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2019</w:t>
            </w:r>
          </w:p>
        </w:tc>
        <w:tc>
          <w:tcPr>
            <w:tcW w:w="124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2019</w:t>
            </w:r>
          </w:p>
        </w:tc>
        <w:tc>
          <w:tcPr>
            <w:tcW w:w="10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r>
      <w:tr>
        <w:trPr>
          <w:trHeight w:val="164"/>
        </w:trPr>
        <w:tc>
          <w:tcPr>
            <w:tcW w:w="3680" w:type="dxa"/>
            <w:vAlign w:val="bottom"/>
          </w:tcPr>
          <w:p>
            <w:pPr>
              <w:spacing w:after="0" w:line="165" w:lineRule="exact"/>
              <w:rPr>
                <w:sz w:val="20"/>
                <w:szCs w:val="20"/>
                <w:color w:val="auto"/>
              </w:rPr>
            </w:pPr>
            <w:r>
              <w:rPr>
                <w:rFonts w:ascii="Arial" w:cs="Arial" w:eastAsia="Arial" w:hAnsi="Arial"/>
                <w:sz w:val="16"/>
                <w:szCs w:val="16"/>
                <w:color w:val="auto"/>
              </w:rPr>
              <w:t>Machine Clothing</w:t>
            </w:r>
          </w:p>
        </w:tc>
        <w:tc>
          <w:tcPr>
            <w:tcW w:w="2280" w:type="dxa"/>
            <w:vAlign w:val="bottom"/>
          </w:tcPr>
          <w:p>
            <w:pPr>
              <w:jc w:val="right"/>
              <w:ind w:right="283"/>
              <w:spacing w:after="0" w:line="165" w:lineRule="exact"/>
              <w:rPr>
                <w:sz w:val="20"/>
                <w:szCs w:val="20"/>
                <w:color w:val="auto"/>
              </w:rPr>
            </w:pPr>
            <w:r>
              <w:rPr>
                <w:rFonts w:ascii="Arial" w:cs="Arial" w:eastAsia="Arial" w:hAnsi="Arial"/>
                <w:sz w:val="16"/>
                <w:szCs w:val="16"/>
                <w:b w:val="1"/>
                <w:bCs w:val="1"/>
                <w:color w:val="auto"/>
              </w:rPr>
              <w:t>$ (211)</w:t>
            </w:r>
          </w:p>
        </w:tc>
        <w:tc>
          <w:tcPr>
            <w:tcW w:w="440" w:type="dxa"/>
            <w:vAlign w:val="bottom"/>
          </w:tcPr>
          <w:p>
            <w:pPr>
              <w:jc w:val="right"/>
              <w:spacing w:after="0" w:line="165"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319"/>
              <w:spacing w:after="0" w:line="165" w:lineRule="exact"/>
              <w:rPr>
                <w:sz w:val="20"/>
                <w:szCs w:val="20"/>
                <w:color w:val="auto"/>
              </w:rPr>
            </w:pPr>
            <w:r>
              <w:rPr>
                <w:rFonts w:ascii="Arial" w:cs="Arial" w:eastAsia="Arial" w:hAnsi="Arial"/>
                <w:sz w:val="16"/>
                <w:szCs w:val="16"/>
                <w:color w:val="auto"/>
              </w:rPr>
              <w:t>370</w:t>
            </w:r>
          </w:p>
        </w:tc>
        <w:tc>
          <w:tcPr>
            <w:tcW w:w="1140" w:type="dxa"/>
            <w:vAlign w:val="bottom"/>
          </w:tcPr>
          <w:p>
            <w:pPr>
              <w:jc w:val="right"/>
              <w:ind w:right="243"/>
              <w:spacing w:after="0" w:line="165" w:lineRule="exact"/>
              <w:rPr>
                <w:sz w:val="20"/>
                <w:szCs w:val="20"/>
                <w:color w:val="auto"/>
              </w:rPr>
            </w:pPr>
            <w:r>
              <w:rPr>
                <w:rFonts w:ascii="Arial" w:cs="Arial" w:eastAsia="Arial" w:hAnsi="Arial"/>
                <w:sz w:val="16"/>
                <w:szCs w:val="16"/>
                <w:b w:val="1"/>
                <w:bCs w:val="1"/>
                <w:color w:val="auto"/>
              </w:rPr>
              <w:t>$1,125</w:t>
            </w:r>
          </w:p>
        </w:tc>
        <w:tc>
          <w:tcPr>
            <w:tcW w:w="1080" w:type="dxa"/>
            <w:vAlign w:val="bottom"/>
          </w:tcPr>
          <w:p>
            <w:pPr>
              <w:jc w:val="right"/>
              <w:ind w:right="141"/>
              <w:spacing w:after="0" w:line="165" w:lineRule="exact"/>
              <w:rPr>
                <w:sz w:val="20"/>
                <w:szCs w:val="20"/>
                <w:color w:val="auto"/>
              </w:rPr>
            </w:pPr>
            <w:r>
              <w:rPr>
                <w:rFonts w:ascii="Arial" w:cs="Arial" w:eastAsia="Arial" w:hAnsi="Arial"/>
                <w:sz w:val="16"/>
                <w:szCs w:val="16"/>
                <w:color w:val="auto"/>
              </w:rPr>
              <w:t>$10,522</w:t>
            </w: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Albany Engineered Composites</w:t>
            </w:r>
          </w:p>
        </w:tc>
        <w:tc>
          <w:tcPr>
            <w:tcW w:w="2280" w:type="dxa"/>
            <w:vAlign w:val="bottom"/>
          </w:tcPr>
          <w:p>
            <w:pPr>
              <w:jc w:val="right"/>
              <w:ind w:right="283"/>
              <w:spacing w:after="0"/>
              <w:rPr>
                <w:sz w:val="20"/>
                <w:szCs w:val="20"/>
                <w:color w:val="auto"/>
              </w:rPr>
            </w:pPr>
            <w:r>
              <w:rPr>
                <w:rFonts w:ascii="Arial" w:cs="Arial" w:eastAsia="Arial" w:hAnsi="Arial"/>
                <w:sz w:val="16"/>
                <w:szCs w:val="16"/>
                <w:b w:val="1"/>
                <w:bCs w:val="1"/>
                <w:color w:val="auto"/>
              </w:rPr>
              <w:t>(33)</w:t>
            </w:r>
          </w:p>
        </w:tc>
        <w:tc>
          <w:tcPr>
            <w:tcW w:w="1240" w:type="dxa"/>
            <w:vAlign w:val="bottom"/>
            <w:gridSpan w:val="2"/>
          </w:tcPr>
          <w:p>
            <w:pPr>
              <w:jc w:val="right"/>
              <w:ind w:right="319"/>
              <w:spacing w:after="0"/>
              <w:rPr>
                <w:sz w:val="20"/>
                <w:szCs w:val="20"/>
                <w:color w:val="auto"/>
              </w:rPr>
            </w:pPr>
            <w:r>
              <w:rPr>
                <w:rFonts w:ascii="Arial" w:cs="Arial" w:eastAsia="Arial" w:hAnsi="Arial"/>
                <w:sz w:val="16"/>
                <w:szCs w:val="16"/>
                <w:color w:val="auto"/>
              </w:rPr>
              <w:t>2,189</w:t>
            </w:r>
          </w:p>
        </w:tc>
        <w:tc>
          <w:tcPr>
            <w:tcW w:w="1140" w:type="dxa"/>
            <w:vAlign w:val="bottom"/>
          </w:tcPr>
          <w:p>
            <w:pPr>
              <w:jc w:val="right"/>
              <w:ind w:right="243"/>
              <w:spacing w:after="0"/>
              <w:rPr>
                <w:sz w:val="20"/>
                <w:szCs w:val="20"/>
                <w:color w:val="auto"/>
              </w:rPr>
            </w:pPr>
            <w:r>
              <w:rPr>
                <w:rFonts w:ascii="Arial" w:cs="Arial" w:eastAsia="Arial" w:hAnsi="Arial"/>
                <w:sz w:val="16"/>
                <w:szCs w:val="16"/>
                <w:b w:val="1"/>
                <w:bCs w:val="1"/>
                <w:color w:val="auto"/>
              </w:rPr>
              <w:t>18</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2,968</w:t>
            </w:r>
          </w:p>
        </w:tc>
      </w:tr>
      <w:tr>
        <w:trPr>
          <w:trHeight w:val="207"/>
        </w:trPr>
        <w:tc>
          <w:tcPr>
            <w:tcW w:w="3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Corporate expenses</w:t>
            </w:r>
          </w:p>
        </w:tc>
        <w:tc>
          <w:tcPr>
            <w:tcW w:w="228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(7)</w:t>
            </w:r>
          </w:p>
        </w:tc>
        <w:tc>
          <w:tcPr>
            <w:tcW w:w="114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b w:val="1"/>
                <w:bCs w:val="1"/>
                <w:color w:val="auto"/>
              </w:rPr>
              <w:t>(4)</w:t>
            </w: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224</w:t>
            </w:r>
          </w:p>
        </w:tc>
      </w:tr>
      <w:tr>
        <w:trPr>
          <w:trHeight w:val="183"/>
        </w:trPr>
        <w:tc>
          <w:tcPr>
            <w:tcW w:w="36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w:t>
            </w:r>
          </w:p>
        </w:tc>
        <w:tc>
          <w:tcPr>
            <w:tcW w:w="2280" w:type="dxa"/>
            <w:vAlign w:val="bottom"/>
            <w:tcBorders>
              <w:bottom w:val="single" w:sz="8" w:color="auto"/>
            </w:tcBorders>
          </w:tcPr>
          <w:p>
            <w:pPr>
              <w:jc w:val="right"/>
              <w:ind w:right="323"/>
              <w:spacing w:after="0" w:line="183" w:lineRule="exact"/>
              <w:rPr>
                <w:sz w:val="20"/>
                <w:szCs w:val="20"/>
                <w:color w:val="auto"/>
              </w:rPr>
            </w:pPr>
            <w:r>
              <w:rPr>
                <w:rFonts w:ascii="Arial" w:cs="Arial" w:eastAsia="Arial" w:hAnsi="Arial"/>
                <w:sz w:val="16"/>
                <w:szCs w:val="16"/>
                <w:b w:val="1"/>
                <w:bCs w:val="1"/>
                <w:color w:val="auto"/>
              </w:rPr>
              <w:t>$(244)</w:t>
            </w:r>
          </w:p>
        </w:tc>
        <w:tc>
          <w:tcPr>
            <w:tcW w:w="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w w:val="94"/>
              </w:rPr>
              <w:t>2,552</w:t>
            </w:r>
          </w:p>
        </w:tc>
        <w:tc>
          <w:tcPr>
            <w:tcW w:w="1140" w:type="dxa"/>
            <w:vAlign w:val="bottom"/>
            <w:tcBorders>
              <w:bottom w:val="single" w:sz="8" w:color="auto"/>
            </w:tcBorders>
          </w:tcPr>
          <w:p>
            <w:pPr>
              <w:jc w:val="right"/>
              <w:ind w:right="243"/>
              <w:spacing w:after="0" w:line="183" w:lineRule="exact"/>
              <w:rPr>
                <w:sz w:val="20"/>
                <w:szCs w:val="20"/>
                <w:color w:val="auto"/>
              </w:rPr>
            </w:pPr>
            <w:r>
              <w:rPr>
                <w:rFonts w:ascii="Arial" w:cs="Arial" w:eastAsia="Arial" w:hAnsi="Arial"/>
                <w:sz w:val="16"/>
                <w:szCs w:val="16"/>
                <w:b w:val="1"/>
                <w:bCs w:val="1"/>
                <w:color w:val="auto"/>
              </w:rPr>
              <w:t>$1,139</w:t>
            </w:r>
          </w:p>
        </w:tc>
        <w:tc>
          <w:tcPr>
            <w:tcW w:w="1080" w:type="dxa"/>
            <w:vAlign w:val="bottom"/>
            <w:tcBorders>
              <w:bottom w:val="single" w:sz="8" w:color="auto"/>
            </w:tcBorders>
          </w:tcPr>
          <w:p>
            <w:pPr>
              <w:jc w:val="right"/>
              <w:ind w:right="141"/>
              <w:spacing w:after="0" w:line="183" w:lineRule="exact"/>
              <w:rPr>
                <w:sz w:val="20"/>
                <w:szCs w:val="20"/>
                <w:color w:val="auto"/>
              </w:rPr>
            </w:pPr>
            <w:r>
              <w:rPr>
                <w:rFonts w:ascii="Arial" w:cs="Arial" w:eastAsia="Arial" w:hAnsi="Arial"/>
                <w:sz w:val="16"/>
                <w:szCs w:val="16"/>
                <w:color w:val="auto"/>
              </w:rPr>
              <w:t>$13,714</w:t>
            </w:r>
          </w:p>
        </w:tc>
      </w:tr>
    </w:tbl>
    <w:p>
      <w:pPr>
        <w:spacing w:after="0" w:line="202"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In 2018, the Company’s proposal to close its Machine Clothing production facility in Sélestat, France was approved by the French Labor Ministry. The restructuring program was driven by the Company’s need to balance manufacturing capacity with demand. In the first nine months of 2018, we recorded restructuring expense of $9.0 million for severance and outplacement costs for the approximately 50 positions that will be terminated under this plan. Since 2017, we have recorded $ 12.0 million of restructuring charges related to this action. The Company continues to assess property, plant and equipment in that location to determine if equipment will be transferred to other facilities, or if the value of the assets can be recovered through a sale. Depending on the outcome of that assessment, additional restructuring charges could be recorded in future periods. Annual cost savings associated with this action has resulted in lower cost of goods sold.</w:t>
      </w:r>
    </w:p>
    <w:p>
      <w:pPr>
        <w:spacing w:after="0" w:line="9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AEC restructuring charges include expenses for the first nine months of 2018 were related to work force reductions in AEC locations in Salt Lake City, Utah and Rochester, New Hampshire.</w:t>
      </w:r>
    </w:p>
    <w:p>
      <w:pPr>
        <w:spacing w:after="0" w:line="89"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18"/>
          <w:szCs w:val="18"/>
          <w:color w:val="auto"/>
        </w:rPr>
        <w:t>AEC restructuring charges in the third quarter of 2018 were principally related to the discontinuation of certain manufacturing processes in Salt Lake City, resulting in a non-cash restructuring charge of $1.7 million, and an additional $0.2 million for severance.</w:t>
      </w:r>
    </w:p>
    <w:p>
      <w:pPr>
        <w:spacing w:after="0" w:line="89"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18"/>
          <w:szCs w:val="18"/>
          <w:color w:val="auto"/>
        </w:rPr>
        <w:t>For more information on our restructuring charges, see Note 5 to the Consolidated Financial Statements in Item 1, which is incorporated herein by reference.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3640" w:type="dxa"/>
            <w:vAlign w:val="bottom"/>
            <w:tcBorders>
              <w:top w:val="single" w:sz="8" w:color="auto"/>
            </w:tcBorders>
          </w:tcPr>
          <w:p>
            <w:pPr>
              <w:spacing w:after="0"/>
              <w:rPr>
                <w:sz w:val="14"/>
                <w:szCs w:val="14"/>
                <w:color w:val="auto"/>
              </w:rPr>
            </w:pPr>
          </w:p>
        </w:tc>
        <w:tc>
          <w:tcPr>
            <w:tcW w:w="3540" w:type="dxa"/>
            <w:vAlign w:val="bottom"/>
            <w:tcBorders>
              <w:top w:val="single" w:sz="8" w:color="auto"/>
            </w:tcBorders>
            <w:gridSpan w:val="2"/>
          </w:tcPr>
          <w:p>
            <w:pPr>
              <w:jc w:val="right"/>
              <w:ind w:right="441"/>
              <w:spacing w:after="0"/>
              <w:rPr>
                <w:sz w:val="20"/>
                <w:szCs w:val="20"/>
                <w:color w:val="auto"/>
              </w:rPr>
            </w:pPr>
            <w:r>
              <w:rPr>
                <w:rFonts w:ascii="Arial" w:cs="Arial" w:eastAsia="Arial" w:hAnsi="Arial"/>
                <w:sz w:val="14"/>
                <w:szCs w:val="14"/>
                <w:b w:val="1"/>
                <w:bCs w:val="1"/>
                <w:color w:val="auto"/>
              </w:rPr>
              <w:t>Three months ended</w:t>
            </w:r>
          </w:p>
        </w:tc>
        <w:tc>
          <w:tcPr>
            <w:tcW w:w="2240" w:type="dxa"/>
            <w:vAlign w:val="bottom"/>
            <w:tcBorders>
              <w:top w:val="single" w:sz="8" w:color="auto"/>
            </w:tcBorders>
            <w:gridSpan w:val="2"/>
          </w:tcPr>
          <w:p>
            <w:pPr>
              <w:jc w:val="right"/>
              <w:ind w:right="381"/>
              <w:spacing w:after="0"/>
              <w:rPr>
                <w:sz w:val="20"/>
                <w:szCs w:val="20"/>
                <w:color w:val="auto"/>
              </w:rPr>
            </w:pPr>
            <w:r>
              <w:rPr>
                <w:rFonts w:ascii="Arial" w:cs="Arial" w:eastAsia="Arial" w:hAnsi="Arial"/>
                <w:sz w:val="14"/>
                <w:szCs w:val="14"/>
                <w:b w:val="1"/>
                <w:bCs w:val="1"/>
                <w:color w:val="auto"/>
              </w:rPr>
              <w:t>Nine months ended</w:t>
            </w:r>
          </w:p>
        </w:tc>
      </w:tr>
      <w:tr>
        <w:trPr>
          <w:trHeight w:val="162"/>
        </w:trPr>
        <w:tc>
          <w:tcPr>
            <w:tcW w:w="3640" w:type="dxa"/>
            <w:vAlign w:val="bottom"/>
          </w:tcPr>
          <w:p>
            <w:pPr>
              <w:spacing w:after="0"/>
              <w:rPr>
                <w:sz w:val="14"/>
                <w:szCs w:val="14"/>
                <w:color w:val="auto"/>
              </w:rPr>
            </w:pPr>
          </w:p>
        </w:tc>
        <w:tc>
          <w:tcPr>
            <w:tcW w:w="3540" w:type="dxa"/>
            <w:vAlign w:val="bottom"/>
            <w:gridSpan w:val="2"/>
          </w:tcPr>
          <w:p>
            <w:pPr>
              <w:jc w:val="right"/>
              <w:ind w:right="661"/>
              <w:spacing w:after="0"/>
              <w:rPr>
                <w:sz w:val="20"/>
                <w:szCs w:val="20"/>
                <w:color w:val="auto"/>
              </w:rPr>
            </w:pPr>
            <w:r>
              <w:rPr>
                <w:rFonts w:ascii="Arial" w:cs="Arial" w:eastAsia="Arial" w:hAnsi="Arial"/>
                <w:sz w:val="14"/>
                <w:szCs w:val="14"/>
                <w:b w:val="1"/>
                <w:bCs w:val="1"/>
                <w:color w:val="auto"/>
              </w:rPr>
              <w:t>September 30,</w:t>
            </w:r>
          </w:p>
        </w:tc>
        <w:tc>
          <w:tcPr>
            <w:tcW w:w="2240" w:type="dxa"/>
            <w:vAlign w:val="bottom"/>
            <w:gridSpan w:val="2"/>
          </w:tcPr>
          <w:p>
            <w:pPr>
              <w:jc w:val="right"/>
              <w:ind w:right="561"/>
              <w:spacing w:after="0"/>
              <w:rPr>
                <w:sz w:val="20"/>
                <w:szCs w:val="20"/>
                <w:color w:val="auto"/>
              </w:rPr>
            </w:pPr>
            <w:r>
              <w:rPr>
                <w:rFonts w:ascii="Arial" w:cs="Arial" w:eastAsia="Arial" w:hAnsi="Arial"/>
                <w:sz w:val="14"/>
                <w:szCs w:val="14"/>
                <w:b w:val="1"/>
                <w:bCs w:val="1"/>
                <w:color w:val="auto"/>
              </w:rPr>
              <w:t>September 30,</w:t>
            </w:r>
          </w:p>
        </w:tc>
      </w:tr>
      <w:tr>
        <w:trPr>
          <w:trHeight w:val="175"/>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3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c>
          <w:tcPr>
            <w:tcW w:w="11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r>
      <w:tr>
        <w:trPr>
          <w:trHeight w:val="164"/>
        </w:trPr>
        <w:tc>
          <w:tcPr>
            <w:tcW w:w="3640" w:type="dxa"/>
            <w:vAlign w:val="bottom"/>
          </w:tcPr>
          <w:p>
            <w:pPr>
              <w:spacing w:after="0" w:line="165" w:lineRule="exact"/>
              <w:rPr>
                <w:sz w:val="20"/>
                <w:szCs w:val="20"/>
                <w:color w:val="auto"/>
              </w:rPr>
            </w:pPr>
            <w:r>
              <w:rPr>
                <w:rFonts w:ascii="Arial" w:cs="Arial" w:eastAsia="Arial" w:hAnsi="Arial"/>
                <w:sz w:val="16"/>
                <w:szCs w:val="16"/>
                <w:color w:val="auto"/>
              </w:rPr>
              <w:t>Machine Clothing</w:t>
            </w:r>
          </w:p>
        </w:tc>
        <w:tc>
          <w:tcPr>
            <w:tcW w:w="2340" w:type="dxa"/>
            <w:vAlign w:val="bottom"/>
          </w:tcPr>
          <w:p>
            <w:pPr>
              <w:jc w:val="right"/>
              <w:ind w:right="263"/>
              <w:spacing w:after="0" w:line="165" w:lineRule="exact"/>
              <w:rPr>
                <w:sz w:val="20"/>
                <w:szCs w:val="20"/>
                <w:color w:val="auto"/>
              </w:rPr>
            </w:pPr>
            <w:r>
              <w:rPr>
                <w:rFonts w:ascii="Arial" w:cs="Arial" w:eastAsia="Arial" w:hAnsi="Arial"/>
                <w:sz w:val="16"/>
                <w:szCs w:val="16"/>
                <w:b w:val="1"/>
                <w:bCs w:val="1"/>
                <w:color w:val="auto"/>
              </w:rPr>
              <w:t>$ 51,906</w:t>
            </w:r>
          </w:p>
        </w:tc>
        <w:tc>
          <w:tcPr>
            <w:tcW w:w="1200" w:type="dxa"/>
            <w:vAlign w:val="bottom"/>
          </w:tcPr>
          <w:p>
            <w:pPr>
              <w:jc w:val="right"/>
              <w:ind w:right="221"/>
              <w:spacing w:after="0" w:line="165" w:lineRule="exact"/>
              <w:rPr>
                <w:sz w:val="20"/>
                <w:szCs w:val="20"/>
                <w:color w:val="auto"/>
              </w:rPr>
            </w:pPr>
            <w:r>
              <w:rPr>
                <w:rFonts w:ascii="Arial" w:cs="Arial" w:eastAsia="Arial" w:hAnsi="Arial"/>
                <w:sz w:val="16"/>
                <w:szCs w:val="16"/>
                <w:color w:val="auto"/>
              </w:rPr>
              <w:t>$ 49,695</w:t>
            </w:r>
          </w:p>
        </w:tc>
        <w:tc>
          <w:tcPr>
            <w:tcW w:w="1180" w:type="dxa"/>
            <w:vAlign w:val="bottom"/>
          </w:tcPr>
          <w:p>
            <w:pPr>
              <w:jc w:val="right"/>
              <w:ind w:right="163"/>
              <w:spacing w:after="0" w:line="165" w:lineRule="exact"/>
              <w:rPr>
                <w:sz w:val="20"/>
                <w:szCs w:val="20"/>
                <w:color w:val="auto"/>
              </w:rPr>
            </w:pPr>
            <w:r>
              <w:rPr>
                <w:rFonts w:ascii="Arial" w:cs="Arial" w:eastAsia="Arial" w:hAnsi="Arial"/>
                <w:sz w:val="16"/>
                <w:szCs w:val="16"/>
                <w:b w:val="1"/>
                <w:bCs w:val="1"/>
                <w:color w:val="auto"/>
              </w:rPr>
              <w:t>$145,688</w:t>
            </w:r>
          </w:p>
        </w:tc>
        <w:tc>
          <w:tcPr>
            <w:tcW w:w="1060" w:type="dxa"/>
            <w:vAlign w:val="bottom"/>
          </w:tcPr>
          <w:p>
            <w:pPr>
              <w:jc w:val="right"/>
              <w:ind w:right="101"/>
              <w:spacing w:after="0" w:line="165" w:lineRule="exact"/>
              <w:rPr>
                <w:sz w:val="20"/>
                <w:szCs w:val="20"/>
                <w:color w:val="auto"/>
              </w:rPr>
            </w:pPr>
            <w:r>
              <w:rPr>
                <w:rFonts w:ascii="Arial" w:cs="Arial" w:eastAsia="Arial" w:hAnsi="Arial"/>
                <w:sz w:val="16"/>
                <w:szCs w:val="16"/>
                <w:color w:val="auto"/>
              </w:rPr>
              <w:t>$126,952</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Albany Engineered Composites</w:t>
            </w:r>
          </w:p>
        </w:tc>
        <w:tc>
          <w:tcPr>
            <w:tcW w:w="2340" w:type="dxa"/>
            <w:vAlign w:val="bottom"/>
          </w:tcPr>
          <w:p>
            <w:pPr>
              <w:jc w:val="right"/>
              <w:ind w:right="243"/>
              <w:spacing w:after="0"/>
              <w:rPr>
                <w:sz w:val="20"/>
                <w:szCs w:val="20"/>
                <w:color w:val="auto"/>
              </w:rPr>
            </w:pPr>
            <w:r>
              <w:rPr>
                <w:rFonts w:ascii="Arial" w:cs="Arial" w:eastAsia="Arial" w:hAnsi="Arial"/>
                <w:sz w:val="16"/>
                <w:szCs w:val="16"/>
                <w:b w:val="1"/>
                <w:bCs w:val="1"/>
                <w:color w:val="auto"/>
              </w:rPr>
              <w:t>17,345</w:t>
            </w:r>
          </w:p>
        </w:tc>
        <w:tc>
          <w:tcPr>
            <w:tcW w:w="1200" w:type="dxa"/>
            <w:vAlign w:val="bottom"/>
          </w:tcPr>
          <w:p>
            <w:pPr>
              <w:jc w:val="right"/>
              <w:ind w:right="221"/>
              <w:spacing w:after="0"/>
              <w:rPr>
                <w:sz w:val="20"/>
                <w:szCs w:val="20"/>
                <w:color w:val="auto"/>
              </w:rPr>
            </w:pPr>
            <w:r>
              <w:rPr>
                <w:rFonts w:ascii="Arial" w:cs="Arial" w:eastAsia="Arial" w:hAnsi="Arial"/>
                <w:sz w:val="16"/>
                <w:szCs w:val="16"/>
                <w:color w:val="auto"/>
              </w:rPr>
              <w:t>3,613</w:t>
            </w:r>
          </w:p>
        </w:tc>
        <w:tc>
          <w:tcPr>
            <w:tcW w:w="1180" w:type="dxa"/>
            <w:vAlign w:val="bottom"/>
          </w:tcPr>
          <w:p>
            <w:pPr>
              <w:jc w:val="right"/>
              <w:ind w:right="183"/>
              <w:spacing w:after="0"/>
              <w:rPr>
                <w:sz w:val="20"/>
                <w:szCs w:val="20"/>
                <w:color w:val="auto"/>
              </w:rPr>
            </w:pPr>
            <w:r>
              <w:rPr>
                <w:rFonts w:ascii="Arial" w:cs="Arial" w:eastAsia="Arial" w:hAnsi="Arial"/>
                <w:sz w:val="16"/>
                <w:szCs w:val="16"/>
                <w:b w:val="1"/>
                <w:bCs w:val="1"/>
                <w:color w:val="auto"/>
              </w:rPr>
              <w:t>44,598</w:t>
            </w:r>
          </w:p>
        </w:tc>
        <w:tc>
          <w:tcPr>
            <w:tcW w:w="1060" w:type="dxa"/>
            <w:vAlign w:val="bottom"/>
          </w:tcPr>
          <w:p>
            <w:pPr>
              <w:jc w:val="right"/>
              <w:ind w:right="101"/>
              <w:spacing w:after="0"/>
              <w:rPr>
                <w:sz w:val="20"/>
                <w:szCs w:val="20"/>
                <w:color w:val="auto"/>
              </w:rPr>
            </w:pPr>
            <w:r>
              <w:rPr>
                <w:rFonts w:ascii="Arial" w:cs="Arial" w:eastAsia="Arial" w:hAnsi="Arial"/>
                <w:sz w:val="16"/>
                <w:szCs w:val="16"/>
                <w:color w:val="auto"/>
              </w:rPr>
              <w:t>9,980</w:t>
            </w:r>
          </w:p>
        </w:tc>
      </w:tr>
      <w:tr>
        <w:trPr>
          <w:trHeight w:val="207"/>
        </w:trPr>
        <w:tc>
          <w:tcPr>
            <w:tcW w:w="3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Corporate expenses</w:t>
            </w:r>
          </w:p>
        </w:tc>
        <w:tc>
          <w:tcPr>
            <w:tcW w:w="234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b w:val="1"/>
                <w:bCs w:val="1"/>
                <w:color w:val="auto"/>
              </w:rPr>
              <w:t>(13,573)</w:t>
            </w:r>
          </w:p>
        </w:tc>
        <w:tc>
          <w:tcPr>
            <w:tcW w:w="12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(12,474)</w:t>
            </w: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b w:val="1"/>
                <w:bCs w:val="1"/>
                <w:color w:val="auto"/>
              </w:rPr>
              <w:t>(40,290)</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(36,938)</w:t>
            </w:r>
          </w:p>
        </w:tc>
      </w:tr>
      <w:tr>
        <w:trPr>
          <w:trHeight w:val="183"/>
        </w:trPr>
        <w:tc>
          <w:tcPr>
            <w:tcW w:w="36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w:t>
            </w:r>
          </w:p>
        </w:tc>
        <w:tc>
          <w:tcPr>
            <w:tcW w:w="2340" w:type="dxa"/>
            <w:vAlign w:val="bottom"/>
            <w:tcBorders>
              <w:bottom w:val="single" w:sz="8" w:color="auto"/>
            </w:tcBorders>
          </w:tcPr>
          <w:p>
            <w:pPr>
              <w:jc w:val="right"/>
              <w:ind w:right="263"/>
              <w:spacing w:after="0" w:line="183" w:lineRule="exact"/>
              <w:rPr>
                <w:sz w:val="20"/>
                <w:szCs w:val="20"/>
                <w:color w:val="auto"/>
              </w:rPr>
            </w:pPr>
            <w:r>
              <w:rPr>
                <w:rFonts w:ascii="Arial" w:cs="Arial" w:eastAsia="Arial" w:hAnsi="Arial"/>
                <w:sz w:val="16"/>
                <w:szCs w:val="16"/>
                <w:b w:val="1"/>
                <w:bCs w:val="1"/>
                <w:color w:val="auto"/>
              </w:rPr>
              <w:t>$ 55,678</w:t>
            </w:r>
          </w:p>
        </w:tc>
        <w:tc>
          <w:tcPr>
            <w:tcW w:w="1200" w:type="dxa"/>
            <w:vAlign w:val="bottom"/>
            <w:tcBorders>
              <w:bottom w:val="single" w:sz="8" w:color="auto"/>
            </w:tcBorders>
          </w:tcPr>
          <w:p>
            <w:pPr>
              <w:jc w:val="right"/>
              <w:ind w:right="221"/>
              <w:spacing w:after="0" w:line="183" w:lineRule="exact"/>
              <w:rPr>
                <w:sz w:val="20"/>
                <w:szCs w:val="20"/>
                <w:color w:val="auto"/>
              </w:rPr>
            </w:pPr>
            <w:r>
              <w:rPr>
                <w:rFonts w:ascii="Arial" w:cs="Arial" w:eastAsia="Arial" w:hAnsi="Arial"/>
                <w:sz w:val="16"/>
                <w:szCs w:val="16"/>
                <w:color w:val="auto"/>
              </w:rPr>
              <w:t>$ 40,834</w:t>
            </w:r>
          </w:p>
        </w:tc>
        <w:tc>
          <w:tcPr>
            <w:tcW w:w="1180" w:type="dxa"/>
            <w:vAlign w:val="bottom"/>
            <w:tcBorders>
              <w:bottom w:val="single" w:sz="8" w:color="auto"/>
            </w:tcBorders>
          </w:tcPr>
          <w:p>
            <w:pPr>
              <w:jc w:val="right"/>
              <w:ind w:right="163"/>
              <w:spacing w:after="0" w:line="183" w:lineRule="exact"/>
              <w:rPr>
                <w:sz w:val="20"/>
                <w:szCs w:val="20"/>
                <w:color w:val="auto"/>
              </w:rPr>
            </w:pPr>
            <w:r>
              <w:rPr>
                <w:rFonts w:ascii="Arial" w:cs="Arial" w:eastAsia="Arial" w:hAnsi="Arial"/>
                <w:sz w:val="16"/>
                <w:szCs w:val="16"/>
                <w:b w:val="1"/>
                <w:bCs w:val="1"/>
                <w:color w:val="auto"/>
              </w:rPr>
              <w:t>$149,996</w:t>
            </w:r>
          </w:p>
        </w:tc>
        <w:tc>
          <w:tcPr>
            <w:tcW w:w="1060" w:type="dxa"/>
            <w:vAlign w:val="bottom"/>
            <w:tcBorders>
              <w:bottom w:val="single" w:sz="8" w:color="auto"/>
            </w:tcBorders>
          </w:tcPr>
          <w:p>
            <w:pPr>
              <w:jc w:val="right"/>
              <w:ind w:right="101"/>
              <w:spacing w:after="0" w:line="183" w:lineRule="exact"/>
              <w:rPr>
                <w:sz w:val="20"/>
                <w:szCs w:val="20"/>
                <w:color w:val="auto"/>
              </w:rPr>
            </w:pPr>
            <w:r>
              <w:rPr>
                <w:rFonts w:ascii="Arial" w:cs="Arial" w:eastAsia="Arial" w:hAnsi="Arial"/>
                <w:sz w:val="16"/>
                <w:szCs w:val="16"/>
                <w:color w:val="auto"/>
              </w:rPr>
              <w:t>$ 99,994</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Earnings Items</w:t>
      </w:r>
    </w:p>
    <w:p>
      <w:pPr>
        <w:spacing w:after="0" w:line="161"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4400" w:type="dxa"/>
            <w:vAlign w:val="bottom"/>
            <w:tcBorders>
              <w:top w:val="single" w:sz="8" w:color="auto"/>
            </w:tcBorders>
          </w:tcPr>
          <w:p>
            <w:pPr>
              <w:spacing w:after="0"/>
              <w:rPr>
                <w:sz w:val="14"/>
                <w:szCs w:val="14"/>
                <w:color w:val="auto"/>
              </w:rPr>
            </w:pPr>
          </w:p>
        </w:tc>
        <w:tc>
          <w:tcPr>
            <w:tcW w:w="2780" w:type="dxa"/>
            <w:vAlign w:val="bottom"/>
            <w:tcBorders>
              <w:top w:val="single" w:sz="8" w:color="auto"/>
            </w:tcBorders>
            <w:gridSpan w:val="2"/>
          </w:tcPr>
          <w:p>
            <w:pPr>
              <w:jc w:val="right"/>
              <w:ind w:right="441"/>
              <w:spacing w:after="0"/>
              <w:rPr>
                <w:sz w:val="20"/>
                <w:szCs w:val="20"/>
                <w:color w:val="auto"/>
              </w:rPr>
            </w:pPr>
            <w:r>
              <w:rPr>
                <w:rFonts w:ascii="Arial" w:cs="Arial" w:eastAsia="Arial" w:hAnsi="Arial"/>
                <w:sz w:val="14"/>
                <w:szCs w:val="14"/>
                <w:b w:val="1"/>
                <w:bCs w:val="1"/>
                <w:color w:val="auto"/>
              </w:rPr>
              <w:t>Three months ended</w:t>
            </w:r>
          </w:p>
        </w:tc>
        <w:tc>
          <w:tcPr>
            <w:tcW w:w="2240" w:type="dxa"/>
            <w:vAlign w:val="bottom"/>
            <w:tcBorders>
              <w:top w:val="single" w:sz="8" w:color="auto"/>
            </w:tcBorders>
            <w:gridSpan w:val="2"/>
          </w:tcPr>
          <w:p>
            <w:pPr>
              <w:jc w:val="right"/>
              <w:ind w:right="381"/>
              <w:spacing w:after="0"/>
              <w:rPr>
                <w:sz w:val="20"/>
                <w:szCs w:val="20"/>
                <w:color w:val="auto"/>
              </w:rPr>
            </w:pPr>
            <w:r>
              <w:rPr>
                <w:rFonts w:ascii="Arial" w:cs="Arial" w:eastAsia="Arial" w:hAnsi="Arial"/>
                <w:sz w:val="14"/>
                <w:szCs w:val="14"/>
                <w:b w:val="1"/>
                <w:bCs w:val="1"/>
                <w:color w:val="auto"/>
              </w:rPr>
              <w:t>Nine months ended</w:t>
            </w:r>
          </w:p>
        </w:tc>
      </w:tr>
      <w:tr>
        <w:trPr>
          <w:trHeight w:val="162"/>
        </w:trPr>
        <w:tc>
          <w:tcPr>
            <w:tcW w:w="4400" w:type="dxa"/>
            <w:vAlign w:val="bottom"/>
          </w:tcPr>
          <w:p>
            <w:pPr>
              <w:spacing w:after="0"/>
              <w:rPr>
                <w:sz w:val="14"/>
                <w:szCs w:val="14"/>
                <w:color w:val="auto"/>
              </w:rPr>
            </w:pPr>
          </w:p>
        </w:tc>
        <w:tc>
          <w:tcPr>
            <w:tcW w:w="2780" w:type="dxa"/>
            <w:vAlign w:val="bottom"/>
            <w:gridSpan w:val="2"/>
          </w:tcPr>
          <w:p>
            <w:pPr>
              <w:jc w:val="right"/>
              <w:ind w:right="661"/>
              <w:spacing w:after="0"/>
              <w:rPr>
                <w:sz w:val="20"/>
                <w:szCs w:val="20"/>
                <w:color w:val="auto"/>
              </w:rPr>
            </w:pPr>
            <w:r>
              <w:rPr>
                <w:rFonts w:ascii="Arial" w:cs="Arial" w:eastAsia="Arial" w:hAnsi="Arial"/>
                <w:sz w:val="14"/>
                <w:szCs w:val="14"/>
                <w:b w:val="1"/>
                <w:bCs w:val="1"/>
                <w:color w:val="auto"/>
              </w:rPr>
              <w:t>September 30,</w:t>
            </w:r>
          </w:p>
        </w:tc>
        <w:tc>
          <w:tcPr>
            <w:tcW w:w="2240" w:type="dxa"/>
            <w:vAlign w:val="bottom"/>
            <w:gridSpan w:val="2"/>
          </w:tcPr>
          <w:p>
            <w:pPr>
              <w:jc w:val="right"/>
              <w:ind w:right="561"/>
              <w:spacing w:after="0"/>
              <w:rPr>
                <w:sz w:val="20"/>
                <w:szCs w:val="20"/>
                <w:color w:val="auto"/>
              </w:rPr>
            </w:pPr>
            <w:r>
              <w:rPr>
                <w:rFonts w:ascii="Arial" w:cs="Arial" w:eastAsia="Arial" w:hAnsi="Arial"/>
                <w:sz w:val="14"/>
                <w:szCs w:val="14"/>
                <w:b w:val="1"/>
                <w:bCs w:val="1"/>
                <w:color w:val="auto"/>
              </w:rPr>
              <w:t>September 30,</w:t>
            </w:r>
          </w:p>
        </w:tc>
      </w:tr>
      <w:tr>
        <w:trPr>
          <w:trHeight w:val="175"/>
        </w:trPr>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c>
          <w:tcPr>
            <w:tcW w:w="11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r>
      <w:tr>
        <w:trPr>
          <w:trHeight w:val="164"/>
        </w:trPr>
        <w:tc>
          <w:tcPr>
            <w:tcW w:w="4400" w:type="dxa"/>
            <w:vAlign w:val="bottom"/>
          </w:tcPr>
          <w:p>
            <w:pPr>
              <w:spacing w:after="0" w:line="165" w:lineRule="exact"/>
              <w:rPr>
                <w:sz w:val="20"/>
                <w:szCs w:val="20"/>
                <w:color w:val="auto"/>
              </w:rPr>
            </w:pPr>
            <w:r>
              <w:rPr>
                <w:rFonts w:ascii="Arial" w:cs="Arial" w:eastAsia="Arial" w:hAnsi="Arial"/>
                <w:sz w:val="16"/>
                <w:szCs w:val="16"/>
                <w:color w:val="auto"/>
              </w:rPr>
              <w:t>Interest expense, net</w:t>
            </w:r>
          </w:p>
        </w:tc>
        <w:tc>
          <w:tcPr>
            <w:tcW w:w="1580" w:type="dxa"/>
            <w:vAlign w:val="bottom"/>
          </w:tcPr>
          <w:p>
            <w:pPr>
              <w:jc w:val="right"/>
              <w:ind w:right="283"/>
              <w:spacing w:after="0" w:line="165" w:lineRule="exact"/>
              <w:rPr>
                <w:sz w:val="20"/>
                <w:szCs w:val="20"/>
                <w:color w:val="auto"/>
              </w:rPr>
            </w:pPr>
            <w:r>
              <w:rPr>
                <w:rFonts w:ascii="Arial" w:cs="Arial" w:eastAsia="Arial" w:hAnsi="Arial"/>
                <w:sz w:val="16"/>
                <w:szCs w:val="16"/>
                <w:b w:val="1"/>
                <w:bCs w:val="1"/>
                <w:color w:val="auto"/>
              </w:rPr>
              <w:t>$ 3,987</w:t>
            </w:r>
          </w:p>
        </w:tc>
        <w:tc>
          <w:tcPr>
            <w:tcW w:w="1200" w:type="dxa"/>
            <w:vAlign w:val="bottom"/>
          </w:tcPr>
          <w:p>
            <w:pPr>
              <w:jc w:val="right"/>
              <w:ind w:right="261"/>
              <w:spacing w:after="0" w:line="165" w:lineRule="exact"/>
              <w:rPr>
                <w:sz w:val="20"/>
                <w:szCs w:val="20"/>
                <w:color w:val="auto"/>
              </w:rPr>
            </w:pPr>
            <w:r>
              <w:rPr>
                <w:rFonts w:ascii="Arial" w:cs="Arial" w:eastAsia="Arial" w:hAnsi="Arial"/>
                <w:sz w:val="16"/>
                <w:szCs w:val="16"/>
                <w:color w:val="auto"/>
              </w:rPr>
              <w:t>$ 4,621</w:t>
            </w:r>
          </w:p>
        </w:tc>
        <w:tc>
          <w:tcPr>
            <w:tcW w:w="1180" w:type="dxa"/>
            <w:vAlign w:val="bottom"/>
          </w:tcPr>
          <w:p>
            <w:pPr>
              <w:jc w:val="right"/>
              <w:ind w:right="223"/>
              <w:spacing w:after="0" w:line="165" w:lineRule="exact"/>
              <w:rPr>
                <w:sz w:val="20"/>
                <w:szCs w:val="20"/>
                <w:color w:val="auto"/>
              </w:rPr>
            </w:pPr>
            <w:r>
              <w:rPr>
                <w:rFonts w:ascii="Arial" w:cs="Arial" w:eastAsia="Arial" w:hAnsi="Arial"/>
                <w:sz w:val="16"/>
                <w:szCs w:val="16"/>
                <w:b w:val="1"/>
                <w:bCs w:val="1"/>
                <w:color w:val="auto"/>
              </w:rPr>
              <w:t>$13,035</w:t>
            </w:r>
          </w:p>
        </w:tc>
        <w:tc>
          <w:tcPr>
            <w:tcW w:w="1060" w:type="dxa"/>
            <w:vAlign w:val="bottom"/>
          </w:tcPr>
          <w:p>
            <w:pPr>
              <w:jc w:val="right"/>
              <w:ind w:right="141"/>
              <w:spacing w:after="0" w:line="165" w:lineRule="exact"/>
              <w:rPr>
                <w:sz w:val="20"/>
                <w:szCs w:val="20"/>
                <w:color w:val="auto"/>
              </w:rPr>
            </w:pPr>
            <w:r>
              <w:rPr>
                <w:rFonts w:ascii="Arial" w:cs="Arial" w:eastAsia="Arial" w:hAnsi="Arial"/>
                <w:sz w:val="16"/>
                <w:szCs w:val="16"/>
                <w:color w:val="auto"/>
              </w:rPr>
              <w:t>$13,530</w:t>
            </w:r>
          </w:p>
        </w:tc>
      </w:tr>
      <w:tr>
        <w:trPr>
          <w:trHeight w:val="189"/>
        </w:trPr>
        <w:tc>
          <w:tcPr>
            <w:tcW w:w="4400" w:type="dxa"/>
            <w:vAlign w:val="bottom"/>
          </w:tcPr>
          <w:p>
            <w:pPr>
              <w:spacing w:after="0"/>
              <w:rPr>
                <w:sz w:val="20"/>
                <w:szCs w:val="20"/>
                <w:color w:val="auto"/>
              </w:rPr>
            </w:pPr>
            <w:r>
              <w:rPr>
                <w:rFonts w:ascii="Arial" w:cs="Arial" w:eastAsia="Arial" w:hAnsi="Arial"/>
                <w:sz w:val="16"/>
                <w:szCs w:val="16"/>
                <w:color w:val="auto"/>
              </w:rPr>
              <w:t>Other income, net</w:t>
            </w:r>
          </w:p>
        </w:tc>
        <w:tc>
          <w:tcPr>
            <w:tcW w:w="1580" w:type="dxa"/>
            <w:vAlign w:val="bottom"/>
          </w:tcPr>
          <w:p>
            <w:pPr>
              <w:jc w:val="right"/>
              <w:ind w:right="223"/>
              <w:spacing w:after="0"/>
              <w:rPr>
                <w:sz w:val="20"/>
                <w:szCs w:val="20"/>
                <w:color w:val="auto"/>
              </w:rPr>
            </w:pPr>
            <w:r>
              <w:rPr>
                <w:rFonts w:ascii="Arial" w:cs="Arial" w:eastAsia="Arial" w:hAnsi="Arial"/>
                <w:sz w:val="16"/>
                <w:szCs w:val="16"/>
                <w:b w:val="1"/>
                <w:bCs w:val="1"/>
                <w:color w:val="auto"/>
              </w:rPr>
              <w:t>(1,628)</w:t>
            </w: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(3,151)</w:t>
            </w:r>
          </w:p>
        </w:tc>
        <w:tc>
          <w:tcPr>
            <w:tcW w:w="1180" w:type="dxa"/>
            <w:vAlign w:val="bottom"/>
          </w:tcPr>
          <w:p>
            <w:pPr>
              <w:jc w:val="right"/>
              <w:ind w:right="163"/>
              <w:spacing w:after="0"/>
              <w:rPr>
                <w:sz w:val="20"/>
                <w:szCs w:val="20"/>
                <w:color w:val="auto"/>
              </w:rPr>
            </w:pPr>
            <w:r>
              <w:rPr>
                <w:rFonts w:ascii="Arial" w:cs="Arial" w:eastAsia="Arial" w:hAnsi="Arial"/>
                <w:sz w:val="16"/>
                <w:szCs w:val="16"/>
                <w:b w:val="1"/>
                <w:bCs w:val="1"/>
                <w:color w:val="auto"/>
              </w:rPr>
              <w:t>(1,906)</w:t>
            </w:r>
          </w:p>
        </w:tc>
        <w:tc>
          <w:tcPr>
            <w:tcW w:w="1060" w:type="dxa"/>
            <w:vAlign w:val="bottom"/>
          </w:tcPr>
          <w:p>
            <w:pPr>
              <w:jc w:val="right"/>
              <w:ind w:right="101"/>
              <w:spacing w:after="0"/>
              <w:rPr>
                <w:sz w:val="20"/>
                <w:szCs w:val="20"/>
                <w:color w:val="auto"/>
              </w:rPr>
            </w:pPr>
            <w:r>
              <w:rPr>
                <w:rFonts w:ascii="Arial" w:cs="Arial" w:eastAsia="Arial" w:hAnsi="Arial"/>
                <w:sz w:val="16"/>
                <w:szCs w:val="16"/>
                <w:color w:val="auto"/>
              </w:rPr>
              <w:t>(973)</w:t>
            </w:r>
          </w:p>
        </w:tc>
      </w:tr>
      <w:tr>
        <w:trPr>
          <w:trHeight w:val="189"/>
        </w:trPr>
        <w:tc>
          <w:tcPr>
            <w:tcW w:w="4400" w:type="dxa"/>
            <w:vAlign w:val="bottom"/>
          </w:tcPr>
          <w:p>
            <w:pPr>
              <w:spacing w:after="0"/>
              <w:rPr>
                <w:sz w:val="20"/>
                <w:szCs w:val="20"/>
                <w:color w:val="auto"/>
              </w:rPr>
            </w:pPr>
            <w:r>
              <w:rPr>
                <w:rFonts w:ascii="Arial" w:cs="Arial" w:eastAsia="Arial" w:hAnsi="Arial"/>
                <w:sz w:val="16"/>
                <w:szCs w:val="16"/>
                <w:color w:val="auto"/>
              </w:rPr>
              <w:t>Income tax expense</w:t>
            </w:r>
          </w:p>
        </w:tc>
        <w:tc>
          <w:tcPr>
            <w:tcW w:w="1580" w:type="dxa"/>
            <w:vAlign w:val="bottom"/>
          </w:tcPr>
          <w:p>
            <w:pPr>
              <w:jc w:val="right"/>
              <w:ind w:right="283"/>
              <w:spacing w:after="0"/>
              <w:rPr>
                <w:sz w:val="20"/>
                <w:szCs w:val="20"/>
                <w:color w:val="auto"/>
              </w:rPr>
            </w:pPr>
            <w:r>
              <w:rPr>
                <w:rFonts w:ascii="Arial" w:cs="Arial" w:eastAsia="Arial" w:hAnsi="Arial"/>
                <w:sz w:val="16"/>
                <w:szCs w:val="16"/>
                <w:b w:val="1"/>
                <w:bCs w:val="1"/>
                <w:color w:val="auto"/>
              </w:rPr>
              <w:t>13,194</w:t>
            </w:r>
          </w:p>
        </w:tc>
        <w:tc>
          <w:tcPr>
            <w:tcW w:w="1200" w:type="dxa"/>
            <w:vAlign w:val="bottom"/>
          </w:tcPr>
          <w:p>
            <w:pPr>
              <w:jc w:val="right"/>
              <w:ind w:right="261"/>
              <w:spacing w:after="0"/>
              <w:rPr>
                <w:sz w:val="20"/>
                <w:szCs w:val="20"/>
                <w:color w:val="auto"/>
              </w:rPr>
            </w:pPr>
            <w:r>
              <w:rPr>
                <w:rFonts w:ascii="Arial" w:cs="Arial" w:eastAsia="Arial" w:hAnsi="Arial"/>
                <w:sz w:val="16"/>
                <w:szCs w:val="16"/>
                <w:color w:val="auto"/>
              </w:rPr>
              <w:t>11,359</w:t>
            </w:r>
          </w:p>
        </w:tc>
        <w:tc>
          <w:tcPr>
            <w:tcW w:w="1180" w:type="dxa"/>
            <w:vAlign w:val="bottom"/>
          </w:tcPr>
          <w:p>
            <w:pPr>
              <w:jc w:val="right"/>
              <w:ind w:right="223"/>
              <w:spacing w:after="0"/>
              <w:rPr>
                <w:sz w:val="20"/>
                <w:szCs w:val="20"/>
                <w:color w:val="auto"/>
              </w:rPr>
            </w:pPr>
            <w:r>
              <w:rPr>
                <w:rFonts w:ascii="Arial" w:cs="Arial" w:eastAsia="Arial" w:hAnsi="Arial"/>
                <w:sz w:val="16"/>
                <w:szCs w:val="16"/>
                <w:b w:val="1"/>
                <w:bCs w:val="1"/>
                <w:color w:val="auto"/>
              </w:rPr>
              <w:t>35,075</w:t>
            </w:r>
          </w:p>
        </w:tc>
        <w:tc>
          <w:tcPr>
            <w:tcW w:w="1060" w:type="dxa"/>
            <w:vAlign w:val="bottom"/>
          </w:tcPr>
          <w:p>
            <w:pPr>
              <w:jc w:val="right"/>
              <w:ind w:right="161"/>
              <w:spacing w:after="0"/>
              <w:rPr>
                <w:sz w:val="20"/>
                <w:szCs w:val="20"/>
                <w:color w:val="auto"/>
              </w:rPr>
            </w:pPr>
            <w:r>
              <w:rPr>
                <w:rFonts w:ascii="Arial" w:cs="Arial" w:eastAsia="Arial" w:hAnsi="Arial"/>
                <w:sz w:val="16"/>
                <w:szCs w:val="16"/>
                <w:color w:val="auto"/>
              </w:rPr>
              <w:t>21,690</w:t>
            </w:r>
          </w:p>
        </w:tc>
      </w:tr>
      <w:tr>
        <w:trPr>
          <w:trHeight w:val="207"/>
        </w:trPr>
        <w:tc>
          <w:tcPr>
            <w:tcW w:w="4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income attributable to the noncontrolling interest</w:t>
            </w:r>
          </w:p>
        </w:tc>
        <w:tc>
          <w:tcPr>
            <w:tcW w:w="158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116</w:t>
            </w:r>
          </w:p>
        </w:tc>
        <w:tc>
          <w:tcPr>
            <w:tcW w:w="120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269</w:t>
            </w:r>
          </w:p>
        </w:tc>
        <w:tc>
          <w:tcPr>
            <w:tcW w:w="118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b w:val="1"/>
                <w:bCs w:val="1"/>
                <w:color w:val="auto"/>
              </w:rPr>
              <w:t>539</w:t>
            </w:r>
          </w:p>
        </w:tc>
        <w:tc>
          <w:tcPr>
            <w:tcW w:w="10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447</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6"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Year-to -date 2019 Interest expense, net, was relatively flat compared to 2018. See the Capital Resources section for further discussion of borrowings and interest rates.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(income)/expense, net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Other (income)/expense, net included the following individually significant items:</w:t>
      </w:r>
    </w:p>
    <w:p>
      <w:pPr>
        <w:spacing w:after="0" w:line="50" w:lineRule="exact"/>
        <w:rPr>
          <w:sz w:val="20"/>
          <w:szCs w:val="20"/>
          <w:color w:val="auto"/>
        </w:rPr>
      </w:pPr>
    </w:p>
    <w:p>
      <w:pPr>
        <w:ind w:left="580" w:right="20" w:hanging="248"/>
        <w:spacing w:after="0" w:line="246"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the third quarter of each year, revaluation of nonfunctional currency cash and intercompany balances resulted in a gain of $2.0 million in 2019 and $3.6 million in 2018.</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Other (income)/expense, net included the following individually significant items:</w:t>
      </w:r>
    </w:p>
    <w:p>
      <w:pPr>
        <w:spacing w:after="0" w:line="63" w:lineRule="exact"/>
        <w:rPr>
          <w:sz w:val="20"/>
          <w:szCs w:val="20"/>
          <w:color w:val="auto"/>
        </w:rPr>
      </w:pPr>
    </w:p>
    <w:p>
      <w:pPr>
        <w:ind w:left="580" w:right="20" w:hanging="248"/>
        <w:spacing w:after="0" w:line="246"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the first nine months of each year, revaluation of nonfunctional currency cash and intercompany balances resulted in a gain of $3.7 million in 2019, and a gain of $2.9 million in 2018.</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The Company has operations which constitute a taxable presence in 18 countries outside of the United States. The majority of these countries had income tax rates that are above the United States federal tax rate of 21%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6"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The Company’s effective tax rates for the third quarter of 2019 and 2018 were 24.7% and 28.9%, respectively. The tax rate is affected by recurring items, such as the income tax rate in the U.S. and in non-U.S. jurisdictions and the mix of income earned in those jurisdictions. The tax rate is also affected by U.S. tax costs on foreign earnings, and by discrete items that may occur in any given year but are not consistent from year to year.</w:t>
      </w:r>
    </w:p>
    <w:p>
      <w:pPr>
        <w:spacing w:after="0" w:line="94"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18"/>
          <w:szCs w:val="18"/>
          <w:color w:val="auto"/>
        </w:rPr>
        <w:t>Significant items that impacted the effective tax rate in the third quarter of 2019 included the following (percentages reflect the effect of each item as a percentage of income before income taxes):</w:t>
      </w:r>
    </w:p>
    <w:p>
      <w:pPr>
        <w:spacing w:after="0" w:line="35" w:lineRule="exact"/>
        <w:rPr>
          <w:sz w:val="20"/>
          <w:szCs w:val="20"/>
          <w:color w:val="auto"/>
        </w:rPr>
      </w:pPr>
    </w:p>
    <w:p>
      <w:pPr>
        <w:ind w:left="580" w:hanging="248"/>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27.5%.</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($0.2) million [-0.3%] tax benefit related to the true-up of prior years’ estimated taxes.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($1.3) million [-2.5%] tax benefit for other tax adjustments.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items that impacted the third quarter of 2018 tax rate included the following:</w:t>
      </w:r>
    </w:p>
    <w:p>
      <w:pPr>
        <w:spacing w:after="0" w:line="50" w:lineRule="exact"/>
        <w:rPr>
          <w:sz w:val="20"/>
          <w:szCs w:val="20"/>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29.7%.</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($0.2) million [-0.4%] tax benefit due to changes of uncertain tax positions.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$0.1 million [0.2%] tax expense due to changes in the opening valuation allowance.</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($0.2) million [-0.6%] tax benefit for other tax adjustments.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26"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The Company’s effective tax rates for the first nine months of 2019 and 2018 were 25.3% and 24.8%, respectively. The tax rate is affected by recurring items, such as the income tax rate in the U.S. and in non-U.S. jurisdictions and the mix of income earned in those jurisdictions. The tax rate is also affected by U.S. tax costs on foreign earnings, and by discrete items that may occur in any given year but are not consistent from year to year.</w:t>
      </w:r>
    </w:p>
    <w:p>
      <w:pPr>
        <w:spacing w:after="0" w:line="9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Significant items that impacted the effective tax rate in the first nine months of 2019 included the following (percentages reflect the effect of each item as a percentage of income before income taxes):</w:t>
      </w:r>
    </w:p>
    <w:p>
      <w:pPr>
        <w:spacing w:after="0" w:line="48" w:lineRule="exact"/>
        <w:rPr>
          <w:sz w:val="20"/>
          <w:szCs w:val="20"/>
          <w:color w:val="auto"/>
        </w:rPr>
      </w:pPr>
    </w:p>
    <w:p>
      <w:pPr>
        <w:ind w:left="580" w:hanging="248"/>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27.5%.</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$0.2 million [0.2%] tax expense related to the true-up of prior years’ estimated taxes.</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($2.8) million [-2.0%] tax benefit due to changes of uncertain tax positions.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($1.4) million [-1.0%] tax benefit from an adjustment related to a prior period change in the valuation allowance.</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$0.8 million [0.6%] tax expense related to the creation of a valuation allowance in Mexico.</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items that impacted the effective tax rate in the first nine months of 2018 included the following:</w:t>
      </w:r>
    </w:p>
    <w:p>
      <w:pPr>
        <w:spacing w:after="0" w:line="50" w:lineRule="exact"/>
        <w:rPr>
          <w:sz w:val="20"/>
          <w:szCs w:val="20"/>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29.7%.</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($0.3) million [-0.3%] tax benefit related to the true-up of prior years’ estimated taxes.</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($1.1) million [-1.2%] tax benefit from the impact of the mandatory repatriations.</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$2.3 million [2.5%] tax expense due to changes of uncertain tax positions.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($5.0) million [-5.3%] tax benefit due to changes in the opening valuation allowance.</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($0.2) million [-0.6%] net tax benefit for other tax adjustments.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2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Machine Clothing is our primary business segment and accounted for 57% of our consolidated revenues during the first nine months of 2019. MC products are purchased primarily by manufacturers of paper and paperboard.</w:t>
      </w:r>
    </w:p>
    <w:p>
      <w:pPr>
        <w:spacing w:after="0" w:line="89"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According to RISI, Inc., global production of paper and paperboard is expected to grow at an annual rate of approximately 1 percent over the next five years, driven primarily by global growth in packaging and tissue, which is expected to be greater than expected declines in publication grades.</w:t>
      </w:r>
    </w:p>
    <w:p>
      <w:pPr>
        <w:spacing w:after="0" w:line="95"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While the MC business has suffered from well-documented declines in publication grades in the Company’s traditional markets, the paper and paperboard industry is still expected to grow slightly on a global basis, driven by demand for packaging and tissue grades. We feel we are now well-positioned in these markets, with high-quality, low-cost production in growth markets, substantially lower fixed costs in mature markets, and continued strength in new product development, technical product support, and manufacturing technology. Recent technological advances in paper machine clothing, while contributing to the papermaking efficiency of customers, have lengthened the useful life of many of our products and had an adverse impact on overall paper machine clothing demand.</w:t>
      </w:r>
    </w:p>
    <w:p>
      <w:pPr>
        <w:spacing w:after="0" w:line="97"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9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We have incurred significant restructuring charges in recent periods as we reduced MC manufacturing capacity and administrative positions in the United States and France.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61"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4720" w:type="dxa"/>
            <w:vAlign w:val="bottom"/>
            <w:tcBorders>
              <w:top w:val="single" w:sz="8" w:color="auto"/>
            </w:tcBorders>
          </w:tcPr>
          <w:p>
            <w:pPr>
              <w:spacing w:after="0"/>
              <w:rPr>
                <w:sz w:val="14"/>
                <w:szCs w:val="14"/>
                <w:color w:val="auto"/>
              </w:rPr>
            </w:pPr>
          </w:p>
        </w:tc>
        <w:tc>
          <w:tcPr>
            <w:tcW w:w="252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252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218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4720" w:type="dxa"/>
            <w:vAlign w:val="bottom"/>
            <w:tcBorders>
              <w:bottom w:val="single" w:sz="8" w:color="auto"/>
            </w:tcBorders>
            <w:vMerge w:val="continue"/>
          </w:tcPr>
          <w:p>
            <w:pPr>
              <w:spacing w:after="0"/>
              <w:rPr>
                <w:sz w:val="13"/>
                <w:szCs w:val="13"/>
                <w:color w:val="auto"/>
              </w:rPr>
            </w:pPr>
          </w:p>
        </w:tc>
        <w:tc>
          <w:tcPr>
            <w:tcW w:w="1300" w:type="dxa"/>
            <w:vAlign w:val="bottom"/>
            <w:tcBorders>
              <w:bottom w:val="single" w:sz="8" w:color="auto"/>
            </w:tcBorders>
          </w:tcPr>
          <w:p>
            <w:pPr>
              <w:jc w:val="right"/>
              <w:ind w:right="442"/>
              <w:spacing w:after="0" w:line="155" w:lineRule="exact"/>
              <w:rPr>
                <w:sz w:val="20"/>
                <w:szCs w:val="20"/>
                <w:color w:val="auto"/>
              </w:rPr>
            </w:pPr>
            <w:r>
              <w:rPr>
                <w:rFonts w:ascii="Arial" w:cs="Arial" w:eastAsia="Arial" w:hAnsi="Arial"/>
                <w:sz w:val="14"/>
                <w:szCs w:val="14"/>
                <w:b w:val="1"/>
                <w:bCs w:val="1"/>
                <w:color w:val="auto"/>
              </w:rPr>
              <w:t>2019</w:t>
            </w:r>
          </w:p>
        </w:tc>
        <w:tc>
          <w:tcPr>
            <w:tcW w:w="1220" w:type="dxa"/>
            <w:vAlign w:val="bottom"/>
            <w:tcBorders>
              <w:bottom w:val="single" w:sz="8" w:color="auto"/>
            </w:tcBorders>
          </w:tcPr>
          <w:p>
            <w:pPr>
              <w:jc w:val="right"/>
              <w:ind w:right="440"/>
              <w:spacing w:after="0" w:line="155" w:lineRule="exact"/>
              <w:rPr>
                <w:sz w:val="20"/>
                <w:szCs w:val="20"/>
                <w:color w:val="auto"/>
              </w:rPr>
            </w:pPr>
            <w:r>
              <w:rPr>
                <w:rFonts w:ascii="Arial" w:cs="Arial" w:eastAsia="Arial" w:hAnsi="Arial"/>
                <w:sz w:val="14"/>
                <w:szCs w:val="14"/>
                <w:b w:val="1"/>
                <w:bCs w:val="1"/>
                <w:color w:val="auto"/>
              </w:rPr>
              <w:t>2018</w:t>
            </w:r>
          </w:p>
        </w:tc>
        <w:tc>
          <w:tcPr>
            <w:tcW w:w="1180" w:type="dxa"/>
            <w:vAlign w:val="bottom"/>
            <w:tcBorders>
              <w:bottom w:val="single" w:sz="8" w:color="auto"/>
            </w:tcBorders>
          </w:tcPr>
          <w:p>
            <w:pPr>
              <w:jc w:val="right"/>
              <w:ind w:right="402"/>
              <w:spacing w:after="0" w:line="155" w:lineRule="exact"/>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4"/>
        </w:trPr>
        <w:tc>
          <w:tcPr>
            <w:tcW w:w="4720" w:type="dxa"/>
            <w:vAlign w:val="bottom"/>
          </w:tcPr>
          <w:p>
            <w:pPr>
              <w:spacing w:after="0" w:line="165" w:lineRule="exact"/>
              <w:rPr>
                <w:sz w:val="20"/>
                <w:szCs w:val="20"/>
                <w:color w:val="auto"/>
              </w:rPr>
            </w:pPr>
            <w:r>
              <w:rPr>
                <w:rFonts w:ascii="Arial" w:cs="Arial" w:eastAsia="Arial" w:hAnsi="Arial"/>
                <w:sz w:val="16"/>
                <w:szCs w:val="16"/>
                <w:color w:val="auto"/>
              </w:rPr>
              <w:t>Net sales</w:t>
            </w:r>
          </w:p>
        </w:tc>
        <w:tc>
          <w:tcPr>
            <w:tcW w:w="1300" w:type="dxa"/>
            <w:vAlign w:val="bottom"/>
          </w:tcPr>
          <w:p>
            <w:pPr>
              <w:jc w:val="right"/>
              <w:ind w:right="262"/>
              <w:spacing w:after="0" w:line="165" w:lineRule="exact"/>
              <w:rPr>
                <w:sz w:val="20"/>
                <w:szCs w:val="20"/>
                <w:color w:val="auto"/>
              </w:rPr>
            </w:pPr>
            <w:r>
              <w:rPr>
                <w:rFonts w:ascii="Arial" w:cs="Arial" w:eastAsia="Arial" w:hAnsi="Arial"/>
                <w:sz w:val="16"/>
                <w:szCs w:val="16"/>
                <w:b w:val="1"/>
                <w:bCs w:val="1"/>
                <w:color w:val="auto"/>
              </w:rPr>
              <w:t>$151,324</w:t>
            </w:r>
          </w:p>
        </w:tc>
        <w:tc>
          <w:tcPr>
            <w:tcW w:w="1220" w:type="dxa"/>
            <w:vAlign w:val="bottom"/>
          </w:tcPr>
          <w:p>
            <w:pPr>
              <w:jc w:val="right"/>
              <w:ind w:right="260"/>
              <w:spacing w:after="0" w:line="165" w:lineRule="exact"/>
              <w:rPr>
                <w:sz w:val="20"/>
                <w:szCs w:val="20"/>
                <w:color w:val="auto"/>
              </w:rPr>
            </w:pPr>
            <w:r>
              <w:rPr>
                <w:rFonts w:ascii="Arial" w:cs="Arial" w:eastAsia="Arial" w:hAnsi="Arial"/>
                <w:sz w:val="16"/>
                <w:szCs w:val="16"/>
                <w:color w:val="auto"/>
              </w:rPr>
              <w:t>$157,608</w:t>
            </w:r>
          </w:p>
        </w:tc>
        <w:tc>
          <w:tcPr>
            <w:tcW w:w="1180" w:type="dxa"/>
            <w:vAlign w:val="bottom"/>
          </w:tcPr>
          <w:p>
            <w:pPr>
              <w:jc w:val="right"/>
              <w:ind w:right="222"/>
              <w:spacing w:after="0" w:line="165" w:lineRule="exact"/>
              <w:rPr>
                <w:sz w:val="20"/>
                <w:szCs w:val="20"/>
                <w:color w:val="auto"/>
              </w:rPr>
            </w:pPr>
            <w:r>
              <w:rPr>
                <w:rFonts w:ascii="Arial" w:cs="Arial" w:eastAsia="Arial" w:hAnsi="Arial"/>
                <w:sz w:val="16"/>
                <w:szCs w:val="16"/>
                <w:b w:val="1"/>
                <w:bCs w:val="1"/>
                <w:color w:val="auto"/>
              </w:rPr>
              <w:t>$450,673</w:t>
            </w:r>
          </w:p>
        </w:tc>
        <w:tc>
          <w:tcPr>
            <w:tcW w:w="1000" w:type="dxa"/>
            <w:vAlign w:val="bottom"/>
          </w:tcPr>
          <w:p>
            <w:pPr>
              <w:jc w:val="right"/>
              <w:ind w:right="100"/>
              <w:spacing w:after="0" w:line="165" w:lineRule="exact"/>
              <w:rPr>
                <w:sz w:val="20"/>
                <w:szCs w:val="20"/>
                <w:color w:val="auto"/>
              </w:rPr>
            </w:pPr>
            <w:r>
              <w:rPr>
                <w:rFonts w:ascii="Arial" w:cs="Arial" w:eastAsia="Arial" w:hAnsi="Arial"/>
                <w:sz w:val="16"/>
                <w:szCs w:val="16"/>
                <w:color w:val="auto"/>
              </w:rPr>
              <w:t>$461,165</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20"/>
                <w:szCs w:val="20"/>
                <w:color w:val="auto"/>
              </w:rPr>
            </w:pPr>
            <w:r>
              <w:rPr>
                <w:rFonts w:ascii="Arial" w:cs="Arial" w:eastAsia="Arial" w:hAnsi="Arial"/>
                <w:sz w:val="16"/>
                <w:szCs w:val="16"/>
                <w:color w:val="auto"/>
              </w:rPr>
              <w:t>Gross profit</w:t>
            </w:r>
          </w:p>
        </w:tc>
        <w:tc>
          <w:tcPr>
            <w:tcW w:w="1300" w:type="dxa"/>
            <w:vAlign w:val="bottom"/>
          </w:tcPr>
          <w:p>
            <w:pPr>
              <w:jc w:val="right"/>
              <w:ind w:right="262"/>
              <w:spacing w:after="0"/>
              <w:rPr>
                <w:sz w:val="20"/>
                <w:szCs w:val="20"/>
                <w:color w:val="auto"/>
              </w:rPr>
            </w:pPr>
            <w:r>
              <w:rPr>
                <w:rFonts w:ascii="Arial" w:cs="Arial" w:eastAsia="Arial" w:hAnsi="Arial"/>
                <w:sz w:val="16"/>
                <w:szCs w:val="16"/>
                <w:b w:val="1"/>
                <w:bCs w:val="1"/>
                <w:color w:val="auto"/>
              </w:rPr>
              <w:t>79,225</w:t>
            </w:r>
          </w:p>
        </w:tc>
        <w:tc>
          <w:tcPr>
            <w:tcW w:w="1220" w:type="dxa"/>
            <w:vAlign w:val="bottom"/>
          </w:tcPr>
          <w:p>
            <w:pPr>
              <w:jc w:val="right"/>
              <w:ind w:right="260"/>
              <w:spacing w:after="0"/>
              <w:rPr>
                <w:sz w:val="20"/>
                <w:szCs w:val="20"/>
                <w:color w:val="auto"/>
              </w:rPr>
            </w:pPr>
            <w:r>
              <w:rPr>
                <w:rFonts w:ascii="Arial" w:cs="Arial" w:eastAsia="Arial" w:hAnsi="Arial"/>
                <w:sz w:val="16"/>
                <w:szCs w:val="16"/>
                <w:color w:val="auto"/>
              </w:rPr>
              <w:t>78,727</w:t>
            </w:r>
          </w:p>
        </w:tc>
        <w:tc>
          <w:tcPr>
            <w:tcW w:w="1180" w:type="dxa"/>
            <w:vAlign w:val="bottom"/>
          </w:tcPr>
          <w:p>
            <w:pPr>
              <w:jc w:val="right"/>
              <w:ind w:right="242"/>
              <w:spacing w:after="0"/>
              <w:rPr>
                <w:sz w:val="20"/>
                <w:szCs w:val="20"/>
                <w:color w:val="auto"/>
              </w:rPr>
            </w:pPr>
            <w:r>
              <w:rPr>
                <w:rFonts w:ascii="Arial" w:cs="Arial" w:eastAsia="Arial" w:hAnsi="Arial"/>
                <w:sz w:val="16"/>
                <w:szCs w:val="16"/>
                <w:b w:val="1"/>
                <w:bCs w:val="1"/>
                <w:color w:val="auto"/>
              </w:rPr>
              <w:t>234,040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224,111</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20"/>
                <w:szCs w:val="20"/>
                <w:color w:val="auto"/>
              </w:rPr>
            </w:pPr>
            <w:r>
              <w:rPr>
                <w:rFonts w:ascii="Arial" w:cs="Arial" w:eastAsia="Arial" w:hAnsi="Arial"/>
                <w:sz w:val="16"/>
                <w:szCs w:val="16"/>
                <w:color w:val="auto"/>
              </w:rPr>
              <w:t>% of Net sales</w:t>
            </w:r>
          </w:p>
        </w:tc>
        <w:tc>
          <w:tcPr>
            <w:tcW w:w="1300" w:type="dxa"/>
            <w:vAlign w:val="bottom"/>
          </w:tcPr>
          <w:p>
            <w:pPr>
              <w:jc w:val="right"/>
              <w:ind w:right="122"/>
              <w:spacing w:after="0"/>
              <w:rPr>
                <w:sz w:val="20"/>
                <w:szCs w:val="20"/>
                <w:color w:val="auto"/>
              </w:rPr>
            </w:pPr>
            <w:r>
              <w:rPr>
                <w:rFonts w:ascii="Arial" w:cs="Arial" w:eastAsia="Arial" w:hAnsi="Arial"/>
                <w:sz w:val="16"/>
                <w:szCs w:val="16"/>
                <w:b w:val="1"/>
                <w:bCs w:val="1"/>
                <w:color w:val="auto"/>
              </w:rPr>
              <w:t>52.4%</w:t>
            </w: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50.0%</w:t>
            </w:r>
          </w:p>
        </w:tc>
        <w:tc>
          <w:tcPr>
            <w:tcW w:w="1180" w:type="dxa"/>
            <w:vAlign w:val="bottom"/>
          </w:tcPr>
          <w:p>
            <w:pPr>
              <w:jc w:val="right"/>
              <w:ind w:right="82"/>
              <w:spacing w:after="0"/>
              <w:rPr>
                <w:sz w:val="20"/>
                <w:szCs w:val="20"/>
                <w:color w:val="auto"/>
              </w:rPr>
            </w:pPr>
            <w:r>
              <w:rPr>
                <w:rFonts w:ascii="Arial" w:cs="Arial" w:eastAsia="Arial" w:hAnsi="Arial"/>
                <w:sz w:val="16"/>
                <w:szCs w:val="16"/>
                <w:b w:val="1"/>
                <w:bCs w:val="1"/>
                <w:color w:val="auto"/>
              </w:rPr>
              <w:t>51.9%</w:t>
            </w:r>
          </w:p>
        </w:tc>
        <w:tc>
          <w:tcPr>
            <w:tcW w:w="1000" w:type="dxa"/>
            <w:vAlign w:val="bottom"/>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20"/>
                <w:szCs w:val="20"/>
                <w:color w:val="auto"/>
              </w:rPr>
            </w:pPr>
            <w:r>
              <w:rPr>
                <w:rFonts w:ascii="Arial" w:cs="Arial" w:eastAsia="Arial" w:hAnsi="Arial"/>
                <w:sz w:val="16"/>
                <w:szCs w:val="16"/>
                <w:color w:val="auto"/>
              </w:rPr>
              <w:t>STG&amp;R expenses</w:t>
            </w:r>
          </w:p>
        </w:tc>
        <w:tc>
          <w:tcPr>
            <w:tcW w:w="1300" w:type="dxa"/>
            <w:vAlign w:val="bottom"/>
          </w:tcPr>
          <w:p>
            <w:pPr>
              <w:jc w:val="right"/>
              <w:ind w:right="262"/>
              <w:spacing w:after="0"/>
              <w:rPr>
                <w:sz w:val="20"/>
                <w:szCs w:val="20"/>
                <w:color w:val="auto"/>
              </w:rPr>
            </w:pPr>
            <w:r>
              <w:rPr>
                <w:rFonts w:ascii="Arial" w:cs="Arial" w:eastAsia="Arial" w:hAnsi="Arial"/>
                <w:sz w:val="16"/>
                <w:szCs w:val="16"/>
                <w:b w:val="1"/>
                <w:bCs w:val="1"/>
                <w:color w:val="auto"/>
              </w:rPr>
              <w:t>27,529</w:t>
            </w:r>
          </w:p>
        </w:tc>
        <w:tc>
          <w:tcPr>
            <w:tcW w:w="1220" w:type="dxa"/>
            <w:vAlign w:val="bottom"/>
          </w:tcPr>
          <w:p>
            <w:pPr>
              <w:jc w:val="right"/>
              <w:ind w:right="260"/>
              <w:spacing w:after="0"/>
              <w:rPr>
                <w:sz w:val="20"/>
                <w:szCs w:val="20"/>
                <w:color w:val="auto"/>
              </w:rPr>
            </w:pPr>
            <w:r>
              <w:rPr>
                <w:rFonts w:ascii="Arial" w:cs="Arial" w:eastAsia="Arial" w:hAnsi="Arial"/>
                <w:sz w:val="16"/>
                <w:szCs w:val="16"/>
                <w:color w:val="auto"/>
              </w:rPr>
              <w:t>28,661</w:t>
            </w:r>
          </w:p>
        </w:tc>
        <w:tc>
          <w:tcPr>
            <w:tcW w:w="1180" w:type="dxa"/>
            <w:vAlign w:val="bottom"/>
          </w:tcPr>
          <w:p>
            <w:pPr>
              <w:jc w:val="right"/>
              <w:ind w:right="242"/>
              <w:spacing w:after="0"/>
              <w:rPr>
                <w:sz w:val="20"/>
                <w:szCs w:val="20"/>
                <w:color w:val="auto"/>
              </w:rPr>
            </w:pPr>
            <w:r>
              <w:rPr>
                <w:rFonts w:ascii="Arial" w:cs="Arial" w:eastAsia="Arial" w:hAnsi="Arial"/>
                <w:sz w:val="16"/>
                <w:szCs w:val="16"/>
                <w:b w:val="1"/>
                <w:bCs w:val="1"/>
                <w:color w:val="auto"/>
              </w:rPr>
              <w:t>87,227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86,639</w:t>
            </w:r>
          </w:p>
        </w:tc>
        <w:tc>
          <w:tcPr>
            <w:tcW w:w="0" w:type="dxa"/>
            <w:vAlign w:val="bottom"/>
          </w:tcPr>
          <w:p>
            <w:pPr>
              <w:spacing w:after="0"/>
              <w:rPr>
                <w:sz w:val="1"/>
                <w:szCs w:val="1"/>
                <w:color w:val="auto"/>
              </w:rPr>
            </w:pPr>
          </w:p>
        </w:tc>
      </w:tr>
      <w:tr>
        <w:trPr>
          <w:trHeight w:val="207"/>
        </w:trPr>
        <w:tc>
          <w:tcPr>
            <w:tcW w:w="4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Operating income</w:t>
            </w:r>
          </w:p>
        </w:tc>
        <w:tc>
          <w:tcPr>
            <w:tcW w:w="130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51,906</w:t>
            </w:r>
          </w:p>
        </w:tc>
        <w:tc>
          <w:tcPr>
            <w:tcW w:w="122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49,695</w:t>
            </w:r>
          </w:p>
        </w:tc>
        <w:tc>
          <w:tcPr>
            <w:tcW w:w="11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145,688</w:t>
            </w: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126,952</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72" w:lineRule="exact"/>
        <w:rPr>
          <w:sz w:val="20"/>
          <w:szCs w:val="20"/>
          <w:color w:val="auto"/>
        </w:rPr>
      </w:pPr>
    </w:p>
    <w:p>
      <w:pPr>
        <w:ind w:left="580" w:hanging="248"/>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sales decreased by 4.0%.</w:t>
      </w:r>
    </w:p>
    <w:p>
      <w:pPr>
        <w:spacing w:after="0" w:line="63" w:lineRule="exact"/>
        <w:rPr>
          <w:rFonts w:ascii="Arial" w:cs="Arial" w:eastAsia="Arial" w:hAnsi="Arial"/>
          <w:sz w:val="18"/>
          <w:szCs w:val="18"/>
          <w:color w:val="auto"/>
        </w:rPr>
      </w:pPr>
    </w:p>
    <w:p>
      <w:pPr>
        <w:jc w:val="both"/>
        <w:ind w:left="840" w:hanging="256"/>
        <w:spacing w:after="0" w:line="275" w:lineRule="auto"/>
        <w:tabs>
          <w:tab w:leader="none" w:pos="8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Changes in currency translation rates had the effect of decreasing third-quarter 2019 sales by $2.2 million compared to the same period in 2018. That currency translation effect was principally due to the weaker euro in the third quarter of 2019, compared to 2018.</w:t>
      </w:r>
    </w:p>
    <w:p>
      <w:pPr>
        <w:spacing w:after="0" w:line="11" w:lineRule="exact"/>
        <w:rPr>
          <w:rFonts w:ascii="Arial" w:cs="Arial" w:eastAsia="Arial" w:hAnsi="Arial"/>
          <w:sz w:val="17"/>
          <w:szCs w:val="17"/>
          <w:color w:val="auto"/>
        </w:rPr>
      </w:pPr>
    </w:p>
    <w:p>
      <w:pPr>
        <w:ind w:left="840" w:hanging="256"/>
        <w:spacing w:after="0" w:line="246" w:lineRule="auto"/>
        <w:tabs>
          <w:tab w:leader="none" w:pos="8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Net sales in MC decreased 2.6% compared to a very strong third quarter of 2018. A decline in the publication grade sales was partially offset by a modest net increase across other grades.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72" w:lineRule="exact"/>
        <w:rPr>
          <w:sz w:val="20"/>
          <w:szCs w:val="20"/>
          <w:color w:val="auto"/>
        </w:rPr>
      </w:pP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sales decreased by 2.3%.</w:t>
      </w:r>
    </w:p>
    <w:p>
      <w:pPr>
        <w:spacing w:after="0" w:line="63" w:lineRule="exact"/>
        <w:rPr>
          <w:rFonts w:ascii="Arial" w:cs="Arial" w:eastAsia="Arial" w:hAnsi="Arial"/>
          <w:sz w:val="18"/>
          <w:szCs w:val="18"/>
          <w:color w:val="auto"/>
        </w:rPr>
      </w:pPr>
    </w:p>
    <w:p>
      <w:pPr>
        <w:ind w:left="840" w:hanging="256"/>
        <w:spacing w:after="0" w:line="246" w:lineRule="auto"/>
        <w:tabs>
          <w:tab w:leader="none" w:pos="8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2019 sales by $9.3 million compared to the same period in 2018. That currency translation effect was principally due to the weaker euro and Chinese renminbi in 2019, compared to 2018.</w:t>
      </w:r>
    </w:p>
    <w:p>
      <w:pPr>
        <w:spacing w:after="0" w:line="34" w:lineRule="exact"/>
        <w:rPr>
          <w:rFonts w:ascii="Arial" w:cs="Arial" w:eastAsia="Arial" w:hAnsi="Arial"/>
          <w:sz w:val="18"/>
          <w:szCs w:val="18"/>
          <w:color w:val="auto"/>
        </w:rPr>
      </w:pPr>
    </w:p>
    <w:p>
      <w:pPr>
        <w:ind w:left="840" w:hanging="256"/>
        <w:spacing w:after="0" w:line="246" w:lineRule="auto"/>
        <w:tabs>
          <w:tab w:leader="none" w:pos="8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Net sales in MC decreased 0.3%, as the declines in sales for publication grades was nearly offset by increases in sales for other grades.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72" w:lineRule="exact"/>
        <w:rPr>
          <w:sz w:val="20"/>
          <w:szCs w:val="20"/>
          <w:color w:val="auto"/>
        </w:rPr>
      </w:pPr>
    </w:p>
    <w:p>
      <w:pPr>
        <w:ind w:left="580" w:hanging="248"/>
        <w:spacing w:after="0" w:line="246"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increase in MC Gross profit was principally due to lower depreciation expense, that resulted principally from significant investments made approximately ten years ago that have become fully depreciated.</w:t>
      </w:r>
    </w:p>
    <w:p>
      <w:pPr>
        <w:spacing w:after="0" w:line="48"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currency translation rates did not have a significant effect on Gross profit for the third quarter of 2019.</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72" w:lineRule="exact"/>
        <w:rPr>
          <w:sz w:val="20"/>
          <w:szCs w:val="20"/>
          <w:color w:val="auto"/>
        </w:rPr>
      </w:pPr>
    </w:p>
    <w:p>
      <w:pPr>
        <w:ind w:left="580" w:right="20" w:hanging="248"/>
        <w:spacing w:after="0" w:line="246"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increase in MC Gross profit was principally due to lower depreciation expense that resulted principally from significant investments made approximately ten years ago that have become fully depreciated.</w:t>
      </w:r>
    </w:p>
    <w:p>
      <w:pPr>
        <w:spacing w:after="0" w:line="34"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currency translation rates did not have a significant effect on year-to-date Gross profit in 2019.</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operating income was principally due to the net effect of the following individually significant items:</w:t>
      </w:r>
    </w:p>
    <w:p>
      <w:pPr>
        <w:spacing w:after="0" w:line="63" w:lineRule="exact"/>
        <w:rPr>
          <w:sz w:val="20"/>
          <w:szCs w:val="20"/>
          <w:color w:val="auto"/>
        </w:rPr>
      </w:pPr>
    </w:p>
    <w:p>
      <w:pPr>
        <w:ind w:left="580" w:hanging="248"/>
        <w:spacing w:after="0" w:line="246"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STG&amp;R expenses decreased $1.1 million principally due to revaluation of nonfunctional currency assets and liabilities which resulted in gains of $1.0 million in 2019, and negligible gains in 2018.</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27" w:lineRule="exact"/>
        <w:rPr>
          <w:sz w:val="20"/>
          <w:szCs w:val="20"/>
          <w:color w:val="auto"/>
        </w:rPr>
      </w:pPr>
    </w:p>
    <w:p>
      <w:pPr>
        <w:ind w:left="580" w:hanging="248"/>
        <w:spacing w:after="0" w:line="246"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Restructuring activities resulted in a net reduction to expense of $0.2 million in the third quarter of 2019, compared to expense of $0.4 million in the same period in 2018.</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operating income was principally due to the net effect of the following individually significant items:</w:t>
      </w:r>
    </w:p>
    <w:p>
      <w:pPr>
        <w:spacing w:after="0" w:line="63" w:lineRule="exact"/>
        <w:rPr>
          <w:sz w:val="20"/>
          <w:szCs w:val="20"/>
          <w:color w:val="auto"/>
        </w:rPr>
      </w:pPr>
    </w:p>
    <w:p>
      <w:pPr>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Gross profit increased $9.9 million principally due to lower depreciation expense and improved labor productivity.</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Restructuring charges were $1.1 million in 2019, compared to $10.5 million in the same period in 2018.</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12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The AEC segment, including Albany Safran Composites, LLC (ASC), in which our customer, the SAFRAN Group, owns a 10 percent noncontrolling interest, provides highly engineered advanced composite structures to customers primarily in the aerospace (both commercial and defense) industry. AEC’s largest program relates to CFM International’s LEAP engine. AEC, through ASC, is the exclusive supplier of advanced composite fan blades and cases for this program under a long -term supply contract. LEAP engines are currently used on the Boeing 737 Max, Airbus A320neo and COMAC aircraft. Other significant AEC programs include components for the F-35, fuselage frames for the Boeing 787, components for the CH53-K helicopter, and the fan case for the GE9X engine.</w:t>
      </w:r>
    </w:p>
    <w:p>
      <w:pPr>
        <w:spacing w:after="0" w:line="97"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A number of countries, including the United States, have issued orders grounding Boeing 737 Max 8 and/or Max 9 aircraft. If these recent groundings cause a decrease in demand for, or production of, this aircraft, it could have an adverse impact on demand for the LEAP 1B engine variant, which could in turn have an adverse impact on demand for the parts we supply for such engine. During the third quarter of 2019, we worked with our customer to implement certain reductions in our production plans for LEAP components for the second half of the year, while at the same time maintaining a production rate somewhat higher than the delivery rate of our components, in order to retain the our existing workforce and avoid regressing on the learning curve. The Company is continuing to monitor developments with our customer. Due to the nature of the contract with our customer, under the relevant accounting standards we are recognizing revenue and gross profit on that extra production in 2019, rather than in any future period in which the produced components will be delivered to the customer. This is generating a pull-forward of revenue from those periods into 2019. In addition, considerable uncertainty still exists with respect to the return-to-service of the 737-MAX and the subsequent ramp-up in our production of LEAP-1B components, which may lead to additional impacts to our revenues from LEAP-1B components in 2020 and future periods. The nature of our cost-plus fee arrangement, however, should somewhat mitigate the impact of such factors on gross margin rate in such future periods.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61"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4720" w:type="dxa"/>
            <w:vAlign w:val="bottom"/>
            <w:tcBorders>
              <w:top w:val="single" w:sz="8" w:color="auto"/>
            </w:tcBorders>
          </w:tcPr>
          <w:p>
            <w:pPr>
              <w:spacing w:after="0"/>
              <w:rPr>
                <w:sz w:val="14"/>
                <w:szCs w:val="14"/>
                <w:color w:val="auto"/>
              </w:rPr>
            </w:pPr>
          </w:p>
        </w:tc>
        <w:tc>
          <w:tcPr>
            <w:tcW w:w="250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220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250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22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4720" w:type="dxa"/>
            <w:vAlign w:val="bottom"/>
            <w:tcBorders>
              <w:bottom w:val="single" w:sz="8" w:color="auto"/>
            </w:tcBorders>
            <w:vMerge w:val="continue"/>
          </w:tcPr>
          <w:p>
            <w:pPr>
              <w:spacing w:after="0"/>
              <w:rPr>
                <w:sz w:val="13"/>
                <w:szCs w:val="13"/>
                <w:color w:val="auto"/>
              </w:rPr>
            </w:pPr>
          </w:p>
        </w:tc>
        <w:tc>
          <w:tcPr>
            <w:tcW w:w="1320" w:type="dxa"/>
            <w:vAlign w:val="bottom"/>
            <w:tcBorders>
              <w:bottom w:val="single" w:sz="8" w:color="auto"/>
            </w:tcBorders>
          </w:tcPr>
          <w:p>
            <w:pPr>
              <w:jc w:val="right"/>
              <w:ind w:right="462"/>
              <w:spacing w:after="0" w:line="155" w:lineRule="exact"/>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right"/>
              <w:ind w:right="420"/>
              <w:spacing w:after="0" w:line="155" w:lineRule="exact"/>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jc w:val="right"/>
              <w:ind w:right="402"/>
              <w:spacing w:after="0" w:line="155" w:lineRule="exact"/>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4"/>
        </w:trPr>
        <w:tc>
          <w:tcPr>
            <w:tcW w:w="4720" w:type="dxa"/>
            <w:vAlign w:val="bottom"/>
          </w:tcPr>
          <w:p>
            <w:pPr>
              <w:spacing w:after="0" w:line="165" w:lineRule="exact"/>
              <w:rPr>
                <w:sz w:val="20"/>
                <w:szCs w:val="20"/>
                <w:color w:val="auto"/>
              </w:rPr>
            </w:pPr>
            <w:r>
              <w:rPr>
                <w:rFonts w:ascii="Arial" w:cs="Arial" w:eastAsia="Arial" w:hAnsi="Arial"/>
                <w:sz w:val="16"/>
                <w:szCs w:val="16"/>
                <w:color w:val="auto"/>
              </w:rPr>
              <w:t>Net sales</w:t>
            </w:r>
          </w:p>
        </w:tc>
        <w:tc>
          <w:tcPr>
            <w:tcW w:w="1320" w:type="dxa"/>
            <w:vAlign w:val="bottom"/>
          </w:tcPr>
          <w:p>
            <w:pPr>
              <w:jc w:val="right"/>
              <w:ind w:right="282"/>
              <w:spacing w:after="0" w:line="165" w:lineRule="exact"/>
              <w:rPr>
                <w:sz w:val="20"/>
                <w:szCs w:val="20"/>
                <w:color w:val="auto"/>
              </w:rPr>
            </w:pPr>
            <w:r>
              <w:rPr>
                <w:rFonts w:ascii="Arial" w:cs="Arial" w:eastAsia="Arial" w:hAnsi="Arial"/>
                <w:sz w:val="16"/>
                <w:szCs w:val="16"/>
                <w:b w:val="1"/>
                <w:bCs w:val="1"/>
                <w:color w:val="auto"/>
              </w:rPr>
              <w:t>$119,809</w:t>
            </w:r>
          </w:p>
        </w:tc>
        <w:tc>
          <w:tcPr>
            <w:tcW w:w="1180" w:type="dxa"/>
            <w:vAlign w:val="bottom"/>
          </w:tcPr>
          <w:p>
            <w:pPr>
              <w:jc w:val="right"/>
              <w:ind w:right="280"/>
              <w:spacing w:after="0" w:line="165" w:lineRule="exact"/>
              <w:rPr>
                <w:sz w:val="20"/>
                <w:szCs w:val="20"/>
                <w:color w:val="auto"/>
              </w:rPr>
            </w:pPr>
            <w:r>
              <w:rPr>
                <w:rFonts w:ascii="Arial" w:cs="Arial" w:eastAsia="Arial" w:hAnsi="Arial"/>
                <w:sz w:val="16"/>
                <w:szCs w:val="16"/>
                <w:color w:val="auto"/>
              </w:rPr>
              <w:t>$94,281</w:t>
            </w:r>
          </w:p>
        </w:tc>
        <w:tc>
          <w:tcPr>
            <w:tcW w:w="1200" w:type="dxa"/>
            <w:vAlign w:val="bottom"/>
          </w:tcPr>
          <w:p>
            <w:pPr>
              <w:jc w:val="right"/>
              <w:ind w:right="222"/>
              <w:spacing w:after="0" w:line="165" w:lineRule="exact"/>
              <w:rPr>
                <w:sz w:val="20"/>
                <w:szCs w:val="20"/>
                <w:color w:val="auto"/>
              </w:rPr>
            </w:pPr>
            <w:r>
              <w:rPr>
                <w:rFonts w:ascii="Arial" w:cs="Arial" w:eastAsia="Arial" w:hAnsi="Arial"/>
                <w:sz w:val="16"/>
                <w:szCs w:val="16"/>
                <w:b w:val="1"/>
                <w:bCs w:val="1"/>
                <w:color w:val="auto"/>
              </w:rPr>
              <w:t>$345,781</w:t>
            </w:r>
          </w:p>
        </w:tc>
        <w:tc>
          <w:tcPr>
            <w:tcW w:w="1000" w:type="dxa"/>
            <w:vAlign w:val="bottom"/>
          </w:tcPr>
          <w:p>
            <w:pPr>
              <w:jc w:val="right"/>
              <w:ind w:right="100"/>
              <w:spacing w:after="0" w:line="165" w:lineRule="exact"/>
              <w:rPr>
                <w:sz w:val="20"/>
                <w:szCs w:val="20"/>
                <w:color w:val="auto"/>
              </w:rPr>
            </w:pPr>
            <w:r>
              <w:rPr>
                <w:rFonts w:ascii="Arial" w:cs="Arial" w:eastAsia="Arial" w:hAnsi="Arial"/>
                <w:sz w:val="16"/>
                <w:szCs w:val="16"/>
                <w:color w:val="auto"/>
              </w:rPr>
              <w:t>$269,701</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20"/>
                <w:szCs w:val="20"/>
                <w:color w:val="auto"/>
              </w:rPr>
            </w:pPr>
            <w:r>
              <w:rPr>
                <w:rFonts w:ascii="Arial" w:cs="Arial" w:eastAsia="Arial" w:hAnsi="Arial"/>
                <w:sz w:val="16"/>
                <w:szCs w:val="16"/>
                <w:color w:val="auto"/>
              </w:rPr>
              <w:t>Gross profit</w:t>
            </w:r>
          </w:p>
        </w:tc>
        <w:tc>
          <w:tcPr>
            <w:tcW w:w="1320" w:type="dxa"/>
            <w:vAlign w:val="bottom"/>
          </w:tcPr>
          <w:p>
            <w:pPr>
              <w:jc w:val="right"/>
              <w:ind w:right="302"/>
              <w:spacing w:after="0"/>
              <w:rPr>
                <w:sz w:val="20"/>
                <w:szCs w:val="20"/>
                <w:color w:val="auto"/>
              </w:rPr>
            </w:pPr>
            <w:r>
              <w:rPr>
                <w:rFonts w:ascii="Arial" w:cs="Arial" w:eastAsia="Arial" w:hAnsi="Arial"/>
                <w:sz w:val="16"/>
                <w:szCs w:val="16"/>
                <w:b w:val="1"/>
                <w:bCs w:val="1"/>
                <w:color w:val="auto"/>
              </w:rPr>
              <w:t>24,882</w:t>
            </w:r>
          </w:p>
        </w:tc>
        <w:tc>
          <w:tcPr>
            <w:tcW w:w="1180" w:type="dxa"/>
            <w:vAlign w:val="bottom"/>
          </w:tcPr>
          <w:p>
            <w:pPr>
              <w:jc w:val="right"/>
              <w:ind w:right="300"/>
              <w:spacing w:after="0"/>
              <w:rPr>
                <w:sz w:val="20"/>
                <w:szCs w:val="20"/>
                <w:color w:val="auto"/>
              </w:rPr>
            </w:pPr>
            <w:r>
              <w:rPr>
                <w:rFonts w:ascii="Arial" w:cs="Arial" w:eastAsia="Arial" w:hAnsi="Arial"/>
                <w:sz w:val="16"/>
                <w:szCs w:val="16"/>
                <w:color w:val="auto"/>
              </w:rPr>
              <w:t>13,727</w:t>
            </w:r>
          </w:p>
        </w:tc>
        <w:tc>
          <w:tcPr>
            <w:tcW w:w="1200" w:type="dxa"/>
            <w:vAlign w:val="bottom"/>
          </w:tcPr>
          <w:p>
            <w:pPr>
              <w:jc w:val="right"/>
              <w:ind w:right="242"/>
              <w:spacing w:after="0"/>
              <w:rPr>
                <w:sz w:val="20"/>
                <w:szCs w:val="20"/>
                <w:color w:val="auto"/>
              </w:rPr>
            </w:pPr>
            <w:r>
              <w:rPr>
                <w:rFonts w:ascii="Arial" w:cs="Arial" w:eastAsia="Arial" w:hAnsi="Arial"/>
                <w:sz w:val="16"/>
                <w:szCs w:val="16"/>
                <w:b w:val="1"/>
                <w:bCs w:val="1"/>
                <w:color w:val="auto"/>
              </w:rPr>
              <w:t>67,020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37,877</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20"/>
                <w:szCs w:val="20"/>
                <w:color w:val="auto"/>
              </w:rPr>
            </w:pPr>
            <w:r>
              <w:rPr>
                <w:rFonts w:ascii="Arial" w:cs="Arial" w:eastAsia="Arial" w:hAnsi="Arial"/>
                <w:sz w:val="16"/>
                <w:szCs w:val="16"/>
                <w:color w:val="auto"/>
              </w:rPr>
              <w:t>% of Net sales</w:t>
            </w:r>
          </w:p>
        </w:tc>
        <w:tc>
          <w:tcPr>
            <w:tcW w:w="1320" w:type="dxa"/>
            <w:vAlign w:val="bottom"/>
          </w:tcPr>
          <w:p>
            <w:pPr>
              <w:jc w:val="right"/>
              <w:ind w:right="142"/>
              <w:spacing w:after="0"/>
              <w:rPr>
                <w:sz w:val="20"/>
                <w:szCs w:val="20"/>
                <w:color w:val="auto"/>
              </w:rPr>
            </w:pPr>
            <w:r>
              <w:rPr>
                <w:rFonts w:ascii="Arial" w:cs="Arial" w:eastAsia="Arial" w:hAnsi="Arial"/>
                <w:sz w:val="16"/>
                <w:szCs w:val="16"/>
                <w:b w:val="1"/>
                <w:bCs w:val="1"/>
                <w:color w:val="auto"/>
              </w:rPr>
              <w:t>20.8%</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14.6%</w:t>
            </w:r>
          </w:p>
        </w:tc>
        <w:tc>
          <w:tcPr>
            <w:tcW w:w="1200" w:type="dxa"/>
            <w:vAlign w:val="bottom"/>
          </w:tcPr>
          <w:p>
            <w:pPr>
              <w:jc w:val="right"/>
              <w:ind w:right="82"/>
              <w:spacing w:after="0"/>
              <w:rPr>
                <w:sz w:val="20"/>
                <w:szCs w:val="20"/>
                <w:color w:val="auto"/>
              </w:rPr>
            </w:pPr>
            <w:r>
              <w:rPr>
                <w:rFonts w:ascii="Arial" w:cs="Arial" w:eastAsia="Arial" w:hAnsi="Arial"/>
                <w:sz w:val="16"/>
                <w:szCs w:val="16"/>
                <w:b w:val="1"/>
                <w:bCs w:val="1"/>
                <w:color w:val="auto"/>
              </w:rPr>
              <w:t>19.4%</w:t>
            </w:r>
          </w:p>
        </w:tc>
        <w:tc>
          <w:tcPr>
            <w:tcW w:w="100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20"/>
                <w:szCs w:val="20"/>
                <w:color w:val="auto"/>
              </w:rPr>
            </w:pPr>
            <w:r>
              <w:rPr>
                <w:rFonts w:ascii="Arial" w:cs="Arial" w:eastAsia="Arial" w:hAnsi="Arial"/>
                <w:sz w:val="16"/>
                <w:szCs w:val="16"/>
                <w:color w:val="auto"/>
              </w:rPr>
              <w:t>STG&amp;R expenses</w:t>
            </w:r>
          </w:p>
        </w:tc>
        <w:tc>
          <w:tcPr>
            <w:tcW w:w="1320" w:type="dxa"/>
            <w:vAlign w:val="bottom"/>
          </w:tcPr>
          <w:p>
            <w:pPr>
              <w:jc w:val="right"/>
              <w:ind w:right="302"/>
              <w:spacing w:after="0"/>
              <w:rPr>
                <w:sz w:val="20"/>
                <w:szCs w:val="20"/>
                <w:color w:val="auto"/>
              </w:rPr>
            </w:pPr>
            <w:r>
              <w:rPr>
                <w:rFonts w:ascii="Arial" w:cs="Arial" w:eastAsia="Arial" w:hAnsi="Arial"/>
                <w:sz w:val="16"/>
                <w:szCs w:val="16"/>
                <w:b w:val="1"/>
                <w:bCs w:val="1"/>
                <w:color w:val="auto"/>
              </w:rPr>
              <w:t>7,572</w:t>
            </w:r>
          </w:p>
        </w:tc>
        <w:tc>
          <w:tcPr>
            <w:tcW w:w="1180" w:type="dxa"/>
            <w:vAlign w:val="bottom"/>
          </w:tcPr>
          <w:p>
            <w:pPr>
              <w:jc w:val="right"/>
              <w:ind w:right="300"/>
              <w:spacing w:after="0"/>
              <w:rPr>
                <w:sz w:val="20"/>
                <w:szCs w:val="20"/>
                <w:color w:val="auto"/>
              </w:rPr>
            </w:pPr>
            <w:r>
              <w:rPr>
                <w:rFonts w:ascii="Arial" w:cs="Arial" w:eastAsia="Arial" w:hAnsi="Arial"/>
                <w:sz w:val="16"/>
                <w:szCs w:val="16"/>
                <w:color w:val="auto"/>
              </w:rPr>
              <w:t>7,927</w:t>
            </w:r>
          </w:p>
        </w:tc>
        <w:tc>
          <w:tcPr>
            <w:tcW w:w="1200" w:type="dxa"/>
            <w:vAlign w:val="bottom"/>
          </w:tcPr>
          <w:p>
            <w:pPr>
              <w:jc w:val="right"/>
              <w:ind w:right="242"/>
              <w:spacing w:after="0"/>
              <w:rPr>
                <w:sz w:val="20"/>
                <w:szCs w:val="20"/>
                <w:color w:val="auto"/>
              </w:rPr>
            </w:pPr>
            <w:r>
              <w:rPr>
                <w:rFonts w:ascii="Arial" w:cs="Arial" w:eastAsia="Arial" w:hAnsi="Arial"/>
                <w:sz w:val="16"/>
                <w:szCs w:val="16"/>
                <w:b w:val="1"/>
                <w:bCs w:val="1"/>
                <w:color w:val="auto"/>
              </w:rPr>
              <w:t>22,404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24,931</w:t>
            </w:r>
          </w:p>
        </w:tc>
        <w:tc>
          <w:tcPr>
            <w:tcW w:w="0" w:type="dxa"/>
            <w:vAlign w:val="bottom"/>
          </w:tcPr>
          <w:p>
            <w:pPr>
              <w:spacing w:after="0"/>
              <w:rPr>
                <w:sz w:val="1"/>
                <w:szCs w:val="1"/>
                <w:color w:val="auto"/>
              </w:rPr>
            </w:pPr>
          </w:p>
        </w:tc>
      </w:tr>
      <w:tr>
        <w:trPr>
          <w:trHeight w:val="207"/>
        </w:trPr>
        <w:tc>
          <w:tcPr>
            <w:tcW w:w="4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Operating income</w:t>
            </w:r>
          </w:p>
        </w:tc>
        <w:tc>
          <w:tcPr>
            <w:tcW w:w="13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17,345</w:t>
            </w:r>
          </w:p>
        </w:tc>
        <w:tc>
          <w:tcPr>
            <w:tcW w:w="11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3,613</w:t>
            </w:r>
          </w:p>
        </w:tc>
        <w:tc>
          <w:tcPr>
            <w:tcW w:w="120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44,598</w:t>
            </w: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9,980</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 comparison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Net sales was principally due to growth in the LEAP, F-35 and Boeing 787 fuselage frames programs.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6"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The increase in Gross profit of $11.2 million was principally due to the increase in Net sales, as described above and the effect of changes in the estimated profitability of long-term contracts which increased Gross profit by $3.3 million in the third quarter of 2019, compared to an increase of $2.1 million in 2018. The 2019 favorable effect of changes in the estimated profitability of long-term contracts was principally due to learning curve and other productivity improvements.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26"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The increase in Gross profit of $29.1 million was principally due to the increase in Net sales, as described above and the effect of changes in the estimated profitability of long-term contracts which increased Gross profit by $8.8 million in the first nine months of 2019, compared to an increase of $0.5 million in 2018. The 2019 favorable effect of changes in the estimated profitability of long-term contracts was principally due to learning curve and other productivity improvements.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contracts</w:t>
      </w:r>
    </w:p>
    <w:p>
      <w:pPr>
        <w:spacing w:after="0" w:line="12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a cost-plus fee agreement. Revenue earned under these arrangements accounted for approximately 50 percent of segment revenue for each of the first nine months of 2019 and 2018.</w:t>
      </w:r>
    </w:p>
    <w:p>
      <w:pPr>
        <w:spacing w:after="0" w:line="95"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In addition, AEC has long-term contracts in which the selling price is fixed. In accounting for those contracts, we estimate the profit margin expected at the completion of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w:t>
      </w:r>
    </w:p>
    <w:p>
      <w:pPr>
        <w:spacing w:after="0" w:line="9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Changes in contract estimates resulted in an increase to Gross profit of $8.8 million in the first nine months of 2019, compared to an increase to Gross profit of $0.5 million for the first nine months of 2018.</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increase in operating income of $13.7 million in the third quarter of 2019 was principally due to the net effect of the following individually significant items:</w:t>
      </w:r>
    </w:p>
    <w:p>
      <w:pPr>
        <w:spacing w:after="0" w:line="48" w:lineRule="exact"/>
        <w:rPr>
          <w:sz w:val="20"/>
          <w:szCs w:val="20"/>
          <w:color w:val="auto"/>
        </w:rPr>
      </w:pPr>
    </w:p>
    <w:p>
      <w:pPr>
        <w:ind w:left="580" w:hanging="248"/>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$11.2 million increase in Gross profit, as described above.</w:t>
      </w:r>
    </w:p>
    <w:p>
      <w:pPr>
        <w:spacing w:after="0" w:line="49" w:lineRule="exact"/>
        <w:rPr>
          <w:rFonts w:ascii="Arial" w:cs="Arial" w:eastAsia="Arial" w:hAnsi="Arial"/>
          <w:sz w:val="18"/>
          <w:szCs w:val="18"/>
          <w:color w:val="auto"/>
        </w:rPr>
      </w:pPr>
    </w:p>
    <w:p>
      <w:pPr>
        <w:ind w:left="580" w:hanging="248"/>
        <w:spacing w:after="0" w:line="246"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Restructuring activities had a negligible effect on 2019 operating income, compared to expense of $2.2 million in the same period in 2018.</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26"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The increase in operating income of $34.6 million in the first nine months of 2019 was principally due to the net effect of the following individually significant items:</w:t>
      </w:r>
    </w:p>
    <w:p>
      <w:pPr>
        <w:spacing w:after="0" w:line="35" w:lineRule="exact"/>
        <w:rPr>
          <w:sz w:val="20"/>
          <w:szCs w:val="20"/>
          <w:color w:val="auto"/>
        </w:rPr>
      </w:pPr>
    </w:p>
    <w:p>
      <w:pPr>
        <w:ind w:left="580" w:hanging="248"/>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$29.1 million increase in Gross profit, as described above.</w:t>
      </w:r>
    </w:p>
    <w:p>
      <w:pPr>
        <w:spacing w:after="0" w:line="63" w:lineRule="exact"/>
        <w:rPr>
          <w:rFonts w:ascii="Arial" w:cs="Arial" w:eastAsia="Arial" w:hAnsi="Arial"/>
          <w:sz w:val="18"/>
          <w:szCs w:val="18"/>
          <w:color w:val="auto"/>
        </w:rPr>
      </w:pPr>
    </w:p>
    <w:p>
      <w:pPr>
        <w:ind w:left="580" w:hanging="248"/>
        <w:spacing w:after="0" w:line="246"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Restructuring activities had a negligible effect on 2019 operating income, compared to expense of $3.0 million in the same period in 2018.</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20" w:type="dxa"/>
            <w:vAlign w:val="bottom"/>
            <w:tcBorders>
              <w:top w:val="single" w:sz="8" w:color="auto"/>
            </w:tcBorders>
          </w:tcPr>
          <w:p>
            <w:pPr>
              <w:spacing w:after="0"/>
              <w:rPr>
                <w:sz w:val="14"/>
                <w:szCs w:val="14"/>
                <w:color w:val="auto"/>
              </w:rPr>
            </w:pPr>
          </w:p>
        </w:tc>
        <w:tc>
          <w:tcPr>
            <w:tcW w:w="2700" w:type="dxa"/>
            <w:vAlign w:val="bottom"/>
            <w:tcBorders>
              <w:top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8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700" w:type="dxa"/>
            <w:vAlign w:val="bottom"/>
            <w:tcBorders>
              <w:bottom w:val="single" w:sz="8" w:color="auto"/>
            </w:tcBorders>
            <w:gridSpan w:val="2"/>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8720" w:type="dxa"/>
            <w:vAlign w:val="bottom"/>
            <w:tcBorders>
              <w:bottom w:val="single" w:sz="8" w:color="auto"/>
            </w:tcBorders>
            <w:vMerge w:val="continue"/>
          </w:tcPr>
          <w:p>
            <w:pPr>
              <w:spacing w:after="0"/>
              <w:rPr>
                <w:sz w:val="13"/>
                <w:szCs w:val="13"/>
                <w:color w:val="auto"/>
              </w:rPr>
            </w:pPr>
          </w:p>
        </w:tc>
        <w:tc>
          <w:tcPr>
            <w:tcW w:w="1340" w:type="dxa"/>
            <w:vAlign w:val="bottom"/>
            <w:tcBorders>
              <w:bottom w:val="single" w:sz="8" w:color="auto"/>
            </w:tcBorders>
          </w:tcPr>
          <w:p>
            <w:pPr>
              <w:jc w:val="right"/>
              <w:ind w:right="461"/>
              <w:spacing w:after="0" w:line="155" w:lineRule="exact"/>
              <w:rPr>
                <w:sz w:val="20"/>
                <w:szCs w:val="20"/>
                <w:color w:val="auto"/>
              </w:rPr>
            </w:pPr>
            <w:r>
              <w:rPr>
                <w:rFonts w:ascii="Arial" w:cs="Arial" w:eastAsia="Arial" w:hAnsi="Arial"/>
                <w:sz w:val="14"/>
                <w:szCs w:val="14"/>
                <w:b w:val="1"/>
                <w:bCs w:val="1"/>
                <w:color w:val="auto"/>
              </w:rPr>
              <w:t>2019</w:t>
            </w:r>
          </w:p>
        </w:tc>
        <w:tc>
          <w:tcPr>
            <w:tcW w:w="1360" w:type="dxa"/>
            <w:vAlign w:val="bottom"/>
            <w:tcBorders>
              <w:bottom w:val="single" w:sz="8" w:color="auto"/>
            </w:tcBorders>
          </w:tcPr>
          <w:p>
            <w:pPr>
              <w:jc w:val="right"/>
              <w:ind w:right="460"/>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4"/>
        </w:trPr>
        <w:tc>
          <w:tcPr>
            <w:tcW w:w="8720" w:type="dxa"/>
            <w:vAlign w:val="bottom"/>
          </w:tcPr>
          <w:p>
            <w:pPr>
              <w:spacing w:after="0" w:line="165" w:lineRule="exact"/>
              <w:rPr>
                <w:sz w:val="20"/>
                <w:szCs w:val="20"/>
                <w:color w:val="auto"/>
              </w:rPr>
            </w:pPr>
            <w:r>
              <w:rPr>
                <w:rFonts w:ascii="Arial" w:cs="Arial" w:eastAsia="Arial" w:hAnsi="Arial"/>
                <w:sz w:val="16"/>
                <w:szCs w:val="16"/>
                <w:color w:val="auto"/>
              </w:rPr>
              <w:t>Net income</w:t>
            </w:r>
          </w:p>
        </w:tc>
        <w:tc>
          <w:tcPr>
            <w:tcW w:w="1340" w:type="dxa"/>
            <w:vAlign w:val="bottom"/>
          </w:tcPr>
          <w:p>
            <w:pPr>
              <w:jc w:val="right"/>
              <w:ind w:right="281"/>
              <w:spacing w:after="0" w:line="165" w:lineRule="exact"/>
              <w:rPr>
                <w:sz w:val="20"/>
                <w:szCs w:val="20"/>
                <w:color w:val="auto"/>
              </w:rPr>
            </w:pPr>
            <w:r>
              <w:rPr>
                <w:rFonts w:ascii="Arial" w:cs="Arial" w:eastAsia="Arial" w:hAnsi="Arial"/>
                <w:sz w:val="16"/>
                <w:szCs w:val="16"/>
                <w:b w:val="1"/>
                <w:bCs w:val="1"/>
                <w:color w:val="auto"/>
              </w:rPr>
              <w:t>$103,792</w:t>
            </w:r>
          </w:p>
        </w:tc>
        <w:tc>
          <w:tcPr>
            <w:tcW w:w="1360" w:type="dxa"/>
            <w:vAlign w:val="bottom"/>
          </w:tcPr>
          <w:p>
            <w:pPr>
              <w:jc w:val="right"/>
              <w:ind w:right="300"/>
              <w:spacing w:after="0" w:line="165" w:lineRule="exact"/>
              <w:rPr>
                <w:sz w:val="20"/>
                <w:szCs w:val="20"/>
                <w:color w:val="auto"/>
              </w:rPr>
            </w:pPr>
            <w:r>
              <w:rPr>
                <w:rFonts w:ascii="Arial" w:cs="Arial" w:eastAsia="Arial" w:hAnsi="Arial"/>
                <w:sz w:val="16"/>
                <w:szCs w:val="16"/>
                <w:color w:val="auto"/>
              </w:rPr>
              <w:t>$ 65,747</w:t>
            </w:r>
          </w:p>
        </w:tc>
        <w:tc>
          <w:tcPr>
            <w:tcW w:w="0" w:type="dxa"/>
            <w:vAlign w:val="bottom"/>
          </w:tcPr>
          <w:p>
            <w:pPr>
              <w:spacing w:after="0"/>
              <w:rPr>
                <w:sz w:val="1"/>
                <w:szCs w:val="1"/>
                <w:color w:val="auto"/>
              </w:rPr>
            </w:pPr>
          </w:p>
        </w:tc>
      </w:tr>
      <w:tr>
        <w:trPr>
          <w:trHeight w:val="189"/>
        </w:trPr>
        <w:tc>
          <w:tcPr>
            <w:tcW w:w="872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1340" w:type="dxa"/>
            <w:vAlign w:val="bottom"/>
          </w:tcPr>
          <w:p>
            <w:pPr>
              <w:jc w:val="right"/>
              <w:ind w:right="281"/>
              <w:spacing w:after="0"/>
              <w:rPr>
                <w:sz w:val="20"/>
                <w:szCs w:val="20"/>
                <w:color w:val="auto"/>
              </w:rPr>
            </w:pPr>
            <w:r>
              <w:rPr>
                <w:rFonts w:ascii="Arial" w:cs="Arial" w:eastAsia="Arial" w:hAnsi="Arial"/>
                <w:sz w:val="16"/>
                <w:szCs w:val="16"/>
                <w:b w:val="1"/>
                <w:bCs w:val="1"/>
                <w:color w:val="auto"/>
              </w:rPr>
              <w:t>52,964</w:t>
            </w:r>
          </w:p>
        </w:tc>
        <w:tc>
          <w:tcPr>
            <w:tcW w:w="1360" w:type="dxa"/>
            <w:vAlign w:val="bottom"/>
          </w:tcPr>
          <w:p>
            <w:pPr>
              <w:jc w:val="right"/>
              <w:ind w:right="300"/>
              <w:spacing w:after="0"/>
              <w:rPr>
                <w:sz w:val="20"/>
                <w:szCs w:val="20"/>
                <w:color w:val="auto"/>
              </w:rPr>
            </w:pPr>
            <w:r>
              <w:rPr>
                <w:rFonts w:ascii="Arial" w:cs="Arial" w:eastAsia="Arial" w:hAnsi="Arial"/>
                <w:sz w:val="16"/>
                <w:szCs w:val="16"/>
                <w:color w:val="auto"/>
              </w:rPr>
              <w:t>60,423</w:t>
            </w:r>
          </w:p>
        </w:tc>
        <w:tc>
          <w:tcPr>
            <w:tcW w:w="0" w:type="dxa"/>
            <w:vAlign w:val="bottom"/>
          </w:tcPr>
          <w:p>
            <w:pPr>
              <w:spacing w:after="0"/>
              <w:rPr>
                <w:sz w:val="1"/>
                <w:szCs w:val="1"/>
                <w:color w:val="auto"/>
              </w:rPr>
            </w:pPr>
          </w:p>
        </w:tc>
      </w:tr>
      <w:tr>
        <w:trPr>
          <w:trHeight w:val="189"/>
        </w:trPr>
        <w:tc>
          <w:tcPr>
            <w:tcW w:w="8720" w:type="dxa"/>
            <w:vAlign w:val="bottom"/>
          </w:tcPr>
          <w:p>
            <w:pPr>
              <w:ind w:left="120"/>
              <w:spacing w:after="0"/>
              <w:rPr>
                <w:sz w:val="20"/>
                <w:szCs w:val="20"/>
                <w:color w:val="auto"/>
              </w:rPr>
            </w:pPr>
            <w:r>
              <w:rPr>
                <w:rFonts w:ascii="Arial" w:cs="Arial" w:eastAsia="Arial" w:hAnsi="Arial"/>
                <w:sz w:val="16"/>
                <w:szCs w:val="16"/>
                <w:color w:val="auto"/>
              </w:rPr>
              <w:t>Changes in working capital (a)</w:t>
            </w:r>
          </w:p>
        </w:tc>
        <w:tc>
          <w:tcPr>
            <w:tcW w:w="1340" w:type="dxa"/>
            <w:vAlign w:val="bottom"/>
          </w:tcPr>
          <w:p>
            <w:pPr>
              <w:jc w:val="right"/>
              <w:ind w:right="221"/>
              <w:spacing w:after="0"/>
              <w:rPr>
                <w:sz w:val="20"/>
                <w:szCs w:val="20"/>
                <w:color w:val="auto"/>
              </w:rPr>
            </w:pPr>
            <w:r>
              <w:rPr>
                <w:rFonts w:ascii="Arial" w:cs="Arial" w:eastAsia="Arial" w:hAnsi="Arial"/>
                <w:sz w:val="16"/>
                <w:szCs w:val="16"/>
                <w:b w:val="1"/>
                <w:bCs w:val="1"/>
                <w:color w:val="auto"/>
              </w:rPr>
              <w:t>(27,788)</w:t>
            </w:r>
          </w:p>
        </w:tc>
        <w:tc>
          <w:tcPr>
            <w:tcW w:w="1360" w:type="dxa"/>
            <w:vAlign w:val="bottom"/>
          </w:tcPr>
          <w:p>
            <w:pPr>
              <w:jc w:val="right"/>
              <w:ind w:right="240"/>
              <w:spacing w:after="0"/>
              <w:rPr>
                <w:sz w:val="20"/>
                <w:szCs w:val="20"/>
                <w:color w:val="auto"/>
              </w:rPr>
            </w:pPr>
            <w:r>
              <w:rPr>
                <w:rFonts w:ascii="Arial" w:cs="Arial" w:eastAsia="Arial" w:hAnsi="Arial"/>
                <w:sz w:val="16"/>
                <w:szCs w:val="16"/>
                <w:color w:val="auto"/>
              </w:rPr>
              <w:t>(58,929)</w:t>
            </w:r>
          </w:p>
        </w:tc>
        <w:tc>
          <w:tcPr>
            <w:tcW w:w="0" w:type="dxa"/>
            <w:vAlign w:val="bottom"/>
          </w:tcPr>
          <w:p>
            <w:pPr>
              <w:spacing w:after="0"/>
              <w:rPr>
                <w:sz w:val="1"/>
                <w:szCs w:val="1"/>
                <w:color w:val="auto"/>
              </w:rPr>
            </w:pPr>
          </w:p>
        </w:tc>
      </w:tr>
      <w:tr>
        <w:trPr>
          <w:trHeight w:val="189"/>
        </w:trPr>
        <w:tc>
          <w:tcPr>
            <w:tcW w:w="8720" w:type="dxa"/>
            <w:vAlign w:val="bottom"/>
          </w:tcPr>
          <w:p>
            <w:pPr>
              <w:ind w:left="120"/>
              <w:spacing w:after="0"/>
              <w:rPr>
                <w:sz w:val="20"/>
                <w:szCs w:val="20"/>
                <w:color w:val="auto"/>
              </w:rPr>
            </w:pPr>
            <w:r>
              <w:rPr>
                <w:rFonts w:ascii="Arial" w:cs="Arial" w:eastAsia="Arial" w:hAnsi="Arial"/>
                <w:sz w:val="16"/>
                <w:szCs w:val="16"/>
                <w:color w:val="auto"/>
              </w:rPr>
              <w:t>Changes in other noncurrent liabilities and deferred taxes</w:t>
            </w:r>
          </w:p>
        </w:tc>
        <w:tc>
          <w:tcPr>
            <w:tcW w:w="1340" w:type="dxa"/>
            <w:vAlign w:val="bottom"/>
          </w:tcPr>
          <w:p>
            <w:pPr>
              <w:jc w:val="right"/>
              <w:ind w:right="281"/>
              <w:spacing w:after="0"/>
              <w:rPr>
                <w:sz w:val="20"/>
                <w:szCs w:val="20"/>
                <w:color w:val="auto"/>
              </w:rPr>
            </w:pPr>
            <w:r>
              <w:rPr>
                <w:rFonts w:ascii="Arial" w:cs="Arial" w:eastAsia="Arial" w:hAnsi="Arial"/>
                <w:sz w:val="16"/>
                <w:szCs w:val="16"/>
                <w:b w:val="1"/>
                <w:bCs w:val="1"/>
                <w:color w:val="auto"/>
              </w:rPr>
              <w:t>8,391</w:t>
            </w:r>
          </w:p>
        </w:tc>
        <w:tc>
          <w:tcPr>
            <w:tcW w:w="1360" w:type="dxa"/>
            <w:vAlign w:val="bottom"/>
          </w:tcPr>
          <w:p>
            <w:pPr>
              <w:jc w:val="right"/>
              <w:ind w:right="240"/>
              <w:spacing w:after="0"/>
              <w:rPr>
                <w:sz w:val="20"/>
                <w:szCs w:val="20"/>
                <w:color w:val="auto"/>
              </w:rPr>
            </w:pPr>
            <w:r>
              <w:rPr>
                <w:rFonts w:ascii="Arial" w:cs="Arial" w:eastAsia="Arial" w:hAnsi="Arial"/>
                <w:sz w:val="16"/>
                <w:szCs w:val="16"/>
                <w:color w:val="auto"/>
              </w:rPr>
              <w:t>(13,345)</w:t>
            </w:r>
          </w:p>
        </w:tc>
        <w:tc>
          <w:tcPr>
            <w:tcW w:w="0" w:type="dxa"/>
            <w:vAlign w:val="bottom"/>
          </w:tcPr>
          <w:p>
            <w:pPr>
              <w:spacing w:after="0"/>
              <w:rPr>
                <w:sz w:val="1"/>
                <w:szCs w:val="1"/>
                <w:color w:val="auto"/>
              </w:rPr>
            </w:pPr>
          </w:p>
        </w:tc>
      </w:tr>
      <w:tr>
        <w:trPr>
          <w:trHeight w:val="207"/>
        </w:trPr>
        <w:tc>
          <w:tcPr>
            <w:tcW w:w="87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Other operating items</w:t>
            </w:r>
          </w:p>
        </w:tc>
        <w:tc>
          <w:tcPr>
            <w:tcW w:w="13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(10,766)</w:t>
            </w:r>
          </w:p>
        </w:tc>
        <w:tc>
          <w:tcPr>
            <w:tcW w:w="13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7,559</w:t>
            </w:r>
          </w:p>
        </w:tc>
        <w:tc>
          <w:tcPr>
            <w:tcW w:w="0" w:type="dxa"/>
            <w:vAlign w:val="bottom"/>
          </w:tcPr>
          <w:p>
            <w:pPr>
              <w:spacing w:after="0"/>
              <w:rPr>
                <w:sz w:val="1"/>
                <w:szCs w:val="1"/>
                <w:color w:val="auto"/>
              </w:rPr>
            </w:pPr>
          </w:p>
        </w:tc>
      </w:tr>
      <w:tr>
        <w:trPr>
          <w:trHeight w:val="164"/>
        </w:trPr>
        <w:tc>
          <w:tcPr>
            <w:tcW w:w="8720" w:type="dxa"/>
            <w:vAlign w:val="bottom"/>
          </w:tcPr>
          <w:p>
            <w:pPr>
              <w:spacing w:after="0" w:line="165" w:lineRule="exact"/>
              <w:rPr>
                <w:sz w:val="20"/>
                <w:szCs w:val="20"/>
                <w:color w:val="auto"/>
              </w:rPr>
            </w:pPr>
            <w:r>
              <w:rPr>
                <w:rFonts w:ascii="Arial" w:cs="Arial" w:eastAsia="Arial" w:hAnsi="Arial"/>
                <w:sz w:val="16"/>
                <w:szCs w:val="16"/>
                <w:color w:val="auto"/>
              </w:rPr>
              <w:t>Net cash provided by/(used in) operating activities</w:t>
            </w:r>
          </w:p>
        </w:tc>
        <w:tc>
          <w:tcPr>
            <w:tcW w:w="1340" w:type="dxa"/>
            <w:vAlign w:val="bottom"/>
          </w:tcPr>
          <w:p>
            <w:pPr>
              <w:jc w:val="right"/>
              <w:ind w:right="281"/>
              <w:spacing w:after="0" w:line="165" w:lineRule="exact"/>
              <w:rPr>
                <w:sz w:val="20"/>
                <w:szCs w:val="20"/>
                <w:color w:val="auto"/>
              </w:rPr>
            </w:pPr>
            <w:r>
              <w:rPr>
                <w:rFonts w:ascii="Arial" w:cs="Arial" w:eastAsia="Arial" w:hAnsi="Arial"/>
                <w:sz w:val="16"/>
                <w:szCs w:val="16"/>
                <w:b w:val="1"/>
                <w:bCs w:val="1"/>
                <w:color w:val="auto"/>
              </w:rPr>
              <w:t>126,593</w:t>
            </w:r>
          </w:p>
        </w:tc>
        <w:tc>
          <w:tcPr>
            <w:tcW w:w="1360" w:type="dxa"/>
            <w:vAlign w:val="bottom"/>
          </w:tcPr>
          <w:p>
            <w:pPr>
              <w:jc w:val="right"/>
              <w:ind w:right="300"/>
              <w:spacing w:after="0" w:line="165" w:lineRule="exact"/>
              <w:rPr>
                <w:sz w:val="20"/>
                <w:szCs w:val="20"/>
                <w:color w:val="auto"/>
              </w:rPr>
            </w:pPr>
            <w:r>
              <w:rPr>
                <w:rFonts w:ascii="Arial" w:cs="Arial" w:eastAsia="Arial" w:hAnsi="Arial"/>
                <w:sz w:val="16"/>
                <w:szCs w:val="16"/>
                <w:color w:val="auto"/>
              </w:rPr>
              <w:t>61,455</w:t>
            </w:r>
          </w:p>
        </w:tc>
        <w:tc>
          <w:tcPr>
            <w:tcW w:w="0" w:type="dxa"/>
            <w:vAlign w:val="bottom"/>
          </w:tcPr>
          <w:p>
            <w:pPr>
              <w:spacing w:after="0"/>
              <w:rPr>
                <w:sz w:val="1"/>
                <w:szCs w:val="1"/>
                <w:color w:val="auto"/>
              </w:rPr>
            </w:pPr>
          </w:p>
        </w:tc>
      </w:tr>
      <w:tr>
        <w:trPr>
          <w:trHeight w:val="189"/>
        </w:trPr>
        <w:tc>
          <w:tcPr>
            <w:tcW w:w="872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340" w:type="dxa"/>
            <w:vAlign w:val="bottom"/>
          </w:tcPr>
          <w:p>
            <w:pPr>
              <w:jc w:val="right"/>
              <w:ind w:right="221"/>
              <w:spacing w:after="0"/>
              <w:rPr>
                <w:sz w:val="20"/>
                <w:szCs w:val="20"/>
                <w:color w:val="auto"/>
              </w:rPr>
            </w:pPr>
            <w:r>
              <w:rPr>
                <w:rFonts w:ascii="Arial" w:cs="Arial" w:eastAsia="Arial" w:hAnsi="Arial"/>
                <w:sz w:val="16"/>
                <w:szCs w:val="16"/>
                <w:b w:val="1"/>
                <w:bCs w:val="1"/>
                <w:color w:val="auto"/>
              </w:rPr>
              <w:t>(49,152)</w:t>
            </w:r>
          </w:p>
        </w:tc>
        <w:tc>
          <w:tcPr>
            <w:tcW w:w="1360" w:type="dxa"/>
            <w:vAlign w:val="bottom"/>
          </w:tcPr>
          <w:p>
            <w:pPr>
              <w:jc w:val="right"/>
              <w:ind w:right="240"/>
              <w:spacing w:after="0"/>
              <w:rPr>
                <w:sz w:val="20"/>
                <w:szCs w:val="20"/>
                <w:color w:val="auto"/>
              </w:rPr>
            </w:pPr>
            <w:r>
              <w:rPr>
                <w:rFonts w:ascii="Arial" w:cs="Arial" w:eastAsia="Arial" w:hAnsi="Arial"/>
                <w:sz w:val="16"/>
                <w:szCs w:val="16"/>
                <w:color w:val="auto"/>
              </w:rPr>
              <w:t>(60,694)</w:t>
            </w:r>
          </w:p>
        </w:tc>
        <w:tc>
          <w:tcPr>
            <w:tcW w:w="0" w:type="dxa"/>
            <w:vAlign w:val="bottom"/>
          </w:tcPr>
          <w:p>
            <w:pPr>
              <w:spacing w:after="0"/>
              <w:rPr>
                <w:sz w:val="1"/>
                <w:szCs w:val="1"/>
                <w:color w:val="auto"/>
              </w:rPr>
            </w:pPr>
          </w:p>
        </w:tc>
      </w:tr>
      <w:tr>
        <w:trPr>
          <w:trHeight w:val="189"/>
        </w:trPr>
        <w:tc>
          <w:tcPr>
            <w:tcW w:w="8720" w:type="dxa"/>
            <w:vAlign w:val="bottom"/>
          </w:tcPr>
          <w:p>
            <w:pPr>
              <w:spacing w:after="0"/>
              <w:rPr>
                <w:sz w:val="20"/>
                <w:szCs w:val="20"/>
                <w:color w:val="auto"/>
              </w:rPr>
            </w:pPr>
            <w:r>
              <w:rPr>
                <w:rFonts w:ascii="Arial" w:cs="Arial" w:eastAsia="Arial" w:hAnsi="Arial"/>
                <w:sz w:val="16"/>
                <w:szCs w:val="16"/>
                <w:color w:val="auto"/>
              </w:rPr>
              <w:t>Net cash used in financing activities</w:t>
            </w:r>
          </w:p>
        </w:tc>
        <w:tc>
          <w:tcPr>
            <w:tcW w:w="1340" w:type="dxa"/>
            <w:vAlign w:val="bottom"/>
          </w:tcPr>
          <w:p>
            <w:pPr>
              <w:jc w:val="right"/>
              <w:ind w:right="221"/>
              <w:spacing w:after="0"/>
              <w:rPr>
                <w:sz w:val="20"/>
                <w:szCs w:val="20"/>
                <w:color w:val="auto"/>
              </w:rPr>
            </w:pPr>
            <w:r>
              <w:rPr>
                <w:rFonts w:ascii="Arial" w:cs="Arial" w:eastAsia="Arial" w:hAnsi="Arial"/>
                <w:sz w:val="16"/>
                <w:szCs w:val="16"/>
                <w:b w:val="1"/>
                <w:bCs w:val="1"/>
                <w:color w:val="auto"/>
              </w:rPr>
              <w:t>(94,191)</w:t>
            </w:r>
          </w:p>
        </w:tc>
        <w:tc>
          <w:tcPr>
            <w:tcW w:w="1360" w:type="dxa"/>
            <w:vAlign w:val="bottom"/>
          </w:tcPr>
          <w:p>
            <w:pPr>
              <w:jc w:val="right"/>
              <w:ind w:right="240"/>
              <w:spacing w:after="0"/>
              <w:rPr>
                <w:sz w:val="20"/>
                <w:szCs w:val="20"/>
                <w:color w:val="auto"/>
              </w:rPr>
            </w:pPr>
            <w:r>
              <w:rPr>
                <w:rFonts w:ascii="Arial" w:cs="Arial" w:eastAsia="Arial" w:hAnsi="Arial"/>
                <w:sz w:val="16"/>
                <w:szCs w:val="16"/>
                <w:color w:val="auto"/>
              </w:rPr>
              <w:t>(16,474)</w:t>
            </w:r>
          </w:p>
        </w:tc>
        <w:tc>
          <w:tcPr>
            <w:tcW w:w="0" w:type="dxa"/>
            <w:vAlign w:val="bottom"/>
          </w:tcPr>
          <w:p>
            <w:pPr>
              <w:spacing w:after="0"/>
              <w:rPr>
                <w:sz w:val="1"/>
                <w:szCs w:val="1"/>
                <w:color w:val="auto"/>
              </w:rPr>
            </w:pPr>
          </w:p>
        </w:tc>
      </w:tr>
      <w:tr>
        <w:trPr>
          <w:trHeight w:val="207"/>
        </w:trPr>
        <w:tc>
          <w:tcPr>
            <w:tcW w:w="8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3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(7,266)</w:t>
            </w:r>
          </w:p>
        </w:tc>
        <w:tc>
          <w:tcPr>
            <w:tcW w:w="13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(7,421)</w:t>
            </w:r>
          </w:p>
        </w:tc>
        <w:tc>
          <w:tcPr>
            <w:tcW w:w="0" w:type="dxa"/>
            <w:vAlign w:val="bottom"/>
          </w:tcPr>
          <w:p>
            <w:pPr>
              <w:spacing w:after="0"/>
              <w:rPr>
                <w:sz w:val="1"/>
                <w:szCs w:val="1"/>
                <w:color w:val="auto"/>
              </w:rPr>
            </w:pPr>
          </w:p>
        </w:tc>
      </w:tr>
      <w:tr>
        <w:trPr>
          <w:trHeight w:val="164"/>
        </w:trPr>
        <w:tc>
          <w:tcPr>
            <w:tcW w:w="8720" w:type="dxa"/>
            <w:vAlign w:val="bottom"/>
          </w:tcPr>
          <w:p>
            <w:pPr>
              <w:spacing w:after="0" w:line="165" w:lineRule="exact"/>
              <w:rPr>
                <w:sz w:val="20"/>
                <w:szCs w:val="20"/>
                <w:color w:val="auto"/>
              </w:rPr>
            </w:pPr>
            <w:r>
              <w:rPr>
                <w:rFonts w:ascii="Arial" w:cs="Arial" w:eastAsia="Arial" w:hAnsi="Arial"/>
                <w:sz w:val="16"/>
                <w:szCs w:val="16"/>
                <w:color w:val="auto"/>
              </w:rPr>
              <w:t>Decrease in cash and cash equivalents</w:t>
            </w:r>
          </w:p>
        </w:tc>
        <w:tc>
          <w:tcPr>
            <w:tcW w:w="1340" w:type="dxa"/>
            <w:vAlign w:val="bottom"/>
          </w:tcPr>
          <w:p>
            <w:pPr>
              <w:jc w:val="right"/>
              <w:ind w:right="221"/>
              <w:spacing w:after="0" w:line="165" w:lineRule="exact"/>
              <w:rPr>
                <w:sz w:val="20"/>
                <w:szCs w:val="20"/>
                <w:color w:val="auto"/>
              </w:rPr>
            </w:pPr>
            <w:r>
              <w:rPr>
                <w:rFonts w:ascii="Arial" w:cs="Arial" w:eastAsia="Arial" w:hAnsi="Arial"/>
                <w:sz w:val="16"/>
                <w:szCs w:val="16"/>
                <w:b w:val="1"/>
                <w:bCs w:val="1"/>
                <w:color w:val="auto"/>
              </w:rPr>
              <w:t>(24,016)</w:t>
            </w:r>
          </w:p>
        </w:tc>
        <w:tc>
          <w:tcPr>
            <w:tcW w:w="1360" w:type="dxa"/>
            <w:vAlign w:val="bottom"/>
          </w:tcPr>
          <w:p>
            <w:pPr>
              <w:jc w:val="right"/>
              <w:ind w:right="240"/>
              <w:spacing w:after="0" w:line="165" w:lineRule="exact"/>
              <w:rPr>
                <w:sz w:val="20"/>
                <w:szCs w:val="20"/>
                <w:color w:val="auto"/>
              </w:rPr>
            </w:pPr>
            <w:r>
              <w:rPr>
                <w:rFonts w:ascii="Arial" w:cs="Arial" w:eastAsia="Arial" w:hAnsi="Arial"/>
                <w:sz w:val="16"/>
                <w:szCs w:val="16"/>
                <w:color w:val="auto"/>
              </w:rPr>
              <w:t>(23,134)</w:t>
            </w:r>
          </w:p>
        </w:tc>
        <w:tc>
          <w:tcPr>
            <w:tcW w:w="0" w:type="dxa"/>
            <w:vAlign w:val="bottom"/>
          </w:tcPr>
          <w:p>
            <w:pPr>
              <w:spacing w:after="0"/>
              <w:rPr>
                <w:sz w:val="1"/>
                <w:szCs w:val="1"/>
                <w:color w:val="auto"/>
              </w:rPr>
            </w:pPr>
          </w:p>
        </w:tc>
      </w:tr>
      <w:tr>
        <w:trPr>
          <w:trHeight w:val="207"/>
        </w:trPr>
        <w:tc>
          <w:tcPr>
            <w:tcW w:w="8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and cash equivalents at beginning of year</w:t>
            </w:r>
          </w:p>
        </w:tc>
        <w:tc>
          <w:tcPr>
            <w:tcW w:w="13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197,755</w:t>
            </w:r>
          </w:p>
        </w:tc>
        <w:tc>
          <w:tcPr>
            <w:tcW w:w="13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183,727</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1340" w:type="dxa"/>
            <w:vAlign w:val="bottom"/>
          </w:tcPr>
          <w:p>
            <w:pPr>
              <w:jc w:val="right"/>
              <w:ind w:right="281"/>
              <w:spacing w:after="0"/>
              <w:rPr>
                <w:sz w:val="20"/>
                <w:szCs w:val="20"/>
                <w:color w:val="auto"/>
              </w:rPr>
            </w:pPr>
            <w:r>
              <w:rPr>
                <w:rFonts w:ascii="Arial" w:cs="Arial" w:eastAsia="Arial" w:hAnsi="Arial"/>
                <w:sz w:val="16"/>
                <w:szCs w:val="16"/>
                <w:b w:val="1"/>
                <w:bCs w:val="1"/>
                <w:color w:val="auto"/>
              </w:rPr>
              <w:t>$173,739</w:t>
            </w:r>
          </w:p>
        </w:tc>
        <w:tc>
          <w:tcPr>
            <w:tcW w:w="1360" w:type="dxa"/>
            <w:vAlign w:val="bottom"/>
          </w:tcPr>
          <w:p>
            <w:pPr>
              <w:jc w:val="right"/>
              <w:ind w:right="300"/>
              <w:spacing w:after="0"/>
              <w:rPr>
                <w:sz w:val="20"/>
                <w:szCs w:val="20"/>
                <w:color w:val="auto"/>
              </w:rPr>
            </w:pPr>
            <w:r>
              <w:rPr>
                <w:rFonts w:ascii="Arial" w:cs="Arial" w:eastAsia="Arial" w:hAnsi="Arial"/>
                <w:sz w:val="16"/>
                <w:szCs w:val="16"/>
                <w:color w:val="auto"/>
              </w:rPr>
              <w:t>$160,593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Accounts receivable, Contract assets, Inventories, and Accounts payable.</w:t>
      </w:r>
    </w:p>
    <w:p>
      <w:pPr>
        <w:spacing w:after="0" w:line="200" w:lineRule="exact"/>
        <w:rPr>
          <w:rFonts w:ascii="Arial" w:cs="Arial" w:eastAsia="Arial" w:hAnsi="Arial"/>
          <w:sz w:val="16"/>
          <w:szCs w:val="16"/>
          <w:color w:val="auto"/>
        </w:rPr>
      </w:pPr>
    </w:p>
    <w:p>
      <w:pPr>
        <w:spacing w:after="0" w:line="22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Cash flow provided by operating activities was $ 126.6 million and $61.5 million for the first nine months of 2019 and 2018, respectively. The net increase in cash provided by operating activities in 2019 was due to increased profitability in both MC and AEC, and improved management of working capital that resulted from a number of improvement initiatives.</w:t>
      </w:r>
    </w:p>
    <w:p>
      <w:pPr>
        <w:spacing w:after="0" w:line="95"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Cash paid for income taxes was $21.4 million and $19.9 million for the first nine months of 2019 and 2018, respectively. The increase is primarily due to an increase in withholding taxes related to repatriation activities, along with increases in corporate income tax payments due to increased pre-tax income in Mexico and increases in U.S state corporate income tax payments.</w:t>
      </w:r>
    </w:p>
    <w:p>
      <w:pPr>
        <w:spacing w:after="0" w:line="9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At September 30, 2019, we had $173.7 million of cash and cash equivalents, of which $134.7 million was held by subsidiaries outside of the United States.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and Financing Activities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Capital expenditures for the first nine months were $49.2 million in 2019 and $60.7 million in 2018.</w:t>
      </w:r>
    </w:p>
    <w:p>
      <w:pPr>
        <w:spacing w:after="0" w:line="104"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To the extent the Board declares cash dividends in the future, we expect to pay such dividends out of operating cash flows. Future cash dividends will also depend on debt covenants and on the Board’s assessment of our ability to generate sufficient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Substantially all of our cash balance at September 30, 2019 was held by non-U.S. subsidiaries. Based on cash on hand and credit facilities, we anticipate that the Company has sufficient capital resources to operate for the foreseeable future. We were in compliance with all debt covenants as of September 30, 2019.</w:t>
      </w:r>
    </w:p>
    <w:p>
      <w:pPr>
        <w:spacing w:after="0" w:line="95"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On November 7, 2017, we entered into a $685 million unsecured Five-Year Revolving Credit Facility Agreement (the “Credit Agreement”) which amended and restated the prior $550 million Agreement, entered into on April 8, 2016 (the “Prior Agreement”). Under the Credit Agreement, $424 million of borrowings were outstanding as of September 30, 2019. The applicable interest rate for borrowings was LIBOR plus a spread, based on our leverage ratio at the time of borrowing. At the time of the last borrowing on September 30, 2019, the spread was 1.375%. The spread was based on a pricing grid, which ranged from 1.250% to 1.750%, based on our leverage ratio. Based on our maximum leverage ratio and our Consolidated EBITDA, and without modification to any other credit agreements, as of September 30, 2019, we would have been able to borrow an additional $261 million under the Agreement.</w:t>
      </w:r>
    </w:p>
    <w:p>
      <w:pPr>
        <w:spacing w:after="0" w:line="95" w:lineRule="exact"/>
        <w:rPr>
          <w:sz w:val="20"/>
          <w:szCs w:val="20"/>
          <w:color w:val="auto"/>
        </w:rPr>
      </w:pPr>
    </w:p>
    <w:p>
      <w:pPr>
        <w:ind w:right="840" w:firstLine="324"/>
        <w:spacing w:after="0" w:line="360" w:lineRule="auto"/>
        <w:rPr>
          <w:sz w:val="20"/>
          <w:szCs w:val="20"/>
          <w:color w:val="auto"/>
        </w:rPr>
      </w:pPr>
      <w:r>
        <w:rPr>
          <w:rFonts w:ascii="Arial" w:cs="Arial" w:eastAsia="Arial" w:hAnsi="Arial"/>
          <w:sz w:val="18"/>
          <w:szCs w:val="18"/>
          <w:color w:val="auto"/>
        </w:rPr>
        <w:t xml:space="preserve">For more information, see Note 15 to the Consolidated Financial Statements in Item 1, which is incorporated herein by reference. </w:t>
      </w:r>
      <w:r>
        <w:rPr>
          <w:rFonts w:ascii="Arial" w:cs="Arial" w:eastAsia="Arial" w:hAnsi="Arial"/>
          <w:sz w:val="18"/>
          <w:szCs w:val="18"/>
          <w:b w:val="1"/>
          <w:bCs w:val="1"/>
          <w:color w:val="auto"/>
        </w:rPr>
        <w:t>Off-Balance Sheet Arrangements</w:t>
      </w:r>
    </w:p>
    <w:p>
      <w:pPr>
        <w:jc w:val="both"/>
        <w:ind w:right="20" w:firstLine="324"/>
        <w:spacing w:after="0" w:line="246" w:lineRule="auto"/>
        <w:rPr>
          <w:sz w:val="20"/>
          <w:szCs w:val="20"/>
          <w:color w:val="auto"/>
        </w:rPr>
      </w:pPr>
      <w:r>
        <w:rPr>
          <w:rFonts w:ascii="Arial" w:cs="Arial" w:eastAsia="Arial" w:hAnsi="Arial"/>
          <w:sz w:val="18"/>
          <w:szCs w:val="18"/>
          <w:color w:val="auto"/>
        </w:rPr>
        <w:t>As of September 30, 2019, we have no off-balance sheet arrangements required to be disclosed pursuant to Item 303(a)(4) of Regulation S-K.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information set forth under Note 19 contained in Item 1, “Notes to Consolidated Financial Statements”, which is incorporated herein by reference.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This Form 10-Q contains certain non-GAAP measures, including: net sales, and percent change in net sales, excluding the impact of currency translation effects (for each segment and on a consolidated basis); EBITDA and Adjusted EBITDA (for each segment and on a consolidated basis, represented in dollars or as a percentage of net sales); Net debt and changes in Net debt excluding reductions in both due to the effect of changes to the treatment of leases due to the adoption of ASC 842; and Adjusted earnings per share (or Adjusted EPS). Such items are provided because management believes that they provide additional useful information to investors regarding the Company’s operational performance.</w:t>
      </w:r>
    </w:p>
    <w:p>
      <w:pPr>
        <w:spacing w:after="0" w:line="97"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Presenting Net sales and increases or decreases in Net sales, after currency effects are excluded, can give management and investors insight into underlying sales trends. Net sales, or percent changes in net sales, excluding currency rate effects, are calculated by converting amounts reported in local currencies into U.S. dollars at the exchange rate of a prior period. These amounts are then compared to the U.S. dollar amount as reported in the current period.</w:t>
      </w:r>
    </w:p>
    <w:p>
      <w:pPr>
        <w:spacing w:after="0" w:line="94"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EBITDA, Adjusted EBITDA and Adjusted EPS are performance measures that relate to the Company’s continuing operations. EBITDA, or net income with interest, taxes, depreciation, and amortization added back, is a common indicator of financial performance used, among other things, to analyze and compare core profitability between companies and industries because it eliminates effects due to differences in financing, asset bases and taxes. The Company calculates EBITDA by removing the following from Net income: Interest expense net, Income tax expense, Depreciation and amortization. Adjusted EBITDA is calculated by: adding to EBITDA costs associated with restructuring, and inventory write-offs associated with discontinued businesses; charges and credits related to pension plan settlements; adding (or subtracting) revaluation losses (or gains); subtracting (or adding) gains (or losses) from the sale of buildings or investments; subtracting insurance recovery gains in excess of previously recorded losses; and subtracting (or adding) Income (or loss) attributable to the non-controlling interest in Albany Safran Composites (ASC). Adjusted EBITDA may also be presented as a percentage of net sales by dividing it by net sales. An understanding of the impact in a particular quarter of specific restructuring costs, currency revaluation, inventory write-offs associated with discontinued businesses, or other gains and losses, on net income (absolute as well as on a per-share basis), operating income or EBITDA can give management and investors additional insight into core financial performance, especially when compared to quarters in which such items had a greater or lesser effect, or no effect. Restructuring expenses in the MC segment, while frequent in recent years, are reflective of significant reductions in manufacturing capacity and associated headcount in response to shifting markets, and not of the profitability of the business going forward as restructured. Adjusted earnings per share (Adjusted EPS) is calculated by adding to (or subtracting from) net income attributable to the Company per share, on an after-tax basis: restructuring charges; charges and credits related to pension plan settlements and curtailments; inventory write-offs associated with discontinued businesses; foreign currency revaluation losses (or gains); acquisition expenses; and losses (or gains) from the sale of investments.</w:t>
      </w:r>
    </w:p>
    <w:p>
      <w:pPr>
        <w:spacing w:after="0" w:line="10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EBITDA, Adjusted EBITDA, and Adjusted EPS, as defined by the Company, may not be similar to similarly named measures of other companies. Such measures are not considered measurements under GAAP, and should be considered in addition to, but not as substitutes for, the information contained in the Company’s statements of income.</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Three months ended September 30, 2019</w:t>
            </w:r>
          </w:p>
        </w:tc>
        <w:tc>
          <w:tcPr>
            <w:tcW w:w="17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4"/>
                <w:szCs w:val="14"/>
                <w:b w:val="1"/>
                <w:bCs w:val="1"/>
                <w:color w:val="auto"/>
              </w:rPr>
              <w:t>Albany Engineered</w:t>
            </w:r>
          </w:p>
        </w:tc>
        <w:tc>
          <w:tcPr>
            <w:tcW w:w="17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Corporate expenses</w:t>
            </w: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7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Machine Clothing</w:t>
            </w:r>
          </w:p>
        </w:tc>
        <w:tc>
          <w:tcPr>
            <w:tcW w:w="15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Composites</w:t>
            </w:r>
          </w:p>
        </w:tc>
        <w:tc>
          <w:tcPr>
            <w:tcW w:w="17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rPr>
              <w:t>and other</w:t>
            </w:r>
          </w:p>
        </w:tc>
        <w:tc>
          <w:tcPr>
            <w:tcW w:w="15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84"/>
        </w:trPr>
        <w:tc>
          <w:tcPr>
            <w:tcW w:w="4880" w:type="dxa"/>
            <w:vAlign w:val="bottom"/>
            <w:gridSpan w:val="2"/>
          </w:tcPr>
          <w:p>
            <w:pPr>
              <w:spacing w:after="0"/>
              <w:rPr>
                <w:sz w:val="20"/>
                <w:szCs w:val="20"/>
                <w:color w:val="auto"/>
              </w:rPr>
            </w:pPr>
            <w:r>
              <w:rPr>
                <w:rFonts w:ascii="Arial" w:cs="Arial" w:eastAsia="Arial" w:hAnsi="Arial"/>
                <w:sz w:val="16"/>
                <w:szCs w:val="16"/>
                <w:b w:val="1"/>
                <w:bCs w:val="1"/>
                <w:color w:val="auto"/>
              </w:rPr>
              <w:t>Operating income/(loss) (GAAP)</w:t>
            </w:r>
          </w:p>
        </w:tc>
        <w:tc>
          <w:tcPr>
            <w:tcW w:w="1700" w:type="dxa"/>
            <w:vAlign w:val="bottom"/>
          </w:tcPr>
          <w:p>
            <w:pPr>
              <w:jc w:val="right"/>
              <w:ind w:right="380"/>
              <w:spacing w:after="0"/>
              <w:rPr>
                <w:sz w:val="20"/>
                <w:szCs w:val="20"/>
                <w:color w:val="auto"/>
              </w:rPr>
            </w:pPr>
            <w:r>
              <w:rPr>
                <w:rFonts w:ascii="Arial" w:cs="Arial" w:eastAsia="Arial" w:hAnsi="Arial"/>
                <w:sz w:val="16"/>
                <w:szCs w:val="16"/>
                <w:b w:val="1"/>
                <w:bCs w:val="1"/>
                <w:color w:val="auto"/>
              </w:rPr>
              <w:t>$51,906</w:t>
            </w:r>
          </w:p>
        </w:tc>
        <w:tc>
          <w:tcPr>
            <w:tcW w:w="1560" w:type="dxa"/>
            <w:vAlign w:val="bottom"/>
          </w:tcPr>
          <w:p>
            <w:pPr>
              <w:jc w:val="right"/>
              <w:ind w:right="380"/>
              <w:spacing w:after="0"/>
              <w:rPr>
                <w:sz w:val="20"/>
                <w:szCs w:val="20"/>
                <w:color w:val="auto"/>
              </w:rPr>
            </w:pPr>
            <w:r>
              <w:rPr>
                <w:rFonts w:ascii="Arial" w:cs="Arial" w:eastAsia="Arial" w:hAnsi="Arial"/>
                <w:sz w:val="16"/>
                <w:szCs w:val="16"/>
                <w:b w:val="1"/>
                <w:bCs w:val="1"/>
                <w:color w:val="auto"/>
              </w:rPr>
              <w:t>$17,345</w:t>
            </w:r>
          </w:p>
        </w:tc>
        <w:tc>
          <w:tcPr>
            <w:tcW w:w="1700" w:type="dxa"/>
            <w:vAlign w:val="bottom"/>
          </w:tcPr>
          <w:p>
            <w:pPr>
              <w:jc w:val="center"/>
              <w:ind w:right="20"/>
              <w:spacing w:after="0"/>
              <w:rPr>
                <w:sz w:val="20"/>
                <w:szCs w:val="20"/>
                <w:color w:val="auto"/>
              </w:rPr>
            </w:pPr>
            <w:r>
              <w:rPr>
                <w:rFonts w:ascii="Arial" w:cs="Arial" w:eastAsia="Arial" w:hAnsi="Arial"/>
                <w:sz w:val="16"/>
                <w:szCs w:val="16"/>
                <w:b w:val="1"/>
                <w:bCs w:val="1"/>
                <w:color w:val="auto"/>
                <w:w w:val="99"/>
              </w:rPr>
              <w:t>$(13,573)</w:t>
            </w:r>
          </w:p>
        </w:tc>
        <w:tc>
          <w:tcPr>
            <w:tcW w:w="1580" w:type="dxa"/>
            <w:vAlign w:val="bottom"/>
          </w:tcPr>
          <w:p>
            <w:pPr>
              <w:jc w:val="right"/>
              <w:ind w:right="460"/>
              <w:spacing w:after="0"/>
              <w:rPr>
                <w:sz w:val="20"/>
                <w:szCs w:val="20"/>
                <w:color w:val="auto"/>
              </w:rPr>
            </w:pPr>
            <w:r>
              <w:rPr>
                <w:rFonts w:ascii="Arial" w:cs="Arial" w:eastAsia="Arial" w:hAnsi="Arial"/>
                <w:sz w:val="16"/>
                <w:szCs w:val="16"/>
                <w:b w:val="1"/>
                <w:bCs w:val="1"/>
                <w:color w:val="auto"/>
              </w:rPr>
              <w:t>$ 55,678</w:t>
            </w:r>
          </w:p>
        </w:tc>
        <w:tc>
          <w:tcPr>
            <w:tcW w:w="0" w:type="dxa"/>
            <w:vAlign w:val="bottom"/>
          </w:tcPr>
          <w:p>
            <w:pPr>
              <w:spacing w:after="0"/>
              <w:rPr>
                <w:sz w:val="1"/>
                <w:szCs w:val="1"/>
                <w:color w:val="auto"/>
              </w:rPr>
            </w:pPr>
          </w:p>
        </w:tc>
      </w:tr>
      <w:tr>
        <w:trPr>
          <w:trHeight w:val="169"/>
        </w:trPr>
        <w:tc>
          <w:tcPr>
            <w:tcW w:w="4880" w:type="dxa"/>
            <w:vAlign w:val="bottom"/>
            <w:gridSpan w:val="2"/>
          </w:tcPr>
          <w:p>
            <w:pPr>
              <w:spacing w:after="0" w:line="169" w:lineRule="exact"/>
              <w:rPr>
                <w:sz w:val="20"/>
                <w:szCs w:val="20"/>
                <w:color w:val="auto"/>
              </w:rPr>
            </w:pPr>
            <w:r>
              <w:rPr>
                <w:rFonts w:ascii="Arial" w:cs="Arial" w:eastAsia="Arial" w:hAnsi="Arial"/>
                <w:sz w:val="16"/>
                <w:szCs w:val="16"/>
                <w:color w:val="auto"/>
              </w:rPr>
              <w:t>Interest, taxes, other income/(expense)</w:t>
            </w:r>
          </w:p>
        </w:tc>
        <w:tc>
          <w:tcPr>
            <w:tcW w:w="1700" w:type="dxa"/>
            <w:vAlign w:val="bottom"/>
          </w:tcPr>
          <w:p>
            <w:pPr>
              <w:jc w:val="right"/>
              <w:ind w:right="380"/>
              <w:spacing w:after="0" w:line="169" w:lineRule="exact"/>
              <w:rPr>
                <w:sz w:val="20"/>
                <w:szCs w:val="20"/>
                <w:color w:val="auto"/>
              </w:rPr>
            </w:pPr>
            <w:r>
              <w:rPr>
                <w:rFonts w:ascii="Arial" w:cs="Arial" w:eastAsia="Arial" w:hAnsi="Arial"/>
                <w:sz w:val="16"/>
                <w:szCs w:val="16"/>
                <w:color w:val="auto"/>
              </w:rPr>
              <w:t>—</w:t>
            </w:r>
          </w:p>
        </w:tc>
        <w:tc>
          <w:tcPr>
            <w:tcW w:w="1560" w:type="dxa"/>
            <w:vAlign w:val="bottom"/>
          </w:tcPr>
          <w:p>
            <w:pPr>
              <w:jc w:val="right"/>
              <w:ind w:right="380"/>
              <w:spacing w:after="0" w:line="169" w:lineRule="exact"/>
              <w:rPr>
                <w:sz w:val="20"/>
                <w:szCs w:val="20"/>
                <w:color w:val="auto"/>
              </w:rPr>
            </w:pPr>
            <w:r>
              <w:rPr>
                <w:rFonts w:ascii="Arial" w:cs="Arial" w:eastAsia="Arial" w:hAnsi="Arial"/>
                <w:sz w:val="16"/>
                <w:szCs w:val="16"/>
                <w:color w:val="auto"/>
              </w:rPr>
              <w:t>—</w:t>
            </w:r>
          </w:p>
        </w:tc>
        <w:tc>
          <w:tcPr>
            <w:tcW w:w="1700" w:type="dxa"/>
            <w:vAlign w:val="bottom"/>
          </w:tcPr>
          <w:p>
            <w:pPr>
              <w:jc w:val="right"/>
              <w:ind w:right="440"/>
              <w:spacing w:after="0" w:line="169" w:lineRule="exact"/>
              <w:rPr>
                <w:sz w:val="20"/>
                <w:szCs w:val="20"/>
                <w:color w:val="auto"/>
              </w:rPr>
            </w:pPr>
            <w:r>
              <w:rPr>
                <w:rFonts w:ascii="Arial" w:cs="Arial" w:eastAsia="Arial" w:hAnsi="Arial"/>
                <w:sz w:val="16"/>
                <w:szCs w:val="16"/>
                <w:color w:val="auto"/>
              </w:rPr>
              <w:t>(15,553)</w:t>
            </w:r>
          </w:p>
        </w:tc>
        <w:tc>
          <w:tcPr>
            <w:tcW w:w="1580" w:type="dxa"/>
            <w:vAlign w:val="bottom"/>
          </w:tcPr>
          <w:p>
            <w:pPr>
              <w:jc w:val="right"/>
              <w:ind w:right="400"/>
              <w:spacing w:after="0" w:line="169" w:lineRule="exact"/>
              <w:rPr>
                <w:sz w:val="20"/>
                <w:szCs w:val="20"/>
                <w:color w:val="auto"/>
              </w:rPr>
            </w:pPr>
            <w:r>
              <w:rPr>
                <w:rFonts w:ascii="Arial" w:cs="Arial" w:eastAsia="Arial" w:hAnsi="Arial"/>
                <w:sz w:val="16"/>
                <w:szCs w:val="16"/>
                <w:color w:val="auto"/>
              </w:rPr>
              <w:t>(15,553)</w:t>
            </w:r>
          </w:p>
        </w:tc>
        <w:tc>
          <w:tcPr>
            <w:tcW w:w="0" w:type="dxa"/>
            <w:vAlign w:val="bottom"/>
          </w:tcPr>
          <w:p>
            <w:pPr>
              <w:spacing w:after="0"/>
              <w:rPr>
                <w:sz w:val="1"/>
                <w:szCs w:val="1"/>
                <w:color w:val="auto"/>
              </w:rPr>
            </w:pPr>
          </w:p>
        </w:tc>
      </w:tr>
      <w:tr>
        <w:trPr>
          <w:trHeight w:val="209"/>
        </w:trPr>
        <w:tc>
          <w:tcPr>
            <w:tcW w:w="4880" w:type="dxa"/>
            <w:vAlign w:val="bottom"/>
            <w:gridSpan w:val="2"/>
          </w:tcPr>
          <w:p>
            <w:pPr>
              <w:spacing w:after="0"/>
              <w:rPr>
                <w:sz w:val="20"/>
                <w:szCs w:val="20"/>
                <w:color w:val="auto"/>
              </w:rPr>
            </w:pPr>
            <w:r>
              <w:rPr>
                <w:rFonts w:ascii="Arial" w:cs="Arial" w:eastAsia="Arial" w:hAnsi="Arial"/>
                <w:sz w:val="16"/>
                <w:szCs w:val="16"/>
                <w:b w:val="1"/>
                <w:bCs w:val="1"/>
                <w:color w:val="auto"/>
              </w:rPr>
              <w:t>Net income/(loss) (GAAP)</w:t>
            </w:r>
          </w:p>
        </w:tc>
        <w:tc>
          <w:tcPr>
            <w:tcW w:w="1700" w:type="dxa"/>
            <w:vAlign w:val="bottom"/>
          </w:tcPr>
          <w:p>
            <w:pPr>
              <w:jc w:val="right"/>
              <w:ind w:right="380"/>
              <w:spacing w:after="0"/>
              <w:rPr>
                <w:sz w:val="20"/>
                <w:szCs w:val="20"/>
                <w:color w:val="auto"/>
              </w:rPr>
            </w:pPr>
            <w:r>
              <w:rPr>
                <w:rFonts w:ascii="Arial" w:cs="Arial" w:eastAsia="Arial" w:hAnsi="Arial"/>
                <w:sz w:val="16"/>
                <w:szCs w:val="16"/>
                <w:b w:val="1"/>
                <w:bCs w:val="1"/>
                <w:color w:val="auto"/>
              </w:rPr>
              <w:t>51,906</w:t>
            </w:r>
          </w:p>
        </w:tc>
        <w:tc>
          <w:tcPr>
            <w:tcW w:w="1560" w:type="dxa"/>
            <w:vAlign w:val="bottom"/>
          </w:tcPr>
          <w:p>
            <w:pPr>
              <w:jc w:val="right"/>
              <w:ind w:right="380"/>
              <w:spacing w:after="0"/>
              <w:rPr>
                <w:sz w:val="20"/>
                <w:szCs w:val="20"/>
                <w:color w:val="auto"/>
              </w:rPr>
            </w:pPr>
            <w:r>
              <w:rPr>
                <w:rFonts w:ascii="Arial" w:cs="Arial" w:eastAsia="Arial" w:hAnsi="Arial"/>
                <w:sz w:val="16"/>
                <w:szCs w:val="16"/>
                <w:b w:val="1"/>
                <w:bCs w:val="1"/>
                <w:color w:val="auto"/>
              </w:rPr>
              <w:t>17,345</w:t>
            </w:r>
          </w:p>
        </w:tc>
        <w:tc>
          <w:tcPr>
            <w:tcW w:w="1700" w:type="dxa"/>
            <w:vAlign w:val="bottom"/>
          </w:tcPr>
          <w:p>
            <w:pPr>
              <w:jc w:val="right"/>
              <w:ind w:right="440"/>
              <w:spacing w:after="0"/>
              <w:rPr>
                <w:sz w:val="20"/>
                <w:szCs w:val="20"/>
                <w:color w:val="auto"/>
              </w:rPr>
            </w:pPr>
            <w:r>
              <w:rPr>
                <w:rFonts w:ascii="Arial" w:cs="Arial" w:eastAsia="Arial" w:hAnsi="Arial"/>
                <w:sz w:val="16"/>
                <w:szCs w:val="16"/>
                <w:b w:val="1"/>
                <w:bCs w:val="1"/>
                <w:color w:val="auto"/>
              </w:rPr>
              <w:t>(29,126)</w:t>
            </w:r>
          </w:p>
        </w:tc>
        <w:tc>
          <w:tcPr>
            <w:tcW w:w="1580" w:type="dxa"/>
            <w:vAlign w:val="bottom"/>
          </w:tcPr>
          <w:p>
            <w:pPr>
              <w:jc w:val="right"/>
              <w:ind w:right="460"/>
              <w:spacing w:after="0"/>
              <w:rPr>
                <w:sz w:val="20"/>
                <w:szCs w:val="20"/>
                <w:color w:val="auto"/>
              </w:rPr>
            </w:pPr>
            <w:r>
              <w:rPr>
                <w:rFonts w:ascii="Arial" w:cs="Arial" w:eastAsia="Arial" w:hAnsi="Arial"/>
                <w:sz w:val="16"/>
                <w:szCs w:val="16"/>
                <w:b w:val="1"/>
                <w:bCs w:val="1"/>
                <w:color w:val="auto"/>
              </w:rPr>
              <w:t>40,125</w:t>
            </w:r>
          </w:p>
        </w:tc>
        <w:tc>
          <w:tcPr>
            <w:tcW w:w="0" w:type="dxa"/>
            <w:vAlign w:val="bottom"/>
          </w:tcPr>
          <w:p>
            <w:pPr>
              <w:spacing w:after="0"/>
              <w:rPr>
                <w:sz w:val="1"/>
                <w:szCs w:val="1"/>
                <w:color w:val="auto"/>
              </w:rPr>
            </w:pPr>
          </w:p>
        </w:tc>
      </w:tr>
      <w:tr>
        <w:trPr>
          <w:trHeight w:val="189"/>
        </w:trPr>
        <w:tc>
          <w:tcPr>
            <w:tcW w:w="4880" w:type="dxa"/>
            <w:vAlign w:val="bottom"/>
            <w:gridSpan w:val="2"/>
          </w:tcPr>
          <w:p>
            <w:pPr>
              <w:spacing w:after="0"/>
              <w:rPr>
                <w:sz w:val="20"/>
                <w:szCs w:val="20"/>
                <w:color w:val="auto"/>
              </w:rPr>
            </w:pPr>
            <w:r>
              <w:rPr>
                <w:rFonts w:ascii="Arial" w:cs="Arial" w:eastAsia="Arial" w:hAnsi="Arial"/>
                <w:sz w:val="16"/>
                <w:szCs w:val="16"/>
                <w:color w:val="auto"/>
              </w:rPr>
              <w:t>Interest expense, net</w:t>
            </w:r>
          </w:p>
        </w:tc>
        <w:tc>
          <w:tcPr>
            <w:tcW w:w="170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500"/>
              <w:spacing w:after="0"/>
              <w:rPr>
                <w:sz w:val="20"/>
                <w:szCs w:val="20"/>
                <w:color w:val="auto"/>
              </w:rPr>
            </w:pPr>
            <w:r>
              <w:rPr>
                <w:rFonts w:ascii="Arial" w:cs="Arial" w:eastAsia="Arial" w:hAnsi="Arial"/>
                <w:sz w:val="16"/>
                <w:szCs w:val="16"/>
                <w:color w:val="auto"/>
              </w:rPr>
              <w:t>3,987</w:t>
            </w:r>
          </w:p>
        </w:tc>
        <w:tc>
          <w:tcPr>
            <w:tcW w:w="1580" w:type="dxa"/>
            <w:vAlign w:val="bottom"/>
          </w:tcPr>
          <w:p>
            <w:pPr>
              <w:jc w:val="right"/>
              <w:ind w:right="460"/>
              <w:spacing w:after="0"/>
              <w:rPr>
                <w:sz w:val="20"/>
                <w:szCs w:val="20"/>
                <w:color w:val="auto"/>
              </w:rPr>
            </w:pPr>
            <w:r>
              <w:rPr>
                <w:rFonts w:ascii="Arial" w:cs="Arial" w:eastAsia="Arial" w:hAnsi="Arial"/>
                <w:sz w:val="16"/>
                <w:szCs w:val="16"/>
                <w:color w:val="auto"/>
              </w:rPr>
              <w:t>3,987</w:t>
            </w:r>
          </w:p>
        </w:tc>
        <w:tc>
          <w:tcPr>
            <w:tcW w:w="0" w:type="dxa"/>
            <w:vAlign w:val="bottom"/>
          </w:tcPr>
          <w:p>
            <w:pPr>
              <w:spacing w:after="0"/>
              <w:rPr>
                <w:sz w:val="1"/>
                <w:szCs w:val="1"/>
                <w:color w:val="auto"/>
              </w:rPr>
            </w:pPr>
          </w:p>
        </w:tc>
      </w:tr>
      <w:tr>
        <w:trPr>
          <w:trHeight w:val="189"/>
        </w:trPr>
        <w:tc>
          <w:tcPr>
            <w:tcW w:w="4880" w:type="dxa"/>
            <w:vAlign w:val="bottom"/>
            <w:gridSpan w:val="2"/>
          </w:tcPr>
          <w:p>
            <w:pPr>
              <w:spacing w:after="0"/>
              <w:rPr>
                <w:sz w:val="20"/>
                <w:szCs w:val="20"/>
                <w:color w:val="auto"/>
              </w:rPr>
            </w:pPr>
            <w:r>
              <w:rPr>
                <w:rFonts w:ascii="Arial" w:cs="Arial" w:eastAsia="Arial" w:hAnsi="Arial"/>
                <w:sz w:val="16"/>
                <w:szCs w:val="16"/>
                <w:color w:val="auto"/>
              </w:rPr>
              <w:t>Income tax expense</w:t>
            </w:r>
          </w:p>
        </w:tc>
        <w:tc>
          <w:tcPr>
            <w:tcW w:w="170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500"/>
              <w:spacing w:after="0"/>
              <w:rPr>
                <w:sz w:val="20"/>
                <w:szCs w:val="20"/>
                <w:color w:val="auto"/>
              </w:rPr>
            </w:pPr>
            <w:r>
              <w:rPr>
                <w:rFonts w:ascii="Arial" w:cs="Arial" w:eastAsia="Arial" w:hAnsi="Arial"/>
                <w:sz w:val="16"/>
                <w:szCs w:val="16"/>
                <w:color w:val="auto"/>
              </w:rPr>
              <w:t>13,194</w:t>
            </w:r>
          </w:p>
        </w:tc>
        <w:tc>
          <w:tcPr>
            <w:tcW w:w="1580" w:type="dxa"/>
            <w:vAlign w:val="bottom"/>
          </w:tcPr>
          <w:p>
            <w:pPr>
              <w:jc w:val="right"/>
              <w:ind w:right="460"/>
              <w:spacing w:after="0"/>
              <w:rPr>
                <w:sz w:val="20"/>
                <w:szCs w:val="20"/>
                <w:color w:val="auto"/>
              </w:rPr>
            </w:pPr>
            <w:r>
              <w:rPr>
                <w:rFonts w:ascii="Arial" w:cs="Arial" w:eastAsia="Arial" w:hAnsi="Arial"/>
                <w:sz w:val="16"/>
                <w:szCs w:val="16"/>
                <w:color w:val="auto"/>
              </w:rPr>
              <w:t>13,194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8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Depreciation and amortization expense</w:t>
            </w:r>
          </w:p>
        </w:tc>
        <w:tc>
          <w:tcPr>
            <w:tcW w:w="17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5,149</w:t>
            </w:r>
          </w:p>
        </w:tc>
        <w:tc>
          <w:tcPr>
            <w:tcW w:w="15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11,087</w:t>
            </w:r>
          </w:p>
        </w:tc>
        <w:tc>
          <w:tcPr>
            <w:tcW w:w="17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1,018</w:t>
            </w:r>
          </w:p>
        </w:tc>
        <w:tc>
          <w:tcPr>
            <w:tcW w:w="15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17,254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860" w:type="dxa"/>
            <w:vAlign w:val="bottom"/>
          </w:tcPr>
          <w:p>
            <w:pPr>
              <w:spacing w:after="0"/>
              <w:rPr>
                <w:sz w:val="20"/>
                <w:szCs w:val="20"/>
                <w:color w:val="auto"/>
              </w:rPr>
            </w:pPr>
            <w:r>
              <w:rPr>
                <w:rFonts w:ascii="Arial" w:cs="Arial" w:eastAsia="Arial" w:hAnsi="Arial"/>
                <w:sz w:val="16"/>
                <w:szCs w:val="16"/>
                <w:b w:val="1"/>
                <w:bCs w:val="1"/>
                <w:color w:val="auto"/>
              </w:rPr>
              <w:t>EBITDA (non-GAAP)</w:t>
            </w:r>
          </w:p>
        </w:tc>
        <w:tc>
          <w:tcPr>
            <w:tcW w:w="1700" w:type="dxa"/>
            <w:vAlign w:val="bottom"/>
          </w:tcPr>
          <w:p>
            <w:pPr>
              <w:jc w:val="right"/>
              <w:ind w:right="380"/>
              <w:spacing w:after="0"/>
              <w:rPr>
                <w:sz w:val="20"/>
                <w:szCs w:val="20"/>
                <w:color w:val="auto"/>
              </w:rPr>
            </w:pPr>
            <w:r>
              <w:rPr>
                <w:rFonts w:ascii="Arial" w:cs="Arial" w:eastAsia="Arial" w:hAnsi="Arial"/>
                <w:sz w:val="16"/>
                <w:szCs w:val="16"/>
                <w:b w:val="1"/>
                <w:bCs w:val="1"/>
                <w:color w:val="auto"/>
              </w:rPr>
              <w:t>57,055</w:t>
            </w:r>
          </w:p>
        </w:tc>
        <w:tc>
          <w:tcPr>
            <w:tcW w:w="1560" w:type="dxa"/>
            <w:vAlign w:val="bottom"/>
          </w:tcPr>
          <w:p>
            <w:pPr>
              <w:jc w:val="right"/>
              <w:ind w:right="380"/>
              <w:spacing w:after="0"/>
              <w:rPr>
                <w:sz w:val="20"/>
                <w:szCs w:val="20"/>
                <w:color w:val="auto"/>
              </w:rPr>
            </w:pPr>
            <w:r>
              <w:rPr>
                <w:rFonts w:ascii="Arial" w:cs="Arial" w:eastAsia="Arial" w:hAnsi="Arial"/>
                <w:sz w:val="16"/>
                <w:szCs w:val="16"/>
                <w:b w:val="1"/>
                <w:bCs w:val="1"/>
                <w:color w:val="auto"/>
              </w:rPr>
              <w:t>28,432</w:t>
            </w:r>
          </w:p>
        </w:tc>
        <w:tc>
          <w:tcPr>
            <w:tcW w:w="1700" w:type="dxa"/>
            <w:vAlign w:val="bottom"/>
          </w:tcPr>
          <w:p>
            <w:pPr>
              <w:jc w:val="right"/>
              <w:ind w:right="440"/>
              <w:spacing w:after="0"/>
              <w:rPr>
                <w:sz w:val="20"/>
                <w:szCs w:val="20"/>
                <w:color w:val="auto"/>
              </w:rPr>
            </w:pPr>
            <w:r>
              <w:rPr>
                <w:rFonts w:ascii="Arial" w:cs="Arial" w:eastAsia="Arial" w:hAnsi="Arial"/>
                <w:sz w:val="16"/>
                <w:szCs w:val="16"/>
                <w:b w:val="1"/>
                <w:bCs w:val="1"/>
                <w:color w:val="auto"/>
              </w:rPr>
              <w:t>(10,927)</w:t>
            </w:r>
          </w:p>
        </w:tc>
        <w:tc>
          <w:tcPr>
            <w:tcW w:w="1580" w:type="dxa"/>
            <w:vAlign w:val="bottom"/>
          </w:tcPr>
          <w:p>
            <w:pPr>
              <w:jc w:val="right"/>
              <w:ind w:right="460"/>
              <w:spacing w:after="0"/>
              <w:rPr>
                <w:sz w:val="20"/>
                <w:szCs w:val="20"/>
                <w:color w:val="auto"/>
              </w:rPr>
            </w:pPr>
            <w:r>
              <w:rPr>
                <w:rFonts w:ascii="Arial" w:cs="Arial" w:eastAsia="Arial" w:hAnsi="Arial"/>
                <w:sz w:val="16"/>
                <w:szCs w:val="16"/>
                <w:b w:val="1"/>
                <w:bCs w:val="1"/>
                <w:color w:val="auto"/>
              </w:rPr>
              <w:t>74,560</w:t>
            </w:r>
          </w:p>
        </w:tc>
        <w:tc>
          <w:tcPr>
            <w:tcW w:w="0" w:type="dxa"/>
            <w:vAlign w:val="bottom"/>
          </w:tcPr>
          <w:p>
            <w:pPr>
              <w:spacing w:after="0"/>
              <w:rPr>
                <w:sz w:val="1"/>
                <w:szCs w:val="1"/>
                <w:color w:val="auto"/>
              </w:rPr>
            </w:pPr>
          </w:p>
        </w:tc>
      </w:tr>
      <w:tr>
        <w:trPr>
          <w:trHeight w:val="189"/>
        </w:trPr>
        <w:tc>
          <w:tcPr>
            <w:tcW w:w="4880" w:type="dxa"/>
            <w:vAlign w:val="bottom"/>
            <w:gridSpan w:val="2"/>
          </w:tcPr>
          <w:p>
            <w:pPr>
              <w:spacing w:after="0"/>
              <w:rPr>
                <w:sz w:val="20"/>
                <w:szCs w:val="20"/>
                <w:color w:val="auto"/>
              </w:rPr>
            </w:pPr>
            <w:r>
              <w:rPr>
                <w:rFonts w:ascii="Arial" w:cs="Arial" w:eastAsia="Arial" w:hAnsi="Arial"/>
                <w:sz w:val="16"/>
                <w:szCs w:val="16"/>
                <w:color w:val="auto"/>
              </w:rPr>
              <w:t>Restructuring expenses, net</w:t>
            </w:r>
          </w:p>
        </w:tc>
        <w:tc>
          <w:tcPr>
            <w:tcW w:w="1700" w:type="dxa"/>
            <w:vAlign w:val="bottom"/>
          </w:tcPr>
          <w:p>
            <w:pPr>
              <w:jc w:val="right"/>
              <w:ind w:right="320"/>
              <w:spacing w:after="0"/>
              <w:rPr>
                <w:sz w:val="20"/>
                <w:szCs w:val="20"/>
                <w:color w:val="auto"/>
              </w:rPr>
            </w:pPr>
            <w:r>
              <w:rPr>
                <w:rFonts w:ascii="Arial" w:cs="Arial" w:eastAsia="Arial" w:hAnsi="Arial"/>
                <w:sz w:val="16"/>
                <w:szCs w:val="16"/>
                <w:color w:val="auto"/>
              </w:rPr>
              <w:t>(211)</w:t>
            </w:r>
          </w:p>
        </w:tc>
        <w:tc>
          <w:tcPr>
            <w:tcW w:w="1560" w:type="dxa"/>
            <w:vAlign w:val="bottom"/>
          </w:tcPr>
          <w:p>
            <w:pPr>
              <w:jc w:val="right"/>
              <w:ind w:right="320"/>
              <w:spacing w:after="0"/>
              <w:rPr>
                <w:sz w:val="20"/>
                <w:szCs w:val="20"/>
                <w:color w:val="auto"/>
              </w:rPr>
            </w:pPr>
            <w:r>
              <w:rPr>
                <w:rFonts w:ascii="Arial" w:cs="Arial" w:eastAsia="Arial" w:hAnsi="Arial"/>
                <w:sz w:val="16"/>
                <w:szCs w:val="16"/>
                <w:color w:val="auto"/>
              </w:rPr>
              <w:t>(33)</w:t>
            </w:r>
          </w:p>
        </w:tc>
        <w:tc>
          <w:tcPr>
            <w:tcW w:w="1700" w:type="dxa"/>
            <w:vAlign w:val="bottom"/>
          </w:tcPr>
          <w:p>
            <w:pPr>
              <w:jc w:val="right"/>
              <w:ind w:right="50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189"/>
        </w:trPr>
        <w:tc>
          <w:tcPr>
            <w:tcW w:w="4880" w:type="dxa"/>
            <w:vAlign w:val="bottom"/>
            <w:gridSpan w:val="2"/>
          </w:tcPr>
          <w:p>
            <w:pPr>
              <w:spacing w:after="0"/>
              <w:rPr>
                <w:sz w:val="20"/>
                <w:szCs w:val="20"/>
                <w:color w:val="auto"/>
              </w:rPr>
            </w:pPr>
            <w:r>
              <w:rPr>
                <w:rFonts w:ascii="Arial" w:cs="Arial" w:eastAsia="Arial" w:hAnsi="Arial"/>
                <w:sz w:val="16"/>
                <w:szCs w:val="16"/>
                <w:color w:val="auto"/>
              </w:rPr>
              <w:t>Foreign currency revaluation (gains)/losses</w:t>
            </w:r>
          </w:p>
        </w:tc>
        <w:tc>
          <w:tcPr>
            <w:tcW w:w="1700" w:type="dxa"/>
            <w:vAlign w:val="bottom"/>
          </w:tcPr>
          <w:p>
            <w:pPr>
              <w:jc w:val="right"/>
              <w:ind w:right="320"/>
              <w:spacing w:after="0"/>
              <w:rPr>
                <w:sz w:val="20"/>
                <w:szCs w:val="20"/>
                <w:color w:val="auto"/>
              </w:rPr>
            </w:pPr>
            <w:r>
              <w:rPr>
                <w:rFonts w:ascii="Arial" w:cs="Arial" w:eastAsia="Arial" w:hAnsi="Arial"/>
                <w:sz w:val="16"/>
                <w:szCs w:val="16"/>
                <w:color w:val="auto"/>
              </w:rPr>
              <w:t>(1,021)</w:t>
            </w:r>
          </w:p>
        </w:tc>
        <w:tc>
          <w:tcPr>
            <w:tcW w:w="1560" w:type="dxa"/>
            <w:vAlign w:val="bottom"/>
          </w:tcPr>
          <w:p>
            <w:pPr>
              <w:jc w:val="right"/>
              <w:ind w:right="380"/>
              <w:spacing w:after="0"/>
              <w:rPr>
                <w:sz w:val="20"/>
                <w:szCs w:val="20"/>
                <w:color w:val="auto"/>
              </w:rPr>
            </w:pPr>
            <w:r>
              <w:rPr>
                <w:rFonts w:ascii="Arial" w:cs="Arial" w:eastAsia="Arial" w:hAnsi="Arial"/>
                <w:sz w:val="16"/>
                <w:szCs w:val="16"/>
                <w:color w:val="auto"/>
              </w:rPr>
              <w:t>341</w:t>
            </w:r>
          </w:p>
        </w:tc>
        <w:tc>
          <w:tcPr>
            <w:tcW w:w="1700" w:type="dxa"/>
            <w:vAlign w:val="bottom"/>
          </w:tcPr>
          <w:p>
            <w:pPr>
              <w:jc w:val="right"/>
              <w:ind w:right="440"/>
              <w:spacing w:after="0"/>
              <w:rPr>
                <w:sz w:val="20"/>
                <w:szCs w:val="20"/>
                <w:color w:val="auto"/>
              </w:rPr>
            </w:pPr>
            <w:r>
              <w:rPr>
                <w:rFonts w:ascii="Arial" w:cs="Arial" w:eastAsia="Arial" w:hAnsi="Arial"/>
                <w:sz w:val="16"/>
                <w:szCs w:val="16"/>
                <w:color w:val="auto"/>
              </w:rPr>
              <w:t>(2,026)</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(2,706)</w:t>
            </w:r>
          </w:p>
        </w:tc>
        <w:tc>
          <w:tcPr>
            <w:tcW w:w="0" w:type="dxa"/>
            <w:vAlign w:val="bottom"/>
          </w:tcPr>
          <w:p>
            <w:pPr>
              <w:spacing w:after="0"/>
              <w:rPr>
                <w:sz w:val="1"/>
                <w:szCs w:val="1"/>
                <w:color w:val="auto"/>
              </w:rPr>
            </w:pPr>
          </w:p>
        </w:tc>
      </w:tr>
      <w:tr>
        <w:trPr>
          <w:trHeight w:val="187"/>
        </w:trPr>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Pretax income attributable to the noncontrolling interest in ASC</w:t>
            </w:r>
          </w:p>
        </w:tc>
        <w:tc>
          <w:tcPr>
            <w:tcW w:w="17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(161)</w:t>
            </w:r>
          </w:p>
        </w:tc>
        <w:tc>
          <w:tcPr>
            <w:tcW w:w="17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6"/>
                <w:szCs w:val="16"/>
                <w:b w:val="1"/>
                <w:bCs w:val="1"/>
                <w:color w:val="auto"/>
              </w:rPr>
              <w:t>Adjusted EBITDA (non-GAAP)</w:t>
            </w:r>
          </w:p>
        </w:tc>
        <w:tc>
          <w:tcPr>
            <w:tcW w:w="1700" w:type="dxa"/>
            <w:vAlign w:val="bottom"/>
            <w:tcBorders>
              <w:bottom w:val="single" w:sz="8" w:color="auto"/>
            </w:tcBorders>
          </w:tcPr>
          <w:p>
            <w:pPr>
              <w:jc w:val="right"/>
              <w:ind w:right="380"/>
              <w:spacing w:after="0" w:line="183" w:lineRule="exact"/>
              <w:rPr>
                <w:sz w:val="20"/>
                <w:szCs w:val="20"/>
                <w:color w:val="auto"/>
              </w:rPr>
            </w:pPr>
            <w:r>
              <w:rPr>
                <w:rFonts w:ascii="Arial" w:cs="Arial" w:eastAsia="Arial" w:hAnsi="Arial"/>
                <w:sz w:val="16"/>
                <w:szCs w:val="16"/>
                <w:b w:val="1"/>
                <w:bCs w:val="1"/>
                <w:color w:val="auto"/>
              </w:rPr>
              <w:t>$55,823</w:t>
            </w:r>
          </w:p>
        </w:tc>
        <w:tc>
          <w:tcPr>
            <w:tcW w:w="1560" w:type="dxa"/>
            <w:vAlign w:val="bottom"/>
            <w:tcBorders>
              <w:bottom w:val="single" w:sz="8" w:color="auto"/>
            </w:tcBorders>
          </w:tcPr>
          <w:p>
            <w:pPr>
              <w:jc w:val="right"/>
              <w:ind w:right="380"/>
              <w:spacing w:after="0" w:line="183" w:lineRule="exact"/>
              <w:rPr>
                <w:sz w:val="20"/>
                <w:szCs w:val="20"/>
                <w:color w:val="auto"/>
              </w:rPr>
            </w:pPr>
            <w:r>
              <w:rPr>
                <w:rFonts w:ascii="Arial" w:cs="Arial" w:eastAsia="Arial" w:hAnsi="Arial"/>
                <w:sz w:val="16"/>
                <w:szCs w:val="16"/>
                <w:b w:val="1"/>
                <w:bCs w:val="1"/>
                <w:color w:val="auto"/>
              </w:rPr>
              <w:t>$28,579</w:t>
            </w:r>
          </w:p>
        </w:tc>
        <w:tc>
          <w:tcPr>
            <w:tcW w:w="1700" w:type="dxa"/>
            <w:vAlign w:val="bottom"/>
            <w:tcBorders>
              <w:bottom w:val="single" w:sz="8" w:color="auto"/>
            </w:tcBorders>
          </w:tcPr>
          <w:p>
            <w:pPr>
              <w:jc w:val="center"/>
              <w:ind w:right="20"/>
              <w:spacing w:after="0" w:line="183" w:lineRule="exact"/>
              <w:rPr>
                <w:sz w:val="20"/>
                <w:szCs w:val="20"/>
                <w:color w:val="auto"/>
              </w:rPr>
            </w:pPr>
            <w:r>
              <w:rPr>
                <w:rFonts w:ascii="Arial" w:cs="Arial" w:eastAsia="Arial" w:hAnsi="Arial"/>
                <w:sz w:val="16"/>
                <w:szCs w:val="16"/>
                <w:b w:val="1"/>
                <w:bCs w:val="1"/>
                <w:color w:val="auto"/>
                <w:w w:val="99"/>
              </w:rPr>
              <w:t>$(12,953)</w:t>
            </w:r>
          </w:p>
        </w:tc>
        <w:tc>
          <w:tcPr>
            <w:tcW w:w="1580" w:type="dxa"/>
            <w:vAlign w:val="bottom"/>
            <w:tcBorders>
              <w:bottom w:val="single" w:sz="8" w:color="auto"/>
            </w:tcBorders>
          </w:tcPr>
          <w:p>
            <w:pPr>
              <w:jc w:val="right"/>
              <w:ind w:right="460"/>
              <w:spacing w:after="0" w:line="183" w:lineRule="exact"/>
              <w:rPr>
                <w:sz w:val="20"/>
                <w:szCs w:val="20"/>
                <w:color w:val="auto"/>
              </w:rPr>
            </w:pPr>
            <w:r>
              <w:rPr>
                <w:rFonts w:ascii="Arial" w:cs="Arial" w:eastAsia="Arial" w:hAnsi="Arial"/>
                <w:sz w:val="16"/>
                <w:szCs w:val="16"/>
                <w:b w:val="1"/>
                <w:bCs w:val="1"/>
                <w:color w:val="auto"/>
              </w:rPr>
              <w:t>$ 71,449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Three months ended September 30, 2018</w:t>
            </w:r>
          </w:p>
        </w:tc>
        <w:tc>
          <w:tcPr>
            <w:tcW w:w="17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Albany Engineered</w:t>
            </w:r>
          </w:p>
        </w:tc>
        <w:tc>
          <w:tcPr>
            <w:tcW w:w="17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Corporate expenses</w:t>
            </w: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7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Machine Clothing</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Composites</w:t>
            </w:r>
          </w:p>
        </w:tc>
        <w:tc>
          <w:tcPr>
            <w:tcW w:w="17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rPr>
              <w:t>and other</w:t>
            </w:r>
          </w:p>
        </w:tc>
        <w:tc>
          <w:tcPr>
            <w:tcW w:w="15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84"/>
        </w:trPr>
        <w:tc>
          <w:tcPr>
            <w:tcW w:w="4880" w:type="dxa"/>
            <w:vAlign w:val="bottom"/>
            <w:gridSpan w:val="2"/>
          </w:tcPr>
          <w:p>
            <w:pPr>
              <w:spacing w:after="0"/>
              <w:rPr>
                <w:sz w:val="20"/>
                <w:szCs w:val="20"/>
                <w:color w:val="auto"/>
              </w:rPr>
            </w:pPr>
            <w:r>
              <w:rPr>
                <w:rFonts w:ascii="Arial" w:cs="Arial" w:eastAsia="Arial" w:hAnsi="Arial"/>
                <w:sz w:val="16"/>
                <w:szCs w:val="16"/>
                <w:b w:val="1"/>
                <w:bCs w:val="1"/>
                <w:color w:val="auto"/>
              </w:rPr>
              <w:t>Operating income/(loss) (GAAP)</w:t>
            </w:r>
          </w:p>
        </w:tc>
        <w:tc>
          <w:tcPr>
            <w:tcW w:w="1700" w:type="dxa"/>
            <w:vAlign w:val="bottom"/>
          </w:tcPr>
          <w:p>
            <w:pPr>
              <w:jc w:val="right"/>
              <w:ind w:right="380"/>
              <w:spacing w:after="0"/>
              <w:rPr>
                <w:sz w:val="20"/>
                <w:szCs w:val="20"/>
                <w:color w:val="auto"/>
              </w:rPr>
            </w:pPr>
            <w:r>
              <w:rPr>
                <w:rFonts w:ascii="Arial" w:cs="Arial" w:eastAsia="Arial" w:hAnsi="Arial"/>
                <w:sz w:val="16"/>
                <w:szCs w:val="16"/>
                <w:b w:val="1"/>
                <w:bCs w:val="1"/>
                <w:color w:val="auto"/>
              </w:rPr>
              <w:t>$49,695</w:t>
            </w:r>
          </w:p>
        </w:tc>
        <w:tc>
          <w:tcPr>
            <w:tcW w:w="1560" w:type="dxa"/>
            <w:vAlign w:val="bottom"/>
          </w:tcPr>
          <w:p>
            <w:pPr>
              <w:jc w:val="right"/>
              <w:ind w:right="380"/>
              <w:spacing w:after="0"/>
              <w:rPr>
                <w:sz w:val="20"/>
                <w:szCs w:val="20"/>
                <w:color w:val="auto"/>
              </w:rPr>
            </w:pPr>
            <w:r>
              <w:rPr>
                <w:rFonts w:ascii="Arial" w:cs="Arial" w:eastAsia="Arial" w:hAnsi="Arial"/>
                <w:sz w:val="16"/>
                <w:szCs w:val="16"/>
                <w:b w:val="1"/>
                <w:bCs w:val="1"/>
                <w:color w:val="auto"/>
              </w:rPr>
              <w:t>$ 3,613</w:t>
            </w:r>
          </w:p>
        </w:tc>
        <w:tc>
          <w:tcPr>
            <w:tcW w:w="1700" w:type="dxa"/>
            <w:vAlign w:val="bottom"/>
          </w:tcPr>
          <w:p>
            <w:pPr>
              <w:jc w:val="center"/>
              <w:ind w:right="20"/>
              <w:spacing w:after="0"/>
              <w:rPr>
                <w:sz w:val="20"/>
                <w:szCs w:val="20"/>
                <w:color w:val="auto"/>
              </w:rPr>
            </w:pPr>
            <w:r>
              <w:rPr>
                <w:rFonts w:ascii="Arial" w:cs="Arial" w:eastAsia="Arial" w:hAnsi="Arial"/>
                <w:sz w:val="16"/>
                <w:szCs w:val="16"/>
                <w:b w:val="1"/>
                <w:bCs w:val="1"/>
                <w:color w:val="auto"/>
                <w:w w:val="99"/>
              </w:rPr>
              <w:t>$(12,474)</w:t>
            </w:r>
          </w:p>
        </w:tc>
        <w:tc>
          <w:tcPr>
            <w:tcW w:w="1580" w:type="dxa"/>
            <w:vAlign w:val="bottom"/>
          </w:tcPr>
          <w:p>
            <w:pPr>
              <w:jc w:val="right"/>
              <w:ind w:right="460"/>
              <w:spacing w:after="0"/>
              <w:rPr>
                <w:sz w:val="20"/>
                <w:szCs w:val="20"/>
                <w:color w:val="auto"/>
              </w:rPr>
            </w:pPr>
            <w:r>
              <w:rPr>
                <w:rFonts w:ascii="Arial" w:cs="Arial" w:eastAsia="Arial" w:hAnsi="Arial"/>
                <w:sz w:val="16"/>
                <w:szCs w:val="16"/>
                <w:b w:val="1"/>
                <w:bCs w:val="1"/>
                <w:color w:val="auto"/>
              </w:rPr>
              <w:t>$ 40,834</w:t>
            </w:r>
          </w:p>
        </w:tc>
        <w:tc>
          <w:tcPr>
            <w:tcW w:w="0" w:type="dxa"/>
            <w:vAlign w:val="bottom"/>
          </w:tcPr>
          <w:p>
            <w:pPr>
              <w:spacing w:after="0"/>
              <w:rPr>
                <w:sz w:val="1"/>
                <w:szCs w:val="1"/>
                <w:color w:val="auto"/>
              </w:rPr>
            </w:pPr>
          </w:p>
        </w:tc>
      </w:tr>
      <w:tr>
        <w:trPr>
          <w:trHeight w:val="169"/>
        </w:trPr>
        <w:tc>
          <w:tcPr>
            <w:tcW w:w="4880" w:type="dxa"/>
            <w:vAlign w:val="bottom"/>
            <w:gridSpan w:val="2"/>
          </w:tcPr>
          <w:p>
            <w:pPr>
              <w:spacing w:after="0" w:line="169" w:lineRule="exact"/>
              <w:rPr>
                <w:sz w:val="20"/>
                <w:szCs w:val="20"/>
                <w:color w:val="auto"/>
              </w:rPr>
            </w:pPr>
            <w:r>
              <w:rPr>
                <w:rFonts w:ascii="Arial" w:cs="Arial" w:eastAsia="Arial" w:hAnsi="Arial"/>
                <w:sz w:val="16"/>
                <w:szCs w:val="16"/>
                <w:color w:val="auto"/>
              </w:rPr>
              <w:t>Interest, taxes, other income/(expense)</w:t>
            </w:r>
          </w:p>
        </w:tc>
        <w:tc>
          <w:tcPr>
            <w:tcW w:w="1700" w:type="dxa"/>
            <w:vAlign w:val="bottom"/>
          </w:tcPr>
          <w:p>
            <w:pPr>
              <w:jc w:val="right"/>
              <w:ind w:right="380"/>
              <w:spacing w:after="0" w:line="169" w:lineRule="exact"/>
              <w:rPr>
                <w:sz w:val="20"/>
                <w:szCs w:val="20"/>
                <w:color w:val="auto"/>
              </w:rPr>
            </w:pPr>
            <w:r>
              <w:rPr>
                <w:rFonts w:ascii="Arial" w:cs="Arial" w:eastAsia="Arial" w:hAnsi="Arial"/>
                <w:sz w:val="16"/>
                <w:szCs w:val="16"/>
                <w:color w:val="auto"/>
              </w:rPr>
              <w:t>—</w:t>
            </w:r>
          </w:p>
        </w:tc>
        <w:tc>
          <w:tcPr>
            <w:tcW w:w="1560" w:type="dxa"/>
            <w:vAlign w:val="bottom"/>
          </w:tcPr>
          <w:p>
            <w:pPr>
              <w:jc w:val="right"/>
              <w:ind w:right="380"/>
              <w:spacing w:after="0" w:line="169" w:lineRule="exact"/>
              <w:rPr>
                <w:sz w:val="20"/>
                <w:szCs w:val="20"/>
                <w:color w:val="auto"/>
              </w:rPr>
            </w:pPr>
            <w:r>
              <w:rPr>
                <w:rFonts w:ascii="Arial" w:cs="Arial" w:eastAsia="Arial" w:hAnsi="Arial"/>
                <w:sz w:val="16"/>
                <w:szCs w:val="16"/>
                <w:color w:val="auto"/>
              </w:rPr>
              <w:t>—</w:t>
            </w:r>
          </w:p>
        </w:tc>
        <w:tc>
          <w:tcPr>
            <w:tcW w:w="1700" w:type="dxa"/>
            <w:vAlign w:val="bottom"/>
          </w:tcPr>
          <w:p>
            <w:pPr>
              <w:jc w:val="right"/>
              <w:ind w:right="440"/>
              <w:spacing w:after="0" w:line="169" w:lineRule="exact"/>
              <w:rPr>
                <w:sz w:val="20"/>
                <w:szCs w:val="20"/>
                <w:color w:val="auto"/>
              </w:rPr>
            </w:pPr>
            <w:r>
              <w:rPr>
                <w:rFonts w:ascii="Arial" w:cs="Arial" w:eastAsia="Arial" w:hAnsi="Arial"/>
                <w:sz w:val="16"/>
                <w:szCs w:val="16"/>
                <w:color w:val="auto"/>
              </w:rPr>
              <w:t>(12,829)</w:t>
            </w:r>
          </w:p>
        </w:tc>
        <w:tc>
          <w:tcPr>
            <w:tcW w:w="1580" w:type="dxa"/>
            <w:vAlign w:val="bottom"/>
          </w:tcPr>
          <w:p>
            <w:pPr>
              <w:jc w:val="right"/>
              <w:ind w:right="400"/>
              <w:spacing w:after="0" w:line="169" w:lineRule="exact"/>
              <w:rPr>
                <w:sz w:val="20"/>
                <w:szCs w:val="20"/>
                <w:color w:val="auto"/>
              </w:rPr>
            </w:pPr>
            <w:r>
              <w:rPr>
                <w:rFonts w:ascii="Arial" w:cs="Arial" w:eastAsia="Arial" w:hAnsi="Arial"/>
                <w:sz w:val="16"/>
                <w:szCs w:val="16"/>
                <w:color w:val="auto"/>
              </w:rPr>
              <w:t>(12,829)</w:t>
            </w:r>
          </w:p>
        </w:tc>
        <w:tc>
          <w:tcPr>
            <w:tcW w:w="0" w:type="dxa"/>
            <w:vAlign w:val="bottom"/>
          </w:tcPr>
          <w:p>
            <w:pPr>
              <w:spacing w:after="0"/>
              <w:rPr>
                <w:sz w:val="1"/>
                <w:szCs w:val="1"/>
                <w:color w:val="auto"/>
              </w:rPr>
            </w:pPr>
          </w:p>
        </w:tc>
      </w:tr>
      <w:tr>
        <w:trPr>
          <w:trHeight w:val="209"/>
        </w:trPr>
        <w:tc>
          <w:tcPr>
            <w:tcW w:w="4880" w:type="dxa"/>
            <w:vAlign w:val="bottom"/>
            <w:gridSpan w:val="2"/>
          </w:tcPr>
          <w:p>
            <w:pPr>
              <w:spacing w:after="0"/>
              <w:rPr>
                <w:sz w:val="20"/>
                <w:szCs w:val="20"/>
                <w:color w:val="auto"/>
              </w:rPr>
            </w:pPr>
            <w:r>
              <w:rPr>
                <w:rFonts w:ascii="Arial" w:cs="Arial" w:eastAsia="Arial" w:hAnsi="Arial"/>
                <w:sz w:val="16"/>
                <w:szCs w:val="16"/>
                <w:b w:val="1"/>
                <w:bCs w:val="1"/>
                <w:color w:val="auto"/>
              </w:rPr>
              <w:t>Net income/(loss) (GAAP)</w:t>
            </w:r>
          </w:p>
        </w:tc>
        <w:tc>
          <w:tcPr>
            <w:tcW w:w="1700" w:type="dxa"/>
            <w:vAlign w:val="bottom"/>
          </w:tcPr>
          <w:p>
            <w:pPr>
              <w:jc w:val="right"/>
              <w:ind w:right="380"/>
              <w:spacing w:after="0"/>
              <w:rPr>
                <w:sz w:val="20"/>
                <w:szCs w:val="20"/>
                <w:color w:val="auto"/>
              </w:rPr>
            </w:pPr>
            <w:r>
              <w:rPr>
                <w:rFonts w:ascii="Arial" w:cs="Arial" w:eastAsia="Arial" w:hAnsi="Arial"/>
                <w:sz w:val="16"/>
                <w:szCs w:val="16"/>
                <w:b w:val="1"/>
                <w:bCs w:val="1"/>
                <w:color w:val="auto"/>
              </w:rPr>
              <w:t>49,695</w:t>
            </w:r>
          </w:p>
        </w:tc>
        <w:tc>
          <w:tcPr>
            <w:tcW w:w="1560" w:type="dxa"/>
            <w:vAlign w:val="bottom"/>
          </w:tcPr>
          <w:p>
            <w:pPr>
              <w:jc w:val="right"/>
              <w:ind w:right="380"/>
              <w:spacing w:after="0"/>
              <w:rPr>
                <w:sz w:val="20"/>
                <w:szCs w:val="20"/>
                <w:color w:val="auto"/>
              </w:rPr>
            </w:pPr>
            <w:r>
              <w:rPr>
                <w:rFonts w:ascii="Arial" w:cs="Arial" w:eastAsia="Arial" w:hAnsi="Arial"/>
                <w:sz w:val="16"/>
                <w:szCs w:val="16"/>
                <w:b w:val="1"/>
                <w:bCs w:val="1"/>
                <w:color w:val="auto"/>
              </w:rPr>
              <w:t>3,613</w:t>
            </w:r>
          </w:p>
        </w:tc>
        <w:tc>
          <w:tcPr>
            <w:tcW w:w="1700" w:type="dxa"/>
            <w:vAlign w:val="bottom"/>
          </w:tcPr>
          <w:p>
            <w:pPr>
              <w:jc w:val="right"/>
              <w:ind w:right="440"/>
              <w:spacing w:after="0"/>
              <w:rPr>
                <w:sz w:val="20"/>
                <w:szCs w:val="20"/>
                <w:color w:val="auto"/>
              </w:rPr>
            </w:pPr>
            <w:r>
              <w:rPr>
                <w:rFonts w:ascii="Arial" w:cs="Arial" w:eastAsia="Arial" w:hAnsi="Arial"/>
                <w:sz w:val="16"/>
                <w:szCs w:val="16"/>
                <w:b w:val="1"/>
                <w:bCs w:val="1"/>
                <w:color w:val="auto"/>
              </w:rPr>
              <w:t>(25,303)</w:t>
            </w:r>
          </w:p>
        </w:tc>
        <w:tc>
          <w:tcPr>
            <w:tcW w:w="1580" w:type="dxa"/>
            <w:vAlign w:val="bottom"/>
          </w:tcPr>
          <w:p>
            <w:pPr>
              <w:jc w:val="right"/>
              <w:ind w:right="460"/>
              <w:spacing w:after="0"/>
              <w:rPr>
                <w:sz w:val="20"/>
                <w:szCs w:val="20"/>
                <w:color w:val="auto"/>
              </w:rPr>
            </w:pPr>
            <w:r>
              <w:rPr>
                <w:rFonts w:ascii="Arial" w:cs="Arial" w:eastAsia="Arial" w:hAnsi="Arial"/>
                <w:sz w:val="16"/>
                <w:szCs w:val="16"/>
                <w:b w:val="1"/>
                <w:bCs w:val="1"/>
                <w:color w:val="auto"/>
              </w:rPr>
              <w:t>28,005</w:t>
            </w:r>
          </w:p>
        </w:tc>
        <w:tc>
          <w:tcPr>
            <w:tcW w:w="0" w:type="dxa"/>
            <w:vAlign w:val="bottom"/>
          </w:tcPr>
          <w:p>
            <w:pPr>
              <w:spacing w:after="0"/>
              <w:rPr>
                <w:sz w:val="1"/>
                <w:szCs w:val="1"/>
                <w:color w:val="auto"/>
              </w:rPr>
            </w:pPr>
          </w:p>
        </w:tc>
      </w:tr>
      <w:tr>
        <w:trPr>
          <w:trHeight w:val="189"/>
        </w:trPr>
        <w:tc>
          <w:tcPr>
            <w:tcW w:w="4880" w:type="dxa"/>
            <w:vAlign w:val="bottom"/>
            <w:gridSpan w:val="2"/>
          </w:tcPr>
          <w:p>
            <w:pPr>
              <w:spacing w:after="0"/>
              <w:rPr>
                <w:sz w:val="20"/>
                <w:szCs w:val="20"/>
                <w:color w:val="auto"/>
              </w:rPr>
            </w:pPr>
            <w:r>
              <w:rPr>
                <w:rFonts w:ascii="Arial" w:cs="Arial" w:eastAsia="Arial" w:hAnsi="Arial"/>
                <w:sz w:val="16"/>
                <w:szCs w:val="16"/>
                <w:color w:val="auto"/>
              </w:rPr>
              <w:t>Interest expense, net</w:t>
            </w:r>
          </w:p>
        </w:tc>
        <w:tc>
          <w:tcPr>
            <w:tcW w:w="170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500"/>
              <w:spacing w:after="0"/>
              <w:rPr>
                <w:sz w:val="20"/>
                <w:szCs w:val="20"/>
                <w:color w:val="auto"/>
              </w:rPr>
            </w:pPr>
            <w:r>
              <w:rPr>
                <w:rFonts w:ascii="Arial" w:cs="Arial" w:eastAsia="Arial" w:hAnsi="Arial"/>
                <w:sz w:val="16"/>
                <w:szCs w:val="16"/>
                <w:color w:val="auto"/>
              </w:rPr>
              <w:t>4,621</w:t>
            </w:r>
          </w:p>
        </w:tc>
        <w:tc>
          <w:tcPr>
            <w:tcW w:w="1580" w:type="dxa"/>
            <w:vAlign w:val="bottom"/>
          </w:tcPr>
          <w:p>
            <w:pPr>
              <w:jc w:val="right"/>
              <w:ind w:right="460"/>
              <w:spacing w:after="0"/>
              <w:rPr>
                <w:sz w:val="20"/>
                <w:szCs w:val="20"/>
                <w:color w:val="auto"/>
              </w:rPr>
            </w:pPr>
            <w:r>
              <w:rPr>
                <w:rFonts w:ascii="Arial" w:cs="Arial" w:eastAsia="Arial" w:hAnsi="Arial"/>
                <w:sz w:val="16"/>
                <w:szCs w:val="16"/>
                <w:color w:val="auto"/>
              </w:rPr>
              <w:t>4,621</w:t>
            </w:r>
          </w:p>
        </w:tc>
        <w:tc>
          <w:tcPr>
            <w:tcW w:w="0" w:type="dxa"/>
            <w:vAlign w:val="bottom"/>
          </w:tcPr>
          <w:p>
            <w:pPr>
              <w:spacing w:after="0"/>
              <w:rPr>
                <w:sz w:val="1"/>
                <w:szCs w:val="1"/>
                <w:color w:val="auto"/>
              </w:rPr>
            </w:pPr>
          </w:p>
        </w:tc>
      </w:tr>
      <w:tr>
        <w:trPr>
          <w:trHeight w:val="189"/>
        </w:trPr>
        <w:tc>
          <w:tcPr>
            <w:tcW w:w="4880" w:type="dxa"/>
            <w:vAlign w:val="bottom"/>
            <w:gridSpan w:val="2"/>
          </w:tcPr>
          <w:p>
            <w:pPr>
              <w:spacing w:after="0"/>
              <w:rPr>
                <w:sz w:val="20"/>
                <w:szCs w:val="20"/>
                <w:color w:val="auto"/>
              </w:rPr>
            </w:pPr>
            <w:r>
              <w:rPr>
                <w:rFonts w:ascii="Arial" w:cs="Arial" w:eastAsia="Arial" w:hAnsi="Arial"/>
                <w:sz w:val="16"/>
                <w:szCs w:val="16"/>
                <w:color w:val="auto"/>
              </w:rPr>
              <w:t>Income tax expense</w:t>
            </w:r>
          </w:p>
        </w:tc>
        <w:tc>
          <w:tcPr>
            <w:tcW w:w="170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500"/>
              <w:spacing w:after="0"/>
              <w:rPr>
                <w:sz w:val="20"/>
                <w:szCs w:val="20"/>
                <w:color w:val="auto"/>
              </w:rPr>
            </w:pPr>
            <w:r>
              <w:rPr>
                <w:rFonts w:ascii="Arial" w:cs="Arial" w:eastAsia="Arial" w:hAnsi="Arial"/>
                <w:sz w:val="16"/>
                <w:szCs w:val="16"/>
                <w:color w:val="auto"/>
              </w:rPr>
              <w:t>11,359</w:t>
            </w:r>
          </w:p>
        </w:tc>
        <w:tc>
          <w:tcPr>
            <w:tcW w:w="1580" w:type="dxa"/>
            <w:vAlign w:val="bottom"/>
          </w:tcPr>
          <w:p>
            <w:pPr>
              <w:jc w:val="right"/>
              <w:ind w:right="440"/>
              <w:spacing w:after="0"/>
              <w:rPr>
                <w:sz w:val="20"/>
                <w:szCs w:val="20"/>
                <w:color w:val="auto"/>
              </w:rPr>
            </w:pPr>
            <w:r>
              <w:rPr>
                <w:rFonts w:ascii="Arial" w:cs="Arial" w:eastAsia="Arial" w:hAnsi="Arial"/>
                <w:sz w:val="16"/>
                <w:szCs w:val="16"/>
                <w:color w:val="auto"/>
              </w:rPr>
              <w:t>11,359</w:t>
            </w:r>
          </w:p>
        </w:tc>
        <w:tc>
          <w:tcPr>
            <w:tcW w:w="0" w:type="dxa"/>
            <w:vAlign w:val="bottom"/>
          </w:tcPr>
          <w:p>
            <w:pPr>
              <w:spacing w:after="0"/>
              <w:rPr>
                <w:sz w:val="1"/>
                <w:szCs w:val="1"/>
                <w:color w:val="auto"/>
              </w:rPr>
            </w:pPr>
          </w:p>
        </w:tc>
      </w:tr>
      <w:tr>
        <w:trPr>
          <w:trHeight w:val="187"/>
        </w:trPr>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Depreciation and amortization expense</w:t>
            </w:r>
          </w:p>
        </w:tc>
        <w:tc>
          <w:tcPr>
            <w:tcW w:w="17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7,727</w:t>
            </w:r>
          </w:p>
        </w:tc>
        <w:tc>
          <w:tcPr>
            <w:tcW w:w="15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10,892</w:t>
            </w:r>
          </w:p>
        </w:tc>
        <w:tc>
          <w:tcPr>
            <w:tcW w:w="17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1,183</w:t>
            </w:r>
          </w:p>
        </w:tc>
        <w:tc>
          <w:tcPr>
            <w:tcW w:w="15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19,802</w:t>
            </w:r>
          </w:p>
        </w:tc>
        <w:tc>
          <w:tcPr>
            <w:tcW w:w="0" w:type="dxa"/>
            <w:vAlign w:val="bottom"/>
          </w:tcPr>
          <w:p>
            <w:pPr>
              <w:spacing w:after="0"/>
              <w:rPr>
                <w:sz w:val="1"/>
                <w:szCs w:val="1"/>
                <w:color w:val="auto"/>
              </w:rPr>
            </w:pPr>
          </w:p>
        </w:tc>
      </w:tr>
      <w:tr>
        <w:trPr>
          <w:trHeight w:val="184"/>
        </w:trPr>
        <w:tc>
          <w:tcPr>
            <w:tcW w:w="4880" w:type="dxa"/>
            <w:vAlign w:val="bottom"/>
            <w:gridSpan w:val="2"/>
          </w:tcPr>
          <w:p>
            <w:pPr>
              <w:spacing w:after="0"/>
              <w:rPr>
                <w:sz w:val="20"/>
                <w:szCs w:val="20"/>
                <w:color w:val="auto"/>
              </w:rPr>
            </w:pPr>
            <w:r>
              <w:rPr>
                <w:rFonts w:ascii="Arial" w:cs="Arial" w:eastAsia="Arial" w:hAnsi="Arial"/>
                <w:sz w:val="16"/>
                <w:szCs w:val="16"/>
                <w:b w:val="1"/>
                <w:bCs w:val="1"/>
                <w:color w:val="auto"/>
              </w:rPr>
              <w:t>EBITDA (non-GAAP)</w:t>
            </w:r>
          </w:p>
        </w:tc>
        <w:tc>
          <w:tcPr>
            <w:tcW w:w="1700" w:type="dxa"/>
            <w:vAlign w:val="bottom"/>
          </w:tcPr>
          <w:p>
            <w:pPr>
              <w:jc w:val="right"/>
              <w:ind w:right="380"/>
              <w:spacing w:after="0"/>
              <w:rPr>
                <w:sz w:val="20"/>
                <w:szCs w:val="20"/>
                <w:color w:val="auto"/>
              </w:rPr>
            </w:pPr>
            <w:r>
              <w:rPr>
                <w:rFonts w:ascii="Arial" w:cs="Arial" w:eastAsia="Arial" w:hAnsi="Arial"/>
                <w:sz w:val="16"/>
                <w:szCs w:val="16"/>
                <w:b w:val="1"/>
                <w:bCs w:val="1"/>
                <w:color w:val="auto"/>
              </w:rPr>
              <w:t>57,422</w:t>
            </w:r>
          </w:p>
        </w:tc>
        <w:tc>
          <w:tcPr>
            <w:tcW w:w="1560" w:type="dxa"/>
            <w:vAlign w:val="bottom"/>
          </w:tcPr>
          <w:p>
            <w:pPr>
              <w:jc w:val="right"/>
              <w:ind w:right="380"/>
              <w:spacing w:after="0"/>
              <w:rPr>
                <w:sz w:val="20"/>
                <w:szCs w:val="20"/>
                <w:color w:val="auto"/>
              </w:rPr>
            </w:pPr>
            <w:r>
              <w:rPr>
                <w:rFonts w:ascii="Arial" w:cs="Arial" w:eastAsia="Arial" w:hAnsi="Arial"/>
                <w:sz w:val="16"/>
                <w:szCs w:val="16"/>
                <w:b w:val="1"/>
                <w:bCs w:val="1"/>
                <w:color w:val="auto"/>
              </w:rPr>
              <w:t>14,505</w:t>
            </w:r>
          </w:p>
        </w:tc>
        <w:tc>
          <w:tcPr>
            <w:tcW w:w="1700" w:type="dxa"/>
            <w:vAlign w:val="bottom"/>
          </w:tcPr>
          <w:p>
            <w:pPr>
              <w:jc w:val="right"/>
              <w:ind w:right="440"/>
              <w:spacing w:after="0"/>
              <w:rPr>
                <w:sz w:val="20"/>
                <w:szCs w:val="20"/>
                <w:color w:val="auto"/>
              </w:rPr>
            </w:pPr>
            <w:r>
              <w:rPr>
                <w:rFonts w:ascii="Arial" w:cs="Arial" w:eastAsia="Arial" w:hAnsi="Arial"/>
                <w:sz w:val="16"/>
                <w:szCs w:val="16"/>
                <w:b w:val="1"/>
                <w:bCs w:val="1"/>
                <w:color w:val="auto"/>
              </w:rPr>
              <w:t>(8,140)</w:t>
            </w:r>
          </w:p>
        </w:tc>
        <w:tc>
          <w:tcPr>
            <w:tcW w:w="1580" w:type="dxa"/>
            <w:vAlign w:val="bottom"/>
          </w:tcPr>
          <w:p>
            <w:pPr>
              <w:jc w:val="right"/>
              <w:ind w:right="460"/>
              <w:spacing w:after="0"/>
              <w:rPr>
                <w:sz w:val="20"/>
                <w:szCs w:val="20"/>
                <w:color w:val="auto"/>
              </w:rPr>
            </w:pPr>
            <w:r>
              <w:rPr>
                <w:rFonts w:ascii="Arial" w:cs="Arial" w:eastAsia="Arial" w:hAnsi="Arial"/>
                <w:sz w:val="16"/>
                <w:szCs w:val="16"/>
                <w:b w:val="1"/>
                <w:bCs w:val="1"/>
                <w:color w:val="auto"/>
              </w:rPr>
              <w:t>63,787</w:t>
            </w:r>
          </w:p>
        </w:tc>
        <w:tc>
          <w:tcPr>
            <w:tcW w:w="0" w:type="dxa"/>
            <w:vAlign w:val="bottom"/>
          </w:tcPr>
          <w:p>
            <w:pPr>
              <w:spacing w:after="0"/>
              <w:rPr>
                <w:sz w:val="1"/>
                <w:szCs w:val="1"/>
                <w:color w:val="auto"/>
              </w:rPr>
            </w:pPr>
          </w:p>
        </w:tc>
      </w:tr>
      <w:tr>
        <w:trPr>
          <w:trHeight w:val="189"/>
        </w:trPr>
        <w:tc>
          <w:tcPr>
            <w:tcW w:w="4880" w:type="dxa"/>
            <w:vAlign w:val="bottom"/>
            <w:gridSpan w:val="2"/>
          </w:tcPr>
          <w:p>
            <w:pPr>
              <w:spacing w:after="0"/>
              <w:rPr>
                <w:sz w:val="20"/>
                <w:szCs w:val="20"/>
                <w:color w:val="auto"/>
              </w:rPr>
            </w:pPr>
            <w:r>
              <w:rPr>
                <w:rFonts w:ascii="Arial" w:cs="Arial" w:eastAsia="Arial" w:hAnsi="Arial"/>
                <w:sz w:val="16"/>
                <w:szCs w:val="16"/>
                <w:color w:val="auto"/>
              </w:rPr>
              <w:t>Restructuring expenses, net</w:t>
            </w:r>
          </w:p>
        </w:tc>
        <w:tc>
          <w:tcPr>
            <w:tcW w:w="1700" w:type="dxa"/>
            <w:vAlign w:val="bottom"/>
          </w:tcPr>
          <w:p>
            <w:pPr>
              <w:jc w:val="right"/>
              <w:ind w:right="380"/>
              <w:spacing w:after="0"/>
              <w:rPr>
                <w:sz w:val="20"/>
                <w:szCs w:val="20"/>
                <w:color w:val="auto"/>
              </w:rPr>
            </w:pPr>
            <w:r>
              <w:rPr>
                <w:rFonts w:ascii="Arial" w:cs="Arial" w:eastAsia="Arial" w:hAnsi="Arial"/>
                <w:sz w:val="16"/>
                <w:szCs w:val="16"/>
                <w:color w:val="auto"/>
              </w:rPr>
              <w:t>370</w:t>
            </w:r>
          </w:p>
        </w:tc>
        <w:tc>
          <w:tcPr>
            <w:tcW w:w="1560" w:type="dxa"/>
            <w:vAlign w:val="bottom"/>
          </w:tcPr>
          <w:p>
            <w:pPr>
              <w:jc w:val="right"/>
              <w:ind w:right="380"/>
              <w:spacing w:after="0"/>
              <w:rPr>
                <w:sz w:val="20"/>
                <w:szCs w:val="20"/>
                <w:color w:val="auto"/>
              </w:rPr>
            </w:pPr>
            <w:r>
              <w:rPr>
                <w:rFonts w:ascii="Arial" w:cs="Arial" w:eastAsia="Arial" w:hAnsi="Arial"/>
                <w:sz w:val="16"/>
                <w:szCs w:val="16"/>
                <w:color w:val="auto"/>
              </w:rPr>
              <w:t>2,189</w:t>
            </w:r>
          </w:p>
        </w:tc>
        <w:tc>
          <w:tcPr>
            <w:tcW w:w="1700" w:type="dxa"/>
            <w:vAlign w:val="bottom"/>
          </w:tcPr>
          <w:p>
            <w:pPr>
              <w:jc w:val="right"/>
              <w:ind w:right="440"/>
              <w:spacing w:after="0"/>
              <w:rPr>
                <w:sz w:val="20"/>
                <w:szCs w:val="20"/>
                <w:color w:val="auto"/>
              </w:rPr>
            </w:pPr>
            <w:r>
              <w:rPr>
                <w:rFonts w:ascii="Arial" w:cs="Arial" w:eastAsia="Arial" w:hAnsi="Arial"/>
                <w:sz w:val="16"/>
                <w:szCs w:val="16"/>
                <w:color w:val="auto"/>
              </w:rPr>
              <w:t>(7)</w:t>
            </w:r>
          </w:p>
        </w:tc>
        <w:tc>
          <w:tcPr>
            <w:tcW w:w="1580" w:type="dxa"/>
            <w:vAlign w:val="bottom"/>
          </w:tcPr>
          <w:p>
            <w:pPr>
              <w:jc w:val="right"/>
              <w:ind w:right="460"/>
              <w:spacing w:after="0"/>
              <w:rPr>
                <w:sz w:val="20"/>
                <w:szCs w:val="20"/>
                <w:color w:val="auto"/>
              </w:rPr>
            </w:pPr>
            <w:r>
              <w:rPr>
                <w:rFonts w:ascii="Arial" w:cs="Arial" w:eastAsia="Arial" w:hAnsi="Arial"/>
                <w:sz w:val="16"/>
                <w:szCs w:val="16"/>
                <w:color w:val="auto"/>
              </w:rPr>
              <w:t>2,552</w:t>
            </w:r>
          </w:p>
        </w:tc>
        <w:tc>
          <w:tcPr>
            <w:tcW w:w="0" w:type="dxa"/>
            <w:vAlign w:val="bottom"/>
          </w:tcPr>
          <w:p>
            <w:pPr>
              <w:spacing w:after="0"/>
              <w:rPr>
                <w:sz w:val="1"/>
                <w:szCs w:val="1"/>
                <w:color w:val="auto"/>
              </w:rPr>
            </w:pPr>
          </w:p>
        </w:tc>
      </w:tr>
      <w:tr>
        <w:trPr>
          <w:trHeight w:val="189"/>
        </w:trPr>
        <w:tc>
          <w:tcPr>
            <w:tcW w:w="4880" w:type="dxa"/>
            <w:vAlign w:val="bottom"/>
            <w:gridSpan w:val="2"/>
          </w:tcPr>
          <w:p>
            <w:pPr>
              <w:spacing w:after="0"/>
              <w:rPr>
                <w:sz w:val="20"/>
                <w:szCs w:val="20"/>
                <w:color w:val="auto"/>
              </w:rPr>
            </w:pPr>
            <w:r>
              <w:rPr>
                <w:rFonts w:ascii="Arial" w:cs="Arial" w:eastAsia="Arial" w:hAnsi="Arial"/>
                <w:sz w:val="16"/>
                <w:szCs w:val="16"/>
                <w:color w:val="auto"/>
              </w:rPr>
              <w:t>Foreign currency revaluation (gains)/losses</w:t>
            </w:r>
          </w:p>
        </w:tc>
        <w:tc>
          <w:tcPr>
            <w:tcW w:w="1700" w:type="dxa"/>
            <w:vAlign w:val="bottom"/>
          </w:tcPr>
          <w:p>
            <w:pPr>
              <w:jc w:val="right"/>
              <w:ind w:right="320"/>
              <w:spacing w:after="0"/>
              <w:rPr>
                <w:sz w:val="20"/>
                <w:szCs w:val="20"/>
                <w:color w:val="auto"/>
              </w:rPr>
            </w:pPr>
            <w:r>
              <w:rPr>
                <w:rFonts w:ascii="Arial" w:cs="Arial" w:eastAsia="Arial" w:hAnsi="Arial"/>
                <w:sz w:val="16"/>
                <w:szCs w:val="16"/>
                <w:color w:val="auto"/>
              </w:rPr>
              <w:t>(39)</w:t>
            </w:r>
          </w:p>
        </w:tc>
        <w:tc>
          <w:tcPr>
            <w:tcW w:w="1560" w:type="dxa"/>
            <w:vAlign w:val="bottom"/>
          </w:tcPr>
          <w:p>
            <w:pPr>
              <w:jc w:val="right"/>
              <w:ind w:right="380"/>
              <w:spacing w:after="0"/>
              <w:rPr>
                <w:sz w:val="20"/>
                <w:szCs w:val="20"/>
                <w:color w:val="auto"/>
              </w:rPr>
            </w:pPr>
            <w:r>
              <w:rPr>
                <w:rFonts w:ascii="Arial" w:cs="Arial" w:eastAsia="Arial" w:hAnsi="Arial"/>
                <w:sz w:val="16"/>
                <w:szCs w:val="16"/>
                <w:color w:val="auto"/>
              </w:rPr>
              <w:t>243</w:t>
            </w:r>
          </w:p>
        </w:tc>
        <w:tc>
          <w:tcPr>
            <w:tcW w:w="1700" w:type="dxa"/>
            <w:vAlign w:val="bottom"/>
          </w:tcPr>
          <w:p>
            <w:pPr>
              <w:jc w:val="right"/>
              <w:ind w:right="440"/>
              <w:spacing w:after="0"/>
              <w:rPr>
                <w:sz w:val="20"/>
                <w:szCs w:val="20"/>
                <w:color w:val="auto"/>
              </w:rPr>
            </w:pPr>
            <w:r>
              <w:rPr>
                <w:rFonts w:ascii="Arial" w:cs="Arial" w:eastAsia="Arial" w:hAnsi="Arial"/>
                <w:sz w:val="16"/>
                <w:szCs w:val="16"/>
                <w:color w:val="auto"/>
              </w:rPr>
              <w:t>(3,439)</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(3,235)</w:t>
            </w:r>
          </w:p>
        </w:tc>
        <w:tc>
          <w:tcPr>
            <w:tcW w:w="0" w:type="dxa"/>
            <w:vAlign w:val="bottom"/>
          </w:tcPr>
          <w:p>
            <w:pPr>
              <w:spacing w:after="0"/>
              <w:rPr>
                <w:sz w:val="1"/>
                <w:szCs w:val="1"/>
                <w:color w:val="auto"/>
              </w:rPr>
            </w:pPr>
          </w:p>
        </w:tc>
      </w:tr>
      <w:tr>
        <w:trPr>
          <w:trHeight w:val="187"/>
        </w:trPr>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Pretax income attributable to the noncontrolling interest in ASC</w:t>
            </w:r>
          </w:p>
        </w:tc>
        <w:tc>
          <w:tcPr>
            <w:tcW w:w="17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(397)</w:t>
            </w:r>
          </w:p>
        </w:tc>
        <w:tc>
          <w:tcPr>
            <w:tcW w:w="17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6"/>
                <w:szCs w:val="16"/>
                <w:b w:val="1"/>
                <w:bCs w:val="1"/>
                <w:color w:val="auto"/>
              </w:rPr>
              <w:t>Adjusted EBITDA (non-GAAP)</w:t>
            </w:r>
          </w:p>
        </w:tc>
        <w:tc>
          <w:tcPr>
            <w:tcW w:w="1700" w:type="dxa"/>
            <w:vAlign w:val="bottom"/>
            <w:tcBorders>
              <w:bottom w:val="single" w:sz="8" w:color="auto"/>
            </w:tcBorders>
          </w:tcPr>
          <w:p>
            <w:pPr>
              <w:jc w:val="right"/>
              <w:ind w:right="380"/>
              <w:spacing w:after="0" w:line="183" w:lineRule="exact"/>
              <w:rPr>
                <w:sz w:val="20"/>
                <w:szCs w:val="20"/>
                <w:color w:val="auto"/>
              </w:rPr>
            </w:pPr>
            <w:r>
              <w:rPr>
                <w:rFonts w:ascii="Arial" w:cs="Arial" w:eastAsia="Arial" w:hAnsi="Arial"/>
                <w:sz w:val="16"/>
                <w:szCs w:val="16"/>
                <w:b w:val="1"/>
                <w:bCs w:val="1"/>
                <w:color w:val="auto"/>
              </w:rPr>
              <w:t>$57,753</w:t>
            </w:r>
          </w:p>
        </w:tc>
        <w:tc>
          <w:tcPr>
            <w:tcW w:w="1560" w:type="dxa"/>
            <w:vAlign w:val="bottom"/>
            <w:tcBorders>
              <w:bottom w:val="single" w:sz="8" w:color="auto"/>
            </w:tcBorders>
          </w:tcPr>
          <w:p>
            <w:pPr>
              <w:jc w:val="right"/>
              <w:ind w:right="380"/>
              <w:spacing w:after="0" w:line="183" w:lineRule="exact"/>
              <w:rPr>
                <w:sz w:val="20"/>
                <w:szCs w:val="20"/>
                <w:color w:val="auto"/>
              </w:rPr>
            </w:pPr>
            <w:r>
              <w:rPr>
                <w:rFonts w:ascii="Arial" w:cs="Arial" w:eastAsia="Arial" w:hAnsi="Arial"/>
                <w:sz w:val="16"/>
                <w:szCs w:val="16"/>
                <w:b w:val="1"/>
                <w:bCs w:val="1"/>
                <w:color w:val="auto"/>
              </w:rPr>
              <w:t>$16,540</w:t>
            </w:r>
          </w:p>
        </w:tc>
        <w:tc>
          <w:tcPr>
            <w:tcW w:w="1700" w:type="dxa"/>
            <w:vAlign w:val="bottom"/>
            <w:tcBorders>
              <w:bottom w:val="single" w:sz="8" w:color="auto"/>
            </w:tcBorders>
          </w:tcPr>
          <w:p>
            <w:pPr>
              <w:jc w:val="right"/>
              <w:ind w:right="440"/>
              <w:spacing w:after="0" w:line="183" w:lineRule="exact"/>
              <w:rPr>
                <w:sz w:val="20"/>
                <w:szCs w:val="20"/>
                <w:color w:val="auto"/>
              </w:rPr>
            </w:pPr>
            <w:r>
              <w:rPr>
                <w:rFonts w:ascii="Arial" w:cs="Arial" w:eastAsia="Arial" w:hAnsi="Arial"/>
                <w:sz w:val="16"/>
                <w:szCs w:val="16"/>
                <w:b w:val="1"/>
                <w:bCs w:val="1"/>
                <w:color w:val="auto"/>
              </w:rPr>
              <w:t>$ (11,586)</w:t>
            </w:r>
          </w:p>
        </w:tc>
        <w:tc>
          <w:tcPr>
            <w:tcW w:w="1580" w:type="dxa"/>
            <w:vAlign w:val="bottom"/>
            <w:tcBorders>
              <w:bottom w:val="single" w:sz="8" w:color="auto"/>
            </w:tcBorders>
          </w:tcPr>
          <w:p>
            <w:pPr>
              <w:jc w:val="right"/>
              <w:ind w:right="460"/>
              <w:spacing w:after="0" w:line="183" w:lineRule="exact"/>
              <w:rPr>
                <w:sz w:val="20"/>
                <w:szCs w:val="20"/>
                <w:color w:val="auto"/>
              </w:rPr>
            </w:pPr>
            <w:r>
              <w:rPr>
                <w:rFonts w:ascii="Arial" w:cs="Arial" w:eastAsia="Arial" w:hAnsi="Arial"/>
                <w:sz w:val="16"/>
                <w:szCs w:val="16"/>
                <w:b w:val="1"/>
                <w:bCs w:val="1"/>
                <w:color w:val="auto"/>
              </w:rPr>
              <w:t>$ 62,707</w:t>
            </w:r>
          </w:p>
        </w:tc>
        <w:tc>
          <w:tcPr>
            <w:tcW w:w="0" w:type="dxa"/>
            <w:vAlign w:val="bottom"/>
          </w:tcPr>
          <w:p>
            <w:pPr>
              <w:spacing w:after="0"/>
              <w:rPr>
                <w:sz w:val="1"/>
                <w:szCs w:val="1"/>
                <w:color w:val="auto"/>
              </w:rPr>
            </w:pPr>
          </w:p>
        </w:tc>
      </w:tr>
      <w:tr>
        <w:trPr>
          <w:trHeight w:val="156"/>
        </w:trPr>
        <w:tc>
          <w:tcPr>
            <w:tcW w:w="4880" w:type="dxa"/>
            <w:vAlign w:val="bottom"/>
            <w:gridSpan w:val="2"/>
          </w:tcPr>
          <w:p>
            <w:pPr>
              <w:spacing w:after="0"/>
              <w:rPr>
                <w:sz w:val="13"/>
                <w:szCs w:val="13"/>
                <w:color w:val="auto"/>
              </w:rPr>
            </w:pPr>
          </w:p>
        </w:tc>
        <w:tc>
          <w:tcPr>
            <w:tcW w:w="17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Nine months ended September 30, 2019</w:t>
            </w:r>
          </w:p>
        </w:tc>
        <w:tc>
          <w:tcPr>
            <w:tcW w:w="17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Albany Engineered</w:t>
            </w:r>
          </w:p>
        </w:tc>
        <w:tc>
          <w:tcPr>
            <w:tcW w:w="17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Corporate expenses</w:t>
            </w:r>
          </w:p>
        </w:tc>
        <w:tc>
          <w:tcPr>
            <w:tcW w:w="1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7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Machine Clothing</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Composites</w:t>
            </w:r>
          </w:p>
        </w:tc>
        <w:tc>
          <w:tcPr>
            <w:tcW w:w="17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rPr>
              <w:t>and other</w:t>
            </w:r>
          </w:p>
        </w:tc>
        <w:tc>
          <w:tcPr>
            <w:tcW w:w="15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84"/>
        </w:trPr>
        <w:tc>
          <w:tcPr>
            <w:tcW w:w="4880" w:type="dxa"/>
            <w:vAlign w:val="bottom"/>
            <w:gridSpan w:val="2"/>
          </w:tcPr>
          <w:p>
            <w:pPr>
              <w:spacing w:after="0"/>
              <w:rPr>
                <w:sz w:val="20"/>
                <w:szCs w:val="20"/>
                <w:color w:val="auto"/>
              </w:rPr>
            </w:pPr>
            <w:r>
              <w:rPr>
                <w:rFonts w:ascii="Arial" w:cs="Arial" w:eastAsia="Arial" w:hAnsi="Arial"/>
                <w:sz w:val="16"/>
                <w:szCs w:val="16"/>
                <w:b w:val="1"/>
                <w:bCs w:val="1"/>
                <w:color w:val="auto"/>
              </w:rPr>
              <w:t>Operating income/(loss) (GAAP)</w:t>
            </w:r>
          </w:p>
        </w:tc>
        <w:tc>
          <w:tcPr>
            <w:tcW w:w="1700" w:type="dxa"/>
            <w:vAlign w:val="bottom"/>
          </w:tcPr>
          <w:p>
            <w:pPr>
              <w:jc w:val="right"/>
              <w:ind w:right="320"/>
              <w:spacing w:after="0"/>
              <w:rPr>
                <w:sz w:val="20"/>
                <w:szCs w:val="20"/>
                <w:color w:val="auto"/>
              </w:rPr>
            </w:pPr>
            <w:r>
              <w:rPr>
                <w:rFonts w:ascii="Arial" w:cs="Arial" w:eastAsia="Arial" w:hAnsi="Arial"/>
                <w:sz w:val="16"/>
                <w:szCs w:val="16"/>
                <w:b w:val="1"/>
                <w:bCs w:val="1"/>
                <w:color w:val="auto"/>
              </w:rPr>
              <w:t>$145,688</w:t>
            </w:r>
          </w:p>
        </w:tc>
        <w:tc>
          <w:tcPr>
            <w:tcW w:w="1560" w:type="dxa"/>
            <w:vAlign w:val="bottom"/>
          </w:tcPr>
          <w:p>
            <w:pPr>
              <w:jc w:val="right"/>
              <w:ind w:right="380"/>
              <w:spacing w:after="0"/>
              <w:rPr>
                <w:sz w:val="20"/>
                <w:szCs w:val="20"/>
                <w:color w:val="auto"/>
              </w:rPr>
            </w:pPr>
            <w:r>
              <w:rPr>
                <w:rFonts w:ascii="Arial" w:cs="Arial" w:eastAsia="Arial" w:hAnsi="Arial"/>
                <w:sz w:val="16"/>
                <w:szCs w:val="16"/>
                <w:b w:val="1"/>
                <w:bCs w:val="1"/>
                <w:color w:val="auto"/>
              </w:rPr>
              <w:t>$44,598</w:t>
            </w:r>
          </w:p>
        </w:tc>
        <w:tc>
          <w:tcPr>
            <w:tcW w:w="1700" w:type="dxa"/>
            <w:vAlign w:val="bottom"/>
          </w:tcPr>
          <w:p>
            <w:pPr>
              <w:jc w:val="center"/>
              <w:ind w:right="20"/>
              <w:spacing w:after="0"/>
              <w:rPr>
                <w:sz w:val="20"/>
                <w:szCs w:val="20"/>
                <w:color w:val="auto"/>
              </w:rPr>
            </w:pPr>
            <w:r>
              <w:rPr>
                <w:rFonts w:ascii="Arial" w:cs="Arial" w:eastAsia="Arial" w:hAnsi="Arial"/>
                <w:sz w:val="16"/>
                <w:szCs w:val="16"/>
                <w:b w:val="1"/>
                <w:bCs w:val="1"/>
                <w:color w:val="auto"/>
                <w:w w:val="99"/>
              </w:rPr>
              <w:t>$(40,290)</w:t>
            </w:r>
          </w:p>
        </w:tc>
        <w:tc>
          <w:tcPr>
            <w:tcW w:w="1580" w:type="dxa"/>
            <w:vAlign w:val="bottom"/>
          </w:tcPr>
          <w:p>
            <w:pPr>
              <w:jc w:val="right"/>
              <w:ind w:right="440"/>
              <w:spacing w:after="0"/>
              <w:rPr>
                <w:sz w:val="20"/>
                <w:szCs w:val="20"/>
                <w:color w:val="auto"/>
              </w:rPr>
            </w:pPr>
            <w:r>
              <w:rPr>
                <w:rFonts w:ascii="Arial" w:cs="Arial" w:eastAsia="Arial" w:hAnsi="Arial"/>
                <w:sz w:val="16"/>
                <w:szCs w:val="16"/>
                <w:b w:val="1"/>
                <w:bCs w:val="1"/>
                <w:color w:val="auto"/>
              </w:rPr>
              <w:t>$149,996</w:t>
            </w:r>
          </w:p>
        </w:tc>
        <w:tc>
          <w:tcPr>
            <w:tcW w:w="0" w:type="dxa"/>
            <w:vAlign w:val="bottom"/>
          </w:tcPr>
          <w:p>
            <w:pPr>
              <w:spacing w:after="0"/>
              <w:rPr>
                <w:sz w:val="1"/>
                <w:szCs w:val="1"/>
                <w:color w:val="auto"/>
              </w:rPr>
            </w:pPr>
          </w:p>
        </w:tc>
      </w:tr>
      <w:tr>
        <w:trPr>
          <w:trHeight w:val="169"/>
        </w:trPr>
        <w:tc>
          <w:tcPr>
            <w:tcW w:w="4880" w:type="dxa"/>
            <w:vAlign w:val="bottom"/>
            <w:gridSpan w:val="2"/>
          </w:tcPr>
          <w:p>
            <w:pPr>
              <w:spacing w:after="0" w:line="169" w:lineRule="exact"/>
              <w:rPr>
                <w:sz w:val="20"/>
                <w:szCs w:val="20"/>
                <w:color w:val="auto"/>
              </w:rPr>
            </w:pPr>
            <w:r>
              <w:rPr>
                <w:rFonts w:ascii="Arial" w:cs="Arial" w:eastAsia="Arial" w:hAnsi="Arial"/>
                <w:sz w:val="16"/>
                <w:szCs w:val="16"/>
                <w:color w:val="auto"/>
              </w:rPr>
              <w:t>Interest, taxes, other income/(expense)</w:t>
            </w:r>
          </w:p>
        </w:tc>
        <w:tc>
          <w:tcPr>
            <w:tcW w:w="1700" w:type="dxa"/>
            <w:vAlign w:val="bottom"/>
          </w:tcPr>
          <w:p>
            <w:pPr>
              <w:jc w:val="right"/>
              <w:ind w:right="320"/>
              <w:spacing w:after="0" w:line="169" w:lineRule="exact"/>
              <w:rPr>
                <w:sz w:val="20"/>
                <w:szCs w:val="20"/>
                <w:color w:val="auto"/>
              </w:rPr>
            </w:pPr>
            <w:r>
              <w:rPr>
                <w:rFonts w:ascii="Arial" w:cs="Arial" w:eastAsia="Arial" w:hAnsi="Arial"/>
                <w:sz w:val="16"/>
                <w:szCs w:val="16"/>
                <w:color w:val="auto"/>
              </w:rPr>
              <w:t>—</w:t>
            </w:r>
          </w:p>
        </w:tc>
        <w:tc>
          <w:tcPr>
            <w:tcW w:w="1560" w:type="dxa"/>
            <w:vAlign w:val="bottom"/>
          </w:tcPr>
          <w:p>
            <w:pPr>
              <w:jc w:val="right"/>
              <w:ind w:right="380"/>
              <w:spacing w:after="0" w:line="169" w:lineRule="exact"/>
              <w:rPr>
                <w:sz w:val="20"/>
                <w:szCs w:val="20"/>
                <w:color w:val="auto"/>
              </w:rPr>
            </w:pPr>
            <w:r>
              <w:rPr>
                <w:rFonts w:ascii="Arial" w:cs="Arial" w:eastAsia="Arial" w:hAnsi="Arial"/>
                <w:sz w:val="16"/>
                <w:szCs w:val="16"/>
                <w:color w:val="auto"/>
              </w:rPr>
              <w:t>—</w:t>
            </w:r>
          </w:p>
        </w:tc>
        <w:tc>
          <w:tcPr>
            <w:tcW w:w="1700" w:type="dxa"/>
            <w:vAlign w:val="bottom"/>
          </w:tcPr>
          <w:p>
            <w:pPr>
              <w:jc w:val="right"/>
              <w:ind w:right="440"/>
              <w:spacing w:after="0" w:line="169" w:lineRule="exact"/>
              <w:rPr>
                <w:sz w:val="20"/>
                <w:szCs w:val="20"/>
                <w:color w:val="auto"/>
              </w:rPr>
            </w:pPr>
            <w:r>
              <w:rPr>
                <w:rFonts w:ascii="Arial" w:cs="Arial" w:eastAsia="Arial" w:hAnsi="Arial"/>
                <w:sz w:val="16"/>
                <w:szCs w:val="16"/>
                <w:color w:val="auto"/>
              </w:rPr>
              <w:t>(46,204)</w:t>
            </w:r>
          </w:p>
        </w:tc>
        <w:tc>
          <w:tcPr>
            <w:tcW w:w="1580" w:type="dxa"/>
            <w:vAlign w:val="bottom"/>
          </w:tcPr>
          <w:p>
            <w:pPr>
              <w:jc w:val="right"/>
              <w:ind w:right="380"/>
              <w:spacing w:after="0" w:line="169" w:lineRule="exact"/>
              <w:rPr>
                <w:sz w:val="20"/>
                <w:szCs w:val="20"/>
                <w:color w:val="auto"/>
              </w:rPr>
            </w:pPr>
            <w:r>
              <w:rPr>
                <w:rFonts w:ascii="Arial" w:cs="Arial" w:eastAsia="Arial" w:hAnsi="Arial"/>
                <w:sz w:val="16"/>
                <w:szCs w:val="16"/>
                <w:color w:val="auto"/>
              </w:rPr>
              <w:t>(46,204)</w:t>
            </w:r>
          </w:p>
        </w:tc>
        <w:tc>
          <w:tcPr>
            <w:tcW w:w="0" w:type="dxa"/>
            <w:vAlign w:val="bottom"/>
          </w:tcPr>
          <w:p>
            <w:pPr>
              <w:spacing w:after="0"/>
              <w:rPr>
                <w:sz w:val="1"/>
                <w:szCs w:val="1"/>
                <w:color w:val="auto"/>
              </w:rPr>
            </w:pPr>
          </w:p>
        </w:tc>
      </w:tr>
      <w:tr>
        <w:trPr>
          <w:trHeight w:val="209"/>
        </w:trPr>
        <w:tc>
          <w:tcPr>
            <w:tcW w:w="4880" w:type="dxa"/>
            <w:vAlign w:val="bottom"/>
            <w:gridSpan w:val="2"/>
          </w:tcPr>
          <w:p>
            <w:pPr>
              <w:spacing w:after="0"/>
              <w:rPr>
                <w:sz w:val="20"/>
                <w:szCs w:val="20"/>
                <w:color w:val="auto"/>
              </w:rPr>
            </w:pPr>
            <w:r>
              <w:rPr>
                <w:rFonts w:ascii="Arial" w:cs="Arial" w:eastAsia="Arial" w:hAnsi="Arial"/>
                <w:sz w:val="16"/>
                <w:szCs w:val="16"/>
                <w:b w:val="1"/>
                <w:bCs w:val="1"/>
                <w:color w:val="auto"/>
              </w:rPr>
              <w:t>Net income/(loss) (GAAP)</w:t>
            </w:r>
          </w:p>
        </w:tc>
        <w:tc>
          <w:tcPr>
            <w:tcW w:w="1700" w:type="dxa"/>
            <w:vAlign w:val="bottom"/>
          </w:tcPr>
          <w:p>
            <w:pPr>
              <w:jc w:val="right"/>
              <w:ind w:right="340"/>
              <w:spacing w:after="0"/>
              <w:rPr>
                <w:sz w:val="20"/>
                <w:szCs w:val="20"/>
                <w:color w:val="auto"/>
              </w:rPr>
            </w:pPr>
            <w:r>
              <w:rPr>
                <w:rFonts w:ascii="Arial" w:cs="Arial" w:eastAsia="Arial" w:hAnsi="Arial"/>
                <w:sz w:val="16"/>
                <w:szCs w:val="16"/>
                <w:b w:val="1"/>
                <w:bCs w:val="1"/>
                <w:color w:val="auto"/>
              </w:rPr>
              <w:t>145,688</w:t>
            </w:r>
          </w:p>
        </w:tc>
        <w:tc>
          <w:tcPr>
            <w:tcW w:w="1560" w:type="dxa"/>
            <w:vAlign w:val="bottom"/>
          </w:tcPr>
          <w:p>
            <w:pPr>
              <w:jc w:val="right"/>
              <w:ind w:right="380"/>
              <w:spacing w:after="0"/>
              <w:rPr>
                <w:sz w:val="20"/>
                <w:szCs w:val="20"/>
                <w:color w:val="auto"/>
              </w:rPr>
            </w:pPr>
            <w:r>
              <w:rPr>
                <w:rFonts w:ascii="Arial" w:cs="Arial" w:eastAsia="Arial" w:hAnsi="Arial"/>
                <w:sz w:val="16"/>
                <w:szCs w:val="16"/>
                <w:b w:val="1"/>
                <w:bCs w:val="1"/>
                <w:color w:val="auto"/>
              </w:rPr>
              <w:t>44,598</w:t>
            </w:r>
          </w:p>
        </w:tc>
        <w:tc>
          <w:tcPr>
            <w:tcW w:w="1700" w:type="dxa"/>
            <w:vAlign w:val="bottom"/>
          </w:tcPr>
          <w:p>
            <w:pPr>
              <w:jc w:val="right"/>
              <w:ind w:right="440"/>
              <w:spacing w:after="0"/>
              <w:rPr>
                <w:sz w:val="20"/>
                <w:szCs w:val="20"/>
                <w:color w:val="auto"/>
              </w:rPr>
            </w:pPr>
            <w:r>
              <w:rPr>
                <w:rFonts w:ascii="Arial" w:cs="Arial" w:eastAsia="Arial" w:hAnsi="Arial"/>
                <w:sz w:val="16"/>
                <w:szCs w:val="16"/>
                <w:b w:val="1"/>
                <w:bCs w:val="1"/>
                <w:color w:val="auto"/>
              </w:rPr>
              <w:t>(86,494)</w:t>
            </w:r>
          </w:p>
        </w:tc>
        <w:tc>
          <w:tcPr>
            <w:tcW w:w="1580" w:type="dxa"/>
            <w:vAlign w:val="bottom"/>
          </w:tcPr>
          <w:p>
            <w:pPr>
              <w:jc w:val="right"/>
              <w:ind w:right="440"/>
              <w:spacing w:after="0"/>
              <w:rPr>
                <w:sz w:val="20"/>
                <w:szCs w:val="20"/>
                <w:color w:val="auto"/>
              </w:rPr>
            </w:pPr>
            <w:r>
              <w:rPr>
                <w:rFonts w:ascii="Arial" w:cs="Arial" w:eastAsia="Arial" w:hAnsi="Arial"/>
                <w:sz w:val="16"/>
                <w:szCs w:val="16"/>
                <w:b w:val="1"/>
                <w:bCs w:val="1"/>
                <w:color w:val="auto"/>
              </w:rPr>
              <w:t>103,792</w:t>
            </w:r>
          </w:p>
        </w:tc>
        <w:tc>
          <w:tcPr>
            <w:tcW w:w="0" w:type="dxa"/>
            <w:vAlign w:val="bottom"/>
          </w:tcPr>
          <w:p>
            <w:pPr>
              <w:spacing w:after="0"/>
              <w:rPr>
                <w:sz w:val="1"/>
                <w:szCs w:val="1"/>
                <w:color w:val="auto"/>
              </w:rPr>
            </w:pPr>
          </w:p>
        </w:tc>
      </w:tr>
      <w:tr>
        <w:trPr>
          <w:trHeight w:val="189"/>
        </w:trPr>
        <w:tc>
          <w:tcPr>
            <w:tcW w:w="4880" w:type="dxa"/>
            <w:vAlign w:val="bottom"/>
            <w:gridSpan w:val="2"/>
          </w:tcPr>
          <w:p>
            <w:pPr>
              <w:spacing w:after="0"/>
              <w:rPr>
                <w:sz w:val="20"/>
                <w:szCs w:val="20"/>
                <w:color w:val="auto"/>
              </w:rPr>
            </w:pPr>
            <w:r>
              <w:rPr>
                <w:rFonts w:ascii="Arial" w:cs="Arial" w:eastAsia="Arial" w:hAnsi="Arial"/>
                <w:sz w:val="16"/>
                <w:szCs w:val="16"/>
                <w:color w:val="auto"/>
              </w:rPr>
              <w:t>Interest expense, net</w:t>
            </w:r>
          </w:p>
        </w:tc>
        <w:tc>
          <w:tcPr>
            <w:tcW w:w="170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500"/>
              <w:spacing w:after="0"/>
              <w:rPr>
                <w:sz w:val="20"/>
                <w:szCs w:val="20"/>
                <w:color w:val="auto"/>
              </w:rPr>
            </w:pPr>
            <w:r>
              <w:rPr>
                <w:rFonts w:ascii="Arial" w:cs="Arial" w:eastAsia="Arial" w:hAnsi="Arial"/>
                <w:sz w:val="16"/>
                <w:szCs w:val="16"/>
                <w:color w:val="auto"/>
              </w:rPr>
              <w:t>13,035</w:t>
            </w:r>
          </w:p>
        </w:tc>
        <w:tc>
          <w:tcPr>
            <w:tcW w:w="1580" w:type="dxa"/>
            <w:vAlign w:val="bottom"/>
          </w:tcPr>
          <w:p>
            <w:pPr>
              <w:jc w:val="right"/>
              <w:ind w:right="440"/>
              <w:spacing w:after="0"/>
              <w:rPr>
                <w:sz w:val="20"/>
                <w:szCs w:val="20"/>
                <w:color w:val="auto"/>
              </w:rPr>
            </w:pPr>
            <w:r>
              <w:rPr>
                <w:rFonts w:ascii="Arial" w:cs="Arial" w:eastAsia="Arial" w:hAnsi="Arial"/>
                <w:sz w:val="16"/>
                <w:szCs w:val="16"/>
                <w:color w:val="auto"/>
              </w:rPr>
              <w:t>13,035</w:t>
            </w:r>
          </w:p>
        </w:tc>
        <w:tc>
          <w:tcPr>
            <w:tcW w:w="0" w:type="dxa"/>
            <w:vAlign w:val="bottom"/>
          </w:tcPr>
          <w:p>
            <w:pPr>
              <w:spacing w:after="0"/>
              <w:rPr>
                <w:sz w:val="1"/>
                <w:szCs w:val="1"/>
                <w:color w:val="auto"/>
              </w:rPr>
            </w:pPr>
          </w:p>
        </w:tc>
      </w:tr>
      <w:tr>
        <w:trPr>
          <w:trHeight w:val="189"/>
        </w:trPr>
        <w:tc>
          <w:tcPr>
            <w:tcW w:w="4880" w:type="dxa"/>
            <w:vAlign w:val="bottom"/>
            <w:gridSpan w:val="2"/>
          </w:tcPr>
          <w:p>
            <w:pPr>
              <w:spacing w:after="0"/>
              <w:rPr>
                <w:sz w:val="20"/>
                <w:szCs w:val="20"/>
                <w:color w:val="auto"/>
              </w:rPr>
            </w:pPr>
            <w:r>
              <w:rPr>
                <w:rFonts w:ascii="Arial" w:cs="Arial" w:eastAsia="Arial" w:hAnsi="Arial"/>
                <w:sz w:val="16"/>
                <w:szCs w:val="16"/>
                <w:color w:val="auto"/>
              </w:rPr>
              <w:t>Income tax expense</w:t>
            </w:r>
          </w:p>
        </w:tc>
        <w:tc>
          <w:tcPr>
            <w:tcW w:w="170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500"/>
              <w:spacing w:after="0"/>
              <w:rPr>
                <w:sz w:val="20"/>
                <w:szCs w:val="20"/>
                <w:color w:val="auto"/>
              </w:rPr>
            </w:pPr>
            <w:r>
              <w:rPr>
                <w:rFonts w:ascii="Arial" w:cs="Arial" w:eastAsia="Arial" w:hAnsi="Arial"/>
                <w:sz w:val="16"/>
                <w:szCs w:val="16"/>
                <w:color w:val="auto"/>
              </w:rPr>
              <w:t>35,075</w:t>
            </w:r>
          </w:p>
        </w:tc>
        <w:tc>
          <w:tcPr>
            <w:tcW w:w="1580" w:type="dxa"/>
            <w:vAlign w:val="bottom"/>
          </w:tcPr>
          <w:p>
            <w:pPr>
              <w:jc w:val="right"/>
              <w:ind w:right="440"/>
              <w:spacing w:after="0"/>
              <w:rPr>
                <w:sz w:val="20"/>
                <w:szCs w:val="20"/>
                <w:color w:val="auto"/>
              </w:rPr>
            </w:pPr>
            <w:r>
              <w:rPr>
                <w:rFonts w:ascii="Arial" w:cs="Arial" w:eastAsia="Arial" w:hAnsi="Arial"/>
                <w:sz w:val="16"/>
                <w:szCs w:val="16"/>
                <w:color w:val="auto"/>
              </w:rPr>
              <w:t>35,075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8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Depreciation and amortization expense</w:t>
            </w:r>
          </w:p>
        </w:tc>
        <w:tc>
          <w:tcPr>
            <w:tcW w:w="17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16,674</w:t>
            </w:r>
          </w:p>
        </w:tc>
        <w:tc>
          <w:tcPr>
            <w:tcW w:w="15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33,059</w:t>
            </w:r>
          </w:p>
        </w:tc>
        <w:tc>
          <w:tcPr>
            <w:tcW w:w="17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3,231</w:t>
            </w:r>
          </w:p>
        </w:tc>
        <w:tc>
          <w:tcPr>
            <w:tcW w:w="158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52,964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860" w:type="dxa"/>
            <w:vAlign w:val="bottom"/>
          </w:tcPr>
          <w:p>
            <w:pPr>
              <w:spacing w:after="0"/>
              <w:rPr>
                <w:sz w:val="20"/>
                <w:szCs w:val="20"/>
                <w:color w:val="auto"/>
              </w:rPr>
            </w:pPr>
            <w:r>
              <w:rPr>
                <w:rFonts w:ascii="Arial" w:cs="Arial" w:eastAsia="Arial" w:hAnsi="Arial"/>
                <w:sz w:val="16"/>
                <w:szCs w:val="16"/>
                <w:b w:val="1"/>
                <w:bCs w:val="1"/>
                <w:color w:val="auto"/>
              </w:rPr>
              <w:t>EBITDA (non-GAAP)</w:t>
            </w:r>
          </w:p>
        </w:tc>
        <w:tc>
          <w:tcPr>
            <w:tcW w:w="1700" w:type="dxa"/>
            <w:vAlign w:val="bottom"/>
          </w:tcPr>
          <w:p>
            <w:pPr>
              <w:jc w:val="right"/>
              <w:ind w:right="340"/>
              <w:spacing w:after="0"/>
              <w:rPr>
                <w:sz w:val="20"/>
                <w:szCs w:val="20"/>
                <w:color w:val="auto"/>
              </w:rPr>
            </w:pPr>
            <w:r>
              <w:rPr>
                <w:rFonts w:ascii="Arial" w:cs="Arial" w:eastAsia="Arial" w:hAnsi="Arial"/>
                <w:sz w:val="16"/>
                <w:szCs w:val="16"/>
                <w:b w:val="1"/>
                <w:bCs w:val="1"/>
                <w:color w:val="auto"/>
              </w:rPr>
              <w:t>162,362</w:t>
            </w:r>
          </w:p>
        </w:tc>
        <w:tc>
          <w:tcPr>
            <w:tcW w:w="1560" w:type="dxa"/>
            <w:vAlign w:val="bottom"/>
          </w:tcPr>
          <w:p>
            <w:pPr>
              <w:jc w:val="right"/>
              <w:ind w:right="380"/>
              <w:spacing w:after="0"/>
              <w:rPr>
                <w:sz w:val="20"/>
                <w:szCs w:val="20"/>
                <w:color w:val="auto"/>
              </w:rPr>
            </w:pPr>
            <w:r>
              <w:rPr>
                <w:rFonts w:ascii="Arial" w:cs="Arial" w:eastAsia="Arial" w:hAnsi="Arial"/>
                <w:sz w:val="16"/>
                <w:szCs w:val="16"/>
                <w:b w:val="1"/>
                <w:bCs w:val="1"/>
                <w:color w:val="auto"/>
              </w:rPr>
              <w:t>77,657</w:t>
            </w:r>
          </w:p>
        </w:tc>
        <w:tc>
          <w:tcPr>
            <w:tcW w:w="1700" w:type="dxa"/>
            <w:vAlign w:val="bottom"/>
          </w:tcPr>
          <w:p>
            <w:pPr>
              <w:jc w:val="right"/>
              <w:ind w:right="440"/>
              <w:spacing w:after="0"/>
              <w:rPr>
                <w:sz w:val="20"/>
                <w:szCs w:val="20"/>
                <w:color w:val="auto"/>
              </w:rPr>
            </w:pPr>
            <w:r>
              <w:rPr>
                <w:rFonts w:ascii="Arial" w:cs="Arial" w:eastAsia="Arial" w:hAnsi="Arial"/>
                <w:sz w:val="16"/>
                <w:szCs w:val="16"/>
                <w:b w:val="1"/>
                <w:bCs w:val="1"/>
                <w:color w:val="auto"/>
              </w:rPr>
              <w:t>(35,153)</w:t>
            </w:r>
          </w:p>
        </w:tc>
        <w:tc>
          <w:tcPr>
            <w:tcW w:w="1580" w:type="dxa"/>
            <w:vAlign w:val="bottom"/>
          </w:tcPr>
          <w:p>
            <w:pPr>
              <w:jc w:val="right"/>
              <w:ind w:right="440"/>
              <w:spacing w:after="0"/>
              <w:rPr>
                <w:sz w:val="20"/>
                <w:szCs w:val="20"/>
                <w:color w:val="auto"/>
              </w:rPr>
            </w:pPr>
            <w:r>
              <w:rPr>
                <w:rFonts w:ascii="Arial" w:cs="Arial" w:eastAsia="Arial" w:hAnsi="Arial"/>
                <w:sz w:val="16"/>
                <w:szCs w:val="16"/>
                <w:b w:val="1"/>
                <w:bCs w:val="1"/>
                <w:color w:val="auto"/>
              </w:rPr>
              <w:t>204,866</w:t>
            </w:r>
          </w:p>
        </w:tc>
        <w:tc>
          <w:tcPr>
            <w:tcW w:w="0" w:type="dxa"/>
            <w:vAlign w:val="bottom"/>
          </w:tcPr>
          <w:p>
            <w:pPr>
              <w:spacing w:after="0"/>
              <w:rPr>
                <w:sz w:val="1"/>
                <w:szCs w:val="1"/>
                <w:color w:val="auto"/>
              </w:rPr>
            </w:pPr>
          </w:p>
        </w:tc>
      </w:tr>
      <w:tr>
        <w:trPr>
          <w:trHeight w:val="189"/>
        </w:trPr>
        <w:tc>
          <w:tcPr>
            <w:tcW w:w="4880" w:type="dxa"/>
            <w:vAlign w:val="bottom"/>
            <w:gridSpan w:val="2"/>
          </w:tcPr>
          <w:p>
            <w:pPr>
              <w:spacing w:after="0"/>
              <w:rPr>
                <w:sz w:val="20"/>
                <w:szCs w:val="20"/>
                <w:color w:val="auto"/>
              </w:rPr>
            </w:pPr>
            <w:r>
              <w:rPr>
                <w:rFonts w:ascii="Arial" w:cs="Arial" w:eastAsia="Arial" w:hAnsi="Arial"/>
                <w:sz w:val="16"/>
                <w:szCs w:val="16"/>
                <w:color w:val="auto"/>
              </w:rPr>
              <w:t>Restructuring expenses, net</w:t>
            </w:r>
          </w:p>
        </w:tc>
        <w:tc>
          <w:tcPr>
            <w:tcW w:w="1700" w:type="dxa"/>
            <w:vAlign w:val="bottom"/>
          </w:tcPr>
          <w:p>
            <w:pPr>
              <w:jc w:val="right"/>
              <w:ind w:right="320"/>
              <w:spacing w:after="0"/>
              <w:rPr>
                <w:sz w:val="20"/>
                <w:szCs w:val="20"/>
                <w:color w:val="auto"/>
              </w:rPr>
            </w:pPr>
            <w:r>
              <w:rPr>
                <w:rFonts w:ascii="Arial" w:cs="Arial" w:eastAsia="Arial" w:hAnsi="Arial"/>
                <w:sz w:val="16"/>
                <w:szCs w:val="16"/>
                <w:color w:val="auto"/>
              </w:rPr>
              <w:t>1,125</w:t>
            </w:r>
          </w:p>
        </w:tc>
        <w:tc>
          <w:tcPr>
            <w:tcW w:w="1560" w:type="dxa"/>
            <w:vAlign w:val="bottom"/>
          </w:tcPr>
          <w:p>
            <w:pPr>
              <w:jc w:val="right"/>
              <w:ind w:right="380"/>
              <w:spacing w:after="0"/>
              <w:rPr>
                <w:sz w:val="20"/>
                <w:szCs w:val="20"/>
                <w:color w:val="auto"/>
              </w:rPr>
            </w:pPr>
            <w:r>
              <w:rPr>
                <w:rFonts w:ascii="Arial" w:cs="Arial" w:eastAsia="Arial" w:hAnsi="Arial"/>
                <w:sz w:val="16"/>
                <w:szCs w:val="16"/>
                <w:color w:val="auto"/>
              </w:rPr>
              <w:t>18</w:t>
            </w:r>
          </w:p>
        </w:tc>
        <w:tc>
          <w:tcPr>
            <w:tcW w:w="1700" w:type="dxa"/>
            <w:vAlign w:val="bottom"/>
          </w:tcPr>
          <w:p>
            <w:pPr>
              <w:jc w:val="right"/>
              <w:ind w:right="440"/>
              <w:spacing w:after="0"/>
              <w:rPr>
                <w:sz w:val="20"/>
                <w:szCs w:val="20"/>
                <w:color w:val="auto"/>
              </w:rPr>
            </w:pPr>
            <w:r>
              <w:rPr>
                <w:rFonts w:ascii="Arial" w:cs="Arial" w:eastAsia="Arial" w:hAnsi="Arial"/>
                <w:sz w:val="16"/>
                <w:szCs w:val="16"/>
                <w:color w:val="auto"/>
              </w:rPr>
              <w:t>(4)</w:t>
            </w:r>
          </w:p>
        </w:tc>
        <w:tc>
          <w:tcPr>
            <w:tcW w:w="1580" w:type="dxa"/>
            <w:vAlign w:val="bottom"/>
          </w:tcPr>
          <w:p>
            <w:pPr>
              <w:jc w:val="right"/>
              <w:ind w:right="440"/>
              <w:spacing w:after="0"/>
              <w:rPr>
                <w:sz w:val="20"/>
                <w:szCs w:val="20"/>
                <w:color w:val="auto"/>
              </w:rPr>
            </w:pPr>
            <w:r>
              <w:rPr>
                <w:rFonts w:ascii="Arial" w:cs="Arial" w:eastAsia="Arial" w:hAnsi="Arial"/>
                <w:sz w:val="16"/>
                <w:szCs w:val="16"/>
                <w:color w:val="auto"/>
              </w:rPr>
              <w:t>1,139</w:t>
            </w:r>
          </w:p>
        </w:tc>
        <w:tc>
          <w:tcPr>
            <w:tcW w:w="0" w:type="dxa"/>
            <w:vAlign w:val="bottom"/>
          </w:tcPr>
          <w:p>
            <w:pPr>
              <w:spacing w:after="0"/>
              <w:rPr>
                <w:sz w:val="1"/>
                <w:szCs w:val="1"/>
                <w:color w:val="auto"/>
              </w:rPr>
            </w:pPr>
          </w:p>
        </w:tc>
      </w:tr>
      <w:tr>
        <w:trPr>
          <w:trHeight w:val="189"/>
        </w:trPr>
        <w:tc>
          <w:tcPr>
            <w:tcW w:w="4880" w:type="dxa"/>
            <w:vAlign w:val="bottom"/>
            <w:gridSpan w:val="2"/>
          </w:tcPr>
          <w:p>
            <w:pPr>
              <w:spacing w:after="0"/>
              <w:rPr>
                <w:sz w:val="20"/>
                <w:szCs w:val="20"/>
                <w:color w:val="auto"/>
              </w:rPr>
            </w:pPr>
            <w:r>
              <w:rPr>
                <w:rFonts w:ascii="Arial" w:cs="Arial" w:eastAsia="Arial" w:hAnsi="Arial"/>
                <w:sz w:val="16"/>
                <w:szCs w:val="16"/>
                <w:color w:val="auto"/>
              </w:rPr>
              <w:t>Foreign currency revaluation (gains)/losses</w:t>
            </w:r>
          </w:p>
        </w:tc>
        <w:tc>
          <w:tcPr>
            <w:tcW w:w="1700" w:type="dxa"/>
            <w:vAlign w:val="bottom"/>
          </w:tcPr>
          <w:p>
            <w:pPr>
              <w:jc w:val="right"/>
              <w:ind w:right="280"/>
              <w:spacing w:after="0"/>
              <w:rPr>
                <w:sz w:val="20"/>
                <w:szCs w:val="20"/>
                <w:color w:val="auto"/>
              </w:rPr>
            </w:pPr>
            <w:r>
              <w:rPr>
                <w:rFonts w:ascii="Arial" w:cs="Arial" w:eastAsia="Arial" w:hAnsi="Arial"/>
                <w:sz w:val="16"/>
                <w:szCs w:val="16"/>
                <w:color w:val="auto"/>
              </w:rPr>
              <w:t>(734)</w:t>
            </w:r>
          </w:p>
        </w:tc>
        <w:tc>
          <w:tcPr>
            <w:tcW w:w="1560" w:type="dxa"/>
            <w:vAlign w:val="bottom"/>
          </w:tcPr>
          <w:p>
            <w:pPr>
              <w:jc w:val="right"/>
              <w:ind w:right="380"/>
              <w:spacing w:after="0"/>
              <w:rPr>
                <w:sz w:val="20"/>
                <w:szCs w:val="20"/>
                <w:color w:val="auto"/>
              </w:rPr>
            </w:pPr>
            <w:r>
              <w:rPr>
                <w:rFonts w:ascii="Arial" w:cs="Arial" w:eastAsia="Arial" w:hAnsi="Arial"/>
                <w:sz w:val="16"/>
                <w:szCs w:val="16"/>
                <w:color w:val="auto"/>
              </w:rPr>
              <w:t>655</w:t>
            </w:r>
          </w:p>
        </w:tc>
        <w:tc>
          <w:tcPr>
            <w:tcW w:w="1700" w:type="dxa"/>
            <w:vAlign w:val="bottom"/>
          </w:tcPr>
          <w:p>
            <w:pPr>
              <w:jc w:val="right"/>
              <w:ind w:right="440"/>
              <w:spacing w:after="0"/>
              <w:rPr>
                <w:sz w:val="20"/>
                <w:szCs w:val="20"/>
                <w:color w:val="auto"/>
              </w:rPr>
            </w:pPr>
            <w:r>
              <w:rPr>
                <w:rFonts w:ascii="Arial" w:cs="Arial" w:eastAsia="Arial" w:hAnsi="Arial"/>
                <w:sz w:val="16"/>
                <w:szCs w:val="16"/>
                <w:color w:val="auto"/>
              </w:rPr>
              <w:t>(3,716)</w:t>
            </w:r>
          </w:p>
        </w:tc>
        <w:tc>
          <w:tcPr>
            <w:tcW w:w="1580" w:type="dxa"/>
            <w:vAlign w:val="bottom"/>
          </w:tcPr>
          <w:p>
            <w:pPr>
              <w:jc w:val="right"/>
              <w:ind w:right="380"/>
              <w:spacing w:after="0"/>
              <w:rPr>
                <w:sz w:val="20"/>
                <w:szCs w:val="20"/>
                <w:color w:val="auto"/>
              </w:rPr>
            </w:pPr>
            <w:r>
              <w:rPr>
                <w:rFonts w:ascii="Arial" w:cs="Arial" w:eastAsia="Arial" w:hAnsi="Arial"/>
                <w:sz w:val="16"/>
                <w:szCs w:val="16"/>
                <w:color w:val="auto"/>
              </w:rPr>
              <w:t>(3,795)</w:t>
            </w:r>
          </w:p>
        </w:tc>
        <w:tc>
          <w:tcPr>
            <w:tcW w:w="0" w:type="dxa"/>
            <w:vAlign w:val="bottom"/>
          </w:tcPr>
          <w:p>
            <w:pPr>
              <w:spacing w:after="0"/>
              <w:rPr>
                <w:sz w:val="1"/>
                <w:szCs w:val="1"/>
                <w:color w:val="auto"/>
              </w:rPr>
            </w:pPr>
          </w:p>
        </w:tc>
      </w:tr>
      <w:tr>
        <w:trPr>
          <w:trHeight w:val="187"/>
        </w:trPr>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Pretax income attributable to the noncontrolling interest in ASC</w:t>
            </w:r>
          </w:p>
        </w:tc>
        <w:tc>
          <w:tcPr>
            <w:tcW w:w="17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(722)</w:t>
            </w:r>
          </w:p>
        </w:tc>
        <w:tc>
          <w:tcPr>
            <w:tcW w:w="17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6"/>
                <w:szCs w:val="16"/>
                <w:b w:val="1"/>
                <w:bCs w:val="1"/>
                <w:color w:val="auto"/>
              </w:rPr>
              <w:t>Adjusted EBITDA (non-GAAP)</w:t>
            </w:r>
          </w:p>
        </w:tc>
        <w:tc>
          <w:tcPr>
            <w:tcW w:w="1700" w:type="dxa"/>
            <w:vAlign w:val="bottom"/>
            <w:tcBorders>
              <w:bottom w:val="single" w:sz="8" w:color="auto"/>
            </w:tcBorders>
          </w:tcPr>
          <w:p>
            <w:pPr>
              <w:jc w:val="right"/>
              <w:ind w:right="320"/>
              <w:spacing w:after="0" w:line="183" w:lineRule="exact"/>
              <w:rPr>
                <w:sz w:val="20"/>
                <w:szCs w:val="20"/>
                <w:color w:val="auto"/>
              </w:rPr>
            </w:pPr>
            <w:r>
              <w:rPr>
                <w:rFonts w:ascii="Arial" w:cs="Arial" w:eastAsia="Arial" w:hAnsi="Arial"/>
                <w:sz w:val="16"/>
                <w:szCs w:val="16"/>
                <w:b w:val="1"/>
                <w:bCs w:val="1"/>
                <w:color w:val="auto"/>
              </w:rPr>
              <w:t>$162,753</w:t>
            </w:r>
          </w:p>
        </w:tc>
        <w:tc>
          <w:tcPr>
            <w:tcW w:w="1560" w:type="dxa"/>
            <w:vAlign w:val="bottom"/>
            <w:tcBorders>
              <w:bottom w:val="single" w:sz="8" w:color="auto"/>
            </w:tcBorders>
          </w:tcPr>
          <w:p>
            <w:pPr>
              <w:jc w:val="right"/>
              <w:ind w:right="380"/>
              <w:spacing w:after="0" w:line="183" w:lineRule="exact"/>
              <w:rPr>
                <w:sz w:val="20"/>
                <w:szCs w:val="20"/>
                <w:color w:val="auto"/>
              </w:rPr>
            </w:pPr>
            <w:r>
              <w:rPr>
                <w:rFonts w:ascii="Arial" w:cs="Arial" w:eastAsia="Arial" w:hAnsi="Arial"/>
                <w:sz w:val="16"/>
                <w:szCs w:val="16"/>
                <w:b w:val="1"/>
                <w:bCs w:val="1"/>
                <w:color w:val="auto"/>
              </w:rPr>
              <w:t>$77,608</w:t>
            </w:r>
          </w:p>
        </w:tc>
        <w:tc>
          <w:tcPr>
            <w:tcW w:w="1700" w:type="dxa"/>
            <w:vAlign w:val="bottom"/>
            <w:tcBorders>
              <w:bottom w:val="single" w:sz="8" w:color="auto"/>
            </w:tcBorders>
          </w:tcPr>
          <w:p>
            <w:pPr>
              <w:jc w:val="center"/>
              <w:ind w:right="20"/>
              <w:spacing w:after="0" w:line="183" w:lineRule="exact"/>
              <w:rPr>
                <w:sz w:val="20"/>
                <w:szCs w:val="20"/>
                <w:color w:val="auto"/>
              </w:rPr>
            </w:pPr>
            <w:r>
              <w:rPr>
                <w:rFonts w:ascii="Arial" w:cs="Arial" w:eastAsia="Arial" w:hAnsi="Arial"/>
                <w:sz w:val="16"/>
                <w:szCs w:val="16"/>
                <w:b w:val="1"/>
                <w:bCs w:val="1"/>
                <w:color w:val="auto"/>
                <w:w w:val="99"/>
              </w:rPr>
              <w:t>$(38,873)</w:t>
            </w:r>
          </w:p>
        </w:tc>
        <w:tc>
          <w:tcPr>
            <w:tcW w:w="1580" w:type="dxa"/>
            <w:vAlign w:val="bottom"/>
            <w:tcBorders>
              <w:bottom w:val="single" w:sz="8" w:color="auto"/>
            </w:tcBorders>
          </w:tcPr>
          <w:p>
            <w:pPr>
              <w:jc w:val="right"/>
              <w:ind w:right="440"/>
              <w:spacing w:after="0" w:line="183" w:lineRule="exact"/>
              <w:rPr>
                <w:sz w:val="20"/>
                <w:szCs w:val="20"/>
                <w:color w:val="auto"/>
              </w:rPr>
            </w:pPr>
            <w:r>
              <w:rPr>
                <w:rFonts w:ascii="Arial" w:cs="Arial" w:eastAsia="Arial" w:hAnsi="Arial"/>
                <w:sz w:val="16"/>
                <w:szCs w:val="16"/>
                <w:b w:val="1"/>
                <w:bCs w:val="1"/>
                <w:color w:val="auto"/>
              </w:rPr>
              <w:t>$201,488</w:t>
            </w:r>
          </w:p>
        </w:tc>
        <w:tc>
          <w:tcPr>
            <w:tcW w:w="0" w:type="dxa"/>
            <w:vAlign w:val="bottom"/>
          </w:tcPr>
          <w:p>
            <w:pPr>
              <w:spacing w:after="0"/>
              <w:rPr>
                <w:sz w:val="1"/>
                <w:szCs w:val="1"/>
                <w:color w:val="auto"/>
              </w:rPr>
            </w:pPr>
          </w:p>
        </w:tc>
      </w:tr>
      <w:tr>
        <w:trPr>
          <w:trHeight w:val="156"/>
        </w:trPr>
        <w:tc>
          <w:tcPr>
            <w:tcW w:w="4880" w:type="dxa"/>
            <w:vAlign w:val="bottom"/>
            <w:gridSpan w:val="2"/>
          </w:tcPr>
          <w:p>
            <w:pPr>
              <w:spacing w:after="0"/>
              <w:rPr>
                <w:sz w:val="13"/>
                <w:szCs w:val="13"/>
                <w:color w:val="auto"/>
              </w:rPr>
            </w:pPr>
          </w:p>
        </w:tc>
        <w:tc>
          <w:tcPr>
            <w:tcW w:w="17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Nine months ended September 30, 2018</w:t>
            </w:r>
          </w:p>
        </w:tc>
        <w:tc>
          <w:tcPr>
            <w:tcW w:w="17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Albany Engineered</w:t>
            </w:r>
          </w:p>
        </w:tc>
        <w:tc>
          <w:tcPr>
            <w:tcW w:w="17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Corporate expenses</w:t>
            </w:r>
          </w:p>
        </w:tc>
        <w:tc>
          <w:tcPr>
            <w:tcW w:w="1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7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Machine Clothing</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Composites</w:t>
            </w:r>
          </w:p>
        </w:tc>
        <w:tc>
          <w:tcPr>
            <w:tcW w:w="17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rPr>
              <w:t>and other</w:t>
            </w:r>
          </w:p>
        </w:tc>
        <w:tc>
          <w:tcPr>
            <w:tcW w:w="15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84"/>
        </w:trPr>
        <w:tc>
          <w:tcPr>
            <w:tcW w:w="4880" w:type="dxa"/>
            <w:vAlign w:val="bottom"/>
            <w:gridSpan w:val="2"/>
          </w:tcPr>
          <w:p>
            <w:pPr>
              <w:spacing w:after="0"/>
              <w:rPr>
                <w:sz w:val="20"/>
                <w:szCs w:val="20"/>
                <w:color w:val="auto"/>
              </w:rPr>
            </w:pPr>
            <w:r>
              <w:rPr>
                <w:rFonts w:ascii="Arial" w:cs="Arial" w:eastAsia="Arial" w:hAnsi="Arial"/>
                <w:sz w:val="16"/>
                <w:szCs w:val="16"/>
                <w:b w:val="1"/>
                <w:bCs w:val="1"/>
                <w:color w:val="auto"/>
              </w:rPr>
              <w:t>Operating income/(loss) (GAAP)</w:t>
            </w:r>
          </w:p>
        </w:tc>
        <w:tc>
          <w:tcPr>
            <w:tcW w:w="1700" w:type="dxa"/>
            <w:vAlign w:val="bottom"/>
          </w:tcPr>
          <w:p>
            <w:pPr>
              <w:jc w:val="right"/>
              <w:ind w:right="320"/>
              <w:spacing w:after="0"/>
              <w:rPr>
                <w:sz w:val="20"/>
                <w:szCs w:val="20"/>
                <w:color w:val="auto"/>
              </w:rPr>
            </w:pPr>
            <w:r>
              <w:rPr>
                <w:rFonts w:ascii="Arial" w:cs="Arial" w:eastAsia="Arial" w:hAnsi="Arial"/>
                <w:sz w:val="16"/>
                <w:szCs w:val="16"/>
                <w:b w:val="1"/>
                <w:bCs w:val="1"/>
                <w:color w:val="auto"/>
              </w:rPr>
              <w:t>$126,952</w:t>
            </w:r>
          </w:p>
        </w:tc>
        <w:tc>
          <w:tcPr>
            <w:tcW w:w="1560" w:type="dxa"/>
            <w:vAlign w:val="bottom"/>
          </w:tcPr>
          <w:p>
            <w:pPr>
              <w:jc w:val="right"/>
              <w:ind w:right="380"/>
              <w:spacing w:after="0"/>
              <w:rPr>
                <w:sz w:val="20"/>
                <w:szCs w:val="20"/>
                <w:color w:val="auto"/>
              </w:rPr>
            </w:pPr>
            <w:r>
              <w:rPr>
                <w:rFonts w:ascii="Arial" w:cs="Arial" w:eastAsia="Arial" w:hAnsi="Arial"/>
                <w:sz w:val="16"/>
                <w:szCs w:val="16"/>
                <w:b w:val="1"/>
                <w:bCs w:val="1"/>
                <w:color w:val="auto"/>
              </w:rPr>
              <w:t>$ 9,980</w:t>
            </w:r>
          </w:p>
        </w:tc>
        <w:tc>
          <w:tcPr>
            <w:tcW w:w="1700" w:type="dxa"/>
            <w:vAlign w:val="bottom"/>
          </w:tcPr>
          <w:p>
            <w:pPr>
              <w:jc w:val="center"/>
              <w:ind w:right="20"/>
              <w:spacing w:after="0"/>
              <w:rPr>
                <w:sz w:val="20"/>
                <w:szCs w:val="20"/>
                <w:color w:val="auto"/>
              </w:rPr>
            </w:pPr>
            <w:r>
              <w:rPr>
                <w:rFonts w:ascii="Arial" w:cs="Arial" w:eastAsia="Arial" w:hAnsi="Arial"/>
                <w:sz w:val="16"/>
                <w:szCs w:val="16"/>
                <w:b w:val="1"/>
                <w:bCs w:val="1"/>
                <w:color w:val="auto"/>
                <w:w w:val="99"/>
              </w:rPr>
              <w:t>$(36,938)</w:t>
            </w:r>
          </w:p>
        </w:tc>
        <w:tc>
          <w:tcPr>
            <w:tcW w:w="1580" w:type="dxa"/>
            <w:vAlign w:val="bottom"/>
          </w:tcPr>
          <w:p>
            <w:pPr>
              <w:jc w:val="right"/>
              <w:ind w:right="440"/>
              <w:spacing w:after="0"/>
              <w:rPr>
                <w:sz w:val="20"/>
                <w:szCs w:val="20"/>
                <w:color w:val="auto"/>
              </w:rPr>
            </w:pPr>
            <w:r>
              <w:rPr>
                <w:rFonts w:ascii="Arial" w:cs="Arial" w:eastAsia="Arial" w:hAnsi="Arial"/>
                <w:sz w:val="16"/>
                <w:szCs w:val="16"/>
                <w:b w:val="1"/>
                <w:bCs w:val="1"/>
                <w:color w:val="auto"/>
              </w:rPr>
              <w:t>$ 99,994</w:t>
            </w:r>
          </w:p>
        </w:tc>
        <w:tc>
          <w:tcPr>
            <w:tcW w:w="0" w:type="dxa"/>
            <w:vAlign w:val="bottom"/>
          </w:tcPr>
          <w:p>
            <w:pPr>
              <w:spacing w:after="0"/>
              <w:rPr>
                <w:sz w:val="1"/>
                <w:szCs w:val="1"/>
                <w:color w:val="auto"/>
              </w:rPr>
            </w:pPr>
          </w:p>
        </w:tc>
      </w:tr>
      <w:tr>
        <w:trPr>
          <w:trHeight w:val="169"/>
        </w:trPr>
        <w:tc>
          <w:tcPr>
            <w:tcW w:w="4880" w:type="dxa"/>
            <w:vAlign w:val="bottom"/>
            <w:gridSpan w:val="2"/>
          </w:tcPr>
          <w:p>
            <w:pPr>
              <w:spacing w:after="0" w:line="169" w:lineRule="exact"/>
              <w:rPr>
                <w:sz w:val="20"/>
                <w:szCs w:val="20"/>
                <w:color w:val="auto"/>
              </w:rPr>
            </w:pPr>
            <w:r>
              <w:rPr>
                <w:rFonts w:ascii="Arial" w:cs="Arial" w:eastAsia="Arial" w:hAnsi="Arial"/>
                <w:sz w:val="16"/>
                <w:szCs w:val="16"/>
                <w:color w:val="auto"/>
              </w:rPr>
              <w:t>Interest, taxes, other income/(expense)</w:t>
            </w:r>
          </w:p>
        </w:tc>
        <w:tc>
          <w:tcPr>
            <w:tcW w:w="1700" w:type="dxa"/>
            <w:vAlign w:val="bottom"/>
          </w:tcPr>
          <w:p>
            <w:pPr>
              <w:jc w:val="right"/>
              <w:ind w:right="320"/>
              <w:spacing w:after="0" w:line="169" w:lineRule="exact"/>
              <w:rPr>
                <w:sz w:val="20"/>
                <w:szCs w:val="20"/>
                <w:color w:val="auto"/>
              </w:rPr>
            </w:pPr>
            <w:r>
              <w:rPr>
                <w:rFonts w:ascii="Arial" w:cs="Arial" w:eastAsia="Arial" w:hAnsi="Arial"/>
                <w:sz w:val="16"/>
                <w:szCs w:val="16"/>
                <w:color w:val="auto"/>
              </w:rPr>
              <w:t>—</w:t>
            </w:r>
          </w:p>
        </w:tc>
        <w:tc>
          <w:tcPr>
            <w:tcW w:w="1560" w:type="dxa"/>
            <w:vAlign w:val="bottom"/>
          </w:tcPr>
          <w:p>
            <w:pPr>
              <w:jc w:val="right"/>
              <w:ind w:right="380"/>
              <w:spacing w:after="0" w:line="169" w:lineRule="exact"/>
              <w:rPr>
                <w:sz w:val="20"/>
                <w:szCs w:val="20"/>
                <w:color w:val="auto"/>
              </w:rPr>
            </w:pPr>
            <w:r>
              <w:rPr>
                <w:rFonts w:ascii="Arial" w:cs="Arial" w:eastAsia="Arial" w:hAnsi="Arial"/>
                <w:sz w:val="16"/>
                <w:szCs w:val="16"/>
                <w:color w:val="auto"/>
              </w:rPr>
              <w:t>—</w:t>
            </w:r>
          </w:p>
        </w:tc>
        <w:tc>
          <w:tcPr>
            <w:tcW w:w="1700" w:type="dxa"/>
            <w:vAlign w:val="bottom"/>
          </w:tcPr>
          <w:p>
            <w:pPr>
              <w:jc w:val="right"/>
              <w:ind w:right="440"/>
              <w:spacing w:after="0" w:line="169" w:lineRule="exact"/>
              <w:rPr>
                <w:sz w:val="20"/>
                <w:szCs w:val="20"/>
                <w:color w:val="auto"/>
              </w:rPr>
            </w:pPr>
            <w:r>
              <w:rPr>
                <w:rFonts w:ascii="Arial" w:cs="Arial" w:eastAsia="Arial" w:hAnsi="Arial"/>
                <w:sz w:val="16"/>
                <w:szCs w:val="16"/>
                <w:color w:val="auto"/>
              </w:rPr>
              <w:t>(34,247)</w:t>
            </w:r>
          </w:p>
        </w:tc>
        <w:tc>
          <w:tcPr>
            <w:tcW w:w="1580" w:type="dxa"/>
            <w:vAlign w:val="bottom"/>
          </w:tcPr>
          <w:p>
            <w:pPr>
              <w:jc w:val="right"/>
              <w:ind w:right="380"/>
              <w:spacing w:after="0" w:line="169" w:lineRule="exact"/>
              <w:rPr>
                <w:sz w:val="20"/>
                <w:szCs w:val="20"/>
                <w:color w:val="auto"/>
              </w:rPr>
            </w:pPr>
            <w:r>
              <w:rPr>
                <w:rFonts w:ascii="Arial" w:cs="Arial" w:eastAsia="Arial" w:hAnsi="Arial"/>
                <w:sz w:val="16"/>
                <w:szCs w:val="16"/>
                <w:color w:val="auto"/>
              </w:rPr>
              <w:t>(34,247)</w:t>
            </w:r>
          </w:p>
        </w:tc>
        <w:tc>
          <w:tcPr>
            <w:tcW w:w="0" w:type="dxa"/>
            <w:vAlign w:val="bottom"/>
          </w:tcPr>
          <w:p>
            <w:pPr>
              <w:spacing w:after="0"/>
              <w:rPr>
                <w:sz w:val="1"/>
                <w:szCs w:val="1"/>
                <w:color w:val="auto"/>
              </w:rPr>
            </w:pPr>
          </w:p>
        </w:tc>
      </w:tr>
      <w:tr>
        <w:trPr>
          <w:trHeight w:val="209"/>
        </w:trPr>
        <w:tc>
          <w:tcPr>
            <w:tcW w:w="4880" w:type="dxa"/>
            <w:vAlign w:val="bottom"/>
            <w:gridSpan w:val="2"/>
          </w:tcPr>
          <w:p>
            <w:pPr>
              <w:spacing w:after="0"/>
              <w:rPr>
                <w:sz w:val="20"/>
                <w:szCs w:val="20"/>
                <w:color w:val="auto"/>
              </w:rPr>
            </w:pPr>
            <w:r>
              <w:rPr>
                <w:rFonts w:ascii="Arial" w:cs="Arial" w:eastAsia="Arial" w:hAnsi="Arial"/>
                <w:sz w:val="16"/>
                <w:szCs w:val="16"/>
                <w:b w:val="1"/>
                <w:bCs w:val="1"/>
                <w:color w:val="auto"/>
              </w:rPr>
              <w:t>Net income/(loss) (GAAP)</w:t>
            </w:r>
          </w:p>
        </w:tc>
        <w:tc>
          <w:tcPr>
            <w:tcW w:w="1700" w:type="dxa"/>
            <w:vAlign w:val="bottom"/>
          </w:tcPr>
          <w:p>
            <w:pPr>
              <w:jc w:val="right"/>
              <w:ind w:right="340"/>
              <w:spacing w:after="0"/>
              <w:rPr>
                <w:sz w:val="20"/>
                <w:szCs w:val="20"/>
                <w:color w:val="auto"/>
              </w:rPr>
            </w:pPr>
            <w:r>
              <w:rPr>
                <w:rFonts w:ascii="Arial" w:cs="Arial" w:eastAsia="Arial" w:hAnsi="Arial"/>
                <w:sz w:val="16"/>
                <w:szCs w:val="16"/>
                <w:b w:val="1"/>
                <w:bCs w:val="1"/>
                <w:color w:val="auto"/>
              </w:rPr>
              <w:t>126,952</w:t>
            </w:r>
          </w:p>
        </w:tc>
        <w:tc>
          <w:tcPr>
            <w:tcW w:w="1560" w:type="dxa"/>
            <w:vAlign w:val="bottom"/>
          </w:tcPr>
          <w:p>
            <w:pPr>
              <w:jc w:val="right"/>
              <w:ind w:right="380"/>
              <w:spacing w:after="0"/>
              <w:rPr>
                <w:sz w:val="20"/>
                <w:szCs w:val="20"/>
                <w:color w:val="auto"/>
              </w:rPr>
            </w:pPr>
            <w:r>
              <w:rPr>
                <w:rFonts w:ascii="Arial" w:cs="Arial" w:eastAsia="Arial" w:hAnsi="Arial"/>
                <w:sz w:val="16"/>
                <w:szCs w:val="16"/>
                <w:b w:val="1"/>
                <w:bCs w:val="1"/>
                <w:color w:val="auto"/>
              </w:rPr>
              <w:t>9,980</w:t>
            </w:r>
          </w:p>
        </w:tc>
        <w:tc>
          <w:tcPr>
            <w:tcW w:w="1700" w:type="dxa"/>
            <w:vAlign w:val="bottom"/>
          </w:tcPr>
          <w:p>
            <w:pPr>
              <w:jc w:val="right"/>
              <w:ind w:right="440"/>
              <w:spacing w:after="0"/>
              <w:rPr>
                <w:sz w:val="20"/>
                <w:szCs w:val="20"/>
                <w:color w:val="auto"/>
              </w:rPr>
            </w:pPr>
            <w:r>
              <w:rPr>
                <w:rFonts w:ascii="Arial" w:cs="Arial" w:eastAsia="Arial" w:hAnsi="Arial"/>
                <w:sz w:val="16"/>
                <w:szCs w:val="16"/>
                <w:b w:val="1"/>
                <w:bCs w:val="1"/>
                <w:color w:val="auto"/>
              </w:rPr>
              <w:t>(71,185)</w:t>
            </w:r>
          </w:p>
        </w:tc>
        <w:tc>
          <w:tcPr>
            <w:tcW w:w="1580" w:type="dxa"/>
            <w:vAlign w:val="bottom"/>
          </w:tcPr>
          <w:p>
            <w:pPr>
              <w:jc w:val="right"/>
              <w:ind w:right="440"/>
              <w:spacing w:after="0"/>
              <w:rPr>
                <w:sz w:val="20"/>
                <w:szCs w:val="20"/>
                <w:color w:val="auto"/>
              </w:rPr>
            </w:pPr>
            <w:r>
              <w:rPr>
                <w:rFonts w:ascii="Arial" w:cs="Arial" w:eastAsia="Arial" w:hAnsi="Arial"/>
                <w:sz w:val="16"/>
                <w:szCs w:val="16"/>
                <w:b w:val="1"/>
                <w:bCs w:val="1"/>
                <w:color w:val="auto"/>
              </w:rPr>
              <w:t>65,747</w:t>
            </w:r>
          </w:p>
        </w:tc>
        <w:tc>
          <w:tcPr>
            <w:tcW w:w="0" w:type="dxa"/>
            <w:vAlign w:val="bottom"/>
          </w:tcPr>
          <w:p>
            <w:pPr>
              <w:spacing w:after="0"/>
              <w:rPr>
                <w:sz w:val="1"/>
                <w:szCs w:val="1"/>
                <w:color w:val="auto"/>
              </w:rPr>
            </w:pPr>
          </w:p>
        </w:tc>
      </w:tr>
      <w:tr>
        <w:trPr>
          <w:trHeight w:val="189"/>
        </w:trPr>
        <w:tc>
          <w:tcPr>
            <w:tcW w:w="4880" w:type="dxa"/>
            <w:vAlign w:val="bottom"/>
            <w:gridSpan w:val="2"/>
          </w:tcPr>
          <w:p>
            <w:pPr>
              <w:spacing w:after="0"/>
              <w:rPr>
                <w:sz w:val="20"/>
                <w:szCs w:val="20"/>
                <w:color w:val="auto"/>
              </w:rPr>
            </w:pPr>
            <w:r>
              <w:rPr>
                <w:rFonts w:ascii="Arial" w:cs="Arial" w:eastAsia="Arial" w:hAnsi="Arial"/>
                <w:sz w:val="16"/>
                <w:szCs w:val="16"/>
                <w:color w:val="auto"/>
              </w:rPr>
              <w:t>Interest expense, net</w:t>
            </w:r>
          </w:p>
        </w:tc>
        <w:tc>
          <w:tcPr>
            <w:tcW w:w="170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500"/>
              <w:spacing w:after="0"/>
              <w:rPr>
                <w:sz w:val="20"/>
                <w:szCs w:val="20"/>
                <w:color w:val="auto"/>
              </w:rPr>
            </w:pPr>
            <w:r>
              <w:rPr>
                <w:rFonts w:ascii="Arial" w:cs="Arial" w:eastAsia="Arial" w:hAnsi="Arial"/>
                <w:sz w:val="16"/>
                <w:szCs w:val="16"/>
                <w:color w:val="auto"/>
              </w:rPr>
              <w:t>13,530</w:t>
            </w:r>
          </w:p>
        </w:tc>
        <w:tc>
          <w:tcPr>
            <w:tcW w:w="1580" w:type="dxa"/>
            <w:vAlign w:val="bottom"/>
          </w:tcPr>
          <w:p>
            <w:pPr>
              <w:jc w:val="right"/>
              <w:ind w:right="440"/>
              <w:spacing w:after="0"/>
              <w:rPr>
                <w:sz w:val="20"/>
                <w:szCs w:val="20"/>
                <w:color w:val="auto"/>
              </w:rPr>
            </w:pPr>
            <w:r>
              <w:rPr>
                <w:rFonts w:ascii="Arial" w:cs="Arial" w:eastAsia="Arial" w:hAnsi="Arial"/>
                <w:sz w:val="16"/>
                <w:szCs w:val="16"/>
                <w:color w:val="auto"/>
              </w:rPr>
              <w:t>13,530</w:t>
            </w:r>
          </w:p>
        </w:tc>
        <w:tc>
          <w:tcPr>
            <w:tcW w:w="0" w:type="dxa"/>
            <w:vAlign w:val="bottom"/>
          </w:tcPr>
          <w:p>
            <w:pPr>
              <w:spacing w:after="0"/>
              <w:rPr>
                <w:sz w:val="1"/>
                <w:szCs w:val="1"/>
                <w:color w:val="auto"/>
              </w:rPr>
            </w:pPr>
          </w:p>
        </w:tc>
      </w:tr>
      <w:tr>
        <w:trPr>
          <w:trHeight w:val="189"/>
        </w:trPr>
        <w:tc>
          <w:tcPr>
            <w:tcW w:w="4880" w:type="dxa"/>
            <w:vAlign w:val="bottom"/>
            <w:gridSpan w:val="2"/>
          </w:tcPr>
          <w:p>
            <w:pPr>
              <w:spacing w:after="0"/>
              <w:rPr>
                <w:sz w:val="20"/>
                <w:szCs w:val="20"/>
                <w:color w:val="auto"/>
              </w:rPr>
            </w:pPr>
            <w:r>
              <w:rPr>
                <w:rFonts w:ascii="Arial" w:cs="Arial" w:eastAsia="Arial" w:hAnsi="Arial"/>
                <w:sz w:val="16"/>
                <w:szCs w:val="16"/>
                <w:color w:val="auto"/>
              </w:rPr>
              <w:t>Income tax expense</w:t>
            </w:r>
          </w:p>
        </w:tc>
        <w:tc>
          <w:tcPr>
            <w:tcW w:w="170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500"/>
              <w:spacing w:after="0"/>
              <w:rPr>
                <w:sz w:val="20"/>
                <w:szCs w:val="20"/>
                <w:color w:val="auto"/>
              </w:rPr>
            </w:pPr>
            <w:r>
              <w:rPr>
                <w:rFonts w:ascii="Arial" w:cs="Arial" w:eastAsia="Arial" w:hAnsi="Arial"/>
                <w:sz w:val="16"/>
                <w:szCs w:val="16"/>
                <w:color w:val="auto"/>
              </w:rPr>
              <w:t>21,690</w:t>
            </w:r>
          </w:p>
        </w:tc>
        <w:tc>
          <w:tcPr>
            <w:tcW w:w="1580" w:type="dxa"/>
            <w:vAlign w:val="bottom"/>
          </w:tcPr>
          <w:p>
            <w:pPr>
              <w:jc w:val="right"/>
              <w:ind w:right="440"/>
              <w:spacing w:after="0"/>
              <w:rPr>
                <w:sz w:val="20"/>
                <w:szCs w:val="20"/>
                <w:color w:val="auto"/>
              </w:rPr>
            </w:pPr>
            <w:r>
              <w:rPr>
                <w:rFonts w:ascii="Arial" w:cs="Arial" w:eastAsia="Arial" w:hAnsi="Arial"/>
                <w:sz w:val="16"/>
                <w:szCs w:val="16"/>
                <w:color w:val="auto"/>
              </w:rPr>
              <w:t>21,690</w:t>
            </w:r>
          </w:p>
        </w:tc>
        <w:tc>
          <w:tcPr>
            <w:tcW w:w="0" w:type="dxa"/>
            <w:vAlign w:val="bottom"/>
          </w:tcPr>
          <w:p>
            <w:pPr>
              <w:spacing w:after="0"/>
              <w:rPr>
                <w:sz w:val="1"/>
                <w:szCs w:val="1"/>
                <w:color w:val="auto"/>
              </w:rPr>
            </w:pPr>
          </w:p>
        </w:tc>
      </w:tr>
      <w:tr>
        <w:trPr>
          <w:trHeight w:val="187"/>
        </w:trPr>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Depreciation and amortization expense</w:t>
            </w:r>
          </w:p>
        </w:tc>
        <w:tc>
          <w:tcPr>
            <w:tcW w:w="17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24,271</w:t>
            </w:r>
          </w:p>
        </w:tc>
        <w:tc>
          <w:tcPr>
            <w:tcW w:w="15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32,296</w:t>
            </w:r>
          </w:p>
        </w:tc>
        <w:tc>
          <w:tcPr>
            <w:tcW w:w="17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3,856</w:t>
            </w:r>
          </w:p>
        </w:tc>
        <w:tc>
          <w:tcPr>
            <w:tcW w:w="158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60,423</w:t>
            </w:r>
          </w:p>
        </w:tc>
        <w:tc>
          <w:tcPr>
            <w:tcW w:w="0" w:type="dxa"/>
            <w:vAlign w:val="bottom"/>
          </w:tcPr>
          <w:p>
            <w:pPr>
              <w:spacing w:after="0"/>
              <w:rPr>
                <w:sz w:val="1"/>
                <w:szCs w:val="1"/>
                <w:color w:val="auto"/>
              </w:rPr>
            </w:pPr>
          </w:p>
        </w:tc>
      </w:tr>
      <w:tr>
        <w:trPr>
          <w:trHeight w:val="184"/>
        </w:trPr>
        <w:tc>
          <w:tcPr>
            <w:tcW w:w="4880" w:type="dxa"/>
            <w:vAlign w:val="bottom"/>
            <w:gridSpan w:val="2"/>
          </w:tcPr>
          <w:p>
            <w:pPr>
              <w:spacing w:after="0"/>
              <w:rPr>
                <w:sz w:val="20"/>
                <w:szCs w:val="20"/>
                <w:color w:val="auto"/>
              </w:rPr>
            </w:pPr>
            <w:r>
              <w:rPr>
                <w:rFonts w:ascii="Arial" w:cs="Arial" w:eastAsia="Arial" w:hAnsi="Arial"/>
                <w:sz w:val="16"/>
                <w:szCs w:val="16"/>
                <w:b w:val="1"/>
                <w:bCs w:val="1"/>
                <w:color w:val="auto"/>
              </w:rPr>
              <w:t>EBITDA (non-GAAP)</w:t>
            </w:r>
          </w:p>
        </w:tc>
        <w:tc>
          <w:tcPr>
            <w:tcW w:w="1700" w:type="dxa"/>
            <w:vAlign w:val="bottom"/>
          </w:tcPr>
          <w:p>
            <w:pPr>
              <w:jc w:val="right"/>
              <w:ind w:right="340"/>
              <w:spacing w:after="0"/>
              <w:rPr>
                <w:sz w:val="20"/>
                <w:szCs w:val="20"/>
                <w:color w:val="auto"/>
              </w:rPr>
            </w:pPr>
            <w:r>
              <w:rPr>
                <w:rFonts w:ascii="Arial" w:cs="Arial" w:eastAsia="Arial" w:hAnsi="Arial"/>
                <w:sz w:val="16"/>
                <w:szCs w:val="16"/>
                <w:b w:val="1"/>
                <w:bCs w:val="1"/>
                <w:color w:val="auto"/>
              </w:rPr>
              <w:t>151,223</w:t>
            </w:r>
          </w:p>
        </w:tc>
        <w:tc>
          <w:tcPr>
            <w:tcW w:w="1560" w:type="dxa"/>
            <w:vAlign w:val="bottom"/>
          </w:tcPr>
          <w:p>
            <w:pPr>
              <w:jc w:val="right"/>
              <w:ind w:right="380"/>
              <w:spacing w:after="0"/>
              <w:rPr>
                <w:sz w:val="20"/>
                <w:szCs w:val="20"/>
                <w:color w:val="auto"/>
              </w:rPr>
            </w:pPr>
            <w:r>
              <w:rPr>
                <w:rFonts w:ascii="Arial" w:cs="Arial" w:eastAsia="Arial" w:hAnsi="Arial"/>
                <w:sz w:val="16"/>
                <w:szCs w:val="16"/>
                <w:b w:val="1"/>
                <w:bCs w:val="1"/>
                <w:color w:val="auto"/>
              </w:rPr>
              <w:t>42,276</w:t>
            </w:r>
          </w:p>
        </w:tc>
        <w:tc>
          <w:tcPr>
            <w:tcW w:w="1700" w:type="dxa"/>
            <w:vAlign w:val="bottom"/>
          </w:tcPr>
          <w:p>
            <w:pPr>
              <w:jc w:val="right"/>
              <w:ind w:right="440"/>
              <w:spacing w:after="0"/>
              <w:rPr>
                <w:sz w:val="20"/>
                <w:szCs w:val="20"/>
                <w:color w:val="auto"/>
              </w:rPr>
            </w:pPr>
            <w:r>
              <w:rPr>
                <w:rFonts w:ascii="Arial" w:cs="Arial" w:eastAsia="Arial" w:hAnsi="Arial"/>
                <w:sz w:val="16"/>
                <w:szCs w:val="16"/>
                <w:b w:val="1"/>
                <w:bCs w:val="1"/>
                <w:color w:val="auto"/>
              </w:rPr>
              <w:t>(32,109)</w:t>
            </w:r>
          </w:p>
        </w:tc>
        <w:tc>
          <w:tcPr>
            <w:tcW w:w="1580" w:type="dxa"/>
            <w:vAlign w:val="bottom"/>
          </w:tcPr>
          <w:p>
            <w:pPr>
              <w:jc w:val="right"/>
              <w:ind w:right="440"/>
              <w:spacing w:after="0"/>
              <w:rPr>
                <w:sz w:val="20"/>
                <w:szCs w:val="20"/>
                <w:color w:val="auto"/>
              </w:rPr>
            </w:pPr>
            <w:r>
              <w:rPr>
                <w:rFonts w:ascii="Arial" w:cs="Arial" w:eastAsia="Arial" w:hAnsi="Arial"/>
                <w:sz w:val="16"/>
                <w:szCs w:val="16"/>
                <w:b w:val="1"/>
                <w:bCs w:val="1"/>
                <w:color w:val="auto"/>
              </w:rPr>
              <w:t>161,390</w:t>
            </w:r>
          </w:p>
        </w:tc>
        <w:tc>
          <w:tcPr>
            <w:tcW w:w="0" w:type="dxa"/>
            <w:vAlign w:val="bottom"/>
          </w:tcPr>
          <w:p>
            <w:pPr>
              <w:spacing w:after="0"/>
              <w:rPr>
                <w:sz w:val="1"/>
                <w:szCs w:val="1"/>
                <w:color w:val="auto"/>
              </w:rPr>
            </w:pPr>
          </w:p>
        </w:tc>
      </w:tr>
      <w:tr>
        <w:trPr>
          <w:trHeight w:val="189"/>
        </w:trPr>
        <w:tc>
          <w:tcPr>
            <w:tcW w:w="4880" w:type="dxa"/>
            <w:vAlign w:val="bottom"/>
            <w:gridSpan w:val="2"/>
          </w:tcPr>
          <w:p>
            <w:pPr>
              <w:spacing w:after="0"/>
              <w:rPr>
                <w:sz w:val="20"/>
                <w:szCs w:val="20"/>
                <w:color w:val="auto"/>
              </w:rPr>
            </w:pPr>
            <w:r>
              <w:rPr>
                <w:rFonts w:ascii="Arial" w:cs="Arial" w:eastAsia="Arial" w:hAnsi="Arial"/>
                <w:sz w:val="16"/>
                <w:szCs w:val="16"/>
                <w:color w:val="auto"/>
              </w:rPr>
              <w:t>Restructuring expenses, net</w:t>
            </w:r>
          </w:p>
        </w:tc>
        <w:tc>
          <w:tcPr>
            <w:tcW w:w="1700" w:type="dxa"/>
            <w:vAlign w:val="bottom"/>
          </w:tcPr>
          <w:p>
            <w:pPr>
              <w:jc w:val="right"/>
              <w:ind w:right="320"/>
              <w:spacing w:after="0"/>
              <w:rPr>
                <w:sz w:val="20"/>
                <w:szCs w:val="20"/>
                <w:color w:val="auto"/>
              </w:rPr>
            </w:pPr>
            <w:r>
              <w:rPr>
                <w:rFonts w:ascii="Arial" w:cs="Arial" w:eastAsia="Arial" w:hAnsi="Arial"/>
                <w:sz w:val="16"/>
                <w:szCs w:val="16"/>
                <w:color w:val="auto"/>
              </w:rPr>
              <w:t>10,522</w:t>
            </w:r>
          </w:p>
        </w:tc>
        <w:tc>
          <w:tcPr>
            <w:tcW w:w="1560" w:type="dxa"/>
            <w:vAlign w:val="bottom"/>
          </w:tcPr>
          <w:p>
            <w:pPr>
              <w:jc w:val="right"/>
              <w:ind w:right="380"/>
              <w:spacing w:after="0"/>
              <w:rPr>
                <w:sz w:val="20"/>
                <w:szCs w:val="20"/>
                <w:color w:val="auto"/>
              </w:rPr>
            </w:pPr>
            <w:r>
              <w:rPr>
                <w:rFonts w:ascii="Arial" w:cs="Arial" w:eastAsia="Arial" w:hAnsi="Arial"/>
                <w:sz w:val="16"/>
                <w:szCs w:val="16"/>
                <w:color w:val="auto"/>
              </w:rPr>
              <w:t>2,968</w:t>
            </w:r>
          </w:p>
        </w:tc>
        <w:tc>
          <w:tcPr>
            <w:tcW w:w="1700" w:type="dxa"/>
            <w:vAlign w:val="bottom"/>
          </w:tcPr>
          <w:p>
            <w:pPr>
              <w:jc w:val="right"/>
              <w:ind w:right="500"/>
              <w:spacing w:after="0"/>
              <w:rPr>
                <w:sz w:val="20"/>
                <w:szCs w:val="20"/>
                <w:color w:val="auto"/>
              </w:rPr>
            </w:pPr>
            <w:r>
              <w:rPr>
                <w:rFonts w:ascii="Arial" w:cs="Arial" w:eastAsia="Arial" w:hAnsi="Arial"/>
                <w:sz w:val="16"/>
                <w:szCs w:val="16"/>
                <w:color w:val="auto"/>
              </w:rPr>
              <w:t>224</w:t>
            </w:r>
          </w:p>
        </w:tc>
        <w:tc>
          <w:tcPr>
            <w:tcW w:w="1580" w:type="dxa"/>
            <w:vAlign w:val="bottom"/>
          </w:tcPr>
          <w:p>
            <w:pPr>
              <w:jc w:val="right"/>
              <w:ind w:right="440"/>
              <w:spacing w:after="0"/>
              <w:rPr>
                <w:sz w:val="20"/>
                <w:szCs w:val="20"/>
                <w:color w:val="auto"/>
              </w:rPr>
            </w:pPr>
            <w:r>
              <w:rPr>
                <w:rFonts w:ascii="Arial" w:cs="Arial" w:eastAsia="Arial" w:hAnsi="Arial"/>
                <w:sz w:val="16"/>
                <w:szCs w:val="16"/>
                <w:color w:val="auto"/>
              </w:rPr>
              <w:t>13,714</w:t>
            </w:r>
          </w:p>
        </w:tc>
        <w:tc>
          <w:tcPr>
            <w:tcW w:w="0" w:type="dxa"/>
            <w:vAlign w:val="bottom"/>
          </w:tcPr>
          <w:p>
            <w:pPr>
              <w:spacing w:after="0"/>
              <w:rPr>
                <w:sz w:val="1"/>
                <w:szCs w:val="1"/>
                <w:color w:val="auto"/>
              </w:rPr>
            </w:pPr>
          </w:p>
        </w:tc>
      </w:tr>
      <w:tr>
        <w:trPr>
          <w:trHeight w:val="189"/>
        </w:trPr>
        <w:tc>
          <w:tcPr>
            <w:tcW w:w="4880" w:type="dxa"/>
            <w:vAlign w:val="bottom"/>
            <w:gridSpan w:val="2"/>
          </w:tcPr>
          <w:p>
            <w:pPr>
              <w:spacing w:after="0"/>
              <w:rPr>
                <w:sz w:val="20"/>
                <w:szCs w:val="20"/>
                <w:color w:val="auto"/>
              </w:rPr>
            </w:pPr>
            <w:r>
              <w:rPr>
                <w:rFonts w:ascii="Arial" w:cs="Arial" w:eastAsia="Arial" w:hAnsi="Arial"/>
                <w:sz w:val="16"/>
                <w:szCs w:val="16"/>
                <w:color w:val="auto"/>
              </w:rPr>
              <w:t>Foreign currency revaluation (gains)/losses</w:t>
            </w:r>
          </w:p>
        </w:tc>
        <w:tc>
          <w:tcPr>
            <w:tcW w:w="1700" w:type="dxa"/>
            <w:vAlign w:val="bottom"/>
          </w:tcPr>
          <w:p>
            <w:pPr>
              <w:jc w:val="right"/>
              <w:ind w:right="280"/>
              <w:spacing w:after="0"/>
              <w:rPr>
                <w:sz w:val="20"/>
                <w:szCs w:val="20"/>
                <w:color w:val="auto"/>
              </w:rPr>
            </w:pPr>
            <w:r>
              <w:rPr>
                <w:rFonts w:ascii="Arial" w:cs="Arial" w:eastAsia="Arial" w:hAnsi="Arial"/>
                <w:sz w:val="16"/>
                <w:szCs w:val="16"/>
                <w:color w:val="auto"/>
              </w:rPr>
              <w:t>(852)</w:t>
            </w:r>
          </w:p>
        </w:tc>
        <w:tc>
          <w:tcPr>
            <w:tcW w:w="1560" w:type="dxa"/>
            <w:vAlign w:val="bottom"/>
          </w:tcPr>
          <w:p>
            <w:pPr>
              <w:jc w:val="right"/>
              <w:ind w:right="380"/>
              <w:spacing w:after="0"/>
              <w:rPr>
                <w:sz w:val="20"/>
                <w:szCs w:val="20"/>
                <w:color w:val="auto"/>
              </w:rPr>
            </w:pPr>
            <w:r>
              <w:rPr>
                <w:rFonts w:ascii="Arial" w:cs="Arial" w:eastAsia="Arial" w:hAnsi="Arial"/>
                <w:sz w:val="16"/>
                <w:szCs w:val="16"/>
                <w:color w:val="auto"/>
              </w:rPr>
              <w:t>544</w:t>
            </w:r>
          </w:p>
        </w:tc>
        <w:tc>
          <w:tcPr>
            <w:tcW w:w="1700" w:type="dxa"/>
            <w:vAlign w:val="bottom"/>
          </w:tcPr>
          <w:p>
            <w:pPr>
              <w:jc w:val="right"/>
              <w:ind w:right="440"/>
              <w:spacing w:after="0"/>
              <w:rPr>
                <w:sz w:val="20"/>
                <w:szCs w:val="20"/>
                <w:color w:val="auto"/>
              </w:rPr>
            </w:pPr>
            <w:r>
              <w:rPr>
                <w:rFonts w:ascii="Arial" w:cs="Arial" w:eastAsia="Arial" w:hAnsi="Arial"/>
                <w:sz w:val="16"/>
                <w:szCs w:val="16"/>
                <w:color w:val="auto"/>
              </w:rPr>
              <w:t>(2,940)</w:t>
            </w:r>
          </w:p>
        </w:tc>
        <w:tc>
          <w:tcPr>
            <w:tcW w:w="1580" w:type="dxa"/>
            <w:vAlign w:val="bottom"/>
          </w:tcPr>
          <w:p>
            <w:pPr>
              <w:jc w:val="right"/>
              <w:ind w:right="380"/>
              <w:spacing w:after="0"/>
              <w:rPr>
                <w:sz w:val="20"/>
                <w:szCs w:val="20"/>
                <w:color w:val="auto"/>
              </w:rPr>
            </w:pPr>
            <w:r>
              <w:rPr>
                <w:rFonts w:ascii="Arial" w:cs="Arial" w:eastAsia="Arial" w:hAnsi="Arial"/>
                <w:sz w:val="16"/>
                <w:szCs w:val="16"/>
                <w:color w:val="auto"/>
              </w:rPr>
              <w:t>(3,248)</w:t>
            </w:r>
          </w:p>
        </w:tc>
        <w:tc>
          <w:tcPr>
            <w:tcW w:w="0" w:type="dxa"/>
            <w:vAlign w:val="bottom"/>
          </w:tcPr>
          <w:p>
            <w:pPr>
              <w:spacing w:after="0"/>
              <w:rPr>
                <w:sz w:val="1"/>
                <w:szCs w:val="1"/>
                <w:color w:val="auto"/>
              </w:rPr>
            </w:pPr>
          </w:p>
        </w:tc>
      </w:tr>
      <w:tr>
        <w:trPr>
          <w:trHeight w:val="187"/>
        </w:trPr>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Pretax income attributable to the noncontrolling interest in ASC</w:t>
            </w:r>
          </w:p>
        </w:tc>
        <w:tc>
          <w:tcPr>
            <w:tcW w:w="17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(619)</w:t>
            </w:r>
          </w:p>
        </w:tc>
        <w:tc>
          <w:tcPr>
            <w:tcW w:w="17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6"/>
                <w:szCs w:val="16"/>
                <w:b w:val="1"/>
                <w:bCs w:val="1"/>
                <w:color w:val="auto"/>
              </w:rPr>
              <w:t>Adjusted EBITDA (non-GAAP)</w:t>
            </w:r>
          </w:p>
        </w:tc>
        <w:tc>
          <w:tcPr>
            <w:tcW w:w="1700" w:type="dxa"/>
            <w:vAlign w:val="bottom"/>
            <w:tcBorders>
              <w:bottom w:val="single" w:sz="8" w:color="auto"/>
            </w:tcBorders>
          </w:tcPr>
          <w:p>
            <w:pPr>
              <w:jc w:val="right"/>
              <w:ind w:right="320"/>
              <w:spacing w:after="0" w:line="183" w:lineRule="exact"/>
              <w:rPr>
                <w:sz w:val="20"/>
                <w:szCs w:val="20"/>
                <w:color w:val="auto"/>
              </w:rPr>
            </w:pPr>
            <w:r>
              <w:rPr>
                <w:rFonts w:ascii="Arial" w:cs="Arial" w:eastAsia="Arial" w:hAnsi="Arial"/>
                <w:sz w:val="16"/>
                <w:szCs w:val="16"/>
                <w:b w:val="1"/>
                <w:bCs w:val="1"/>
                <w:color w:val="auto"/>
              </w:rPr>
              <w:t>$160,893</w:t>
            </w:r>
          </w:p>
        </w:tc>
        <w:tc>
          <w:tcPr>
            <w:tcW w:w="1560" w:type="dxa"/>
            <w:vAlign w:val="bottom"/>
            <w:tcBorders>
              <w:bottom w:val="single" w:sz="8" w:color="auto"/>
            </w:tcBorders>
          </w:tcPr>
          <w:p>
            <w:pPr>
              <w:jc w:val="right"/>
              <w:ind w:right="380"/>
              <w:spacing w:after="0" w:line="183" w:lineRule="exact"/>
              <w:rPr>
                <w:sz w:val="20"/>
                <w:szCs w:val="20"/>
                <w:color w:val="auto"/>
              </w:rPr>
            </w:pPr>
            <w:r>
              <w:rPr>
                <w:rFonts w:ascii="Arial" w:cs="Arial" w:eastAsia="Arial" w:hAnsi="Arial"/>
                <w:sz w:val="16"/>
                <w:szCs w:val="16"/>
                <w:b w:val="1"/>
                <w:bCs w:val="1"/>
                <w:color w:val="auto"/>
              </w:rPr>
              <w:t>$45,169</w:t>
            </w:r>
          </w:p>
        </w:tc>
        <w:tc>
          <w:tcPr>
            <w:tcW w:w="1700" w:type="dxa"/>
            <w:vAlign w:val="bottom"/>
            <w:tcBorders>
              <w:bottom w:val="single" w:sz="8" w:color="auto"/>
            </w:tcBorders>
          </w:tcPr>
          <w:p>
            <w:pPr>
              <w:jc w:val="center"/>
              <w:ind w:right="20"/>
              <w:spacing w:after="0" w:line="183" w:lineRule="exact"/>
              <w:rPr>
                <w:sz w:val="20"/>
                <w:szCs w:val="20"/>
                <w:color w:val="auto"/>
              </w:rPr>
            </w:pPr>
            <w:r>
              <w:rPr>
                <w:rFonts w:ascii="Arial" w:cs="Arial" w:eastAsia="Arial" w:hAnsi="Arial"/>
                <w:sz w:val="16"/>
                <w:szCs w:val="16"/>
                <w:b w:val="1"/>
                <w:bCs w:val="1"/>
                <w:color w:val="auto"/>
                <w:w w:val="99"/>
              </w:rPr>
              <w:t>$(34,825)</w:t>
            </w:r>
          </w:p>
        </w:tc>
        <w:tc>
          <w:tcPr>
            <w:tcW w:w="1580" w:type="dxa"/>
            <w:vAlign w:val="bottom"/>
            <w:tcBorders>
              <w:bottom w:val="single" w:sz="8" w:color="auto"/>
            </w:tcBorders>
          </w:tcPr>
          <w:p>
            <w:pPr>
              <w:jc w:val="right"/>
              <w:ind w:right="440"/>
              <w:spacing w:after="0" w:line="183" w:lineRule="exact"/>
              <w:rPr>
                <w:sz w:val="20"/>
                <w:szCs w:val="20"/>
                <w:color w:val="auto"/>
              </w:rPr>
            </w:pPr>
            <w:r>
              <w:rPr>
                <w:rFonts w:ascii="Arial" w:cs="Arial" w:eastAsia="Arial" w:hAnsi="Arial"/>
                <w:sz w:val="16"/>
                <w:szCs w:val="16"/>
                <w:b w:val="1"/>
                <w:bCs w:val="1"/>
                <w:color w:val="auto"/>
              </w:rPr>
              <w:t>$171,237</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 into underlying quarterly earnings and are financial performance metrics commonly used by investors. The Company calculates the quarterly per-share amount for items included in continuing operations by using the income tax rate based on income from continuing operations and the weighted-average number of shares outstanding for each period. Year-to-date earnings per-share effects are determined by adding the amounts calculated at each reporting period. Beginning in 2019, the Company no longer includes discrete tax adjustments or the effect of changes in income tax rates in its calculation of Adjusted EPS. Prior year results have been revised to conform to this calculation.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Three months ended September 30, 2019</w:t>
            </w:r>
          </w:p>
        </w:tc>
        <w:tc>
          <w:tcPr>
            <w:tcW w:w="2460" w:type="dxa"/>
            <w:vAlign w:val="bottom"/>
            <w:tcBorders>
              <w:top w:val="single" w:sz="8" w:color="auto"/>
            </w:tcBorders>
          </w:tcPr>
          <w:p>
            <w:pPr>
              <w:jc w:val="center"/>
              <w:ind w:left="748"/>
              <w:spacing w:after="0"/>
              <w:rPr>
                <w:sz w:val="20"/>
                <w:szCs w:val="20"/>
                <w:color w:val="auto"/>
              </w:rPr>
            </w:pPr>
            <w:r>
              <w:rPr>
                <w:rFonts w:ascii="Arial" w:cs="Arial" w:eastAsia="Arial" w:hAnsi="Arial"/>
                <w:sz w:val="14"/>
                <w:szCs w:val="14"/>
                <w:b w:val="1"/>
                <w:bCs w:val="1"/>
                <w:color w:val="auto"/>
              </w:rPr>
              <w:t>Pre tax</w:t>
            </w: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Tax</w:t>
            </w: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After tax</w:t>
            </w: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r>
      <w:tr>
        <w:trPr>
          <w:trHeight w:val="175"/>
        </w:trPr>
        <w:tc>
          <w:tcPr>
            <w:tcW w:w="4200" w:type="dxa"/>
            <w:vAlign w:val="bottom"/>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460" w:type="dxa"/>
            <w:vAlign w:val="bottom"/>
          </w:tcPr>
          <w:p>
            <w:pPr>
              <w:jc w:val="center"/>
              <w:ind w:left="728"/>
              <w:spacing w:after="0"/>
              <w:rPr>
                <w:sz w:val="20"/>
                <w:szCs w:val="20"/>
                <w:color w:val="auto"/>
              </w:rPr>
            </w:pPr>
            <w:r>
              <w:rPr>
                <w:rFonts w:ascii="Arial" w:cs="Arial" w:eastAsia="Arial" w:hAnsi="Arial"/>
                <w:sz w:val="14"/>
                <w:szCs w:val="14"/>
                <w:b w:val="1"/>
                <w:bCs w:val="1"/>
                <w:color w:val="auto"/>
              </w:rPr>
              <w:t>Amounts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Effect</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Effect</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Effect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Restructuring expenses, net</w:t>
            </w:r>
          </w:p>
        </w:tc>
        <w:tc>
          <w:tcPr>
            <w:tcW w:w="2460" w:type="dxa"/>
            <w:vAlign w:val="bottom"/>
            <w:tcBorders>
              <w:top w:val="single" w:sz="8" w:color="auto"/>
            </w:tcBorders>
          </w:tcPr>
          <w:p>
            <w:pPr>
              <w:jc w:val="right"/>
              <w:ind w:right="403"/>
              <w:spacing w:after="0"/>
              <w:rPr>
                <w:sz w:val="20"/>
                <w:szCs w:val="20"/>
                <w:color w:val="auto"/>
              </w:rPr>
            </w:pPr>
            <w:r>
              <w:rPr>
                <w:rFonts w:ascii="Arial" w:cs="Arial" w:eastAsia="Arial" w:hAnsi="Arial"/>
                <w:sz w:val="16"/>
                <w:szCs w:val="16"/>
                <w:color w:val="auto"/>
              </w:rPr>
              <w:t>($  244)</w:t>
            </w:r>
          </w:p>
        </w:tc>
        <w:tc>
          <w:tcPr>
            <w:tcW w:w="6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w w:val="98"/>
              </w:rPr>
              <w:t>($</w:t>
            </w:r>
          </w:p>
        </w:tc>
        <w:tc>
          <w:tcPr>
            <w:tcW w:w="86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67)</w:t>
            </w:r>
          </w:p>
        </w:tc>
        <w:tc>
          <w:tcPr>
            <w:tcW w:w="70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rPr>
              <w:t>177)</w:t>
            </w:r>
          </w:p>
        </w:tc>
        <w:tc>
          <w:tcPr>
            <w:tcW w:w="1660" w:type="dxa"/>
            <w:vAlign w:val="bottom"/>
            <w:tcBorders>
              <w:top w:val="single" w:sz="8" w:color="auto"/>
            </w:tcBorders>
          </w:tcPr>
          <w:p>
            <w:pPr>
              <w:jc w:val="right"/>
              <w:ind w:right="503"/>
              <w:spacing w:after="0"/>
              <w:rPr>
                <w:sz w:val="20"/>
                <w:szCs w:val="20"/>
                <w:color w:val="auto"/>
              </w:rPr>
            </w:pPr>
            <w:r>
              <w:rPr>
                <w:rFonts w:ascii="Arial" w:cs="Arial" w:eastAsia="Arial" w:hAnsi="Arial"/>
                <w:sz w:val="16"/>
                <w:szCs w:val="16"/>
                <w:color w:val="auto"/>
              </w:rPr>
              <w:t>($ 0.01)</w:t>
            </w:r>
          </w:p>
        </w:tc>
      </w:tr>
      <w:tr>
        <w:trPr>
          <w:trHeight w:val="187"/>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Foreign currency revaluation gains</w:t>
            </w:r>
          </w:p>
        </w:tc>
        <w:tc>
          <w:tcPr>
            <w:tcW w:w="246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color w:val="auto"/>
              </w:rPr>
              <w:t>(2,706)</w:t>
            </w:r>
          </w:p>
        </w:tc>
        <w:tc>
          <w:tcPr>
            <w:tcW w:w="152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6"/>
                <w:szCs w:val="16"/>
                <w:color w:val="auto"/>
              </w:rPr>
              <w:t>(744)</w:t>
            </w:r>
          </w:p>
        </w:tc>
        <w:tc>
          <w:tcPr>
            <w:tcW w:w="160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6"/>
                <w:szCs w:val="16"/>
                <w:color w:val="auto"/>
              </w:rPr>
              <w:t>(1,962)</w:t>
            </w:r>
          </w:p>
        </w:tc>
        <w:tc>
          <w:tcPr>
            <w:tcW w:w="1660" w:type="dxa"/>
            <w:vAlign w:val="bottom"/>
            <w:tcBorders>
              <w:bottom w:val="single" w:sz="8" w:color="auto"/>
            </w:tcBorders>
          </w:tcPr>
          <w:p>
            <w:pPr>
              <w:jc w:val="right"/>
              <w:ind w:right="503"/>
              <w:spacing w:after="0"/>
              <w:rPr>
                <w:sz w:val="20"/>
                <w:szCs w:val="20"/>
                <w:color w:val="auto"/>
              </w:rPr>
            </w:pPr>
            <w:r>
              <w:rPr>
                <w:rFonts w:ascii="Arial" w:cs="Arial" w:eastAsia="Arial" w:hAnsi="Arial"/>
                <w:sz w:val="16"/>
                <w:szCs w:val="16"/>
                <w:color w:val="auto"/>
              </w:rPr>
              <w:t>(0.06)</w:t>
            </w:r>
          </w:p>
        </w:tc>
      </w:tr>
      <w:tr>
        <w:trPr>
          <w:trHeight w:val="156"/>
        </w:trPr>
        <w:tc>
          <w:tcPr>
            <w:tcW w:w="4180" w:type="dxa"/>
            <w:vAlign w:val="bottom"/>
            <w:gridSpan w:val="2"/>
          </w:tcPr>
          <w:p>
            <w:pPr>
              <w:spacing w:after="0"/>
              <w:rPr>
                <w:sz w:val="13"/>
                <w:szCs w:val="13"/>
                <w:color w:val="auto"/>
              </w:rPr>
            </w:pPr>
          </w:p>
        </w:tc>
        <w:tc>
          <w:tcPr>
            <w:tcW w:w="2460" w:type="dxa"/>
            <w:vAlign w:val="bottom"/>
          </w:tcPr>
          <w:p>
            <w:pPr>
              <w:spacing w:after="0"/>
              <w:rPr>
                <w:sz w:val="13"/>
                <w:szCs w:val="13"/>
                <w:color w:val="auto"/>
              </w:rPr>
            </w:pPr>
          </w:p>
        </w:tc>
        <w:tc>
          <w:tcPr>
            <w:tcW w:w="1520" w:type="dxa"/>
            <w:vAlign w:val="bottom"/>
            <w:gridSpan w:val="2"/>
          </w:tcPr>
          <w:p>
            <w:pPr>
              <w:spacing w:after="0"/>
              <w:rPr>
                <w:sz w:val="13"/>
                <w:szCs w:val="13"/>
                <w:color w:val="auto"/>
              </w:rPr>
            </w:pPr>
          </w:p>
        </w:tc>
        <w:tc>
          <w:tcPr>
            <w:tcW w:w="1600" w:type="dxa"/>
            <w:vAlign w:val="bottom"/>
            <w:gridSpan w:val="2"/>
          </w:tcPr>
          <w:p>
            <w:pPr>
              <w:spacing w:after="0"/>
              <w:rPr>
                <w:sz w:val="13"/>
                <w:szCs w:val="13"/>
                <w:color w:val="auto"/>
              </w:rPr>
            </w:pPr>
          </w:p>
        </w:tc>
        <w:tc>
          <w:tcPr>
            <w:tcW w:w="16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416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Three months ended September 30, 2018</w:t>
            </w:r>
          </w:p>
        </w:tc>
        <w:tc>
          <w:tcPr>
            <w:tcW w:w="2460" w:type="dxa"/>
            <w:vAlign w:val="bottom"/>
            <w:tcBorders>
              <w:top w:val="single" w:sz="8" w:color="auto"/>
            </w:tcBorders>
          </w:tcPr>
          <w:p>
            <w:pPr>
              <w:jc w:val="center"/>
              <w:ind w:left="783"/>
              <w:spacing w:after="0" w:line="143" w:lineRule="exact"/>
              <w:rPr>
                <w:sz w:val="20"/>
                <w:szCs w:val="20"/>
                <w:color w:val="auto"/>
              </w:rPr>
            </w:pPr>
            <w:r>
              <w:rPr>
                <w:rFonts w:ascii="Arial" w:cs="Arial" w:eastAsia="Arial" w:hAnsi="Arial"/>
                <w:sz w:val="14"/>
                <w:szCs w:val="14"/>
                <w:b w:val="1"/>
                <w:bCs w:val="1"/>
                <w:color w:val="auto"/>
              </w:rPr>
              <w:t>Pre tax</w:t>
            </w:r>
          </w:p>
        </w:tc>
        <w:tc>
          <w:tcPr>
            <w:tcW w:w="152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w w:val="90"/>
              </w:rPr>
              <w:t>Tax</w:t>
            </w:r>
          </w:p>
        </w:tc>
        <w:tc>
          <w:tcPr>
            <w:tcW w:w="160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After tax</w:t>
            </w:r>
          </w:p>
        </w:tc>
        <w:tc>
          <w:tcPr>
            <w:tcW w:w="16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Per Share</w:t>
            </w:r>
          </w:p>
        </w:tc>
      </w:tr>
      <w:tr>
        <w:trPr>
          <w:trHeight w:val="175"/>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460" w:type="dxa"/>
            <w:vAlign w:val="bottom"/>
            <w:tcBorders>
              <w:bottom w:val="single" w:sz="8" w:color="auto"/>
            </w:tcBorders>
          </w:tcPr>
          <w:p>
            <w:pPr>
              <w:jc w:val="center"/>
              <w:ind w:left="763"/>
              <w:spacing w:after="0"/>
              <w:rPr>
                <w:sz w:val="20"/>
                <w:szCs w:val="20"/>
                <w:color w:val="auto"/>
              </w:rPr>
            </w:pPr>
            <w:r>
              <w:rPr>
                <w:rFonts w:ascii="Arial" w:cs="Arial" w:eastAsia="Arial" w:hAnsi="Arial"/>
                <w:sz w:val="14"/>
                <w:szCs w:val="14"/>
                <w:b w:val="1"/>
                <w:bCs w:val="1"/>
                <w:color w:val="auto"/>
              </w:rPr>
              <w:t>Amounts</w:t>
            </w: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Effect</w:t>
            </w: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Effect</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w:t>
            </w:r>
          </w:p>
        </w:tc>
      </w:tr>
      <w:tr>
        <w:trPr>
          <w:trHeight w:val="184"/>
        </w:trPr>
        <w:tc>
          <w:tcPr>
            <w:tcW w:w="4180" w:type="dxa"/>
            <w:vAlign w:val="bottom"/>
            <w:gridSpan w:val="2"/>
          </w:tcPr>
          <w:p>
            <w:pPr>
              <w:spacing w:after="0"/>
              <w:rPr>
                <w:sz w:val="20"/>
                <w:szCs w:val="20"/>
                <w:color w:val="auto"/>
              </w:rPr>
            </w:pPr>
            <w:r>
              <w:rPr>
                <w:rFonts w:ascii="Arial" w:cs="Arial" w:eastAsia="Arial" w:hAnsi="Arial"/>
                <w:sz w:val="16"/>
                <w:szCs w:val="16"/>
                <w:color w:val="auto"/>
              </w:rPr>
              <w:t>Restructuring expenses, net</w:t>
            </w:r>
          </w:p>
        </w:tc>
        <w:tc>
          <w:tcPr>
            <w:tcW w:w="2460" w:type="dxa"/>
            <w:vAlign w:val="bottom"/>
          </w:tcPr>
          <w:p>
            <w:pPr>
              <w:jc w:val="right"/>
              <w:ind w:right="463"/>
              <w:spacing w:after="0"/>
              <w:rPr>
                <w:sz w:val="20"/>
                <w:szCs w:val="20"/>
                <w:color w:val="auto"/>
              </w:rPr>
            </w:pPr>
            <w:r>
              <w:rPr>
                <w:rFonts w:ascii="Arial" w:cs="Arial" w:eastAsia="Arial" w:hAnsi="Arial"/>
                <w:sz w:val="16"/>
                <w:szCs w:val="16"/>
                <w:color w:val="auto"/>
              </w:rPr>
              <w:t>$ 2,552</w:t>
            </w:r>
          </w:p>
        </w:tc>
        <w:tc>
          <w:tcPr>
            <w:tcW w:w="1520" w:type="dxa"/>
            <w:vAlign w:val="bottom"/>
            <w:gridSpan w:val="2"/>
          </w:tcPr>
          <w:p>
            <w:pPr>
              <w:jc w:val="right"/>
              <w:ind w:right="499"/>
              <w:spacing w:after="0"/>
              <w:rPr>
                <w:sz w:val="20"/>
                <w:szCs w:val="20"/>
                <w:color w:val="auto"/>
              </w:rPr>
            </w:pPr>
            <w:r>
              <w:rPr>
                <w:rFonts w:ascii="Arial" w:cs="Arial" w:eastAsia="Arial" w:hAnsi="Arial"/>
                <w:sz w:val="16"/>
                <w:szCs w:val="16"/>
                <w:color w:val="auto"/>
              </w:rPr>
              <w:t>$ 758</w:t>
            </w:r>
          </w:p>
        </w:tc>
        <w:tc>
          <w:tcPr>
            <w:tcW w:w="1600" w:type="dxa"/>
            <w:vAlign w:val="bottom"/>
            <w:gridSpan w:val="2"/>
          </w:tcPr>
          <w:p>
            <w:pPr>
              <w:jc w:val="right"/>
              <w:ind w:right="479"/>
              <w:spacing w:after="0"/>
              <w:rPr>
                <w:sz w:val="20"/>
                <w:szCs w:val="20"/>
                <w:color w:val="auto"/>
              </w:rPr>
            </w:pPr>
            <w:r>
              <w:rPr>
                <w:rFonts w:ascii="Arial" w:cs="Arial" w:eastAsia="Arial" w:hAnsi="Arial"/>
                <w:sz w:val="16"/>
                <w:szCs w:val="16"/>
                <w:color w:val="auto"/>
              </w:rPr>
              <w:t>$ 1,794</w:t>
            </w:r>
          </w:p>
        </w:tc>
        <w:tc>
          <w:tcPr>
            <w:tcW w:w="1660" w:type="dxa"/>
            <w:vAlign w:val="bottom"/>
          </w:tcPr>
          <w:p>
            <w:pPr>
              <w:jc w:val="right"/>
              <w:ind w:right="543"/>
              <w:spacing w:after="0"/>
              <w:rPr>
                <w:sz w:val="20"/>
                <w:szCs w:val="20"/>
                <w:color w:val="auto"/>
              </w:rPr>
            </w:pPr>
            <w:r>
              <w:rPr>
                <w:rFonts w:ascii="Arial" w:cs="Arial" w:eastAsia="Arial" w:hAnsi="Arial"/>
                <w:sz w:val="16"/>
                <w:szCs w:val="16"/>
                <w:color w:val="auto"/>
              </w:rPr>
              <w:t>$ 0.06</w:t>
            </w:r>
          </w:p>
        </w:tc>
      </w:tr>
      <w:tr>
        <w:trPr>
          <w:trHeight w:val="187"/>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Foreign currency revaluation gains</w:t>
            </w:r>
          </w:p>
        </w:tc>
        <w:tc>
          <w:tcPr>
            <w:tcW w:w="246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color w:val="auto"/>
              </w:rPr>
              <w:t>(3,235)</w:t>
            </w:r>
          </w:p>
        </w:tc>
        <w:tc>
          <w:tcPr>
            <w:tcW w:w="152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6"/>
                <w:szCs w:val="16"/>
                <w:color w:val="auto"/>
              </w:rPr>
              <w:t>(961)</w:t>
            </w:r>
          </w:p>
        </w:tc>
        <w:tc>
          <w:tcPr>
            <w:tcW w:w="160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6"/>
                <w:szCs w:val="16"/>
                <w:color w:val="auto"/>
              </w:rPr>
              <w:t>(2,274)</w:t>
            </w:r>
          </w:p>
        </w:tc>
        <w:tc>
          <w:tcPr>
            <w:tcW w:w="1660" w:type="dxa"/>
            <w:vAlign w:val="bottom"/>
            <w:tcBorders>
              <w:bottom w:val="single" w:sz="8" w:color="auto"/>
            </w:tcBorders>
          </w:tcPr>
          <w:p>
            <w:pPr>
              <w:jc w:val="right"/>
              <w:ind w:right="503"/>
              <w:spacing w:after="0"/>
              <w:rPr>
                <w:sz w:val="20"/>
                <w:szCs w:val="20"/>
                <w:color w:val="auto"/>
              </w:rPr>
            </w:pPr>
            <w:r>
              <w:rPr>
                <w:rFonts w:ascii="Arial" w:cs="Arial" w:eastAsia="Arial" w:hAnsi="Arial"/>
                <w:sz w:val="16"/>
                <w:szCs w:val="16"/>
                <w:color w:val="auto"/>
              </w:rPr>
              <w:t>(0.07)</w:t>
            </w:r>
          </w:p>
        </w:tc>
      </w:tr>
      <w:tr>
        <w:trPr>
          <w:trHeight w:val="156"/>
        </w:trPr>
        <w:tc>
          <w:tcPr>
            <w:tcW w:w="4180" w:type="dxa"/>
            <w:vAlign w:val="bottom"/>
            <w:gridSpan w:val="2"/>
          </w:tcPr>
          <w:p>
            <w:pPr>
              <w:spacing w:after="0"/>
              <w:rPr>
                <w:sz w:val="13"/>
                <w:szCs w:val="13"/>
                <w:color w:val="auto"/>
              </w:rPr>
            </w:pPr>
          </w:p>
        </w:tc>
        <w:tc>
          <w:tcPr>
            <w:tcW w:w="2460" w:type="dxa"/>
            <w:vAlign w:val="bottom"/>
          </w:tcPr>
          <w:p>
            <w:pPr>
              <w:spacing w:after="0"/>
              <w:rPr>
                <w:sz w:val="13"/>
                <w:szCs w:val="13"/>
                <w:color w:val="auto"/>
              </w:rPr>
            </w:pPr>
          </w:p>
        </w:tc>
        <w:tc>
          <w:tcPr>
            <w:tcW w:w="1520" w:type="dxa"/>
            <w:vAlign w:val="bottom"/>
            <w:gridSpan w:val="2"/>
          </w:tcPr>
          <w:p>
            <w:pPr>
              <w:spacing w:after="0"/>
              <w:rPr>
                <w:sz w:val="13"/>
                <w:szCs w:val="13"/>
                <w:color w:val="auto"/>
              </w:rPr>
            </w:pPr>
          </w:p>
        </w:tc>
        <w:tc>
          <w:tcPr>
            <w:tcW w:w="1600" w:type="dxa"/>
            <w:vAlign w:val="bottom"/>
            <w:gridSpan w:val="2"/>
          </w:tcPr>
          <w:p>
            <w:pPr>
              <w:spacing w:after="0"/>
              <w:rPr>
                <w:sz w:val="13"/>
                <w:szCs w:val="13"/>
                <w:color w:val="auto"/>
              </w:rPr>
            </w:pPr>
          </w:p>
        </w:tc>
        <w:tc>
          <w:tcPr>
            <w:tcW w:w="16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416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Nine months ended September 30, 2019</w:t>
            </w:r>
          </w:p>
        </w:tc>
        <w:tc>
          <w:tcPr>
            <w:tcW w:w="2460" w:type="dxa"/>
            <w:vAlign w:val="bottom"/>
            <w:tcBorders>
              <w:top w:val="single" w:sz="8" w:color="auto"/>
            </w:tcBorders>
          </w:tcPr>
          <w:p>
            <w:pPr>
              <w:jc w:val="center"/>
              <w:ind w:left="783"/>
              <w:spacing w:after="0" w:line="143" w:lineRule="exact"/>
              <w:rPr>
                <w:sz w:val="20"/>
                <w:szCs w:val="20"/>
                <w:color w:val="auto"/>
              </w:rPr>
            </w:pPr>
            <w:r>
              <w:rPr>
                <w:rFonts w:ascii="Arial" w:cs="Arial" w:eastAsia="Arial" w:hAnsi="Arial"/>
                <w:sz w:val="14"/>
                <w:szCs w:val="14"/>
                <w:b w:val="1"/>
                <w:bCs w:val="1"/>
                <w:color w:val="auto"/>
              </w:rPr>
              <w:t>Pre tax</w:t>
            </w:r>
          </w:p>
        </w:tc>
        <w:tc>
          <w:tcPr>
            <w:tcW w:w="152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w w:val="90"/>
              </w:rPr>
              <w:t>Tax</w:t>
            </w:r>
          </w:p>
        </w:tc>
        <w:tc>
          <w:tcPr>
            <w:tcW w:w="160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After tax</w:t>
            </w:r>
          </w:p>
        </w:tc>
        <w:tc>
          <w:tcPr>
            <w:tcW w:w="16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Per Share</w:t>
            </w:r>
          </w:p>
        </w:tc>
      </w:tr>
      <w:tr>
        <w:trPr>
          <w:trHeight w:val="175"/>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460" w:type="dxa"/>
            <w:vAlign w:val="bottom"/>
            <w:tcBorders>
              <w:bottom w:val="single" w:sz="8" w:color="auto"/>
            </w:tcBorders>
          </w:tcPr>
          <w:p>
            <w:pPr>
              <w:jc w:val="center"/>
              <w:ind w:left="763"/>
              <w:spacing w:after="0"/>
              <w:rPr>
                <w:sz w:val="20"/>
                <w:szCs w:val="20"/>
                <w:color w:val="auto"/>
              </w:rPr>
            </w:pPr>
            <w:r>
              <w:rPr>
                <w:rFonts w:ascii="Arial" w:cs="Arial" w:eastAsia="Arial" w:hAnsi="Arial"/>
                <w:sz w:val="14"/>
                <w:szCs w:val="14"/>
                <w:b w:val="1"/>
                <w:bCs w:val="1"/>
                <w:color w:val="auto"/>
              </w:rPr>
              <w:t>Amounts</w:t>
            </w: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Effect</w:t>
            </w: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Effect</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w:t>
            </w:r>
          </w:p>
        </w:tc>
      </w:tr>
      <w:tr>
        <w:trPr>
          <w:trHeight w:val="184"/>
        </w:trPr>
        <w:tc>
          <w:tcPr>
            <w:tcW w:w="4180" w:type="dxa"/>
            <w:vAlign w:val="bottom"/>
            <w:gridSpan w:val="2"/>
          </w:tcPr>
          <w:p>
            <w:pPr>
              <w:spacing w:after="0"/>
              <w:rPr>
                <w:sz w:val="20"/>
                <w:szCs w:val="20"/>
                <w:color w:val="auto"/>
              </w:rPr>
            </w:pPr>
            <w:r>
              <w:rPr>
                <w:rFonts w:ascii="Arial" w:cs="Arial" w:eastAsia="Arial" w:hAnsi="Arial"/>
                <w:sz w:val="16"/>
                <w:szCs w:val="16"/>
                <w:color w:val="auto"/>
              </w:rPr>
              <w:t>Restructuring expenses, net</w:t>
            </w:r>
          </w:p>
        </w:tc>
        <w:tc>
          <w:tcPr>
            <w:tcW w:w="2460" w:type="dxa"/>
            <w:vAlign w:val="bottom"/>
          </w:tcPr>
          <w:p>
            <w:pPr>
              <w:jc w:val="right"/>
              <w:ind w:right="463"/>
              <w:spacing w:after="0"/>
              <w:rPr>
                <w:sz w:val="20"/>
                <w:szCs w:val="20"/>
                <w:color w:val="auto"/>
              </w:rPr>
            </w:pPr>
            <w:r>
              <w:rPr>
                <w:rFonts w:ascii="Arial" w:cs="Arial" w:eastAsia="Arial" w:hAnsi="Arial"/>
                <w:sz w:val="16"/>
                <w:szCs w:val="16"/>
                <w:color w:val="auto"/>
              </w:rPr>
              <w:t>$ 1,139</w:t>
            </w:r>
          </w:p>
        </w:tc>
        <w:tc>
          <w:tcPr>
            <w:tcW w:w="660" w:type="dxa"/>
            <w:vAlign w:val="bottom"/>
          </w:tcPr>
          <w:p>
            <w:pPr>
              <w:ind w:left="48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9"/>
              <w:spacing w:after="0"/>
              <w:rPr>
                <w:sz w:val="20"/>
                <w:szCs w:val="20"/>
                <w:color w:val="auto"/>
              </w:rPr>
            </w:pPr>
            <w:r>
              <w:rPr>
                <w:rFonts w:ascii="Arial" w:cs="Arial" w:eastAsia="Arial" w:hAnsi="Arial"/>
                <w:sz w:val="16"/>
                <w:szCs w:val="16"/>
                <w:color w:val="auto"/>
              </w:rPr>
              <w:t>330</w:t>
            </w:r>
          </w:p>
        </w:tc>
        <w:tc>
          <w:tcPr>
            <w:tcW w:w="7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59"/>
              <w:spacing w:after="0"/>
              <w:rPr>
                <w:sz w:val="20"/>
                <w:szCs w:val="20"/>
                <w:color w:val="auto"/>
              </w:rPr>
            </w:pPr>
            <w:r>
              <w:rPr>
                <w:rFonts w:ascii="Arial" w:cs="Arial" w:eastAsia="Arial" w:hAnsi="Arial"/>
                <w:sz w:val="16"/>
                <w:szCs w:val="16"/>
                <w:color w:val="auto"/>
              </w:rPr>
              <w:t>809</w:t>
            </w:r>
          </w:p>
        </w:tc>
        <w:tc>
          <w:tcPr>
            <w:tcW w:w="1660" w:type="dxa"/>
            <w:vAlign w:val="bottom"/>
          </w:tcPr>
          <w:p>
            <w:pPr>
              <w:jc w:val="right"/>
              <w:ind w:right="543"/>
              <w:spacing w:after="0"/>
              <w:rPr>
                <w:sz w:val="20"/>
                <w:szCs w:val="20"/>
                <w:color w:val="auto"/>
              </w:rPr>
            </w:pPr>
            <w:r>
              <w:rPr>
                <w:rFonts w:ascii="Arial" w:cs="Arial" w:eastAsia="Arial" w:hAnsi="Arial"/>
                <w:sz w:val="16"/>
                <w:szCs w:val="16"/>
                <w:color w:val="auto"/>
              </w:rPr>
              <w:t>$ 0.02</w:t>
            </w:r>
          </w:p>
        </w:tc>
      </w:tr>
      <w:tr>
        <w:trPr>
          <w:trHeight w:val="187"/>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Foreign currency revaluation gains</w:t>
            </w:r>
          </w:p>
        </w:tc>
        <w:tc>
          <w:tcPr>
            <w:tcW w:w="246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color w:val="auto"/>
              </w:rPr>
              <w:t>(3,795)</w:t>
            </w:r>
          </w:p>
        </w:tc>
        <w:tc>
          <w:tcPr>
            <w:tcW w:w="152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6"/>
                <w:szCs w:val="16"/>
                <w:color w:val="auto"/>
              </w:rPr>
              <w:t>(1,073)</w:t>
            </w:r>
          </w:p>
        </w:tc>
        <w:tc>
          <w:tcPr>
            <w:tcW w:w="160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6"/>
                <w:szCs w:val="16"/>
                <w:color w:val="auto"/>
              </w:rPr>
              <w:t>(2,722)</w:t>
            </w:r>
          </w:p>
        </w:tc>
        <w:tc>
          <w:tcPr>
            <w:tcW w:w="1660" w:type="dxa"/>
            <w:vAlign w:val="bottom"/>
            <w:tcBorders>
              <w:bottom w:val="single" w:sz="8" w:color="auto"/>
            </w:tcBorders>
          </w:tcPr>
          <w:p>
            <w:pPr>
              <w:jc w:val="right"/>
              <w:ind w:right="503"/>
              <w:spacing w:after="0"/>
              <w:rPr>
                <w:sz w:val="20"/>
                <w:szCs w:val="20"/>
                <w:color w:val="auto"/>
              </w:rPr>
            </w:pPr>
            <w:r>
              <w:rPr>
                <w:rFonts w:ascii="Arial" w:cs="Arial" w:eastAsia="Arial" w:hAnsi="Arial"/>
                <w:sz w:val="16"/>
                <w:szCs w:val="16"/>
                <w:color w:val="auto"/>
              </w:rPr>
              <w:t>(0.08)</w:t>
            </w:r>
          </w:p>
        </w:tc>
      </w:tr>
      <w:tr>
        <w:trPr>
          <w:trHeight w:val="304"/>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 September 30, 2018</w:t>
            </w:r>
          </w:p>
        </w:tc>
        <w:tc>
          <w:tcPr>
            <w:tcW w:w="2460" w:type="dxa"/>
            <w:vAlign w:val="bottom"/>
          </w:tcPr>
          <w:p>
            <w:pPr>
              <w:jc w:val="center"/>
              <w:ind w:left="783"/>
              <w:spacing w:after="0"/>
              <w:rPr>
                <w:sz w:val="20"/>
                <w:szCs w:val="20"/>
                <w:color w:val="auto"/>
              </w:rPr>
            </w:pPr>
            <w:r>
              <w:rPr>
                <w:rFonts w:ascii="Arial" w:cs="Arial" w:eastAsia="Arial" w:hAnsi="Arial"/>
                <w:sz w:val="14"/>
                <w:szCs w:val="14"/>
                <w:b w:val="1"/>
                <w:bCs w:val="1"/>
                <w:color w:val="auto"/>
              </w:rPr>
              <w:t>Pre tax</w:t>
            </w: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Tax</w:t>
            </w: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After tax</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Per Share</w:t>
            </w:r>
          </w:p>
        </w:tc>
      </w:tr>
      <w:tr>
        <w:trPr>
          <w:trHeight w:val="175"/>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460" w:type="dxa"/>
            <w:vAlign w:val="bottom"/>
            <w:tcBorders>
              <w:bottom w:val="single" w:sz="8" w:color="auto"/>
            </w:tcBorders>
          </w:tcPr>
          <w:p>
            <w:pPr>
              <w:jc w:val="center"/>
              <w:ind w:left="763"/>
              <w:spacing w:after="0"/>
              <w:rPr>
                <w:sz w:val="20"/>
                <w:szCs w:val="20"/>
                <w:color w:val="auto"/>
              </w:rPr>
            </w:pPr>
            <w:r>
              <w:rPr>
                <w:rFonts w:ascii="Arial" w:cs="Arial" w:eastAsia="Arial" w:hAnsi="Arial"/>
                <w:sz w:val="14"/>
                <w:szCs w:val="14"/>
                <w:b w:val="1"/>
                <w:bCs w:val="1"/>
                <w:color w:val="auto"/>
              </w:rPr>
              <w:t>Amounts</w:t>
            </w: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Effect</w:t>
            </w: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Effect</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w:t>
            </w:r>
          </w:p>
        </w:tc>
      </w:tr>
      <w:tr>
        <w:trPr>
          <w:trHeight w:val="184"/>
        </w:trPr>
        <w:tc>
          <w:tcPr>
            <w:tcW w:w="4180" w:type="dxa"/>
            <w:vAlign w:val="bottom"/>
            <w:gridSpan w:val="2"/>
          </w:tcPr>
          <w:p>
            <w:pPr>
              <w:spacing w:after="0"/>
              <w:rPr>
                <w:sz w:val="20"/>
                <w:szCs w:val="20"/>
                <w:color w:val="auto"/>
              </w:rPr>
            </w:pPr>
            <w:r>
              <w:rPr>
                <w:rFonts w:ascii="Arial" w:cs="Arial" w:eastAsia="Arial" w:hAnsi="Arial"/>
                <w:sz w:val="16"/>
                <w:szCs w:val="16"/>
                <w:color w:val="auto"/>
              </w:rPr>
              <w:t>Restructuring expenses, net</w:t>
            </w:r>
          </w:p>
        </w:tc>
        <w:tc>
          <w:tcPr>
            <w:tcW w:w="2460" w:type="dxa"/>
            <w:vAlign w:val="bottom"/>
          </w:tcPr>
          <w:p>
            <w:pPr>
              <w:jc w:val="right"/>
              <w:ind w:right="443"/>
              <w:spacing w:after="0"/>
              <w:rPr>
                <w:sz w:val="20"/>
                <w:szCs w:val="20"/>
                <w:color w:val="auto"/>
              </w:rPr>
            </w:pPr>
            <w:r>
              <w:rPr>
                <w:rFonts w:ascii="Arial" w:cs="Arial" w:eastAsia="Arial" w:hAnsi="Arial"/>
                <w:sz w:val="16"/>
                <w:szCs w:val="16"/>
                <w:color w:val="auto"/>
              </w:rPr>
              <w:t>$13,714</w:t>
            </w:r>
          </w:p>
        </w:tc>
        <w:tc>
          <w:tcPr>
            <w:tcW w:w="1520" w:type="dxa"/>
            <w:vAlign w:val="bottom"/>
            <w:gridSpan w:val="2"/>
          </w:tcPr>
          <w:p>
            <w:pPr>
              <w:jc w:val="right"/>
              <w:ind w:right="439"/>
              <w:spacing w:after="0"/>
              <w:rPr>
                <w:sz w:val="20"/>
                <w:szCs w:val="20"/>
                <w:color w:val="auto"/>
              </w:rPr>
            </w:pPr>
            <w:r>
              <w:rPr>
                <w:rFonts w:ascii="Arial" w:cs="Arial" w:eastAsia="Arial" w:hAnsi="Arial"/>
                <w:sz w:val="16"/>
                <w:szCs w:val="16"/>
                <w:color w:val="auto"/>
              </w:rPr>
              <w:t>$4,323</w:t>
            </w:r>
          </w:p>
        </w:tc>
        <w:tc>
          <w:tcPr>
            <w:tcW w:w="1600" w:type="dxa"/>
            <w:vAlign w:val="bottom"/>
            <w:gridSpan w:val="2"/>
          </w:tcPr>
          <w:p>
            <w:pPr>
              <w:jc w:val="right"/>
              <w:ind w:right="499"/>
              <w:spacing w:after="0"/>
              <w:rPr>
                <w:sz w:val="20"/>
                <w:szCs w:val="20"/>
                <w:color w:val="auto"/>
              </w:rPr>
            </w:pPr>
            <w:r>
              <w:rPr>
                <w:rFonts w:ascii="Arial" w:cs="Arial" w:eastAsia="Arial" w:hAnsi="Arial"/>
                <w:sz w:val="16"/>
                <w:szCs w:val="16"/>
                <w:color w:val="auto"/>
              </w:rPr>
              <w:t>$9,391</w:t>
            </w:r>
          </w:p>
        </w:tc>
        <w:tc>
          <w:tcPr>
            <w:tcW w:w="1660" w:type="dxa"/>
            <w:vAlign w:val="bottom"/>
          </w:tcPr>
          <w:p>
            <w:pPr>
              <w:jc w:val="right"/>
              <w:ind w:right="543"/>
              <w:spacing w:after="0"/>
              <w:rPr>
                <w:sz w:val="20"/>
                <w:szCs w:val="20"/>
                <w:color w:val="auto"/>
              </w:rPr>
            </w:pPr>
            <w:r>
              <w:rPr>
                <w:rFonts w:ascii="Arial" w:cs="Arial" w:eastAsia="Arial" w:hAnsi="Arial"/>
                <w:sz w:val="16"/>
                <w:szCs w:val="16"/>
                <w:color w:val="auto"/>
              </w:rPr>
              <w:t>$ 0.30</w:t>
            </w:r>
          </w:p>
        </w:tc>
      </w:tr>
      <w:tr>
        <w:trPr>
          <w:trHeight w:val="187"/>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Foreign currency revaluation gains</w:t>
            </w:r>
          </w:p>
        </w:tc>
        <w:tc>
          <w:tcPr>
            <w:tcW w:w="2460" w:type="dxa"/>
            <w:vAlign w:val="bottom"/>
            <w:tcBorders>
              <w:bottom w:val="single" w:sz="8" w:color="auto"/>
            </w:tcBorders>
          </w:tcPr>
          <w:p>
            <w:pPr>
              <w:jc w:val="right"/>
              <w:ind w:right="383"/>
              <w:spacing w:after="0"/>
              <w:rPr>
                <w:sz w:val="20"/>
                <w:szCs w:val="20"/>
                <w:color w:val="auto"/>
              </w:rPr>
            </w:pPr>
            <w:r>
              <w:rPr>
                <w:rFonts w:ascii="Arial" w:cs="Arial" w:eastAsia="Arial" w:hAnsi="Arial"/>
                <w:sz w:val="16"/>
                <w:szCs w:val="16"/>
                <w:color w:val="auto"/>
              </w:rPr>
              <w:t>(3,248)</w:t>
            </w:r>
          </w:p>
        </w:tc>
        <w:tc>
          <w:tcPr>
            <w:tcW w:w="6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96"/>
              </w:rPr>
              <w:t>(907)</w:t>
            </w:r>
          </w:p>
        </w:tc>
        <w:tc>
          <w:tcPr>
            <w:tcW w:w="160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6"/>
                <w:szCs w:val="16"/>
                <w:color w:val="auto"/>
              </w:rPr>
              <w:t>($2,341)</w:t>
            </w:r>
          </w:p>
        </w:tc>
        <w:tc>
          <w:tcPr>
            <w:tcW w:w="1660" w:type="dxa"/>
            <w:vAlign w:val="bottom"/>
            <w:tcBorders>
              <w:bottom w:val="single" w:sz="8" w:color="auto"/>
            </w:tcBorders>
          </w:tcPr>
          <w:p>
            <w:pPr>
              <w:jc w:val="right"/>
              <w:ind w:right="503"/>
              <w:spacing w:after="0"/>
              <w:rPr>
                <w:sz w:val="20"/>
                <w:szCs w:val="20"/>
                <w:color w:val="auto"/>
              </w:rPr>
            </w:pPr>
            <w:r>
              <w:rPr>
                <w:rFonts w:ascii="Arial" w:cs="Arial" w:eastAsia="Arial" w:hAnsi="Arial"/>
                <w:sz w:val="16"/>
                <w:szCs w:val="16"/>
                <w:color w:val="auto"/>
              </w:rPr>
              <w:t>(0.07)</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the calculation of Adjusted EPS:</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566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gridSpan w:val="2"/>
          </w:tcPr>
          <w:p>
            <w:pPr>
              <w:jc w:val="right"/>
              <w:ind w:right="181"/>
              <w:spacing w:after="0"/>
              <w:rPr>
                <w:sz w:val="20"/>
                <w:szCs w:val="20"/>
                <w:color w:val="auto"/>
              </w:rPr>
            </w:pPr>
            <w:r>
              <w:rPr>
                <w:rFonts w:ascii="Arial" w:cs="Arial" w:eastAsia="Arial" w:hAnsi="Arial"/>
                <w:sz w:val="14"/>
                <w:szCs w:val="14"/>
                <w:b w:val="1"/>
                <w:bCs w:val="1"/>
                <w:color w:val="auto"/>
              </w:rPr>
              <w:t>Three months ended</w:t>
            </w:r>
          </w:p>
        </w:tc>
        <w:tc>
          <w:tcPr>
            <w:tcW w:w="1840" w:type="dxa"/>
            <w:vAlign w:val="bottom"/>
            <w:tcBorders>
              <w:top w:val="single" w:sz="8" w:color="auto"/>
            </w:tcBorders>
            <w:gridSpan w:val="2"/>
          </w:tcPr>
          <w:p>
            <w:pPr>
              <w:jc w:val="right"/>
              <w:ind w:right="18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Per share amounts (Basic)</w:t>
            </w:r>
          </w:p>
        </w:tc>
        <w:tc>
          <w:tcPr>
            <w:tcW w:w="1920" w:type="dxa"/>
            <w:vAlign w:val="bottom"/>
            <w:tcBorders>
              <w:bottom w:val="single" w:sz="8" w:color="auto"/>
            </w:tcBorders>
            <w:gridSpan w:val="2"/>
          </w:tcPr>
          <w:p>
            <w:pPr>
              <w:jc w:val="right"/>
              <w:ind w:right="401"/>
              <w:spacing w:after="0"/>
              <w:rPr>
                <w:sz w:val="20"/>
                <w:szCs w:val="20"/>
                <w:color w:val="auto"/>
              </w:rPr>
            </w:pPr>
            <w:r>
              <w:rPr>
                <w:rFonts w:ascii="Arial" w:cs="Arial" w:eastAsia="Arial" w:hAnsi="Arial"/>
                <w:sz w:val="14"/>
                <w:szCs w:val="14"/>
                <w:b w:val="1"/>
                <w:bCs w:val="1"/>
                <w:color w:val="auto"/>
              </w:rPr>
              <w:t>September 30,</w:t>
            </w:r>
          </w:p>
        </w:tc>
        <w:tc>
          <w:tcPr>
            <w:tcW w:w="1840" w:type="dxa"/>
            <w:vAlign w:val="bottom"/>
            <w:tcBorders>
              <w:bottom w:val="single" w:sz="8" w:color="auto"/>
            </w:tcBorders>
            <w:gridSpan w:val="2"/>
          </w:tcPr>
          <w:p>
            <w:pPr>
              <w:jc w:val="right"/>
              <w:ind w:right="36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566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tcPr>
          <w:p>
            <w:pPr>
              <w:jc w:val="right"/>
              <w:ind w:right="263"/>
              <w:spacing w:after="0" w:line="155"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jc w:val="right"/>
              <w:ind w:right="261"/>
              <w:spacing w:after="0" w:line="155" w:lineRule="exact"/>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jc w:val="right"/>
              <w:ind w:right="263"/>
              <w:spacing w:after="0" w:line="155" w:lineRule="exact"/>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jc w:val="right"/>
              <w:ind w:right="22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4"/>
        </w:trPr>
        <w:tc>
          <w:tcPr>
            <w:tcW w:w="5660" w:type="dxa"/>
            <w:vAlign w:val="bottom"/>
          </w:tcPr>
          <w:p>
            <w:pPr>
              <w:spacing w:after="0"/>
              <w:rPr>
                <w:sz w:val="20"/>
                <w:szCs w:val="20"/>
                <w:color w:val="auto"/>
              </w:rPr>
            </w:pPr>
            <w:r>
              <w:rPr>
                <w:rFonts w:ascii="Arial" w:cs="Arial" w:eastAsia="Arial" w:hAnsi="Arial"/>
                <w:sz w:val="16"/>
                <w:szCs w:val="16"/>
                <w:color w:val="auto"/>
              </w:rPr>
              <w:t>Earnings per share - basic (GAAP)</w:t>
            </w:r>
          </w:p>
        </w:tc>
        <w:tc>
          <w:tcPr>
            <w:tcW w:w="980" w:type="dxa"/>
            <w:vAlign w:val="bottom"/>
          </w:tcPr>
          <w:p>
            <w:pPr>
              <w:jc w:val="right"/>
              <w:ind w:right="203"/>
              <w:spacing w:after="0"/>
              <w:rPr>
                <w:sz w:val="20"/>
                <w:szCs w:val="20"/>
                <w:color w:val="auto"/>
              </w:rPr>
            </w:pPr>
            <w:r>
              <w:rPr>
                <w:rFonts w:ascii="Arial" w:cs="Arial" w:eastAsia="Arial" w:hAnsi="Arial"/>
                <w:sz w:val="16"/>
                <w:szCs w:val="16"/>
                <w:b w:val="1"/>
                <w:bCs w:val="1"/>
                <w:color w:val="auto"/>
              </w:rPr>
              <w:t>$ 1.24</w:t>
            </w:r>
          </w:p>
        </w:tc>
        <w:tc>
          <w:tcPr>
            <w:tcW w:w="940" w:type="dxa"/>
            <w:vAlign w:val="bottom"/>
          </w:tcPr>
          <w:p>
            <w:pPr>
              <w:jc w:val="right"/>
              <w:ind w:right="201"/>
              <w:spacing w:after="0"/>
              <w:rPr>
                <w:sz w:val="20"/>
                <w:szCs w:val="20"/>
                <w:color w:val="auto"/>
              </w:rPr>
            </w:pPr>
            <w:r>
              <w:rPr>
                <w:rFonts w:ascii="Arial" w:cs="Arial" w:eastAsia="Arial" w:hAnsi="Arial"/>
                <w:sz w:val="16"/>
                <w:szCs w:val="16"/>
                <w:color w:val="auto"/>
              </w:rPr>
              <w:t>$ 0.86</w:t>
            </w:r>
          </w:p>
        </w:tc>
        <w:tc>
          <w:tcPr>
            <w:tcW w:w="940" w:type="dxa"/>
            <w:vAlign w:val="bottom"/>
          </w:tcPr>
          <w:p>
            <w:pPr>
              <w:jc w:val="right"/>
              <w:ind w:right="203"/>
              <w:spacing w:after="0"/>
              <w:rPr>
                <w:sz w:val="20"/>
                <w:szCs w:val="20"/>
                <w:color w:val="auto"/>
              </w:rPr>
            </w:pPr>
            <w:r>
              <w:rPr>
                <w:rFonts w:ascii="Arial" w:cs="Arial" w:eastAsia="Arial" w:hAnsi="Arial"/>
                <w:sz w:val="16"/>
                <w:szCs w:val="16"/>
                <w:b w:val="1"/>
                <w:bCs w:val="1"/>
                <w:color w:val="auto"/>
              </w:rPr>
              <w:t>$ 3.20</w:t>
            </w:r>
          </w:p>
        </w:tc>
        <w:tc>
          <w:tcPr>
            <w:tcW w:w="900" w:type="dxa"/>
            <w:vAlign w:val="bottom"/>
          </w:tcPr>
          <w:p>
            <w:pPr>
              <w:jc w:val="right"/>
              <w:ind w:right="161"/>
              <w:spacing w:after="0"/>
              <w:rPr>
                <w:sz w:val="20"/>
                <w:szCs w:val="20"/>
                <w:color w:val="auto"/>
              </w:rPr>
            </w:pPr>
            <w:r>
              <w:rPr>
                <w:rFonts w:ascii="Arial" w:cs="Arial" w:eastAsia="Arial" w:hAnsi="Arial"/>
                <w:sz w:val="16"/>
                <w:szCs w:val="16"/>
                <w:color w:val="auto"/>
              </w:rPr>
              <w:t>$ 2.02</w:t>
            </w:r>
          </w:p>
        </w:tc>
        <w:tc>
          <w:tcPr>
            <w:tcW w:w="0" w:type="dxa"/>
            <w:vAlign w:val="bottom"/>
          </w:tcPr>
          <w:p>
            <w:pPr>
              <w:spacing w:after="0"/>
              <w:rPr>
                <w:sz w:val="1"/>
                <w:szCs w:val="1"/>
                <w:color w:val="auto"/>
              </w:rPr>
            </w:pP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Adjustments:</w:t>
            </w:r>
          </w:p>
        </w:tc>
        <w:tc>
          <w:tcPr>
            <w:tcW w:w="980" w:type="dxa"/>
            <w:vAlign w:val="bottom"/>
            <w:vMerge w:val="restart"/>
          </w:tcPr>
          <w:p>
            <w:pPr>
              <w:jc w:val="right"/>
              <w:ind w:right="143"/>
              <w:spacing w:after="0"/>
              <w:rPr>
                <w:sz w:val="20"/>
                <w:szCs w:val="20"/>
                <w:color w:val="auto"/>
              </w:rPr>
            </w:pPr>
            <w:r>
              <w:rPr>
                <w:rFonts w:ascii="Arial" w:cs="Arial" w:eastAsia="Arial" w:hAnsi="Arial"/>
                <w:sz w:val="16"/>
                <w:szCs w:val="16"/>
                <w:b w:val="1"/>
                <w:bCs w:val="1"/>
                <w:color w:val="auto"/>
              </w:rPr>
              <w:t>(0.01)</w:t>
            </w:r>
          </w:p>
        </w:tc>
        <w:tc>
          <w:tcPr>
            <w:tcW w:w="940" w:type="dxa"/>
            <w:vAlign w:val="bottom"/>
          </w:tcPr>
          <w:p>
            <w:pPr>
              <w:spacing w:after="0"/>
              <w:rPr>
                <w:sz w:val="16"/>
                <w:szCs w:val="16"/>
                <w:color w:val="auto"/>
              </w:rPr>
            </w:pPr>
          </w:p>
        </w:tc>
        <w:tc>
          <w:tcPr>
            <w:tcW w:w="940" w:type="dxa"/>
            <w:vAlign w:val="bottom"/>
            <w:vMerge w:val="restart"/>
          </w:tcPr>
          <w:p>
            <w:pPr>
              <w:jc w:val="right"/>
              <w:ind w:right="203"/>
              <w:spacing w:after="0"/>
              <w:rPr>
                <w:sz w:val="20"/>
                <w:szCs w:val="20"/>
                <w:color w:val="auto"/>
              </w:rPr>
            </w:pPr>
            <w:r>
              <w:rPr>
                <w:rFonts w:ascii="Arial" w:cs="Arial" w:eastAsia="Arial" w:hAnsi="Arial"/>
                <w:sz w:val="16"/>
                <w:szCs w:val="16"/>
                <w:b w:val="1"/>
                <w:bCs w:val="1"/>
                <w:color w:val="auto"/>
              </w:rPr>
              <w:t>0.02</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60" w:type="dxa"/>
            <w:vAlign w:val="bottom"/>
          </w:tcPr>
          <w:p>
            <w:pPr>
              <w:spacing w:after="0" w:line="169" w:lineRule="exact"/>
              <w:rPr>
                <w:sz w:val="20"/>
                <w:szCs w:val="20"/>
                <w:color w:val="auto"/>
              </w:rPr>
            </w:pPr>
            <w:r>
              <w:rPr>
                <w:rFonts w:ascii="Arial" w:cs="Arial" w:eastAsia="Arial" w:hAnsi="Arial"/>
                <w:sz w:val="16"/>
                <w:szCs w:val="16"/>
                <w:color w:val="auto"/>
              </w:rPr>
              <w:t>Restructuring expenses, net (after-tax)</w:t>
            </w:r>
          </w:p>
        </w:tc>
        <w:tc>
          <w:tcPr>
            <w:tcW w:w="980" w:type="dxa"/>
            <w:vAlign w:val="bottom"/>
            <w:vMerge w:val="continue"/>
          </w:tcPr>
          <w:p>
            <w:pPr>
              <w:spacing w:after="0"/>
              <w:rPr>
                <w:sz w:val="14"/>
                <w:szCs w:val="14"/>
                <w:color w:val="auto"/>
              </w:rPr>
            </w:pPr>
          </w:p>
        </w:tc>
        <w:tc>
          <w:tcPr>
            <w:tcW w:w="940" w:type="dxa"/>
            <w:vAlign w:val="bottom"/>
          </w:tcPr>
          <w:p>
            <w:pPr>
              <w:jc w:val="right"/>
              <w:ind w:right="201"/>
              <w:spacing w:after="0" w:line="169" w:lineRule="exact"/>
              <w:rPr>
                <w:sz w:val="20"/>
                <w:szCs w:val="20"/>
                <w:color w:val="auto"/>
              </w:rPr>
            </w:pPr>
            <w:r>
              <w:rPr>
                <w:rFonts w:ascii="Arial" w:cs="Arial" w:eastAsia="Arial" w:hAnsi="Arial"/>
                <w:sz w:val="16"/>
                <w:szCs w:val="16"/>
                <w:color w:val="auto"/>
              </w:rPr>
              <w:t>0.06</w:t>
            </w:r>
          </w:p>
        </w:tc>
        <w:tc>
          <w:tcPr>
            <w:tcW w:w="940" w:type="dxa"/>
            <w:vAlign w:val="bottom"/>
            <w:vMerge w:val="continue"/>
          </w:tcPr>
          <w:p>
            <w:pPr>
              <w:spacing w:after="0"/>
              <w:rPr>
                <w:sz w:val="14"/>
                <w:szCs w:val="14"/>
                <w:color w:val="auto"/>
              </w:rPr>
            </w:pPr>
          </w:p>
        </w:tc>
        <w:tc>
          <w:tcPr>
            <w:tcW w:w="900" w:type="dxa"/>
            <w:vAlign w:val="bottom"/>
          </w:tcPr>
          <w:p>
            <w:pPr>
              <w:jc w:val="right"/>
              <w:ind w:right="161"/>
              <w:spacing w:after="0" w:line="169" w:lineRule="exact"/>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7"/>
        </w:trPr>
        <w:tc>
          <w:tcPr>
            <w:tcW w:w="5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currency revaluation (gains)/losses (after-tax)</w:t>
            </w:r>
          </w:p>
        </w:tc>
        <w:tc>
          <w:tcPr>
            <w:tcW w:w="9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0.06)</w:t>
            </w:r>
          </w:p>
        </w:tc>
        <w:tc>
          <w:tcPr>
            <w:tcW w:w="9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(0.07)</w:t>
            </w:r>
          </w:p>
        </w:tc>
        <w:tc>
          <w:tcPr>
            <w:tcW w:w="94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(0.08)</w:t>
            </w:r>
          </w:p>
        </w:tc>
        <w:tc>
          <w:tcPr>
            <w:tcW w:w="9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183"/>
        </w:trPr>
        <w:tc>
          <w:tcPr>
            <w:tcW w:w="56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Adjusted Earnings per share</w:t>
            </w:r>
          </w:p>
        </w:tc>
        <w:tc>
          <w:tcPr>
            <w:tcW w:w="980" w:type="dxa"/>
            <w:vAlign w:val="bottom"/>
            <w:tcBorders>
              <w:bottom w:val="single" w:sz="8" w:color="auto"/>
            </w:tcBorders>
          </w:tcPr>
          <w:p>
            <w:pPr>
              <w:jc w:val="right"/>
              <w:ind w:right="203"/>
              <w:spacing w:after="0" w:line="183" w:lineRule="exact"/>
              <w:rPr>
                <w:sz w:val="20"/>
                <w:szCs w:val="20"/>
                <w:color w:val="auto"/>
              </w:rPr>
            </w:pPr>
            <w:r>
              <w:rPr>
                <w:rFonts w:ascii="Arial" w:cs="Arial" w:eastAsia="Arial" w:hAnsi="Arial"/>
                <w:sz w:val="16"/>
                <w:szCs w:val="16"/>
                <w:b w:val="1"/>
                <w:bCs w:val="1"/>
                <w:color w:val="auto"/>
              </w:rPr>
              <w:t>$ 1.17</w:t>
            </w:r>
          </w:p>
        </w:tc>
        <w:tc>
          <w:tcPr>
            <w:tcW w:w="940" w:type="dxa"/>
            <w:vAlign w:val="bottom"/>
            <w:tcBorders>
              <w:bottom w:val="single" w:sz="8" w:color="auto"/>
            </w:tcBorders>
          </w:tcPr>
          <w:p>
            <w:pPr>
              <w:jc w:val="right"/>
              <w:ind w:right="201"/>
              <w:spacing w:after="0" w:line="183" w:lineRule="exact"/>
              <w:rPr>
                <w:sz w:val="20"/>
                <w:szCs w:val="20"/>
                <w:color w:val="auto"/>
              </w:rPr>
            </w:pPr>
            <w:r>
              <w:rPr>
                <w:rFonts w:ascii="Arial" w:cs="Arial" w:eastAsia="Arial" w:hAnsi="Arial"/>
                <w:sz w:val="16"/>
                <w:szCs w:val="16"/>
                <w:color w:val="auto"/>
              </w:rPr>
              <w:t>$ 0.85</w:t>
            </w:r>
          </w:p>
        </w:tc>
        <w:tc>
          <w:tcPr>
            <w:tcW w:w="940" w:type="dxa"/>
            <w:vAlign w:val="bottom"/>
            <w:tcBorders>
              <w:bottom w:val="single" w:sz="8" w:color="auto"/>
            </w:tcBorders>
          </w:tcPr>
          <w:p>
            <w:pPr>
              <w:jc w:val="right"/>
              <w:ind w:right="203"/>
              <w:spacing w:after="0" w:line="183" w:lineRule="exact"/>
              <w:rPr>
                <w:sz w:val="20"/>
                <w:szCs w:val="20"/>
                <w:color w:val="auto"/>
              </w:rPr>
            </w:pPr>
            <w:r>
              <w:rPr>
                <w:rFonts w:ascii="Arial" w:cs="Arial" w:eastAsia="Arial" w:hAnsi="Arial"/>
                <w:sz w:val="16"/>
                <w:szCs w:val="16"/>
                <w:b w:val="1"/>
                <w:bCs w:val="1"/>
                <w:color w:val="auto"/>
              </w:rPr>
              <w:t>$ 3.14</w:t>
            </w:r>
          </w:p>
        </w:tc>
        <w:tc>
          <w:tcPr>
            <w:tcW w:w="900" w:type="dxa"/>
            <w:vAlign w:val="bottom"/>
            <w:tcBorders>
              <w:bottom w:val="single" w:sz="8" w:color="auto"/>
            </w:tcBorders>
          </w:tcPr>
          <w:p>
            <w:pPr>
              <w:jc w:val="right"/>
              <w:ind w:right="161"/>
              <w:spacing w:after="0" w:line="183" w:lineRule="exact"/>
              <w:rPr>
                <w:sz w:val="20"/>
                <w:szCs w:val="20"/>
                <w:color w:val="auto"/>
              </w:rPr>
            </w:pPr>
            <w:r>
              <w:rPr>
                <w:rFonts w:ascii="Arial" w:cs="Arial" w:eastAsia="Arial" w:hAnsi="Arial"/>
                <w:sz w:val="16"/>
                <w:szCs w:val="16"/>
                <w:color w:val="auto"/>
              </w:rPr>
              <w:t>$ 2.25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324"/>
        <w:spacing w:after="0"/>
        <w:rPr>
          <w:sz w:val="20"/>
          <w:szCs w:val="20"/>
          <w:color w:val="auto"/>
        </w:rPr>
      </w:pPr>
      <w:r>
        <w:rPr>
          <w:rFonts w:ascii="Arial" w:cs="Arial" w:eastAsia="Arial" w:hAnsi="Arial"/>
          <w:sz w:val="18"/>
          <w:szCs w:val="18"/>
          <w:color w:val="auto"/>
        </w:rPr>
        <w:t>Net debt is, in the opinion of the Company, helpful to investors wishing to understand what the Company’s debt position would be if all available cash were applied to pay down indebtedness. The Company calculates Net debt by subtracting Cash and cash equivalents from Total debt. Total debt is calculated by adding Long-term debt, Current maturities of long-term debt, and Notes and loans payable, if 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960" w:type="dxa"/>
            <w:vAlign w:val="bottom"/>
            <w:tcBorders>
              <w:top w:val="single" w:sz="8" w:color="auto"/>
              <w:bottom w:val="single" w:sz="8" w:color="auto"/>
            </w:tcBorders>
            <w:gridSpan w:val="2"/>
          </w:tcPr>
          <w:p>
            <w:pPr>
              <w:jc w:val="right"/>
              <w:ind w:right="159"/>
              <w:spacing w:after="0"/>
              <w:rPr>
                <w:sz w:val="20"/>
                <w:szCs w:val="20"/>
                <w:color w:val="auto"/>
              </w:rPr>
            </w:pPr>
            <w:r>
              <w:rPr>
                <w:rFonts w:ascii="Arial" w:cs="Arial" w:eastAsia="Arial" w:hAnsi="Arial"/>
                <w:sz w:val="14"/>
                <w:szCs w:val="14"/>
                <w:b w:val="1"/>
                <w:bCs w:val="1"/>
                <w:color w:val="auto"/>
              </w:rPr>
              <w:t>September 30, 2019</w:t>
            </w:r>
          </w:p>
        </w:tc>
        <w:tc>
          <w:tcPr>
            <w:tcW w:w="1460" w:type="dxa"/>
            <w:vAlign w:val="bottom"/>
            <w:tcBorders>
              <w:top w:val="single" w:sz="8" w:color="auto"/>
              <w:bottom w:val="single" w:sz="8" w:color="auto"/>
            </w:tcBorders>
            <w:gridSpan w:val="2"/>
          </w:tcPr>
          <w:p>
            <w:pPr>
              <w:jc w:val="right"/>
              <w:ind w:right="219"/>
              <w:spacing w:after="0"/>
              <w:rPr>
                <w:sz w:val="20"/>
                <w:szCs w:val="20"/>
                <w:color w:val="auto"/>
              </w:rPr>
            </w:pPr>
            <w:r>
              <w:rPr>
                <w:rFonts w:ascii="Arial" w:cs="Arial" w:eastAsia="Arial" w:hAnsi="Arial"/>
                <w:sz w:val="14"/>
                <w:szCs w:val="14"/>
                <w:b w:val="1"/>
                <w:bCs w:val="1"/>
                <w:color w:val="auto"/>
              </w:rPr>
              <w:t>June 30, 2019</w:t>
            </w:r>
          </w:p>
        </w:tc>
        <w:tc>
          <w:tcPr>
            <w:tcW w:w="1720" w:type="dxa"/>
            <w:vAlign w:val="bottom"/>
            <w:tcBorders>
              <w:top w:val="single" w:sz="8" w:color="auto"/>
              <w:bottom w:val="single" w:sz="8" w:color="auto"/>
            </w:tcBorders>
            <w:gridSpan w:val="2"/>
          </w:tcPr>
          <w:p>
            <w:pPr>
              <w:jc w:val="right"/>
              <w:ind w:right="299"/>
              <w:spacing w:after="0"/>
              <w:rPr>
                <w:sz w:val="20"/>
                <w:szCs w:val="20"/>
                <w:color w:val="auto"/>
              </w:rPr>
            </w:pPr>
            <w:r>
              <w:rPr>
                <w:rFonts w:ascii="Arial" w:cs="Arial" w:eastAsia="Arial" w:hAnsi="Arial"/>
                <w:sz w:val="14"/>
                <w:szCs w:val="14"/>
                <w:b w:val="1"/>
                <w:bCs w:val="1"/>
                <w:color w:val="auto"/>
              </w:rPr>
              <w:t>March 31, 2019</w:t>
            </w:r>
          </w:p>
        </w:tc>
        <w:tc>
          <w:tcPr>
            <w:tcW w:w="2180" w:type="dxa"/>
            <w:vAlign w:val="bottom"/>
            <w:tcBorders>
              <w:top w:val="single" w:sz="8" w:color="auto"/>
              <w:bottom w:val="single" w:sz="8" w:color="auto"/>
            </w:tcBorders>
            <w:gridSpan w:val="2"/>
          </w:tcPr>
          <w:p>
            <w:pPr>
              <w:jc w:val="right"/>
              <w:ind w:right="419"/>
              <w:spacing w:after="0"/>
              <w:rPr>
                <w:sz w:val="20"/>
                <w:szCs w:val="20"/>
                <w:color w:val="auto"/>
              </w:rPr>
            </w:pPr>
            <w:r>
              <w:rPr>
                <w:rFonts w:ascii="Arial" w:cs="Arial" w:eastAsia="Arial" w:hAnsi="Arial"/>
                <w:sz w:val="14"/>
                <w:szCs w:val="14"/>
                <w:b w:val="1"/>
                <w:bCs w:val="1"/>
                <w:color w:val="auto"/>
              </w:rPr>
              <w:t>December 31, 2018</w:t>
            </w:r>
          </w:p>
        </w:tc>
      </w:tr>
      <w:tr>
        <w:trPr>
          <w:trHeight w:val="184"/>
        </w:trPr>
        <w:tc>
          <w:tcPr>
            <w:tcW w:w="4100" w:type="dxa"/>
            <w:vAlign w:val="bottom"/>
          </w:tcPr>
          <w:p>
            <w:pPr>
              <w:spacing w:after="0"/>
              <w:rPr>
                <w:sz w:val="20"/>
                <w:szCs w:val="20"/>
                <w:color w:val="auto"/>
              </w:rPr>
            </w:pPr>
            <w:r>
              <w:rPr>
                <w:rFonts w:ascii="Arial" w:cs="Arial" w:eastAsia="Arial" w:hAnsi="Arial"/>
                <w:sz w:val="16"/>
                <w:szCs w:val="16"/>
                <w:color w:val="auto"/>
              </w:rPr>
              <w:t>Current maturities of long-term debt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79"/>
              <w:spacing w:after="0"/>
              <w:rPr>
                <w:sz w:val="20"/>
                <w:szCs w:val="20"/>
                <w:color w:val="auto"/>
              </w:rPr>
            </w:pPr>
            <w:r>
              <w:rPr>
                <w:rFonts w:ascii="Arial" w:cs="Arial" w:eastAsia="Arial" w:hAnsi="Arial"/>
                <w:sz w:val="16"/>
                <w:szCs w:val="16"/>
                <w:color w:val="auto"/>
              </w:rPr>
              <w:t>20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59"/>
              <w:spacing w:after="0"/>
              <w:rPr>
                <w:sz w:val="20"/>
                <w:szCs w:val="20"/>
                <w:color w:val="auto"/>
              </w:rPr>
            </w:pPr>
            <w:r>
              <w:rPr>
                <w:rFonts w:ascii="Arial" w:cs="Arial" w:eastAsia="Arial" w:hAnsi="Arial"/>
                <w:sz w:val="16"/>
                <w:szCs w:val="16"/>
                <w:color w:val="auto"/>
              </w:rPr>
              <w:t>19</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79"/>
              <w:spacing w:after="0"/>
              <w:rPr>
                <w:sz w:val="20"/>
                <w:szCs w:val="20"/>
                <w:color w:val="auto"/>
              </w:rPr>
            </w:pPr>
            <w:r>
              <w:rPr>
                <w:rFonts w:ascii="Arial" w:cs="Arial" w:eastAsia="Arial" w:hAnsi="Arial"/>
                <w:sz w:val="16"/>
                <w:szCs w:val="16"/>
                <w:color w:val="auto"/>
              </w:rPr>
              <w:t>19</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19"/>
              <w:spacing w:after="0"/>
              <w:rPr>
                <w:sz w:val="20"/>
                <w:szCs w:val="20"/>
                <w:color w:val="auto"/>
              </w:rPr>
            </w:pPr>
            <w:r>
              <w:rPr>
                <w:rFonts w:ascii="Arial" w:cs="Arial" w:eastAsia="Arial" w:hAnsi="Arial"/>
                <w:sz w:val="16"/>
                <w:szCs w:val="16"/>
                <w:color w:val="auto"/>
              </w:rPr>
              <w:t>1,224</w:t>
            </w:r>
          </w:p>
        </w:tc>
      </w:tr>
      <w:tr>
        <w:trPr>
          <w:trHeight w:val="187"/>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Long-term debt</w:t>
            </w:r>
          </w:p>
        </w:tc>
        <w:tc>
          <w:tcPr>
            <w:tcW w:w="196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6"/>
                <w:szCs w:val="16"/>
                <w:color w:val="auto"/>
              </w:rPr>
              <w:t>424,012</w:t>
            </w:r>
          </w:p>
        </w:tc>
        <w:tc>
          <w:tcPr>
            <w:tcW w:w="146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6"/>
                <w:szCs w:val="16"/>
                <w:color w:val="auto"/>
              </w:rPr>
              <w:t>482,019</w:t>
            </w:r>
          </w:p>
        </w:tc>
        <w:tc>
          <w:tcPr>
            <w:tcW w:w="172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6"/>
                <w:szCs w:val="16"/>
                <w:color w:val="auto"/>
              </w:rPr>
              <w:t>491,022</w:t>
            </w:r>
          </w:p>
        </w:tc>
        <w:tc>
          <w:tcPr>
            <w:tcW w:w="2180" w:type="dxa"/>
            <w:vAlign w:val="bottom"/>
            <w:tcBorders>
              <w:bottom w:val="single" w:sz="8" w:color="auto"/>
            </w:tcBorders>
            <w:gridSpan w:val="2"/>
          </w:tcPr>
          <w:p>
            <w:pPr>
              <w:jc w:val="right"/>
              <w:ind w:right="719"/>
              <w:spacing w:after="0"/>
              <w:rPr>
                <w:sz w:val="20"/>
                <w:szCs w:val="20"/>
                <w:color w:val="auto"/>
              </w:rPr>
            </w:pPr>
            <w:r>
              <w:rPr>
                <w:rFonts w:ascii="Arial" w:cs="Arial" w:eastAsia="Arial" w:hAnsi="Arial"/>
                <w:sz w:val="16"/>
                <w:szCs w:val="16"/>
                <w:color w:val="auto"/>
              </w:rPr>
              <w:t>523,707</w:t>
            </w:r>
          </w:p>
        </w:tc>
      </w:tr>
      <w:tr>
        <w:trPr>
          <w:trHeight w:val="183"/>
        </w:trPr>
        <w:tc>
          <w:tcPr>
            <w:tcW w:w="41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Total debt</w:t>
            </w:r>
          </w:p>
        </w:tc>
        <w:tc>
          <w:tcPr>
            <w:tcW w:w="1960" w:type="dxa"/>
            <w:vAlign w:val="bottom"/>
            <w:tcBorders>
              <w:bottom w:val="single" w:sz="8" w:color="auto"/>
            </w:tcBorders>
            <w:gridSpan w:val="2"/>
          </w:tcPr>
          <w:p>
            <w:pPr>
              <w:jc w:val="right"/>
              <w:ind w:right="499"/>
              <w:spacing w:after="0" w:line="183" w:lineRule="exact"/>
              <w:rPr>
                <w:sz w:val="20"/>
                <w:szCs w:val="20"/>
                <w:color w:val="auto"/>
              </w:rPr>
            </w:pPr>
            <w:r>
              <w:rPr>
                <w:rFonts w:ascii="Arial" w:cs="Arial" w:eastAsia="Arial" w:hAnsi="Arial"/>
                <w:sz w:val="16"/>
                <w:szCs w:val="16"/>
                <w:b w:val="1"/>
                <w:bCs w:val="1"/>
                <w:color w:val="auto"/>
              </w:rPr>
              <w:t>424,032</w:t>
            </w:r>
          </w:p>
        </w:tc>
        <w:tc>
          <w:tcPr>
            <w:tcW w:w="1460" w:type="dxa"/>
            <w:vAlign w:val="bottom"/>
            <w:tcBorders>
              <w:bottom w:val="single" w:sz="8" w:color="auto"/>
            </w:tcBorders>
            <w:gridSpan w:val="2"/>
          </w:tcPr>
          <w:p>
            <w:pPr>
              <w:jc w:val="right"/>
              <w:ind w:right="359"/>
              <w:spacing w:after="0" w:line="183" w:lineRule="exact"/>
              <w:rPr>
                <w:sz w:val="20"/>
                <w:szCs w:val="20"/>
                <w:color w:val="auto"/>
              </w:rPr>
            </w:pPr>
            <w:r>
              <w:rPr>
                <w:rFonts w:ascii="Arial" w:cs="Arial" w:eastAsia="Arial" w:hAnsi="Arial"/>
                <w:sz w:val="16"/>
                <w:szCs w:val="16"/>
                <w:b w:val="1"/>
                <w:bCs w:val="1"/>
                <w:color w:val="auto"/>
              </w:rPr>
              <w:t>482,038</w:t>
            </w:r>
          </w:p>
        </w:tc>
        <w:tc>
          <w:tcPr>
            <w:tcW w:w="1720" w:type="dxa"/>
            <w:vAlign w:val="bottom"/>
            <w:tcBorders>
              <w:bottom w:val="single" w:sz="8" w:color="auto"/>
            </w:tcBorders>
            <w:gridSpan w:val="2"/>
          </w:tcPr>
          <w:p>
            <w:pPr>
              <w:jc w:val="right"/>
              <w:ind w:right="479"/>
              <w:spacing w:after="0" w:line="183" w:lineRule="exact"/>
              <w:rPr>
                <w:sz w:val="20"/>
                <w:szCs w:val="20"/>
                <w:color w:val="auto"/>
              </w:rPr>
            </w:pPr>
            <w:r>
              <w:rPr>
                <w:rFonts w:ascii="Arial" w:cs="Arial" w:eastAsia="Arial" w:hAnsi="Arial"/>
                <w:sz w:val="16"/>
                <w:szCs w:val="16"/>
                <w:b w:val="1"/>
                <w:bCs w:val="1"/>
                <w:color w:val="auto"/>
              </w:rPr>
              <w:t>491,041</w:t>
            </w:r>
          </w:p>
        </w:tc>
        <w:tc>
          <w:tcPr>
            <w:tcW w:w="2180" w:type="dxa"/>
            <w:vAlign w:val="bottom"/>
            <w:tcBorders>
              <w:bottom w:val="single" w:sz="8" w:color="auto"/>
            </w:tcBorders>
            <w:gridSpan w:val="2"/>
          </w:tcPr>
          <w:p>
            <w:pPr>
              <w:jc w:val="right"/>
              <w:ind w:right="719"/>
              <w:spacing w:after="0" w:line="183" w:lineRule="exact"/>
              <w:rPr>
                <w:sz w:val="20"/>
                <w:szCs w:val="20"/>
                <w:color w:val="auto"/>
              </w:rPr>
            </w:pPr>
            <w:r>
              <w:rPr>
                <w:rFonts w:ascii="Arial" w:cs="Arial" w:eastAsia="Arial" w:hAnsi="Arial"/>
                <w:sz w:val="16"/>
                <w:szCs w:val="16"/>
                <w:b w:val="1"/>
                <w:bCs w:val="1"/>
                <w:color w:val="auto"/>
              </w:rPr>
              <w:t>524,931</w:t>
            </w:r>
          </w:p>
        </w:tc>
      </w:tr>
      <w:tr>
        <w:trPr>
          <w:trHeight w:val="183"/>
        </w:trPr>
        <w:tc>
          <w:tcPr>
            <w:tcW w:w="41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Cash and cash equivalents</w:t>
            </w:r>
          </w:p>
        </w:tc>
        <w:tc>
          <w:tcPr>
            <w:tcW w:w="1960" w:type="dxa"/>
            <w:vAlign w:val="bottom"/>
            <w:tcBorders>
              <w:bottom w:val="single" w:sz="8" w:color="auto"/>
            </w:tcBorders>
            <w:gridSpan w:val="2"/>
          </w:tcPr>
          <w:p>
            <w:pPr>
              <w:jc w:val="right"/>
              <w:ind w:right="499"/>
              <w:spacing w:after="0" w:line="183" w:lineRule="exact"/>
              <w:rPr>
                <w:sz w:val="20"/>
                <w:szCs w:val="20"/>
                <w:color w:val="auto"/>
              </w:rPr>
            </w:pPr>
            <w:r>
              <w:rPr>
                <w:rFonts w:ascii="Arial" w:cs="Arial" w:eastAsia="Arial" w:hAnsi="Arial"/>
                <w:sz w:val="16"/>
                <w:szCs w:val="16"/>
                <w:color w:val="auto"/>
              </w:rPr>
              <w:t>173,739</w:t>
            </w:r>
          </w:p>
        </w:tc>
        <w:tc>
          <w:tcPr>
            <w:tcW w:w="1460" w:type="dxa"/>
            <w:vAlign w:val="bottom"/>
            <w:tcBorders>
              <w:bottom w:val="single" w:sz="8" w:color="auto"/>
            </w:tcBorders>
            <w:gridSpan w:val="2"/>
          </w:tcPr>
          <w:p>
            <w:pPr>
              <w:jc w:val="right"/>
              <w:ind w:right="359"/>
              <w:spacing w:after="0" w:line="183" w:lineRule="exact"/>
              <w:rPr>
                <w:sz w:val="20"/>
                <w:szCs w:val="20"/>
                <w:color w:val="auto"/>
              </w:rPr>
            </w:pPr>
            <w:r>
              <w:rPr>
                <w:rFonts w:ascii="Arial" w:cs="Arial" w:eastAsia="Arial" w:hAnsi="Arial"/>
                <w:sz w:val="16"/>
                <w:szCs w:val="16"/>
                <w:color w:val="auto"/>
              </w:rPr>
              <w:t>215,233</w:t>
            </w:r>
          </w:p>
        </w:tc>
        <w:tc>
          <w:tcPr>
            <w:tcW w:w="1720" w:type="dxa"/>
            <w:vAlign w:val="bottom"/>
            <w:tcBorders>
              <w:bottom w:val="single" w:sz="8" w:color="auto"/>
            </w:tcBorders>
            <w:gridSpan w:val="2"/>
          </w:tcPr>
          <w:p>
            <w:pPr>
              <w:jc w:val="right"/>
              <w:ind w:right="479"/>
              <w:spacing w:after="0" w:line="183" w:lineRule="exact"/>
              <w:rPr>
                <w:sz w:val="20"/>
                <w:szCs w:val="20"/>
                <w:color w:val="auto"/>
              </w:rPr>
            </w:pPr>
            <w:r>
              <w:rPr>
                <w:rFonts w:ascii="Arial" w:cs="Arial" w:eastAsia="Arial" w:hAnsi="Arial"/>
                <w:sz w:val="16"/>
                <w:szCs w:val="16"/>
                <w:color w:val="auto"/>
              </w:rPr>
              <w:t>187,385</w:t>
            </w:r>
          </w:p>
        </w:tc>
        <w:tc>
          <w:tcPr>
            <w:tcW w:w="2180" w:type="dxa"/>
            <w:vAlign w:val="bottom"/>
            <w:tcBorders>
              <w:bottom w:val="single" w:sz="8" w:color="auto"/>
            </w:tcBorders>
            <w:gridSpan w:val="2"/>
          </w:tcPr>
          <w:p>
            <w:pPr>
              <w:jc w:val="right"/>
              <w:ind w:right="719"/>
              <w:spacing w:after="0" w:line="183" w:lineRule="exact"/>
              <w:rPr>
                <w:sz w:val="20"/>
                <w:szCs w:val="20"/>
                <w:color w:val="auto"/>
              </w:rPr>
            </w:pPr>
            <w:r>
              <w:rPr>
                <w:rFonts w:ascii="Arial" w:cs="Arial" w:eastAsia="Arial" w:hAnsi="Arial"/>
                <w:sz w:val="16"/>
                <w:szCs w:val="16"/>
                <w:color w:val="auto"/>
              </w:rPr>
              <w:t>197,755</w:t>
            </w:r>
          </w:p>
        </w:tc>
      </w:tr>
      <w:tr>
        <w:trPr>
          <w:trHeight w:val="183"/>
        </w:trPr>
        <w:tc>
          <w:tcPr>
            <w:tcW w:w="41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Net debt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b w:val="1"/>
                <w:bCs w:val="1"/>
                <w:color w:val="auto"/>
              </w:rPr>
              <w:t>250,293</w:t>
            </w:r>
          </w:p>
        </w:tc>
        <w:tc>
          <w:tcPr>
            <w:tcW w:w="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b w:val="1"/>
                <w:bCs w:val="1"/>
                <w:color w:val="auto"/>
                <w:w w:val="96"/>
              </w:rPr>
              <w:t>266,805</w:t>
            </w:r>
          </w:p>
        </w:tc>
        <w:tc>
          <w:tcPr>
            <w:tcW w:w="1720" w:type="dxa"/>
            <w:vAlign w:val="bottom"/>
            <w:tcBorders>
              <w:bottom w:val="single" w:sz="8" w:color="auto"/>
            </w:tcBorders>
            <w:gridSpan w:val="2"/>
          </w:tcPr>
          <w:p>
            <w:pPr>
              <w:jc w:val="right"/>
              <w:ind w:right="479"/>
              <w:spacing w:after="0" w:line="183" w:lineRule="exact"/>
              <w:rPr>
                <w:sz w:val="20"/>
                <w:szCs w:val="20"/>
                <w:color w:val="auto"/>
              </w:rPr>
            </w:pPr>
            <w:r>
              <w:rPr>
                <w:rFonts w:ascii="Arial" w:cs="Arial" w:eastAsia="Arial" w:hAnsi="Arial"/>
                <w:sz w:val="16"/>
                <w:szCs w:val="16"/>
                <w:b w:val="1"/>
                <w:bCs w:val="1"/>
                <w:color w:val="auto"/>
              </w:rPr>
              <w:t>$303,656</w:t>
            </w:r>
          </w:p>
        </w:tc>
        <w:tc>
          <w:tcPr>
            <w:tcW w:w="2180" w:type="dxa"/>
            <w:vAlign w:val="bottom"/>
            <w:tcBorders>
              <w:bottom w:val="single" w:sz="8" w:color="auto"/>
            </w:tcBorders>
            <w:gridSpan w:val="2"/>
          </w:tcPr>
          <w:p>
            <w:pPr>
              <w:jc w:val="right"/>
              <w:ind w:right="719"/>
              <w:spacing w:after="0" w:line="183" w:lineRule="exact"/>
              <w:rPr>
                <w:sz w:val="20"/>
                <w:szCs w:val="20"/>
                <w:color w:val="auto"/>
              </w:rPr>
            </w:pPr>
            <w:r>
              <w:rPr>
                <w:rFonts w:ascii="Arial" w:cs="Arial" w:eastAsia="Arial" w:hAnsi="Arial"/>
                <w:sz w:val="16"/>
                <w:szCs w:val="16"/>
                <w:b w:val="1"/>
                <w:bCs w:val="1"/>
                <w:color w:val="auto"/>
              </w:rPr>
              <w:t>$327,176</w:t>
            </w:r>
          </w:p>
        </w:tc>
      </w:tr>
      <w:tr>
        <w:trPr>
          <w:trHeight w:val="184"/>
        </w:trPr>
        <w:tc>
          <w:tcPr>
            <w:tcW w:w="4100" w:type="dxa"/>
            <w:vAlign w:val="bottom"/>
          </w:tcPr>
          <w:p>
            <w:pPr>
              <w:spacing w:after="0"/>
              <w:rPr>
                <w:sz w:val="20"/>
                <w:szCs w:val="20"/>
                <w:color w:val="auto"/>
              </w:rPr>
            </w:pPr>
            <w:r>
              <w:rPr>
                <w:rFonts w:ascii="Arial" w:cs="Arial" w:eastAsia="Arial" w:hAnsi="Arial"/>
                <w:sz w:val="16"/>
                <w:szCs w:val="16"/>
                <w:color w:val="auto"/>
              </w:rPr>
              <w:t>Quarterly increase/(decrease)</w:t>
            </w:r>
          </w:p>
        </w:tc>
        <w:tc>
          <w:tcPr>
            <w:tcW w:w="800" w:type="dxa"/>
            <w:vAlign w:val="bottom"/>
          </w:tcPr>
          <w:p>
            <w:pPr>
              <w:spacing w:after="0"/>
              <w:rPr>
                <w:sz w:val="16"/>
                <w:szCs w:val="16"/>
                <w:color w:val="auto"/>
              </w:rPr>
            </w:pPr>
          </w:p>
        </w:tc>
        <w:tc>
          <w:tcPr>
            <w:tcW w:w="1160" w:type="dxa"/>
            <w:vAlign w:val="bottom"/>
          </w:tcPr>
          <w:p>
            <w:pPr>
              <w:jc w:val="right"/>
              <w:ind w:right="439"/>
              <w:spacing w:after="0"/>
              <w:rPr>
                <w:sz w:val="20"/>
                <w:szCs w:val="20"/>
                <w:color w:val="auto"/>
              </w:rPr>
            </w:pPr>
            <w:r>
              <w:rPr>
                <w:rFonts w:ascii="Arial" w:cs="Arial" w:eastAsia="Arial" w:hAnsi="Arial"/>
                <w:sz w:val="16"/>
                <w:szCs w:val="16"/>
                <w:color w:val="auto"/>
              </w:rPr>
              <w:t>(16,512)</w:t>
            </w:r>
          </w:p>
        </w:tc>
        <w:tc>
          <w:tcPr>
            <w:tcW w:w="440" w:type="dxa"/>
            <w:vAlign w:val="bottom"/>
          </w:tcPr>
          <w:p>
            <w:pPr>
              <w:spacing w:after="0"/>
              <w:rPr>
                <w:sz w:val="16"/>
                <w:szCs w:val="16"/>
                <w:color w:val="auto"/>
              </w:rPr>
            </w:pPr>
          </w:p>
        </w:tc>
        <w:tc>
          <w:tcPr>
            <w:tcW w:w="1020" w:type="dxa"/>
            <w:vAlign w:val="bottom"/>
          </w:tcPr>
          <w:p>
            <w:pPr>
              <w:jc w:val="right"/>
              <w:ind w:right="299"/>
              <w:spacing w:after="0"/>
              <w:rPr>
                <w:sz w:val="20"/>
                <w:szCs w:val="20"/>
                <w:color w:val="auto"/>
              </w:rPr>
            </w:pPr>
            <w:r>
              <w:rPr>
                <w:rFonts w:ascii="Arial" w:cs="Arial" w:eastAsia="Arial" w:hAnsi="Arial"/>
                <w:sz w:val="16"/>
                <w:szCs w:val="16"/>
                <w:color w:val="auto"/>
              </w:rPr>
              <w:t>(36,851)</w:t>
            </w:r>
          </w:p>
        </w:tc>
        <w:tc>
          <w:tcPr>
            <w:tcW w:w="600" w:type="dxa"/>
            <w:vAlign w:val="bottom"/>
          </w:tcPr>
          <w:p>
            <w:pPr>
              <w:spacing w:after="0"/>
              <w:rPr>
                <w:sz w:val="16"/>
                <w:szCs w:val="16"/>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color w:val="auto"/>
              </w:rPr>
              <w:t>(23,520)</w:t>
            </w: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7"/>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Effect of ASC 842 adoption</w:t>
            </w:r>
          </w:p>
        </w:tc>
        <w:tc>
          <w:tcPr>
            <w:tcW w:w="8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(25,886)</w:t>
            </w:r>
          </w:p>
        </w:tc>
        <w:tc>
          <w:tcPr>
            <w:tcW w:w="8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64"/>
        </w:trPr>
        <w:tc>
          <w:tcPr>
            <w:tcW w:w="4100" w:type="dxa"/>
            <w:vAlign w:val="bottom"/>
          </w:tcPr>
          <w:p>
            <w:pPr>
              <w:spacing w:after="0" w:line="165" w:lineRule="exact"/>
              <w:rPr>
                <w:sz w:val="20"/>
                <w:szCs w:val="20"/>
                <w:color w:val="auto"/>
              </w:rPr>
            </w:pPr>
            <w:r>
              <w:rPr>
                <w:rFonts w:ascii="Arial" w:cs="Arial" w:eastAsia="Arial" w:hAnsi="Arial"/>
                <w:sz w:val="16"/>
                <w:szCs w:val="16"/>
                <w:b w:val="1"/>
                <w:bCs w:val="1"/>
                <w:color w:val="auto"/>
              </w:rPr>
              <w:t>Increase/(decrease) excluding effect of ASC 842</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7"/>
        </w:trPr>
        <w:tc>
          <w:tcPr>
            <w:tcW w:w="41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adoption</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(16,512)</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(36,851)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2,366</w:t>
            </w:r>
          </w:p>
        </w:tc>
        <w:tc>
          <w:tcPr>
            <w:tcW w:w="8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bl>
    <w:p>
      <w:pPr>
        <w:spacing w:after="0" w:line="202"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18"/>
          <w:szCs w:val="18"/>
          <w:color w:val="auto"/>
        </w:rPr>
        <w:t>The following table contains the reconciliation of forecasted full-year 2019 Adjusted EBITDA and Adjusted EPS (non-GAAP measures) to comparable GAAP measures: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60" w:type="dxa"/>
            <w:vAlign w:val="bottom"/>
            <w:tcBorders>
              <w:top w:val="single" w:sz="8" w:color="auto"/>
            </w:tcBorders>
          </w:tcPr>
          <w:p>
            <w:pPr>
              <w:spacing w:after="0"/>
              <w:rPr>
                <w:sz w:val="15"/>
                <w:szCs w:val="15"/>
                <w:color w:val="auto"/>
              </w:rPr>
            </w:pPr>
          </w:p>
        </w:tc>
        <w:tc>
          <w:tcPr>
            <w:tcW w:w="2480" w:type="dxa"/>
            <w:vAlign w:val="bottom"/>
            <w:tcBorders>
              <w:top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rPr>
              <w:t>Total Company</w:t>
            </w:r>
          </w:p>
        </w:tc>
        <w:tc>
          <w:tcPr>
            <w:tcW w:w="242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Machine Clothing</w:t>
            </w:r>
          </w:p>
        </w:tc>
        <w:tc>
          <w:tcPr>
            <w:tcW w:w="9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3"/>
          </w:tcPr>
          <w:p>
            <w:pPr>
              <w:jc w:val="right"/>
              <w:ind w:right="1001"/>
              <w:spacing w:after="0"/>
              <w:rPr>
                <w:sz w:val="20"/>
                <w:szCs w:val="20"/>
                <w:color w:val="auto"/>
              </w:rPr>
            </w:pPr>
            <w:r>
              <w:rPr>
                <w:rFonts w:ascii="Arial" w:cs="Arial" w:eastAsia="Arial" w:hAnsi="Arial"/>
                <w:sz w:val="14"/>
                <w:szCs w:val="14"/>
                <w:b w:val="1"/>
                <w:bCs w:val="1"/>
                <w:color w:val="auto"/>
              </w:rPr>
              <w:t>AEC</w:t>
            </w:r>
          </w:p>
        </w:tc>
      </w:tr>
      <w:tr>
        <w:trPr>
          <w:trHeight w:val="156"/>
        </w:trPr>
        <w:tc>
          <w:tcPr>
            <w:tcW w:w="40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Forecast of full year 2019 Adjusted EBITDA (in millions)</w:t>
            </w:r>
          </w:p>
        </w:tc>
        <w:tc>
          <w:tcPr>
            <w:tcW w:w="1240" w:type="dxa"/>
            <w:vAlign w:val="bottom"/>
            <w:tcBorders>
              <w:top w:val="single" w:sz="8" w:color="auto"/>
              <w:bottom w:val="single" w:sz="8" w:color="auto"/>
            </w:tcBorders>
          </w:tcPr>
          <w:p>
            <w:pPr>
              <w:jc w:val="right"/>
              <w:ind w:right="401"/>
              <w:spacing w:after="0" w:line="155" w:lineRule="exact"/>
              <w:rPr>
                <w:sz w:val="20"/>
                <w:szCs w:val="20"/>
                <w:color w:val="auto"/>
              </w:rPr>
            </w:pPr>
            <w:r>
              <w:rPr>
                <w:rFonts w:ascii="Arial" w:cs="Arial" w:eastAsia="Arial" w:hAnsi="Arial"/>
                <w:sz w:val="14"/>
                <w:szCs w:val="14"/>
                <w:b w:val="1"/>
                <w:bCs w:val="1"/>
                <w:color w:val="auto"/>
              </w:rPr>
              <w:t>Low</w:t>
            </w:r>
          </w:p>
        </w:tc>
        <w:tc>
          <w:tcPr>
            <w:tcW w:w="1240" w:type="dxa"/>
            <w:vAlign w:val="bottom"/>
            <w:tcBorders>
              <w:top w:val="single" w:sz="8" w:color="auto"/>
              <w:bottom w:val="single" w:sz="8" w:color="auto"/>
            </w:tcBorders>
          </w:tcPr>
          <w:p>
            <w:pPr>
              <w:jc w:val="right"/>
              <w:ind w:right="420"/>
              <w:spacing w:after="0" w:line="155" w:lineRule="exact"/>
              <w:rPr>
                <w:sz w:val="20"/>
                <w:szCs w:val="20"/>
                <w:color w:val="auto"/>
              </w:rPr>
            </w:pPr>
            <w:r>
              <w:rPr>
                <w:rFonts w:ascii="Arial" w:cs="Arial" w:eastAsia="Arial" w:hAnsi="Arial"/>
                <w:sz w:val="14"/>
                <w:szCs w:val="14"/>
                <w:b w:val="1"/>
                <w:bCs w:val="1"/>
                <w:color w:val="auto"/>
              </w:rPr>
              <w:t>High</w:t>
            </w:r>
          </w:p>
        </w:tc>
        <w:tc>
          <w:tcPr>
            <w:tcW w:w="1220" w:type="dxa"/>
            <w:vAlign w:val="bottom"/>
            <w:tcBorders>
              <w:top w:val="single" w:sz="8" w:color="auto"/>
              <w:bottom w:val="single" w:sz="8" w:color="auto"/>
            </w:tcBorders>
          </w:tcPr>
          <w:p>
            <w:pPr>
              <w:jc w:val="right"/>
              <w:ind w:right="421"/>
              <w:spacing w:after="0" w:line="155" w:lineRule="exact"/>
              <w:rPr>
                <w:sz w:val="20"/>
                <w:szCs w:val="20"/>
                <w:color w:val="auto"/>
              </w:rPr>
            </w:pPr>
            <w:r>
              <w:rPr>
                <w:rFonts w:ascii="Arial" w:cs="Arial" w:eastAsia="Arial" w:hAnsi="Arial"/>
                <w:sz w:val="14"/>
                <w:szCs w:val="14"/>
                <w:b w:val="1"/>
                <w:bCs w:val="1"/>
                <w:color w:val="auto"/>
              </w:rPr>
              <w:t>Low</w:t>
            </w:r>
          </w:p>
        </w:tc>
        <w:tc>
          <w:tcPr>
            <w:tcW w:w="1200" w:type="dxa"/>
            <w:vAlign w:val="bottom"/>
            <w:tcBorders>
              <w:top w:val="single" w:sz="8" w:color="auto"/>
              <w:bottom w:val="single" w:sz="8" w:color="auto"/>
            </w:tcBorders>
          </w:tcPr>
          <w:p>
            <w:pPr>
              <w:jc w:val="right"/>
              <w:ind w:right="380"/>
              <w:spacing w:after="0" w:line="155" w:lineRule="exact"/>
              <w:rPr>
                <w:sz w:val="20"/>
                <w:szCs w:val="20"/>
                <w:color w:val="auto"/>
              </w:rPr>
            </w:pPr>
            <w:r>
              <w:rPr>
                <w:rFonts w:ascii="Arial" w:cs="Arial" w:eastAsia="Arial" w:hAnsi="Arial"/>
                <w:sz w:val="14"/>
                <w:szCs w:val="14"/>
                <w:b w:val="1"/>
                <w:bCs w:val="1"/>
                <w:color w:val="auto"/>
              </w:rPr>
              <w:t>High</w:t>
            </w:r>
          </w:p>
        </w:tc>
        <w:tc>
          <w:tcPr>
            <w:tcW w:w="940" w:type="dxa"/>
            <w:vAlign w:val="bottom"/>
            <w:tcBorders>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Low</w:t>
            </w:r>
          </w:p>
        </w:tc>
        <w:tc>
          <w:tcPr>
            <w:tcW w:w="140" w:type="dxa"/>
            <w:vAlign w:val="bottom"/>
            <w:tcBorders>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81"/>
              <w:spacing w:after="0" w:line="155" w:lineRule="exact"/>
              <w:rPr>
                <w:sz w:val="20"/>
                <w:szCs w:val="20"/>
                <w:color w:val="auto"/>
              </w:rPr>
            </w:pPr>
            <w:r>
              <w:rPr>
                <w:rFonts w:ascii="Arial" w:cs="Arial" w:eastAsia="Arial" w:hAnsi="Arial"/>
                <w:sz w:val="14"/>
                <w:szCs w:val="14"/>
                <w:b w:val="1"/>
                <w:bCs w:val="1"/>
                <w:color w:val="auto"/>
              </w:rPr>
              <w:t>High</w:t>
            </w:r>
          </w:p>
        </w:tc>
      </w:tr>
      <w:tr>
        <w:trPr>
          <w:trHeight w:val="184"/>
        </w:trPr>
        <w:tc>
          <w:tcPr>
            <w:tcW w:w="4060" w:type="dxa"/>
            <w:vAlign w:val="bottom"/>
          </w:tcPr>
          <w:p>
            <w:pPr>
              <w:spacing w:after="0"/>
              <w:rPr>
                <w:sz w:val="20"/>
                <w:szCs w:val="20"/>
                <w:color w:val="auto"/>
              </w:rPr>
            </w:pPr>
            <w:r>
              <w:rPr>
                <w:rFonts w:ascii="Arial" w:cs="Arial" w:eastAsia="Arial" w:hAnsi="Arial"/>
                <w:sz w:val="16"/>
                <w:szCs w:val="16"/>
                <w:b w:val="1"/>
                <w:bCs w:val="1"/>
                <w:color w:val="auto"/>
              </w:rPr>
              <w:t>Net income attributable to the Company (GAAP)</w:t>
            </w:r>
          </w:p>
        </w:tc>
        <w:tc>
          <w:tcPr>
            <w:tcW w:w="1240" w:type="dxa"/>
            <w:vAlign w:val="bottom"/>
          </w:tcPr>
          <w:p>
            <w:pPr>
              <w:jc w:val="right"/>
              <w:ind w:right="381"/>
              <w:spacing w:after="0"/>
              <w:rPr>
                <w:sz w:val="20"/>
                <w:szCs w:val="20"/>
                <w:color w:val="auto"/>
              </w:rPr>
            </w:pPr>
            <w:r>
              <w:rPr>
                <w:rFonts w:ascii="Arial" w:cs="Arial" w:eastAsia="Arial" w:hAnsi="Arial"/>
                <w:sz w:val="16"/>
                <w:szCs w:val="16"/>
                <w:color w:val="auto"/>
              </w:rPr>
              <w:t>$123</w:t>
            </w:r>
          </w:p>
        </w:tc>
        <w:tc>
          <w:tcPr>
            <w:tcW w:w="1240" w:type="dxa"/>
            <w:vAlign w:val="bottom"/>
          </w:tcPr>
          <w:p>
            <w:pPr>
              <w:jc w:val="right"/>
              <w:ind w:right="400"/>
              <w:spacing w:after="0"/>
              <w:rPr>
                <w:sz w:val="20"/>
                <w:szCs w:val="20"/>
                <w:color w:val="auto"/>
              </w:rPr>
            </w:pPr>
            <w:r>
              <w:rPr>
                <w:rFonts w:ascii="Arial" w:cs="Arial" w:eastAsia="Arial" w:hAnsi="Arial"/>
                <w:sz w:val="16"/>
                <w:szCs w:val="16"/>
                <w:color w:val="auto"/>
              </w:rPr>
              <w:t>$129</w:t>
            </w:r>
          </w:p>
        </w:tc>
        <w:tc>
          <w:tcPr>
            <w:tcW w:w="1220" w:type="dxa"/>
            <w:vAlign w:val="bottom"/>
          </w:tcPr>
          <w:p>
            <w:pPr>
              <w:jc w:val="right"/>
              <w:ind w:right="381"/>
              <w:spacing w:after="0"/>
              <w:rPr>
                <w:sz w:val="20"/>
                <w:szCs w:val="20"/>
                <w:color w:val="auto"/>
              </w:rPr>
            </w:pPr>
            <w:r>
              <w:rPr>
                <w:rFonts w:ascii="Arial" w:cs="Arial" w:eastAsia="Arial" w:hAnsi="Arial"/>
                <w:sz w:val="16"/>
                <w:szCs w:val="16"/>
                <w:color w:val="auto"/>
              </w:rPr>
              <w:t>$184</w:t>
            </w:r>
          </w:p>
        </w:tc>
        <w:tc>
          <w:tcPr>
            <w:tcW w:w="1200" w:type="dxa"/>
            <w:vAlign w:val="bottom"/>
          </w:tcPr>
          <w:p>
            <w:pPr>
              <w:jc w:val="right"/>
              <w:ind w:right="360"/>
              <w:spacing w:after="0"/>
              <w:rPr>
                <w:sz w:val="20"/>
                <w:szCs w:val="20"/>
                <w:color w:val="auto"/>
              </w:rPr>
            </w:pPr>
            <w:r>
              <w:rPr>
                <w:rFonts w:ascii="Arial" w:cs="Arial" w:eastAsia="Arial" w:hAnsi="Arial"/>
                <w:sz w:val="16"/>
                <w:szCs w:val="16"/>
                <w:color w:val="auto"/>
              </w:rPr>
              <w:t>$192</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$51</w:t>
            </w:r>
          </w:p>
        </w:tc>
        <w:tc>
          <w:tcPr>
            <w:tcW w:w="1520" w:type="dxa"/>
            <w:vAlign w:val="bottom"/>
            <w:gridSpan w:val="3"/>
          </w:tcPr>
          <w:p>
            <w:pPr>
              <w:jc w:val="right"/>
              <w:ind w:right="361"/>
              <w:spacing w:after="0"/>
              <w:rPr>
                <w:sz w:val="20"/>
                <w:szCs w:val="20"/>
                <w:color w:val="auto"/>
              </w:rPr>
            </w:pPr>
            <w:r>
              <w:rPr>
                <w:rFonts w:ascii="Arial" w:cs="Arial" w:eastAsia="Arial" w:hAnsi="Arial"/>
                <w:sz w:val="16"/>
                <w:szCs w:val="16"/>
                <w:color w:val="auto"/>
              </w:rPr>
              <w:t>$ 59</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Interest expense, net</w:t>
            </w:r>
          </w:p>
        </w:tc>
        <w:tc>
          <w:tcPr>
            <w:tcW w:w="1240" w:type="dxa"/>
            <w:vAlign w:val="bottom"/>
          </w:tcPr>
          <w:p>
            <w:pPr>
              <w:jc w:val="right"/>
              <w:ind w:right="381"/>
              <w:spacing w:after="0"/>
              <w:rPr>
                <w:sz w:val="20"/>
                <w:szCs w:val="20"/>
                <w:color w:val="auto"/>
              </w:rPr>
            </w:pPr>
            <w:r>
              <w:rPr>
                <w:rFonts w:ascii="Arial" w:cs="Arial" w:eastAsia="Arial" w:hAnsi="Arial"/>
                <w:sz w:val="16"/>
                <w:szCs w:val="16"/>
                <w:color w:val="auto"/>
              </w:rPr>
              <w:t>17</w:t>
            </w:r>
          </w:p>
        </w:tc>
        <w:tc>
          <w:tcPr>
            <w:tcW w:w="1240" w:type="dxa"/>
            <w:vAlign w:val="bottom"/>
          </w:tcPr>
          <w:p>
            <w:pPr>
              <w:jc w:val="right"/>
              <w:ind w:right="400"/>
              <w:spacing w:after="0"/>
              <w:rPr>
                <w:sz w:val="20"/>
                <w:szCs w:val="20"/>
                <w:color w:val="auto"/>
              </w:rPr>
            </w:pPr>
            <w:r>
              <w:rPr>
                <w:rFonts w:ascii="Arial" w:cs="Arial" w:eastAsia="Arial" w:hAnsi="Arial"/>
                <w:sz w:val="16"/>
                <w:szCs w:val="16"/>
                <w:color w:val="auto"/>
              </w:rPr>
              <w:t>16</w:t>
            </w:r>
          </w:p>
        </w:tc>
        <w:tc>
          <w:tcPr>
            <w:tcW w:w="1220" w:type="dxa"/>
            <w:vAlign w:val="bottom"/>
          </w:tcPr>
          <w:p>
            <w:pPr>
              <w:jc w:val="right"/>
              <w:ind w:right="381"/>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361"/>
              <w:spacing w:after="0"/>
              <w:rPr>
                <w:sz w:val="20"/>
                <w:szCs w:val="20"/>
                <w:color w:val="auto"/>
              </w:rPr>
            </w:pPr>
            <w:r>
              <w:rPr>
                <w:rFonts w:ascii="Arial" w:cs="Arial" w:eastAsia="Arial" w:hAnsi="Arial"/>
                <w:sz w:val="16"/>
                <w:szCs w:val="16"/>
                <w:color w:val="auto"/>
              </w:rPr>
              <w:t>—</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Income tax expense</w:t>
            </w:r>
          </w:p>
        </w:tc>
        <w:tc>
          <w:tcPr>
            <w:tcW w:w="1240" w:type="dxa"/>
            <w:vAlign w:val="bottom"/>
          </w:tcPr>
          <w:p>
            <w:pPr>
              <w:jc w:val="right"/>
              <w:ind w:right="381"/>
              <w:spacing w:after="0"/>
              <w:rPr>
                <w:sz w:val="20"/>
                <w:szCs w:val="20"/>
                <w:color w:val="auto"/>
              </w:rPr>
            </w:pPr>
            <w:r>
              <w:rPr>
                <w:rFonts w:ascii="Arial" w:cs="Arial" w:eastAsia="Arial" w:hAnsi="Arial"/>
                <w:sz w:val="16"/>
                <w:szCs w:val="16"/>
                <w:color w:val="auto"/>
              </w:rPr>
              <w:t>45</w:t>
            </w:r>
          </w:p>
        </w:tc>
        <w:tc>
          <w:tcPr>
            <w:tcW w:w="1240" w:type="dxa"/>
            <w:vAlign w:val="bottom"/>
          </w:tcPr>
          <w:p>
            <w:pPr>
              <w:jc w:val="right"/>
              <w:ind w:right="400"/>
              <w:spacing w:after="0"/>
              <w:rPr>
                <w:sz w:val="20"/>
                <w:szCs w:val="20"/>
                <w:color w:val="auto"/>
              </w:rPr>
            </w:pPr>
            <w:r>
              <w:rPr>
                <w:rFonts w:ascii="Arial" w:cs="Arial" w:eastAsia="Arial" w:hAnsi="Arial"/>
                <w:sz w:val="16"/>
                <w:szCs w:val="16"/>
                <w:color w:val="auto"/>
              </w:rPr>
              <w:t>46</w:t>
            </w:r>
          </w:p>
        </w:tc>
        <w:tc>
          <w:tcPr>
            <w:tcW w:w="1220" w:type="dxa"/>
            <w:vAlign w:val="bottom"/>
          </w:tcPr>
          <w:p>
            <w:pPr>
              <w:jc w:val="right"/>
              <w:ind w:right="381"/>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361"/>
              <w:spacing w:after="0"/>
              <w:rPr>
                <w:sz w:val="20"/>
                <w:szCs w:val="20"/>
                <w:color w:val="auto"/>
              </w:rPr>
            </w:pPr>
            <w:r>
              <w:rPr>
                <w:rFonts w:ascii="Arial" w:cs="Arial" w:eastAsia="Arial" w:hAnsi="Arial"/>
                <w:sz w:val="16"/>
                <w:szCs w:val="16"/>
                <w:color w:val="auto"/>
              </w:rPr>
              <w:t>—</w:t>
            </w:r>
          </w:p>
        </w:tc>
      </w:tr>
      <w:tr>
        <w:trPr>
          <w:trHeight w:val="187"/>
        </w:trPr>
        <w:tc>
          <w:tcPr>
            <w:tcW w:w="4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Depreciation and amortization</w:t>
            </w:r>
          </w:p>
        </w:tc>
        <w:tc>
          <w:tcPr>
            <w:tcW w:w="12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rPr>
              <w:t>69</w:t>
            </w:r>
          </w:p>
        </w:tc>
        <w:tc>
          <w:tcPr>
            <w:tcW w:w="124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73</w:t>
            </w:r>
          </w:p>
        </w:tc>
        <w:tc>
          <w:tcPr>
            <w:tcW w:w="122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rPr>
              <w:t>21</w:t>
            </w:r>
          </w:p>
        </w:tc>
        <w:tc>
          <w:tcPr>
            <w:tcW w:w="120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23</w:t>
            </w:r>
          </w:p>
        </w:tc>
        <w:tc>
          <w:tcPr>
            <w:tcW w:w="9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44</w:t>
            </w:r>
          </w:p>
        </w:tc>
        <w:tc>
          <w:tcPr>
            <w:tcW w:w="152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6"/>
                <w:szCs w:val="16"/>
                <w:color w:val="auto"/>
              </w:rPr>
              <w:t>46</w:t>
            </w:r>
          </w:p>
        </w:tc>
      </w:tr>
      <w:tr>
        <w:trPr>
          <w:trHeight w:val="184"/>
        </w:trPr>
        <w:tc>
          <w:tcPr>
            <w:tcW w:w="4060" w:type="dxa"/>
            <w:vAlign w:val="bottom"/>
          </w:tcPr>
          <w:p>
            <w:pPr>
              <w:spacing w:after="0"/>
              <w:rPr>
                <w:sz w:val="20"/>
                <w:szCs w:val="20"/>
                <w:color w:val="auto"/>
              </w:rPr>
            </w:pPr>
            <w:r>
              <w:rPr>
                <w:rFonts w:ascii="Arial" w:cs="Arial" w:eastAsia="Arial" w:hAnsi="Arial"/>
                <w:sz w:val="16"/>
                <w:szCs w:val="16"/>
                <w:b w:val="1"/>
                <w:bCs w:val="1"/>
                <w:color w:val="auto"/>
              </w:rPr>
              <w:t>EBITDA (non-GAAP)</w:t>
            </w:r>
          </w:p>
        </w:tc>
        <w:tc>
          <w:tcPr>
            <w:tcW w:w="1240" w:type="dxa"/>
            <w:vAlign w:val="bottom"/>
          </w:tcPr>
          <w:p>
            <w:pPr>
              <w:jc w:val="right"/>
              <w:ind w:right="381"/>
              <w:spacing w:after="0"/>
              <w:rPr>
                <w:sz w:val="20"/>
                <w:szCs w:val="20"/>
                <w:color w:val="auto"/>
              </w:rPr>
            </w:pPr>
            <w:r>
              <w:rPr>
                <w:rFonts w:ascii="Arial" w:cs="Arial" w:eastAsia="Arial" w:hAnsi="Arial"/>
                <w:sz w:val="16"/>
                <w:szCs w:val="16"/>
                <w:color w:val="auto"/>
              </w:rPr>
              <w:t>254</w:t>
            </w:r>
          </w:p>
        </w:tc>
        <w:tc>
          <w:tcPr>
            <w:tcW w:w="1240" w:type="dxa"/>
            <w:vAlign w:val="bottom"/>
          </w:tcPr>
          <w:p>
            <w:pPr>
              <w:jc w:val="right"/>
              <w:ind w:right="400"/>
              <w:spacing w:after="0"/>
              <w:rPr>
                <w:sz w:val="20"/>
                <w:szCs w:val="20"/>
                <w:color w:val="auto"/>
              </w:rPr>
            </w:pPr>
            <w:r>
              <w:rPr>
                <w:rFonts w:ascii="Arial" w:cs="Arial" w:eastAsia="Arial" w:hAnsi="Arial"/>
                <w:sz w:val="16"/>
                <w:szCs w:val="16"/>
                <w:color w:val="auto"/>
              </w:rPr>
              <w:t>264</w:t>
            </w:r>
          </w:p>
        </w:tc>
        <w:tc>
          <w:tcPr>
            <w:tcW w:w="1220" w:type="dxa"/>
            <w:vAlign w:val="bottom"/>
          </w:tcPr>
          <w:p>
            <w:pPr>
              <w:jc w:val="right"/>
              <w:ind w:right="381"/>
              <w:spacing w:after="0"/>
              <w:rPr>
                <w:sz w:val="20"/>
                <w:szCs w:val="20"/>
                <w:color w:val="auto"/>
              </w:rPr>
            </w:pPr>
            <w:r>
              <w:rPr>
                <w:rFonts w:ascii="Arial" w:cs="Arial" w:eastAsia="Arial" w:hAnsi="Arial"/>
                <w:sz w:val="16"/>
                <w:szCs w:val="16"/>
                <w:color w:val="auto"/>
              </w:rPr>
              <w:t>205</w:t>
            </w:r>
          </w:p>
        </w:tc>
        <w:tc>
          <w:tcPr>
            <w:tcW w:w="1200" w:type="dxa"/>
            <w:vAlign w:val="bottom"/>
          </w:tcPr>
          <w:p>
            <w:pPr>
              <w:jc w:val="right"/>
              <w:ind w:right="360"/>
              <w:spacing w:after="0"/>
              <w:rPr>
                <w:sz w:val="20"/>
                <w:szCs w:val="20"/>
                <w:color w:val="auto"/>
              </w:rPr>
            </w:pPr>
            <w:r>
              <w:rPr>
                <w:rFonts w:ascii="Arial" w:cs="Arial" w:eastAsia="Arial" w:hAnsi="Arial"/>
                <w:sz w:val="16"/>
                <w:szCs w:val="16"/>
                <w:color w:val="auto"/>
              </w:rPr>
              <w:t>215</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95</w:t>
            </w:r>
          </w:p>
        </w:tc>
        <w:tc>
          <w:tcPr>
            <w:tcW w:w="1520" w:type="dxa"/>
            <w:vAlign w:val="bottom"/>
            <w:gridSpan w:val="3"/>
          </w:tcPr>
          <w:p>
            <w:pPr>
              <w:jc w:val="right"/>
              <w:ind w:right="361"/>
              <w:spacing w:after="0"/>
              <w:rPr>
                <w:sz w:val="20"/>
                <w:szCs w:val="20"/>
                <w:color w:val="auto"/>
              </w:rPr>
            </w:pPr>
            <w:r>
              <w:rPr>
                <w:rFonts w:ascii="Arial" w:cs="Arial" w:eastAsia="Arial" w:hAnsi="Arial"/>
                <w:sz w:val="16"/>
                <w:szCs w:val="16"/>
                <w:color w:val="auto"/>
              </w:rPr>
              <w:t>105</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Restructuring expenses (a)</w:t>
            </w:r>
          </w:p>
        </w:tc>
        <w:tc>
          <w:tcPr>
            <w:tcW w:w="1240" w:type="dxa"/>
            <w:vAlign w:val="bottom"/>
          </w:tcPr>
          <w:p>
            <w:pPr>
              <w:jc w:val="right"/>
              <w:ind w:right="381"/>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400"/>
              <w:spacing w:after="0"/>
              <w:rPr>
                <w:sz w:val="20"/>
                <w:szCs w:val="20"/>
                <w:color w:val="auto"/>
              </w:rPr>
            </w:pPr>
            <w:r>
              <w:rPr>
                <w:rFonts w:ascii="Arial" w:cs="Arial" w:eastAsia="Arial" w:hAnsi="Arial"/>
                <w:sz w:val="16"/>
                <w:szCs w:val="16"/>
                <w:color w:val="auto"/>
              </w:rPr>
              <w:t>1</w:t>
            </w:r>
          </w:p>
        </w:tc>
        <w:tc>
          <w:tcPr>
            <w:tcW w:w="1220" w:type="dxa"/>
            <w:vAlign w:val="bottom"/>
          </w:tcPr>
          <w:p>
            <w:pPr>
              <w:jc w:val="right"/>
              <w:ind w:right="381"/>
              <w:spacing w:after="0"/>
              <w:rPr>
                <w:sz w:val="20"/>
                <w:szCs w:val="20"/>
                <w:color w:val="auto"/>
              </w:rPr>
            </w:pPr>
            <w:r>
              <w:rPr>
                <w:rFonts w:ascii="Arial" w:cs="Arial" w:eastAsia="Arial" w:hAnsi="Arial"/>
                <w:sz w:val="16"/>
                <w:szCs w:val="16"/>
                <w:color w:val="auto"/>
              </w:rPr>
              <w:t>1</w:t>
            </w:r>
          </w:p>
        </w:tc>
        <w:tc>
          <w:tcPr>
            <w:tcW w:w="1200" w:type="dxa"/>
            <w:vAlign w:val="bottom"/>
          </w:tcPr>
          <w:p>
            <w:pPr>
              <w:jc w:val="right"/>
              <w:ind w:right="360"/>
              <w:spacing w:after="0"/>
              <w:rPr>
                <w:sz w:val="20"/>
                <w:szCs w:val="20"/>
                <w:color w:val="auto"/>
              </w:rPr>
            </w:pPr>
            <w:r>
              <w:rPr>
                <w:rFonts w:ascii="Arial" w:cs="Arial" w:eastAsia="Arial" w:hAnsi="Arial"/>
                <w:sz w:val="16"/>
                <w:szCs w:val="16"/>
                <w:color w:val="auto"/>
              </w:rPr>
              <w:t>1</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361"/>
              <w:spacing w:after="0"/>
              <w:rPr>
                <w:sz w:val="20"/>
                <w:szCs w:val="20"/>
                <w:color w:val="auto"/>
              </w:rPr>
            </w:pPr>
            <w:r>
              <w:rPr>
                <w:rFonts w:ascii="Arial" w:cs="Arial" w:eastAsia="Arial" w:hAnsi="Arial"/>
                <w:sz w:val="16"/>
                <w:szCs w:val="16"/>
                <w:color w:val="auto"/>
              </w:rPr>
              <w:t>—</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Foreign currency revaluation (gains)/losses (a)</w:t>
            </w:r>
          </w:p>
        </w:tc>
        <w:tc>
          <w:tcPr>
            <w:tcW w:w="1240" w:type="dxa"/>
            <w:vAlign w:val="bottom"/>
          </w:tcPr>
          <w:p>
            <w:pPr>
              <w:jc w:val="right"/>
              <w:ind w:right="321"/>
              <w:spacing w:after="0"/>
              <w:rPr>
                <w:sz w:val="20"/>
                <w:szCs w:val="20"/>
                <w:color w:val="auto"/>
              </w:rPr>
            </w:pPr>
            <w:r>
              <w:rPr>
                <w:rFonts w:ascii="Arial" w:cs="Arial" w:eastAsia="Arial" w:hAnsi="Arial"/>
                <w:sz w:val="16"/>
                <w:szCs w:val="16"/>
                <w:color w:val="auto"/>
              </w:rPr>
              <w:t>(4)</w:t>
            </w:r>
          </w:p>
        </w:tc>
        <w:tc>
          <w:tcPr>
            <w:tcW w:w="1240" w:type="dxa"/>
            <w:vAlign w:val="bottom"/>
          </w:tcPr>
          <w:p>
            <w:pPr>
              <w:jc w:val="right"/>
              <w:ind w:right="340"/>
              <w:spacing w:after="0"/>
              <w:rPr>
                <w:sz w:val="20"/>
                <w:szCs w:val="20"/>
                <w:color w:val="auto"/>
              </w:rPr>
            </w:pPr>
            <w:r>
              <w:rPr>
                <w:rFonts w:ascii="Arial" w:cs="Arial" w:eastAsia="Arial" w:hAnsi="Arial"/>
                <w:sz w:val="16"/>
                <w:szCs w:val="16"/>
                <w:color w:val="auto"/>
              </w:rPr>
              <w:t>(4)</w:t>
            </w:r>
          </w:p>
        </w:tc>
        <w:tc>
          <w:tcPr>
            <w:tcW w:w="1220" w:type="dxa"/>
            <w:vAlign w:val="bottom"/>
          </w:tcPr>
          <w:p>
            <w:pPr>
              <w:jc w:val="right"/>
              <w:ind w:right="321"/>
              <w:spacing w:after="0"/>
              <w:rPr>
                <w:sz w:val="20"/>
                <w:szCs w:val="20"/>
                <w:color w:val="auto"/>
              </w:rPr>
            </w:pPr>
            <w:r>
              <w:rPr>
                <w:rFonts w:ascii="Arial" w:cs="Arial" w:eastAsia="Arial" w:hAnsi="Arial"/>
                <w:sz w:val="16"/>
                <w:szCs w:val="16"/>
                <w:color w:val="auto"/>
              </w:rPr>
              <w:t>(1)</w:t>
            </w:r>
          </w:p>
        </w:tc>
        <w:tc>
          <w:tcPr>
            <w:tcW w:w="1200" w:type="dxa"/>
            <w:vAlign w:val="bottom"/>
          </w:tcPr>
          <w:p>
            <w:pPr>
              <w:jc w:val="right"/>
              <w:ind w:right="300"/>
              <w:spacing w:after="0"/>
              <w:rPr>
                <w:sz w:val="20"/>
                <w:szCs w:val="20"/>
                <w:color w:val="auto"/>
              </w:rPr>
            </w:pPr>
            <w:r>
              <w:rPr>
                <w:rFonts w:ascii="Arial" w:cs="Arial" w:eastAsia="Arial" w:hAnsi="Arial"/>
                <w:sz w:val="16"/>
                <w:szCs w:val="16"/>
                <w:color w:val="auto"/>
              </w:rPr>
              <w:t>(1)</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1520" w:type="dxa"/>
            <w:vAlign w:val="bottom"/>
            <w:gridSpan w:val="3"/>
          </w:tcPr>
          <w:p>
            <w:pPr>
              <w:jc w:val="right"/>
              <w:ind w:right="361"/>
              <w:spacing w:after="0"/>
              <w:rPr>
                <w:sz w:val="20"/>
                <w:szCs w:val="20"/>
                <w:color w:val="auto"/>
              </w:rPr>
            </w:pPr>
            <w:r>
              <w:rPr>
                <w:rFonts w:ascii="Arial" w:cs="Arial" w:eastAsia="Arial" w:hAnsi="Arial"/>
                <w:sz w:val="16"/>
                <w:szCs w:val="16"/>
                <w:color w:val="auto"/>
              </w:rPr>
              <w:t>1</w:t>
            </w:r>
          </w:p>
        </w:tc>
      </w:tr>
      <w:tr>
        <w:trPr>
          <w:trHeight w:val="187"/>
        </w:trPr>
        <w:tc>
          <w:tcPr>
            <w:tcW w:w="4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Pretax income attributable to the noncontrolling interest</w:t>
            </w:r>
          </w:p>
        </w:tc>
        <w:tc>
          <w:tcPr>
            <w:tcW w:w="12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(1)</w:t>
            </w:r>
          </w:p>
        </w:tc>
        <w:tc>
          <w:tcPr>
            <w:tcW w:w="12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(1)</w:t>
            </w:r>
          </w:p>
        </w:tc>
        <w:tc>
          <w:tcPr>
            <w:tcW w:w="122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1520" w:type="dxa"/>
            <w:vAlign w:val="bottom"/>
            <w:tcBorders>
              <w:bottom w:val="single" w:sz="8" w:color="auto"/>
            </w:tcBorders>
            <w:gridSpan w:val="3"/>
          </w:tcPr>
          <w:p>
            <w:pPr>
              <w:jc w:val="right"/>
              <w:ind w:right="301"/>
              <w:spacing w:after="0"/>
              <w:rPr>
                <w:sz w:val="20"/>
                <w:szCs w:val="20"/>
                <w:color w:val="auto"/>
              </w:rPr>
            </w:pPr>
            <w:r>
              <w:rPr>
                <w:rFonts w:ascii="Arial" w:cs="Arial" w:eastAsia="Arial" w:hAnsi="Arial"/>
                <w:sz w:val="16"/>
                <w:szCs w:val="16"/>
                <w:color w:val="auto"/>
              </w:rPr>
              <w:t>(1)</w:t>
            </w:r>
          </w:p>
        </w:tc>
      </w:tr>
      <w:tr>
        <w:trPr>
          <w:trHeight w:val="183"/>
        </w:trPr>
        <w:tc>
          <w:tcPr>
            <w:tcW w:w="40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Adjusted EBITDA (non-GAAP)</w:t>
            </w:r>
          </w:p>
        </w:tc>
        <w:tc>
          <w:tcPr>
            <w:tcW w:w="1240" w:type="dxa"/>
            <w:vAlign w:val="bottom"/>
            <w:tcBorders>
              <w:bottom w:val="single" w:sz="8" w:color="auto"/>
            </w:tcBorders>
          </w:tcPr>
          <w:p>
            <w:pPr>
              <w:jc w:val="right"/>
              <w:ind w:right="381"/>
              <w:spacing w:after="0" w:line="183" w:lineRule="exact"/>
              <w:rPr>
                <w:sz w:val="20"/>
                <w:szCs w:val="20"/>
                <w:color w:val="auto"/>
              </w:rPr>
            </w:pPr>
            <w:r>
              <w:rPr>
                <w:rFonts w:ascii="Arial" w:cs="Arial" w:eastAsia="Arial" w:hAnsi="Arial"/>
                <w:sz w:val="16"/>
                <w:szCs w:val="16"/>
                <w:b w:val="1"/>
                <w:bCs w:val="1"/>
                <w:color w:val="auto"/>
              </w:rPr>
              <w:t>$250</w:t>
            </w:r>
          </w:p>
        </w:tc>
        <w:tc>
          <w:tcPr>
            <w:tcW w:w="1240" w:type="dxa"/>
            <w:vAlign w:val="bottom"/>
            <w:tcBorders>
              <w:bottom w:val="single" w:sz="8" w:color="auto"/>
            </w:tcBorders>
          </w:tcPr>
          <w:p>
            <w:pPr>
              <w:jc w:val="right"/>
              <w:ind w:right="400"/>
              <w:spacing w:after="0" w:line="183" w:lineRule="exact"/>
              <w:rPr>
                <w:sz w:val="20"/>
                <w:szCs w:val="20"/>
                <w:color w:val="auto"/>
              </w:rPr>
            </w:pPr>
            <w:r>
              <w:rPr>
                <w:rFonts w:ascii="Arial" w:cs="Arial" w:eastAsia="Arial" w:hAnsi="Arial"/>
                <w:sz w:val="16"/>
                <w:szCs w:val="16"/>
                <w:b w:val="1"/>
                <w:bCs w:val="1"/>
                <w:color w:val="auto"/>
              </w:rPr>
              <w:t>$260</w:t>
            </w:r>
          </w:p>
        </w:tc>
        <w:tc>
          <w:tcPr>
            <w:tcW w:w="1220" w:type="dxa"/>
            <w:vAlign w:val="bottom"/>
            <w:tcBorders>
              <w:bottom w:val="single" w:sz="8" w:color="auto"/>
            </w:tcBorders>
          </w:tcPr>
          <w:p>
            <w:pPr>
              <w:jc w:val="right"/>
              <w:ind w:right="381"/>
              <w:spacing w:after="0" w:line="183" w:lineRule="exact"/>
              <w:rPr>
                <w:sz w:val="20"/>
                <w:szCs w:val="20"/>
                <w:color w:val="auto"/>
              </w:rPr>
            </w:pPr>
            <w:r>
              <w:rPr>
                <w:rFonts w:ascii="Arial" w:cs="Arial" w:eastAsia="Arial" w:hAnsi="Arial"/>
                <w:sz w:val="16"/>
                <w:szCs w:val="16"/>
                <w:b w:val="1"/>
                <w:bCs w:val="1"/>
                <w:color w:val="auto"/>
              </w:rPr>
              <w:t>$205</w:t>
            </w:r>
          </w:p>
        </w:tc>
        <w:tc>
          <w:tcPr>
            <w:tcW w:w="1200" w:type="dxa"/>
            <w:vAlign w:val="bottom"/>
            <w:tcBorders>
              <w:bottom w:val="single" w:sz="8" w:color="auto"/>
            </w:tcBorders>
          </w:tcPr>
          <w:p>
            <w:pPr>
              <w:jc w:val="right"/>
              <w:ind w:right="360"/>
              <w:spacing w:after="0" w:line="183" w:lineRule="exact"/>
              <w:rPr>
                <w:sz w:val="20"/>
                <w:szCs w:val="20"/>
                <w:color w:val="auto"/>
              </w:rPr>
            </w:pPr>
            <w:r>
              <w:rPr>
                <w:rFonts w:ascii="Arial" w:cs="Arial" w:eastAsia="Arial" w:hAnsi="Arial"/>
                <w:sz w:val="16"/>
                <w:szCs w:val="16"/>
                <w:b w:val="1"/>
                <w:bCs w:val="1"/>
                <w:color w:val="auto"/>
              </w:rPr>
              <w:t>$215</w:t>
            </w:r>
          </w:p>
        </w:tc>
        <w:tc>
          <w:tcPr>
            <w:tcW w:w="940" w:type="dxa"/>
            <w:vAlign w:val="bottom"/>
            <w:tcBorders>
              <w:bottom w:val="single" w:sz="8" w:color="auto"/>
            </w:tcBorders>
          </w:tcPr>
          <w:p>
            <w:pPr>
              <w:jc w:val="right"/>
              <w:ind w:right="100"/>
              <w:spacing w:after="0" w:line="183" w:lineRule="exact"/>
              <w:rPr>
                <w:sz w:val="20"/>
                <w:szCs w:val="20"/>
                <w:color w:val="auto"/>
              </w:rPr>
            </w:pPr>
            <w:r>
              <w:rPr>
                <w:rFonts w:ascii="Arial" w:cs="Arial" w:eastAsia="Arial" w:hAnsi="Arial"/>
                <w:sz w:val="16"/>
                <w:szCs w:val="16"/>
                <w:b w:val="1"/>
                <w:bCs w:val="1"/>
                <w:color w:val="auto"/>
              </w:rPr>
              <w:t>$95</w:t>
            </w:r>
          </w:p>
        </w:tc>
        <w:tc>
          <w:tcPr>
            <w:tcW w:w="1520" w:type="dxa"/>
            <w:vAlign w:val="bottom"/>
            <w:tcBorders>
              <w:bottom w:val="single" w:sz="8" w:color="auto"/>
            </w:tcBorders>
            <w:gridSpan w:val="3"/>
          </w:tcPr>
          <w:p>
            <w:pPr>
              <w:jc w:val="right"/>
              <w:ind w:right="361"/>
              <w:spacing w:after="0" w:line="183" w:lineRule="exact"/>
              <w:rPr>
                <w:sz w:val="20"/>
                <w:szCs w:val="20"/>
                <w:color w:val="auto"/>
              </w:rPr>
            </w:pPr>
            <w:r>
              <w:rPr>
                <w:rFonts w:ascii="Arial" w:cs="Arial" w:eastAsia="Arial" w:hAnsi="Arial"/>
                <w:sz w:val="16"/>
                <w:szCs w:val="16"/>
                <w:b w:val="1"/>
                <w:bCs w:val="1"/>
                <w:color w:val="auto"/>
              </w:rPr>
              <w:t>$105</w:t>
            </w:r>
          </w:p>
        </w:tc>
      </w:tr>
    </w:tbl>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7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Forecast of full year 2019 Adjusted Earnings Per Share(b)</w:t>
            </w:r>
          </w:p>
        </w:tc>
        <w:tc>
          <w:tcPr>
            <w:tcW w:w="2700" w:type="dxa"/>
            <w:vAlign w:val="bottom"/>
            <w:tcBorders>
              <w:top w:val="single" w:sz="8" w:color="auto"/>
              <w:bottom w:val="single" w:sz="8" w:color="auto"/>
            </w:tcBorders>
            <w:gridSpan w:val="2"/>
          </w:tcPr>
          <w:p>
            <w:pPr>
              <w:jc w:val="right"/>
              <w:ind w:right="761"/>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42"/>
        </w:trPr>
        <w:tc>
          <w:tcPr>
            <w:tcW w:w="872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 share amounts- Basic (b)</w:t>
            </w:r>
          </w:p>
        </w:tc>
        <w:tc>
          <w:tcPr>
            <w:tcW w:w="13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Low</w:t>
            </w:r>
          </w:p>
        </w:tc>
        <w:tc>
          <w:tcPr>
            <w:tcW w:w="13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6"/>
                <w:szCs w:val="16"/>
                <w:color w:val="auto"/>
              </w:rPr>
              <w:t>Earnings per share (GAAP)</w:t>
            </w:r>
          </w:p>
        </w:tc>
        <w:tc>
          <w:tcPr>
            <w:tcW w:w="1340" w:type="dxa"/>
            <w:vAlign w:val="bottom"/>
          </w:tcPr>
          <w:p>
            <w:pPr>
              <w:jc w:val="right"/>
              <w:ind w:right="402"/>
              <w:spacing w:after="0"/>
              <w:rPr>
                <w:sz w:val="20"/>
                <w:szCs w:val="20"/>
                <w:color w:val="auto"/>
              </w:rPr>
            </w:pPr>
            <w:r>
              <w:rPr>
                <w:rFonts w:ascii="Arial" w:cs="Arial" w:eastAsia="Arial" w:hAnsi="Arial"/>
                <w:sz w:val="16"/>
                <w:szCs w:val="16"/>
                <w:color w:val="auto"/>
              </w:rPr>
              <w:t>$ 3.81</w:t>
            </w:r>
          </w:p>
        </w:tc>
        <w:tc>
          <w:tcPr>
            <w:tcW w:w="1360" w:type="dxa"/>
            <w:vAlign w:val="bottom"/>
          </w:tcPr>
          <w:p>
            <w:pPr>
              <w:jc w:val="right"/>
              <w:ind w:right="401"/>
              <w:spacing w:after="0"/>
              <w:rPr>
                <w:sz w:val="20"/>
                <w:szCs w:val="20"/>
                <w:color w:val="auto"/>
              </w:rPr>
            </w:pPr>
            <w:r>
              <w:rPr>
                <w:rFonts w:ascii="Arial" w:cs="Arial" w:eastAsia="Arial" w:hAnsi="Arial"/>
                <w:sz w:val="16"/>
                <w:szCs w:val="16"/>
                <w:color w:val="auto"/>
              </w:rPr>
              <w:t>$ 4.01</w:t>
            </w:r>
          </w:p>
        </w:tc>
        <w:tc>
          <w:tcPr>
            <w:tcW w:w="0" w:type="dxa"/>
            <w:vAlign w:val="bottom"/>
          </w:tcPr>
          <w:p>
            <w:pPr>
              <w:spacing w:after="0"/>
              <w:rPr>
                <w:sz w:val="1"/>
                <w:szCs w:val="1"/>
                <w:color w:val="auto"/>
              </w:rPr>
            </w:pPr>
          </w:p>
        </w:tc>
      </w:tr>
      <w:tr>
        <w:trPr>
          <w:trHeight w:val="189"/>
        </w:trPr>
        <w:tc>
          <w:tcPr>
            <w:tcW w:w="8720" w:type="dxa"/>
            <w:vAlign w:val="bottom"/>
          </w:tcPr>
          <w:p>
            <w:pPr>
              <w:spacing w:after="0"/>
              <w:rPr>
                <w:sz w:val="20"/>
                <w:szCs w:val="20"/>
                <w:color w:val="auto"/>
              </w:rPr>
            </w:pPr>
            <w:r>
              <w:rPr>
                <w:rFonts w:ascii="Arial" w:cs="Arial" w:eastAsia="Arial" w:hAnsi="Arial"/>
                <w:sz w:val="16"/>
                <w:szCs w:val="16"/>
                <w:color w:val="auto"/>
              </w:rPr>
              <w:t>Restructuring expenses, net (a)</w:t>
            </w:r>
          </w:p>
        </w:tc>
        <w:tc>
          <w:tcPr>
            <w:tcW w:w="1340" w:type="dxa"/>
            <w:vAlign w:val="bottom"/>
          </w:tcPr>
          <w:p>
            <w:pPr>
              <w:jc w:val="right"/>
              <w:ind w:right="402"/>
              <w:spacing w:after="0"/>
              <w:rPr>
                <w:sz w:val="20"/>
                <w:szCs w:val="20"/>
                <w:color w:val="auto"/>
              </w:rPr>
            </w:pPr>
            <w:r>
              <w:rPr>
                <w:rFonts w:ascii="Arial" w:cs="Arial" w:eastAsia="Arial" w:hAnsi="Arial"/>
                <w:sz w:val="16"/>
                <w:szCs w:val="16"/>
                <w:color w:val="auto"/>
              </w:rPr>
              <w:t>0.02</w:t>
            </w:r>
          </w:p>
        </w:tc>
        <w:tc>
          <w:tcPr>
            <w:tcW w:w="1360" w:type="dxa"/>
            <w:vAlign w:val="bottom"/>
          </w:tcPr>
          <w:p>
            <w:pPr>
              <w:jc w:val="right"/>
              <w:ind w:right="401"/>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187"/>
        </w:trPr>
        <w:tc>
          <w:tcPr>
            <w:tcW w:w="8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currency revaluation (gains)/losses (a)</w:t>
            </w:r>
          </w:p>
        </w:tc>
        <w:tc>
          <w:tcPr>
            <w:tcW w:w="13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(0.08)</w:t>
            </w:r>
          </w:p>
        </w:tc>
        <w:tc>
          <w:tcPr>
            <w:tcW w:w="13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20"/>
                <w:szCs w:val="20"/>
                <w:color w:val="auto"/>
              </w:rPr>
            </w:pPr>
            <w:r>
              <w:rPr>
                <w:rFonts w:ascii="Arial" w:cs="Arial" w:eastAsia="Arial" w:hAnsi="Arial"/>
                <w:sz w:val="16"/>
                <w:szCs w:val="16"/>
                <w:b w:val="1"/>
                <w:bCs w:val="1"/>
                <w:color w:val="auto"/>
              </w:rPr>
              <w:t>Adjusted Earnings per share (non-GAAP)</w:t>
            </w:r>
          </w:p>
        </w:tc>
        <w:tc>
          <w:tcPr>
            <w:tcW w:w="1340" w:type="dxa"/>
            <w:vAlign w:val="bottom"/>
          </w:tcPr>
          <w:p>
            <w:pPr>
              <w:jc w:val="right"/>
              <w:ind w:right="402"/>
              <w:spacing w:after="0"/>
              <w:rPr>
                <w:sz w:val="20"/>
                <w:szCs w:val="20"/>
                <w:color w:val="auto"/>
              </w:rPr>
            </w:pPr>
            <w:r>
              <w:rPr>
                <w:rFonts w:ascii="Arial" w:cs="Arial" w:eastAsia="Arial" w:hAnsi="Arial"/>
                <w:sz w:val="16"/>
                <w:szCs w:val="16"/>
                <w:color w:val="auto"/>
              </w:rPr>
              <w:t>$ 3.75</w:t>
            </w:r>
          </w:p>
        </w:tc>
        <w:tc>
          <w:tcPr>
            <w:tcW w:w="1360" w:type="dxa"/>
            <w:vAlign w:val="bottom"/>
          </w:tcPr>
          <w:p>
            <w:pPr>
              <w:jc w:val="right"/>
              <w:ind w:right="401"/>
              <w:spacing w:after="0"/>
              <w:rPr>
                <w:sz w:val="20"/>
                <w:szCs w:val="20"/>
                <w:color w:val="auto"/>
              </w:rPr>
            </w:pPr>
            <w:r>
              <w:rPr>
                <w:rFonts w:ascii="Arial" w:cs="Arial" w:eastAsia="Arial" w:hAnsi="Arial"/>
                <w:sz w:val="16"/>
                <w:szCs w:val="16"/>
                <w:color w:val="auto"/>
              </w:rPr>
              <w:t>$ 3.95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Due to uncertainty of these items, the full year forecast is estimated as equal to actual results for the nine months of 2019.</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Calculations are based on shares outstanding estimate of 32.3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6"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which is included as an exhibit to this Form 10-Q.</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104"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The principal executive officer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Plans for Material Weaknesses in Internal Control over Financial Reporting</w:t>
      </w:r>
    </w:p>
    <w:p>
      <w:pPr>
        <w:spacing w:after="0" w:line="12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In the fourth quarter of 2018, and as previously reported in our Annual Report on Form 10-K for the year ended December 31, 2018, we identified a material weakness in our internal control over financial reporting as described below:</w:t>
      </w:r>
    </w:p>
    <w:p>
      <w:pPr>
        <w:spacing w:after="0" w:line="8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 xml:space="preserve">The Company did not conduct an effective risk assessment process over the design and implementation of the systems development plan affecting the financial reporting process and process level controls impacted by the adoption of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for certain revenue transactions in the Company’s Machine Clothing business that are recognized at a point-in-time. In addition,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did not have effective reconciliation controls over the unbilled accounts receivable and inventory accounts related to those point-in-time transactions.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fourth quarter of 2018, we commenced active steps towards remediating the material weakness. These efforts include:</w:t>
      </w:r>
    </w:p>
    <w:p>
      <w:pPr>
        <w:spacing w:after="0" w:line="63" w:lineRule="exact"/>
        <w:rPr>
          <w:sz w:val="20"/>
          <w:szCs w:val="20"/>
          <w:color w:val="auto"/>
        </w:rPr>
      </w:pPr>
    </w:p>
    <w:p>
      <w:pPr>
        <w:ind w:left="360" w:hanging="352"/>
        <w:spacing w:after="0" w:line="246" w:lineRule="auto"/>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Improving our risk assessment process related to pre-production and post-implementation testing and documentation of conclusions for significant systems development changes affecting financial reporting and internal controls; and,</w:t>
      </w:r>
    </w:p>
    <w:p>
      <w:pPr>
        <w:spacing w:after="0" w:line="34" w:lineRule="exact"/>
        <w:rPr>
          <w:rFonts w:ascii="Arial" w:cs="Arial" w:eastAsia="Arial" w:hAnsi="Arial"/>
          <w:sz w:val="18"/>
          <w:szCs w:val="18"/>
          <w:color w:val="auto"/>
        </w:rPr>
      </w:pPr>
    </w:p>
    <w:p>
      <w:pPr>
        <w:ind w:left="360" w:right="20" w:hanging="352"/>
        <w:spacing w:after="0" w:line="246" w:lineRule="auto"/>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Revising our financial reporting processes and related reconciliation controls over the unbilled accounts receivable and inventory accounts related to those point-in-time transactions.</w:t>
      </w:r>
    </w:p>
    <w:p>
      <w:pPr>
        <w:spacing w:after="0" w:line="89"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We are working to remediate the material weakness as quickly and efficiently as possible and believe that such efforts will effectively remediate the reported material weakness by the end of 2019. However, the material weakness will not be considered remediated until the remediated controls operate for a sufficient period of time and management has concluded, through testing, that these controls are operating effectively.</w:t>
      </w:r>
    </w:p>
    <w:p>
      <w:pPr>
        <w:spacing w:after="0" w:line="94"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Notwithstanding the material weakness described above, our management has concluded that the financial statements included elsewhere in this quarterly report on Form 10-Q present fairly, in all material respects, our financial position, results of operations and cash flows in conformity with generally accepted accounting principles.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104"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Other than the items noted above, no changes occurred in the Company’s internal control over financial reporting (as defined in Rule 13a-15(f) and 15d-15(f) under the Securities Exchange Act of 1934, as amended) during the last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set forth above under Note 17 in Item 1, “Notes to Consolidated Financial Statements” is incorporated herein by reference.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In addition to the items below, for discussion of risk factors, refer to Item 1A of our Annual Report on Form 10-K for the year ended December 31, 2018.</w:t>
      </w:r>
    </w:p>
    <w:p>
      <w:pPr>
        <w:spacing w:after="0" w:line="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The Standish Family no longer holds more than 50% of the voting power of the company, and we are no longer a “controlled company” within the meaning of the NYSE listing rules.</w:t>
      </w:r>
    </w:p>
    <w:p>
      <w:pPr>
        <w:spacing w:after="0" w:line="68"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As of May 8, 2019, the Standish Family held in the aggregate shares entitling them to cast approximately 52.7 percent of the combined votes entitled to be cast by all stockholders of the Company. After a public offering of a portion of their shares, the Standish Family now holds in the aggregate shares entitling them to cast approximately 34.5 percent of the combined votes entitled to be cast by all stockholders of the Company. As a result, we are no longer a “controlled company” within the meaning of the corporate governance requirements of the NYSE. Pursuant to these requirements, our Compensation Committee and Governance Committee are now required to be composed entirely of “independent directors” (as defined by NYSE listing rules), and a majority of our board of directors are required to be independent. Even before such offering, a majority of our board of directors and these two committees consisted of directors that our board of directors had determined to be independent. Even though we are no longer a “controlled company” under NYSE listing rules, the Standish Family will continue to have considerable influence over the management and affairs of the Company and matters requiring stockholder approval, including the election of directors and approval of significant corporate transactions. This could have the effect of delaying or preventing a change in control or a merger, consolidation, or other business combination at a premium price, even if such transaction were favored by our other stockholders.</w:t>
      </w:r>
    </w:p>
    <w:p>
      <w:pPr>
        <w:spacing w:after="0" w:line="7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Certain provisions of our Certificate of Incorporation, our Bylaws and Delaware law could hinder, delay or prevent a change in control of us that you might consider favorable, which could also adversely affect the price of our Class A Common Stock.</w:t>
      </w:r>
    </w:p>
    <w:p>
      <w:pPr>
        <w:spacing w:after="0" w:line="68"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Certain provisions under our Certificate of Incorporation, our Bylaws and Delaware law could discourage, delay or prevent a transaction involving a change in control of the Company, even if doing so would benefit our stockholders. These provisions could delay or prevent a change in control of us and could limit the price that investors might be willing to pay in the future for shares of our Class A Common Stock.</w:t>
      </w:r>
    </w:p>
    <w:p>
      <w:pPr>
        <w:spacing w:after="0" w:line="9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Our certificate of incorporation authorizes our board of directors to issue new series of preferred stock without stockholder approval. Depending on the rights and terms of any new series created, and the reaction of the market to the series, the value of our Class A Common Stock could be negatively affected. For example, subject to applicable law, our board of directors could create a series of preferred stock with superior voting rights to our existing common stock. The ability of our board of directors to issue this new series of preferred stock could also prevent or delay a third party from acquiring us, even if doing so would be beneficial to our stockholders.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pay cash dividends on our Class A Common Stock.</w:t>
      </w:r>
    </w:p>
    <w:p>
      <w:pPr>
        <w:spacing w:after="0" w:line="12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It is our current practice to pay cash dividends on our common stock. There can be no assurance, however, that we will pay dividends in the future in the amounts that we have in the past, or at all. Our board of directors may change the timing and amount of any future dividend payments or eliminate the payment of future dividends in its sole discretion, without any prior notice to our stockholders. Our ability to pay dividends will depend upon many factors, including our financial position and liquidity, results of operations, legal requirements, restrictions that may be imposed by the terms of our current and future credit facilities and other debt obligations and other factors deemed relevant by our board of directors. For example, we have a substantial amount of indebtedness and while we feel that we generate sufficient cash from operations and have sufficient borrowing capacity to make required capital expenditures to maintain and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grow our business, any decrease in our cash generation could result in higher leverage. Higher leverage could hinder our ability to make acquisitions, capital expenditures, or other investments in our businesses, pay dividends, or withstand business and economic downturns.</w:t>
      </w:r>
    </w:p>
    <w:p>
      <w:pPr>
        <w:spacing w:after="0" w:line="89"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In the future, we may also enter into other credit agreements or other borrowing arrangements or issue debt securities that, in each case, restrict or limit our ability to pay cash dividends on our Class A Common Stock. In addition, since a significant portion of our cash is generated from operations of our subsidiaries, our ability to pay dividends is in part dependent on the ability of our subsidiaries — some of which are located outside of the United States — to make distributions to us. Such distributions will be subject to their operating results, cash requirements and financial condition, as well as our ability to repatriate cash held by non-U.S. subsidiaries. Any change in the level of our dividends or the suspension of the payment thereof could adversely affect the market price of our Class A Common Stock.</w:t>
      </w:r>
    </w:p>
    <w:p>
      <w:pPr>
        <w:spacing w:after="0" w:line="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trading market for our Class A Common Stock depends in part on the research and reports that securities or industry analysts publish about us or our business. If one or more of the analysts who covers us downgrades our Class A Common Stock or publishes inaccurate or unfavorable research about our business, our stock price would likely decline. If one or more of these analysts ceases coverage of us or fails to publish reports on us regularly, demand for our Class A Common Stock could decrease, which could cause our stock price and trading volume to decline.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Future sales of shares by us or our existing stockholders could cause our stock price to decline.</w:t>
      </w:r>
    </w:p>
    <w:p>
      <w:pPr>
        <w:spacing w:after="0" w:line="12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Sales of substantial amounts of our common stock in the public market, or the perception that these sales could occur, could cause the market price of our common stock to decline or might make it more difficult for us to sell equity securities in the future at a time and at a price that we deem appropriate.</w:t>
      </w:r>
    </w:p>
    <w:p>
      <w:pPr>
        <w:spacing w:after="0" w:line="95"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We currently have 30,689,522 shares of Class A Common Stock outstanding and 1,617,998 shares of Class B Common Stock outstanding, each of which is convertible at any time into an equal number of shares of Class A Common Stock. In addition, shares of Class A Common Stock are issuable upon the exercise of outstanding stock options or the vesting of outstanding equity awards, and certain shares are reserved for future issuance under our equity compensation plans.</w:t>
      </w:r>
    </w:p>
    <w:p>
      <w:pPr>
        <w:spacing w:after="0" w:line="9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In connection with the offering during the second quarter of 2019 by the Standish Family of a portion of their holdings of our common stock, our directors, certain executive officers, and the Standish Family entered into lock-up agreements pursuant to which each of them, with certain exceptions, until August 28, 2019, could not sell, transfer, dispose of or hedge any shares of our common stock. After that date, any shares of common stock held by them may be sold into the public market, subject to compliance with the Securities Act and other applicable securities laws.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6"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18"/>
          <w:szCs w:val="18"/>
          <w:color w:val="auto"/>
        </w:rPr>
        <w:t>We made no share purchases during the third quarter of 2019. We remain authorized by the Board of Directors to purchase up to 2 million shares of our Class A Common Stock.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No.</w:t>
            </w:r>
          </w:p>
        </w:tc>
        <w:tc>
          <w:tcPr>
            <w:tcW w:w="99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360" w:type="dxa"/>
            <w:vAlign w:val="bottom"/>
            <w:tcBorders>
              <w:bottom w:val="single" w:sz="8" w:color="0000EE"/>
            </w:tcBorders>
          </w:tcPr>
          <w:p>
            <w:pPr>
              <w:spacing w:after="0" w:line="170" w:lineRule="exact"/>
              <w:rPr>
                <w:rFonts w:ascii="Arial" w:cs="Arial" w:eastAsia="Arial" w:hAnsi="Arial"/>
                <w:sz w:val="18"/>
                <w:szCs w:val="18"/>
                <w:color w:val="0000EE"/>
                <w:w w:val="96"/>
              </w:rPr>
            </w:pPr>
            <w:hyperlink w:anchor="page52">
              <w:r>
                <w:rPr>
                  <w:rFonts w:ascii="Arial" w:cs="Arial" w:eastAsia="Arial" w:hAnsi="Arial"/>
                  <w:sz w:val="18"/>
                  <w:szCs w:val="18"/>
                  <w:color w:val="0000EE"/>
                  <w:w w:val="96"/>
                </w:rPr>
                <w:t>31.</w:t>
              </w:r>
              <w:r>
                <w:rPr>
                  <w:rFonts w:ascii="Arial" w:cs="Arial" w:eastAsia="Arial" w:hAnsi="Arial"/>
                  <w:sz w:val="18"/>
                  <w:szCs w:val="18"/>
                  <w:u w:val="single" w:color="auto"/>
                  <w:color w:val="0000EE"/>
                  <w:w w:val="96"/>
                </w:rPr>
                <w:t>1</w:t>
              </w:r>
            </w:hyperlink>
          </w:p>
        </w:tc>
        <w:tc>
          <w:tcPr>
            <w:tcW w:w="1160" w:type="dxa"/>
            <w:vAlign w:val="bottom"/>
          </w:tcPr>
          <w:p>
            <w:pPr>
              <w:spacing w:after="0"/>
              <w:rPr>
                <w:sz w:val="14"/>
                <w:szCs w:val="14"/>
                <w:color w:val="auto"/>
              </w:rPr>
            </w:pPr>
          </w:p>
        </w:tc>
        <w:tc>
          <w:tcPr>
            <w:tcW w:w="8080" w:type="dxa"/>
            <w:vAlign w:val="bottom"/>
            <w:tcBorders>
              <w:bottom w:val="single" w:sz="8" w:color="0000EE"/>
            </w:tcBorders>
            <w:gridSpan w:val="4"/>
          </w:tcPr>
          <w:p>
            <w:pPr>
              <w:spacing w:after="0" w:line="170"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Certification of the Chief Executive Officer pursuant to Rule 13a-14(a)/15d-14(a) of the Exchange Act.</w:t>
              </w:r>
            </w:hyperlink>
          </w:p>
        </w:tc>
        <w:tc>
          <w:tcPr>
            <w:tcW w:w="1820" w:type="dxa"/>
            <w:vAlign w:val="bottom"/>
            <w:gridSpan w:val="2"/>
          </w:tcPr>
          <w:p>
            <w:pPr>
              <w:spacing w:after="0"/>
              <w:rPr>
                <w:sz w:val="14"/>
                <w:szCs w:val="14"/>
                <w:color w:val="auto"/>
              </w:rPr>
            </w:pPr>
          </w:p>
        </w:tc>
      </w:tr>
      <w:tr>
        <w:trPr>
          <w:trHeight w:val="183"/>
        </w:trPr>
        <w:tc>
          <w:tcPr>
            <w:tcW w:w="360" w:type="dxa"/>
            <w:vAlign w:val="bottom"/>
            <w:tcBorders>
              <w:bottom w:val="single" w:sz="8" w:color="0000EE"/>
            </w:tcBorders>
          </w:tcPr>
          <w:p>
            <w:pPr>
              <w:spacing w:after="0" w:line="182" w:lineRule="exact"/>
              <w:rPr>
                <w:rFonts w:ascii="Arial" w:cs="Arial" w:eastAsia="Arial" w:hAnsi="Arial"/>
                <w:sz w:val="18"/>
                <w:szCs w:val="18"/>
                <w:color w:val="0000EE"/>
                <w:w w:val="96"/>
              </w:rPr>
            </w:pPr>
            <w:hyperlink w:anchor="page54">
              <w:r>
                <w:rPr>
                  <w:rFonts w:ascii="Arial" w:cs="Arial" w:eastAsia="Arial" w:hAnsi="Arial"/>
                  <w:sz w:val="18"/>
                  <w:szCs w:val="18"/>
                  <w:color w:val="0000EE"/>
                  <w:w w:val="96"/>
                </w:rPr>
                <w:t>31.</w:t>
              </w:r>
              <w:r>
                <w:rPr>
                  <w:rFonts w:ascii="Arial" w:cs="Arial" w:eastAsia="Arial" w:hAnsi="Arial"/>
                  <w:sz w:val="18"/>
                  <w:szCs w:val="18"/>
                  <w:u w:val="single" w:color="auto"/>
                  <w:color w:val="0000EE"/>
                  <w:w w:val="96"/>
                </w:rPr>
                <w:t>2</w:t>
              </w:r>
            </w:hyperlink>
          </w:p>
        </w:tc>
        <w:tc>
          <w:tcPr>
            <w:tcW w:w="1160" w:type="dxa"/>
            <w:vAlign w:val="bottom"/>
          </w:tcPr>
          <w:p>
            <w:pPr>
              <w:spacing w:after="0"/>
              <w:rPr>
                <w:sz w:val="15"/>
                <w:szCs w:val="15"/>
                <w:color w:val="auto"/>
              </w:rPr>
            </w:pPr>
          </w:p>
        </w:tc>
        <w:tc>
          <w:tcPr>
            <w:tcW w:w="802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53">
              <w:r>
                <w:rPr>
                  <w:rFonts w:ascii="Arial" w:cs="Arial" w:eastAsia="Arial" w:hAnsi="Arial"/>
                  <w:sz w:val="18"/>
                  <w:szCs w:val="18"/>
                  <w:color w:val="0000EE"/>
                  <w:w w:val="99"/>
                </w:rPr>
                <w:t>Certification of the Chief Financial Officer pursuant to Rule 13a-14(a)/15d-14(a) of the Exchange Act.</w:t>
              </w:r>
            </w:hyperlink>
          </w:p>
        </w:tc>
        <w:tc>
          <w:tcPr>
            <w:tcW w:w="1880" w:type="dxa"/>
            <w:vAlign w:val="bottom"/>
            <w:gridSpan w:val="3"/>
          </w:tcPr>
          <w:p>
            <w:pPr>
              <w:spacing w:after="0"/>
              <w:rPr>
                <w:sz w:val="15"/>
                <w:szCs w:val="15"/>
                <w:color w:val="auto"/>
              </w:rPr>
            </w:pPr>
          </w:p>
        </w:tc>
      </w:tr>
      <w:tr>
        <w:trPr>
          <w:trHeight w:val="183"/>
        </w:trPr>
        <w:tc>
          <w:tcPr>
            <w:tcW w:w="360" w:type="dxa"/>
            <w:vAlign w:val="bottom"/>
          </w:tcPr>
          <w:p>
            <w:pPr>
              <w:spacing w:after="0" w:line="182" w:lineRule="exact"/>
              <w:rPr>
                <w:rFonts w:ascii="Arial" w:cs="Arial" w:eastAsia="Arial" w:hAnsi="Arial"/>
                <w:sz w:val="18"/>
                <w:szCs w:val="18"/>
                <w:color w:val="0000EE"/>
                <w:w w:val="96"/>
              </w:rPr>
            </w:pPr>
            <w:hyperlink w:anchor="page54">
              <w:r>
                <w:rPr>
                  <w:rFonts w:ascii="Arial" w:cs="Arial" w:eastAsia="Arial" w:hAnsi="Arial"/>
                  <w:sz w:val="18"/>
                  <w:szCs w:val="18"/>
                  <w:color w:val="0000EE"/>
                  <w:w w:val="96"/>
                </w:rPr>
                <w:t>32.</w:t>
              </w:r>
              <w:r>
                <w:rPr>
                  <w:rFonts w:ascii="Arial" w:cs="Arial" w:eastAsia="Arial" w:hAnsi="Arial"/>
                  <w:sz w:val="18"/>
                  <w:szCs w:val="18"/>
                  <w:u w:val="single" w:color="auto"/>
                  <w:color w:val="0000EE"/>
                  <w:w w:val="96"/>
                </w:rPr>
                <w:t>1</w:t>
              </w:r>
            </w:hyperlink>
          </w:p>
        </w:tc>
        <w:tc>
          <w:tcPr>
            <w:tcW w:w="1160" w:type="dxa"/>
            <w:vAlign w:val="bottom"/>
          </w:tcPr>
          <w:p>
            <w:pPr>
              <w:spacing w:after="0"/>
              <w:rPr>
                <w:sz w:val="15"/>
                <w:szCs w:val="15"/>
                <w:color w:val="auto"/>
              </w:rPr>
            </w:pPr>
          </w:p>
        </w:tc>
        <w:tc>
          <w:tcPr>
            <w:tcW w:w="9900" w:type="dxa"/>
            <w:vAlign w:val="bottom"/>
            <w:gridSpan w:val="6"/>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Certification pursuant to Section 906 of the Sarbanes-Oxley Act of 2002 (Subsections (a) and (b) of Section 1350, Chapter</w:t>
              </w:r>
            </w:hyperlink>
          </w:p>
        </w:tc>
      </w:tr>
      <w:tr>
        <w:trPr>
          <w:trHeight w:val="183"/>
        </w:trPr>
        <w:tc>
          <w:tcPr>
            <w:tcW w:w="360" w:type="dxa"/>
            <w:vAlign w:val="bottom"/>
            <w:tcBorders>
              <w:top w:val="single" w:sz="8" w:color="0000EE"/>
            </w:tcBorders>
          </w:tcPr>
          <w:p>
            <w:pPr>
              <w:spacing w:after="0"/>
              <w:rPr>
                <w:sz w:val="15"/>
                <w:szCs w:val="15"/>
                <w:color w:val="auto"/>
              </w:rPr>
            </w:pPr>
          </w:p>
        </w:tc>
        <w:tc>
          <w:tcPr>
            <w:tcW w:w="1160" w:type="dxa"/>
            <w:vAlign w:val="bottom"/>
          </w:tcPr>
          <w:p>
            <w:pPr>
              <w:spacing w:after="0"/>
              <w:rPr>
                <w:sz w:val="15"/>
                <w:szCs w:val="15"/>
                <w:color w:val="auto"/>
              </w:rPr>
            </w:pPr>
          </w:p>
        </w:tc>
        <w:tc>
          <w:tcPr>
            <w:tcW w:w="972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63 of Title 18, United States Code).</w:t>
              </w:r>
            </w:hyperlink>
          </w:p>
        </w:tc>
        <w:tc>
          <w:tcPr>
            <w:tcW w:w="18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r>
      <w:tr>
        <w:trPr>
          <w:trHeight w:val="183"/>
        </w:trPr>
        <w:tc>
          <w:tcPr>
            <w:tcW w:w="360" w:type="dxa"/>
            <w:vAlign w:val="bottom"/>
            <w:tcBorders>
              <w:bottom w:val="single" w:sz="8" w:color="0000EE"/>
            </w:tcBorders>
          </w:tcPr>
          <w:p>
            <w:pPr>
              <w:spacing w:after="0" w:line="182" w:lineRule="exact"/>
              <w:rPr>
                <w:rFonts w:ascii="Arial" w:cs="Arial" w:eastAsia="Arial" w:hAnsi="Arial"/>
                <w:sz w:val="18"/>
                <w:szCs w:val="18"/>
                <w:color w:val="0000EE"/>
                <w:w w:val="96"/>
              </w:rPr>
            </w:pPr>
            <w:hyperlink w:anchor="page55">
              <w:r>
                <w:rPr>
                  <w:rFonts w:ascii="Arial" w:cs="Arial" w:eastAsia="Arial" w:hAnsi="Arial"/>
                  <w:sz w:val="18"/>
                  <w:szCs w:val="18"/>
                  <w:color w:val="0000EE"/>
                  <w:w w:val="96"/>
                </w:rPr>
                <w:t>99.</w:t>
              </w:r>
              <w:r>
                <w:rPr>
                  <w:rFonts w:ascii="Arial" w:cs="Arial" w:eastAsia="Arial" w:hAnsi="Arial"/>
                  <w:sz w:val="18"/>
                  <w:szCs w:val="18"/>
                  <w:u w:val="single" w:color="auto"/>
                  <w:color w:val="0000EE"/>
                  <w:w w:val="96"/>
                </w:rPr>
                <w:t>1</w:t>
              </w:r>
            </w:hyperlink>
          </w:p>
        </w:tc>
        <w:tc>
          <w:tcPr>
            <w:tcW w:w="1160" w:type="dxa"/>
            <w:vAlign w:val="bottom"/>
          </w:tcPr>
          <w:p>
            <w:pPr>
              <w:spacing w:after="0"/>
              <w:rPr>
                <w:sz w:val="15"/>
                <w:szCs w:val="15"/>
                <w:color w:val="auto"/>
              </w:rPr>
            </w:pPr>
          </w:p>
        </w:tc>
        <w:tc>
          <w:tcPr>
            <w:tcW w:w="754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Quantitative and qualitative disclosures about market risks as reported at September 30, 2019.</w:t>
              </w:r>
            </w:hyperlink>
          </w:p>
        </w:tc>
        <w:tc>
          <w:tcPr>
            <w:tcW w:w="2360" w:type="dxa"/>
            <w:vAlign w:val="bottom"/>
            <w:gridSpan w:val="4"/>
          </w:tcPr>
          <w:p>
            <w:pPr>
              <w:spacing w:after="0"/>
              <w:rPr>
                <w:sz w:val="15"/>
                <w:szCs w:val="15"/>
                <w:color w:val="auto"/>
              </w:rPr>
            </w:pPr>
          </w:p>
        </w:tc>
      </w:tr>
      <w:tr>
        <w:trPr>
          <w:trHeight w:val="209"/>
        </w:trPr>
        <w:tc>
          <w:tcPr>
            <w:tcW w:w="15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900" w:type="dxa"/>
            <w:vAlign w:val="bottom"/>
            <w:gridSpan w:val="6"/>
          </w:tcPr>
          <w:p>
            <w:pPr>
              <w:spacing w:after="0"/>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w:t>
            </w:r>
          </w:p>
        </w:tc>
      </w:tr>
      <w:tr>
        <w:trPr>
          <w:trHeight w:val="203"/>
        </w:trPr>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900" w:type="dxa"/>
            <w:vAlign w:val="bottom"/>
            <w:gridSpan w:val="6"/>
          </w:tcPr>
          <w:p>
            <w:pPr>
              <w:spacing w:after="0" w:line="202" w:lineRule="exact"/>
              <w:rPr>
                <w:sz w:val="20"/>
                <w:szCs w:val="20"/>
                <w:color w:val="auto"/>
              </w:rPr>
            </w:pPr>
            <w:r>
              <w:rPr>
                <w:rFonts w:ascii="Arial" w:cs="Arial" w:eastAsia="Arial" w:hAnsi="Arial"/>
                <w:sz w:val="18"/>
                <w:szCs w:val="18"/>
                <w:color w:val="auto"/>
              </w:rPr>
              <w:t>embedded within the Inline XBRL document.</w:t>
            </w:r>
          </w:p>
        </w:tc>
      </w:tr>
      <w:tr>
        <w:trPr>
          <w:trHeight w:val="203"/>
        </w:trPr>
        <w:tc>
          <w:tcPr>
            <w:tcW w:w="1520" w:type="dxa"/>
            <w:vAlign w:val="bottom"/>
            <w:gridSpan w:val="2"/>
          </w:tcPr>
          <w:p>
            <w:pPr>
              <w:spacing w:after="0" w:line="202" w:lineRule="exact"/>
              <w:rPr>
                <w:sz w:val="20"/>
                <w:szCs w:val="20"/>
                <w:color w:val="auto"/>
              </w:rPr>
            </w:pPr>
            <w:r>
              <w:rPr>
                <w:rFonts w:ascii="Arial" w:cs="Arial" w:eastAsia="Arial" w:hAnsi="Arial"/>
                <w:sz w:val="18"/>
                <w:szCs w:val="18"/>
                <w:color w:val="auto"/>
              </w:rPr>
              <w:t>101.SCH</w:t>
            </w:r>
          </w:p>
        </w:tc>
        <w:tc>
          <w:tcPr>
            <w:tcW w:w="9900" w:type="dxa"/>
            <w:vAlign w:val="bottom"/>
            <w:gridSpan w:val="6"/>
          </w:tcPr>
          <w:p>
            <w:pPr>
              <w:spacing w:after="0" w:line="202" w:lineRule="exact"/>
              <w:rPr>
                <w:sz w:val="20"/>
                <w:szCs w:val="20"/>
                <w:color w:val="auto"/>
              </w:rPr>
            </w:pPr>
            <w:r>
              <w:rPr>
                <w:rFonts w:ascii="Arial" w:cs="Arial" w:eastAsia="Arial" w:hAnsi="Arial"/>
                <w:sz w:val="18"/>
                <w:szCs w:val="18"/>
                <w:color w:val="auto"/>
              </w:rPr>
              <w:t>XBRL Taxonomy Extension Schema Document.</w:t>
            </w:r>
          </w:p>
        </w:tc>
      </w:tr>
      <w:tr>
        <w:trPr>
          <w:trHeight w:val="203"/>
        </w:trPr>
        <w:tc>
          <w:tcPr>
            <w:tcW w:w="1520" w:type="dxa"/>
            <w:vAlign w:val="bottom"/>
            <w:gridSpan w:val="2"/>
          </w:tcPr>
          <w:p>
            <w:pPr>
              <w:spacing w:after="0" w:line="202" w:lineRule="exact"/>
              <w:rPr>
                <w:sz w:val="20"/>
                <w:szCs w:val="20"/>
                <w:color w:val="auto"/>
              </w:rPr>
            </w:pPr>
            <w:r>
              <w:rPr>
                <w:rFonts w:ascii="Arial" w:cs="Arial" w:eastAsia="Arial" w:hAnsi="Arial"/>
                <w:sz w:val="18"/>
                <w:szCs w:val="18"/>
                <w:color w:val="auto"/>
              </w:rPr>
              <w:t>101.CAL</w:t>
            </w:r>
          </w:p>
        </w:tc>
        <w:tc>
          <w:tcPr>
            <w:tcW w:w="9900" w:type="dxa"/>
            <w:vAlign w:val="bottom"/>
            <w:gridSpan w:val="6"/>
          </w:tcPr>
          <w:p>
            <w:pPr>
              <w:spacing w:after="0" w:line="202" w:lineRule="exact"/>
              <w:rPr>
                <w:sz w:val="20"/>
                <w:szCs w:val="20"/>
                <w:color w:val="auto"/>
              </w:rPr>
            </w:pPr>
            <w:r>
              <w:rPr>
                <w:rFonts w:ascii="Arial" w:cs="Arial" w:eastAsia="Arial" w:hAnsi="Arial"/>
                <w:sz w:val="18"/>
                <w:szCs w:val="18"/>
                <w:color w:val="auto"/>
              </w:rPr>
              <w:t>XBRL Taxonomy Extension Calculation Linkbase Document.</w:t>
            </w:r>
          </w:p>
        </w:tc>
      </w:tr>
      <w:tr>
        <w:trPr>
          <w:trHeight w:val="203"/>
        </w:trPr>
        <w:tc>
          <w:tcPr>
            <w:tcW w:w="1520" w:type="dxa"/>
            <w:vAlign w:val="bottom"/>
            <w:gridSpan w:val="2"/>
          </w:tcPr>
          <w:p>
            <w:pPr>
              <w:spacing w:after="0" w:line="202" w:lineRule="exact"/>
              <w:rPr>
                <w:sz w:val="20"/>
                <w:szCs w:val="20"/>
                <w:color w:val="auto"/>
              </w:rPr>
            </w:pPr>
            <w:r>
              <w:rPr>
                <w:rFonts w:ascii="Arial" w:cs="Arial" w:eastAsia="Arial" w:hAnsi="Arial"/>
                <w:sz w:val="18"/>
                <w:szCs w:val="18"/>
                <w:color w:val="auto"/>
              </w:rPr>
              <w:t>101.DEF</w:t>
            </w:r>
          </w:p>
        </w:tc>
        <w:tc>
          <w:tcPr>
            <w:tcW w:w="9900" w:type="dxa"/>
            <w:vAlign w:val="bottom"/>
            <w:gridSpan w:val="6"/>
          </w:tcPr>
          <w:p>
            <w:pPr>
              <w:spacing w:after="0" w:line="202" w:lineRule="exact"/>
              <w:rPr>
                <w:sz w:val="20"/>
                <w:szCs w:val="20"/>
                <w:color w:val="auto"/>
              </w:rPr>
            </w:pPr>
            <w:r>
              <w:rPr>
                <w:rFonts w:ascii="Arial" w:cs="Arial" w:eastAsia="Arial" w:hAnsi="Arial"/>
                <w:sz w:val="18"/>
                <w:szCs w:val="18"/>
                <w:color w:val="auto"/>
              </w:rPr>
              <w:t>XBRL Taxonomy Extension Definition Linkbase Document.</w:t>
            </w:r>
          </w:p>
        </w:tc>
      </w:tr>
      <w:tr>
        <w:trPr>
          <w:trHeight w:val="203"/>
        </w:trPr>
        <w:tc>
          <w:tcPr>
            <w:tcW w:w="1520" w:type="dxa"/>
            <w:vAlign w:val="bottom"/>
            <w:gridSpan w:val="2"/>
          </w:tcPr>
          <w:p>
            <w:pPr>
              <w:spacing w:after="0" w:line="202" w:lineRule="exact"/>
              <w:rPr>
                <w:sz w:val="20"/>
                <w:szCs w:val="20"/>
                <w:color w:val="auto"/>
              </w:rPr>
            </w:pPr>
            <w:r>
              <w:rPr>
                <w:rFonts w:ascii="Arial" w:cs="Arial" w:eastAsia="Arial" w:hAnsi="Arial"/>
                <w:sz w:val="18"/>
                <w:szCs w:val="18"/>
                <w:color w:val="auto"/>
              </w:rPr>
              <w:t>101.LAB</w:t>
            </w:r>
          </w:p>
        </w:tc>
        <w:tc>
          <w:tcPr>
            <w:tcW w:w="9900" w:type="dxa"/>
            <w:vAlign w:val="bottom"/>
            <w:gridSpan w:val="6"/>
          </w:tcPr>
          <w:p>
            <w:pPr>
              <w:spacing w:after="0" w:line="202" w:lineRule="exact"/>
              <w:rPr>
                <w:sz w:val="20"/>
                <w:szCs w:val="20"/>
                <w:color w:val="auto"/>
              </w:rPr>
            </w:pPr>
            <w:r>
              <w:rPr>
                <w:rFonts w:ascii="Arial" w:cs="Arial" w:eastAsia="Arial" w:hAnsi="Arial"/>
                <w:sz w:val="18"/>
                <w:szCs w:val="18"/>
                <w:color w:val="auto"/>
              </w:rPr>
              <w:t>XBRL Taxonomy Extension Label Linkbase Document.</w:t>
            </w:r>
          </w:p>
        </w:tc>
      </w:tr>
      <w:tr>
        <w:trPr>
          <w:trHeight w:val="217"/>
        </w:trPr>
        <w:tc>
          <w:tcPr>
            <w:tcW w:w="15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90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88"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6"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(Registrant)</w:t>
      </w:r>
    </w:p>
    <w:p>
      <w:pPr>
        <w:spacing w:after="0" w:line="33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October 30, 2019</w:t>
      </w:r>
      <w:r>
        <w:rPr>
          <w:sz w:val="20"/>
          <w:szCs w:val="20"/>
          <w:color w:val="auto"/>
        </w:rPr>
        <w:tab/>
      </w:r>
      <w:r>
        <w:rPr>
          <w:rFonts w:ascii="Arial" w:cs="Arial" w:eastAsia="Arial" w:hAnsi="Arial"/>
          <w:sz w:val="18"/>
          <w:szCs w:val="18"/>
          <w:color w:val="auto"/>
        </w:rPr>
        <w:t>By  /s/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-1905</wp:posOffset>
            </wp:positionV>
            <wp:extent cx="34048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Stephen M. Nolan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552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552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187960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(31.1)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Olivier M. Jarrault, certify that:</w:t>
      </w:r>
    </w:p>
    <w:p>
      <w:pPr>
        <w:spacing w:after="0" w:line="50"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63" w:lineRule="exact"/>
        <w:rPr>
          <w:rFonts w:ascii="Arial" w:cs="Arial" w:eastAsia="Arial" w:hAnsi="Arial"/>
          <w:sz w:val="18"/>
          <w:szCs w:val="18"/>
          <w:color w:val="auto"/>
        </w:rPr>
      </w:pPr>
    </w:p>
    <w:p>
      <w:pPr>
        <w:jc w:val="both"/>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Arial" w:cs="Arial" w:eastAsia="Arial" w:hAnsi="Arial"/>
          <w:sz w:val="18"/>
          <w:szCs w:val="18"/>
          <w:color w:val="auto"/>
        </w:rPr>
      </w:pPr>
    </w:p>
    <w:p>
      <w:pPr>
        <w:ind w:left="340" w:hanging="332"/>
        <w:spacing w:after="0" w:line="246"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 w:lineRule="exact"/>
        <w:rPr>
          <w:rFonts w:ascii="Arial" w:cs="Arial" w:eastAsia="Arial" w:hAnsi="Arial"/>
          <w:sz w:val="18"/>
          <w:szCs w:val="18"/>
          <w:color w:val="auto"/>
        </w:rPr>
      </w:pPr>
    </w:p>
    <w:p>
      <w:pPr>
        <w:jc w:val="both"/>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8"/>
          <w:szCs w:val="18"/>
          <w:color w:val="auto"/>
        </w:rPr>
      </w:pPr>
    </w:p>
    <w:p>
      <w:pPr>
        <w:jc w:val="both"/>
        <w:ind w:left="700" w:hanging="368"/>
        <w:spacing w:after="0"/>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8"/>
          <w:szCs w:val="18"/>
          <w:color w:val="auto"/>
        </w:rPr>
      </w:pPr>
    </w:p>
    <w:p>
      <w:pPr>
        <w:jc w:val="both"/>
        <w:ind w:left="700" w:hanging="368"/>
        <w:spacing w:after="0"/>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8"/>
          <w:szCs w:val="18"/>
          <w:color w:val="auto"/>
        </w:rPr>
      </w:pPr>
    </w:p>
    <w:p>
      <w:pPr>
        <w:jc w:val="both"/>
        <w:ind w:left="700" w:hanging="368"/>
        <w:spacing w:after="0"/>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8"/>
          <w:szCs w:val="18"/>
          <w:color w:val="auto"/>
        </w:rPr>
      </w:pPr>
    </w:p>
    <w:p>
      <w:pPr>
        <w:jc w:val="both"/>
        <w:ind w:left="700" w:right="20" w:hanging="368"/>
        <w:spacing w:after="0"/>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8"/>
          <w:szCs w:val="18"/>
          <w:color w:val="auto"/>
        </w:rPr>
      </w:pPr>
    </w:p>
    <w:p>
      <w:pPr>
        <w:jc w:val="both"/>
        <w:ind w:left="340" w:right="2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Arial" w:cs="Arial" w:eastAsia="Arial" w:hAnsi="Arial"/>
          <w:sz w:val="18"/>
          <w:szCs w:val="18"/>
          <w:color w:val="auto"/>
        </w:rPr>
      </w:pPr>
    </w:p>
    <w:p>
      <w:pPr>
        <w:ind w:left="700" w:right="20" w:hanging="368"/>
        <w:spacing w:after="0" w:line="246" w:lineRule="auto"/>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700" w:hanging="368"/>
        <w:spacing w:after="0" w:line="246" w:lineRule="auto"/>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00" w:type="dxa"/>
            <w:vAlign w:val="bottom"/>
          </w:tcPr>
          <w:p>
            <w:pPr>
              <w:spacing w:after="0"/>
              <w:rPr>
                <w:sz w:val="20"/>
                <w:szCs w:val="20"/>
                <w:color w:val="auto"/>
              </w:rPr>
            </w:pPr>
            <w:r>
              <w:rPr>
                <w:rFonts w:ascii="Arial" w:cs="Arial" w:eastAsia="Arial" w:hAnsi="Arial"/>
                <w:sz w:val="16"/>
                <w:szCs w:val="16"/>
                <w:color w:val="auto"/>
              </w:rPr>
              <w:t>Date: October 30, 2019</w:t>
            </w:r>
          </w:p>
        </w:tc>
        <w:tc>
          <w:tcPr>
            <w:tcW w:w="7720" w:type="dxa"/>
            <w:vAlign w:val="bottom"/>
            <w:gridSpan w:val="3"/>
          </w:tcPr>
          <w:p>
            <w:pPr>
              <w:ind w:left="2020"/>
              <w:spacing w:after="0"/>
              <w:rPr>
                <w:sz w:val="20"/>
                <w:szCs w:val="20"/>
                <w:color w:val="auto"/>
              </w:rPr>
            </w:pPr>
            <w:r>
              <w:rPr>
                <w:rFonts w:ascii="Arial" w:cs="Arial" w:eastAsia="Arial" w:hAnsi="Arial"/>
                <w:sz w:val="16"/>
                <w:szCs w:val="16"/>
                <w:color w:val="auto"/>
              </w:rPr>
              <w:t>By  /s/ Olivier M. Jarrault</w:t>
            </w:r>
          </w:p>
        </w:tc>
      </w:tr>
      <w:tr>
        <w:trPr>
          <w:trHeight w:val="204"/>
        </w:trPr>
        <w:tc>
          <w:tcPr>
            <w:tcW w:w="37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3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Olivier M. Jarrault</w:t>
            </w:r>
          </w:p>
        </w:tc>
      </w:tr>
      <w:tr>
        <w:trPr>
          <w:trHeight w:val="216"/>
        </w:trPr>
        <w:tc>
          <w:tcPr>
            <w:tcW w:w="3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President and Chief Executive Officer</w:t>
            </w:r>
          </w:p>
        </w:tc>
      </w:tr>
      <w:tr>
        <w:trPr>
          <w:trHeight w:val="216"/>
        </w:trPr>
        <w:tc>
          <w:tcPr>
            <w:tcW w:w="3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(Principal Executive Officer)</w:t>
            </w:r>
          </w:p>
        </w:tc>
      </w:tr>
      <w:tr>
        <w:trPr>
          <w:trHeight w:val="236"/>
        </w:trPr>
        <w:tc>
          <w:tcPr>
            <w:tcW w:w="3700" w:type="dxa"/>
            <w:vAlign w:val="bottom"/>
            <w:tcBorders>
              <w:bottom w:val="single" w:sz="8" w:color="EEEEEE"/>
            </w:tcBorders>
          </w:tcPr>
          <w:p>
            <w:pPr>
              <w:spacing w:after="0"/>
              <w:rPr>
                <w:sz w:val="20"/>
                <w:szCs w:val="20"/>
                <w:color w:val="auto"/>
              </w:rPr>
            </w:pPr>
          </w:p>
        </w:tc>
        <w:tc>
          <w:tcPr>
            <w:tcW w:w="2360" w:type="dxa"/>
            <w:vAlign w:val="bottom"/>
            <w:tcBorders>
              <w:bottom w:val="single" w:sz="8" w:color="EEEEEE"/>
            </w:tcBorders>
          </w:tcPr>
          <w:p>
            <w:pPr>
              <w:spacing w:after="0"/>
              <w:rPr>
                <w:sz w:val="20"/>
                <w:szCs w:val="20"/>
                <w:color w:val="auto"/>
              </w:rPr>
            </w:pPr>
          </w:p>
        </w:tc>
        <w:tc>
          <w:tcPr>
            <w:tcW w:w="5340" w:type="dxa"/>
            <w:vAlign w:val="bottom"/>
            <w:tcBorders>
              <w:bottom w:val="single" w:sz="8" w:color="EEEEEE"/>
            </w:tcBorders>
          </w:tcPr>
          <w:p>
            <w:pPr>
              <w:spacing w:after="0"/>
              <w:rPr>
                <w:sz w:val="20"/>
                <w:szCs w:val="20"/>
                <w:color w:val="auto"/>
              </w:rPr>
            </w:pPr>
          </w:p>
        </w:tc>
        <w:tc>
          <w:tcPr>
            <w:tcW w:w="20" w:type="dxa"/>
            <w:vAlign w:val="bottom"/>
          </w:tcPr>
          <w:p>
            <w:pPr>
              <w:spacing w:after="0"/>
              <w:rPr>
                <w:sz w:val="20"/>
                <w:szCs w:val="20"/>
                <w:color w:val="auto"/>
              </w:rPr>
            </w:pPr>
          </w:p>
        </w:tc>
      </w:tr>
      <w:tr>
        <w:trPr>
          <w:trHeight w:val="156"/>
        </w:trPr>
        <w:tc>
          <w:tcPr>
            <w:tcW w:w="3700" w:type="dxa"/>
            <w:vAlign w:val="bottom"/>
            <w:tcBorders>
              <w:bottom w:val="single" w:sz="8" w:color="EEEEEE"/>
            </w:tcBorders>
          </w:tcPr>
          <w:p>
            <w:pPr>
              <w:spacing w:after="0"/>
              <w:rPr>
                <w:sz w:val="13"/>
                <w:szCs w:val="13"/>
                <w:color w:val="auto"/>
              </w:rPr>
            </w:pPr>
          </w:p>
        </w:tc>
        <w:tc>
          <w:tcPr>
            <w:tcW w:w="2360" w:type="dxa"/>
            <w:vAlign w:val="bottom"/>
            <w:tcBorders>
              <w:bottom w:val="single" w:sz="8" w:color="EEEEEE"/>
            </w:tcBorders>
          </w:tcPr>
          <w:p>
            <w:pPr>
              <w:spacing w:after="0"/>
              <w:rPr>
                <w:sz w:val="13"/>
                <w:szCs w:val="13"/>
                <w:color w:val="auto"/>
              </w:rPr>
            </w:pPr>
          </w:p>
        </w:tc>
        <w:tc>
          <w:tcPr>
            <w:tcW w:w="534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-55245</wp:posOffset>
            </wp:positionV>
            <wp:extent cx="7272020" cy="685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68580"/>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5588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187960</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(31.2)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Stephen M. Nolan, certify that:</w:t>
      </w:r>
    </w:p>
    <w:p>
      <w:pPr>
        <w:spacing w:after="0" w:line="50"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63" w:lineRule="exact"/>
        <w:rPr>
          <w:rFonts w:ascii="Arial" w:cs="Arial" w:eastAsia="Arial" w:hAnsi="Arial"/>
          <w:sz w:val="18"/>
          <w:szCs w:val="18"/>
          <w:color w:val="auto"/>
        </w:rPr>
      </w:pPr>
    </w:p>
    <w:p>
      <w:pPr>
        <w:jc w:val="both"/>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Arial" w:cs="Arial" w:eastAsia="Arial" w:hAnsi="Arial"/>
          <w:sz w:val="18"/>
          <w:szCs w:val="18"/>
          <w:color w:val="auto"/>
        </w:rPr>
      </w:pPr>
    </w:p>
    <w:p>
      <w:pPr>
        <w:ind w:left="340" w:hanging="332"/>
        <w:spacing w:after="0" w:line="24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 w:lineRule="exact"/>
        <w:rPr>
          <w:rFonts w:ascii="Arial" w:cs="Arial" w:eastAsia="Arial" w:hAnsi="Arial"/>
          <w:sz w:val="18"/>
          <w:szCs w:val="18"/>
          <w:color w:val="auto"/>
        </w:rPr>
      </w:pPr>
    </w:p>
    <w:p>
      <w:pPr>
        <w:jc w:val="both"/>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8"/>
          <w:szCs w:val="18"/>
          <w:color w:val="auto"/>
        </w:rPr>
      </w:pPr>
    </w:p>
    <w:p>
      <w:pPr>
        <w:jc w:val="both"/>
        <w:ind w:left="700" w:hanging="368"/>
        <w:spacing w:after="0"/>
        <w:tabs>
          <w:tab w:leader="none" w:pos="7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8"/>
          <w:szCs w:val="18"/>
          <w:color w:val="auto"/>
        </w:rPr>
      </w:pPr>
    </w:p>
    <w:p>
      <w:pPr>
        <w:jc w:val="both"/>
        <w:ind w:left="700" w:hanging="368"/>
        <w:spacing w:after="0"/>
        <w:tabs>
          <w:tab w:leader="none" w:pos="7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8"/>
          <w:szCs w:val="18"/>
          <w:color w:val="auto"/>
        </w:rPr>
      </w:pPr>
    </w:p>
    <w:p>
      <w:pPr>
        <w:jc w:val="both"/>
        <w:ind w:left="700" w:hanging="368"/>
        <w:spacing w:after="0"/>
        <w:tabs>
          <w:tab w:leader="none" w:pos="7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8"/>
          <w:szCs w:val="18"/>
          <w:color w:val="auto"/>
        </w:rPr>
      </w:pPr>
    </w:p>
    <w:p>
      <w:pPr>
        <w:jc w:val="both"/>
        <w:ind w:left="700" w:right="20" w:hanging="368"/>
        <w:spacing w:after="0"/>
        <w:tabs>
          <w:tab w:leader="none" w:pos="7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8"/>
          <w:szCs w:val="18"/>
          <w:color w:val="auto"/>
        </w:rPr>
      </w:pPr>
    </w:p>
    <w:p>
      <w:pPr>
        <w:jc w:val="both"/>
        <w:ind w:left="340" w:right="2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Arial" w:cs="Arial" w:eastAsia="Arial" w:hAnsi="Arial"/>
          <w:sz w:val="18"/>
          <w:szCs w:val="18"/>
          <w:color w:val="auto"/>
        </w:rPr>
      </w:pPr>
    </w:p>
    <w:p>
      <w:pPr>
        <w:ind w:left="700" w:right="20" w:hanging="368"/>
        <w:spacing w:after="0" w:line="246" w:lineRule="auto"/>
        <w:tabs>
          <w:tab w:leader="none" w:pos="7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700" w:hanging="368"/>
        <w:spacing w:after="0" w:line="246" w:lineRule="auto"/>
        <w:tabs>
          <w:tab w:leader="none" w:pos="7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00" w:type="dxa"/>
            <w:vAlign w:val="bottom"/>
          </w:tcPr>
          <w:p>
            <w:pPr>
              <w:spacing w:after="0"/>
              <w:rPr>
                <w:sz w:val="20"/>
                <w:szCs w:val="20"/>
                <w:color w:val="auto"/>
              </w:rPr>
            </w:pPr>
            <w:r>
              <w:rPr>
                <w:rFonts w:ascii="Arial" w:cs="Arial" w:eastAsia="Arial" w:hAnsi="Arial"/>
                <w:sz w:val="16"/>
                <w:szCs w:val="16"/>
                <w:color w:val="auto"/>
              </w:rPr>
              <w:t>Date: October 30, 2019</w:t>
            </w:r>
          </w:p>
        </w:tc>
        <w:tc>
          <w:tcPr>
            <w:tcW w:w="7720" w:type="dxa"/>
            <w:vAlign w:val="bottom"/>
            <w:gridSpan w:val="3"/>
          </w:tcPr>
          <w:p>
            <w:pPr>
              <w:ind w:left="2020"/>
              <w:spacing w:after="0"/>
              <w:rPr>
                <w:sz w:val="20"/>
                <w:szCs w:val="20"/>
                <w:color w:val="auto"/>
              </w:rPr>
            </w:pPr>
            <w:r>
              <w:rPr>
                <w:rFonts w:ascii="Arial" w:cs="Arial" w:eastAsia="Arial" w:hAnsi="Arial"/>
                <w:sz w:val="16"/>
                <w:szCs w:val="16"/>
                <w:color w:val="auto"/>
              </w:rPr>
              <w:t>By  /s/ Stephen M. Nolan</w:t>
            </w:r>
          </w:p>
        </w:tc>
      </w:tr>
      <w:tr>
        <w:trPr>
          <w:trHeight w:val="204"/>
        </w:trPr>
        <w:tc>
          <w:tcPr>
            <w:tcW w:w="37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3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Stephen M. Nolan</w:t>
            </w:r>
          </w:p>
        </w:tc>
      </w:tr>
      <w:tr>
        <w:trPr>
          <w:trHeight w:val="216"/>
        </w:trPr>
        <w:tc>
          <w:tcPr>
            <w:tcW w:w="3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Chief Financial Officer and Treasurer</w:t>
            </w:r>
          </w:p>
        </w:tc>
      </w:tr>
      <w:tr>
        <w:trPr>
          <w:trHeight w:val="216"/>
        </w:trPr>
        <w:tc>
          <w:tcPr>
            <w:tcW w:w="3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(Principal Financial Officer)</w:t>
            </w:r>
          </w:p>
        </w:tc>
      </w:tr>
      <w:tr>
        <w:trPr>
          <w:trHeight w:val="236"/>
        </w:trPr>
        <w:tc>
          <w:tcPr>
            <w:tcW w:w="3700" w:type="dxa"/>
            <w:vAlign w:val="bottom"/>
            <w:tcBorders>
              <w:bottom w:val="single" w:sz="8" w:color="EEEEEE"/>
            </w:tcBorders>
          </w:tcPr>
          <w:p>
            <w:pPr>
              <w:spacing w:after="0"/>
              <w:rPr>
                <w:sz w:val="20"/>
                <w:szCs w:val="20"/>
                <w:color w:val="auto"/>
              </w:rPr>
            </w:pPr>
          </w:p>
        </w:tc>
        <w:tc>
          <w:tcPr>
            <w:tcW w:w="2360" w:type="dxa"/>
            <w:vAlign w:val="bottom"/>
            <w:tcBorders>
              <w:bottom w:val="single" w:sz="8" w:color="EEEEEE"/>
            </w:tcBorders>
          </w:tcPr>
          <w:p>
            <w:pPr>
              <w:spacing w:after="0"/>
              <w:rPr>
                <w:sz w:val="20"/>
                <w:szCs w:val="20"/>
                <w:color w:val="auto"/>
              </w:rPr>
            </w:pPr>
          </w:p>
        </w:tc>
        <w:tc>
          <w:tcPr>
            <w:tcW w:w="5340" w:type="dxa"/>
            <w:vAlign w:val="bottom"/>
            <w:tcBorders>
              <w:bottom w:val="single" w:sz="8" w:color="EEEEEE"/>
            </w:tcBorders>
          </w:tcPr>
          <w:p>
            <w:pPr>
              <w:spacing w:after="0"/>
              <w:rPr>
                <w:sz w:val="20"/>
                <w:szCs w:val="20"/>
                <w:color w:val="auto"/>
              </w:rPr>
            </w:pPr>
          </w:p>
        </w:tc>
        <w:tc>
          <w:tcPr>
            <w:tcW w:w="20" w:type="dxa"/>
            <w:vAlign w:val="bottom"/>
          </w:tcPr>
          <w:p>
            <w:pPr>
              <w:spacing w:after="0"/>
              <w:rPr>
                <w:sz w:val="20"/>
                <w:szCs w:val="20"/>
                <w:color w:val="auto"/>
              </w:rPr>
            </w:pPr>
          </w:p>
        </w:tc>
      </w:tr>
      <w:tr>
        <w:trPr>
          <w:trHeight w:val="156"/>
        </w:trPr>
        <w:tc>
          <w:tcPr>
            <w:tcW w:w="3700" w:type="dxa"/>
            <w:vAlign w:val="bottom"/>
            <w:tcBorders>
              <w:bottom w:val="single" w:sz="8" w:color="EEEEEE"/>
            </w:tcBorders>
          </w:tcPr>
          <w:p>
            <w:pPr>
              <w:spacing w:after="0"/>
              <w:rPr>
                <w:sz w:val="13"/>
                <w:szCs w:val="13"/>
                <w:color w:val="auto"/>
              </w:rPr>
            </w:pPr>
          </w:p>
        </w:tc>
        <w:tc>
          <w:tcPr>
            <w:tcW w:w="2360" w:type="dxa"/>
            <w:vAlign w:val="bottom"/>
            <w:tcBorders>
              <w:bottom w:val="single" w:sz="8" w:color="EEEEEE"/>
            </w:tcBorders>
          </w:tcPr>
          <w:p>
            <w:pPr>
              <w:spacing w:after="0"/>
              <w:rPr>
                <w:sz w:val="13"/>
                <w:szCs w:val="13"/>
                <w:color w:val="auto"/>
              </w:rPr>
            </w:pPr>
          </w:p>
        </w:tc>
        <w:tc>
          <w:tcPr>
            <w:tcW w:w="534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-55245</wp:posOffset>
            </wp:positionV>
            <wp:extent cx="7272020" cy="685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68580"/>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552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552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187960</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(32.1)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34" w:lineRule="auto"/>
        <w:rPr>
          <w:sz w:val="20"/>
          <w:szCs w:val="20"/>
          <w:color w:val="auto"/>
        </w:rPr>
      </w:pPr>
      <w:r>
        <w:rPr>
          <w:rFonts w:ascii="Arial" w:cs="Arial" w:eastAsia="Arial" w:hAnsi="Arial"/>
          <w:sz w:val="18"/>
          <w:szCs w:val="18"/>
          <w:b w:val="1"/>
          <w:bCs w:val="1"/>
          <w:color w:val="auto"/>
        </w:rPr>
        <w:t>18 U.S.C. SECTION 1350,</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4"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September 30, 2019, as filed with the Securities and Exchange Commission on the date hereof (the Report), Olivier M. Jarrault, President and Chief Executive Officer, and Stephen M. Nolan, Chief Financial Officer and Treasurer of the Company, certify, pursuant to 18 U.S.C. § 1350, as adopted pursuant to § 906 of the Sarbanes-Oxley Act of 2002, that:</w:t>
      </w:r>
    </w:p>
    <w:p>
      <w:pPr>
        <w:spacing w:after="0" w:line="40"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63" w:lineRule="exact"/>
        <w:rPr>
          <w:rFonts w:ascii="Arial" w:cs="Arial" w:eastAsia="Arial" w:hAnsi="Arial"/>
          <w:sz w:val="18"/>
          <w:szCs w:val="18"/>
          <w:color w:val="auto"/>
        </w:rPr>
      </w:pPr>
    </w:p>
    <w:p>
      <w:pPr>
        <w:ind w:left="360" w:hanging="352"/>
        <w:spacing w:after="0" w:line="246" w:lineRule="auto"/>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60" w:type="dxa"/>
            <w:vAlign w:val="bottom"/>
          </w:tcPr>
          <w:p>
            <w:pPr>
              <w:spacing w:after="0"/>
              <w:rPr>
                <w:sz w:val="20"/>
                <w:szCs w:val="20"/>
                <w:color w:val="auto"/>
              </w:rPr>
            </w:pPr>
            <w:r>
              <w:rPr>
                <w:rFonts w:ascii="Arial" w:cs="Arial" w:eastAsia="Arial" w:hAnsi="Arial"/>
                <w:sz w:val="16"/>
                <w:szCs w:val="16"/>
                <w:color w:val="auto"/>
              </w:rPr>
              <w:t>Dated: October 30, 2019</w:t>
            </w:r>
          </w:p>
        </w:tc>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Olivier M. Jarrault</w:t>
            </w:r>
          </w:p>
        </w:tc>
      </w:tr>
      <w:tr>
        <w:trPr>
          <w:trHeight w:val="204"/>
        </w:trPr>
        <w:tc>
          <w:tcPr>
            <w:tcW w:w="686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6"/>
                <w:szCs w:val="16"/>
                <w:color w:val="auto"/>
              </w:rPr>
              <w:t>Olivier M. Jarrault</w:t>
            </w:r>
          </w:p>
        </w:tc>
      </w:tr>
      <w:tr>
        <w:trPr>
          <w:trHeight w:val="216"/>
        </w:trPr>
        <w:tc>
          <w:tcPr>
            <w:tcW w:w="686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6"/>
                <w:szCs w:val="16"/>
                <w:color w:val="auto"/>
              </w:rPr>
              <w:t>President and Chief Executive Officer</w:t>
            </w:r>
          </w:p>
        </w:tc>
      </w:tr>
      <w:tr>
        <w:trPr>
          <w:trHeight w:val="216"/>
        </w:trPr>
        <w:tc>
          <w:tcPr>
            <w:tcW w:w="686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6"/>
                <w:szCs w:val="16"/>
                <w:color w:val="auto"/>
              </w:rPr>
              <w:t>(Principal Executive Officer)</w:t>
            </w:r>
          </w:p>
        </w:tc>
      </w:tr>
      <w:tr>
        <w:trPr>
          <w:trHeight w:val="425"/>
        </w:trPr>
        <w:tc>
          <w:tcPr>
            <w:tcW w:w="6860" w:type="dxa"/>
            <w:vAlign w:val="bottom"/>
          </w:tcPr>
          <w:p>
            <w:pPr>
              <w:spacing w:after="0"/>
              <w:rPr>
                <w:sz w:val="24"/>
                <w:szCs w:val="24"/>
                <w:color w:val="auto"/>
              </w:rPr>
            </w:pPr>
          </w:p>
        </w:tc>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Stephen M. Nolan</w:t>
            </w:r>
          </w:p>
        </w:tc>
      </w:tr>
      <w:tr>
        <w:trPr>
          <w:trHeight w:val="209"/>
        </w:trPr>
        <w:tc>
          <w:tcPr>
            <w:tcW w:w="686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Stephen M. Nolan</w:t>
            </w:r>
          </w:p>
        </w:tc>
      </w:tr>
      <w:tr>
        <w:trPr>
          <w:trHeight w:val="216"/>
        </w:trPr>
        <w:tc>
          <w:tcPr>
            <w:tcW w:w="686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17"/>
        </w:trPr>
        <w:tc>
          <w:tcPr>
            <w:tcW w:w="686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6860" w:type="dxa"/>
            <w:vAlign w:val="bottom"/>
            <w:tcBorders>
              <w:bottom w:val="single" w:sz="8" w:color="EEEEEE"/>
            </w:tcBorders>
          </w:tcPr>
          <w:p>
            <w:pPr>
              <w:spacing w:after="0"/>
              <w:rPr>
                <w:sz w:val="19"/>
                <w:szCs w:val="19"/>
                <w:color w:val="auto"/>
              </w:rPr>
            </w:pPr>
          </w:p>
        </w:tc>
        <w:tc>
          <w:tcPr>
            <w:tcW w:w="4540" w:type="dxa"/>
            <w:vAlign w:val="bottom"/>
            <w:tcBorders>
              <w:bottom w:val="single" w:sz="8" w:color="EEEEEE"/>
            </w:tcBorders>
          </w:tcPr>
          <w:p>
            <w:pPr>
              <w:spacing w:after="0"/>
              <w:rPr>
                <w:sz w:val="19"/>
                <w:szCs w:val="19"/>
                <w:color w:val="auto"/>
              </w:rPr>
            </w:pPr>
          </w:p>
        </w:tc>
        <w:tc>
          <w:tcPr>
            <w:tcW w:w="20" w:type="dxa"/>
            <w:vAlign w:val="bottom"/>
          </w:tcPr>
          <w:p>
            <w:pPr>
              <w:spacing w:after="0"/>
              <w:rPr>
                <w:sz w:val="19"/>
                <w:szCs w:val="19"/>
                <w:color w:val="auto"/>
              </w:rPr>
            </w:pPr>
          </w:p>
        </w:tc>
      </w:tr>
      <w:tr>
        <w:trPr>
          <w:trHeight w:val="156"/>
        </w:trPr>
        <w:tc>
          <w:tcPr>
            <w:tcW w:w="6860" w:type="dxa"/>
            <w:vAlign w:val="bottom"/>
            <w:tcBorders>
              <w:bottom w:val="single" w:sz="8" w:color="EEEEEE"/>
            </w:tcBorders>
          </w:tcPr>
          <w:p>
            <w:pPr>
              <w:spacing w:after="0"/>
              <w:rPr>
                <w:sz w:val="13"/>
                <w:szCs w:val="13"/>
                <w:color w:val="auto"/>
              </w:rPr>
            </w:pPr>
          </w:p>
        </w:tc>
        <w:tc>
          <w:tcPr>
            <w:tcW w:w="454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-55245</wp:posOffset>
            </wp:positionV>
            <wp:extent cx="7272020" cy="685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68580"/>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5588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187960</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(99.1)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RISK SENSITIVITY – As of September 30, 2019</w:t>
      </w:r>
    </w:p>
    <w:p>
      <w:pPr>
        <w:spacing w:after="0" w:line="10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6"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$511.9 million. The potential loss in fair value resulting from a hypothetical 10% adverse change in quoted foreign currency exchange rates amounts to $ 51.2 million. Furthermore, related to foreign currency transactions, we have exposure to various nonfunctional currency balances totaling $49.6 million. This amount includes, on an absolute basis, exposures to assets and liabilities held in currencies other than our local entity’s functional currency. On a net basis, we had $13.6 million of foreign currency liabilities as of September 30, 2019. As currency rates change, these nonfunctional currency balances are revalued, and the corresponding adjustment is recorded in the income statement. A hypothetical change of 10% in currency rates could result in an adjustment to the income statement of approximately $1.4 million. Actual results may differ.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September 30, 2019, we had the following variable rate debt:</w:t>
      </w:r>
    </w:p>
    <w:p>
      <w:pPr>
        <w:spacing w:after="0" w:line="154"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(in thousands, except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-113030</wp:posOffset>
            </wp:positionV>
            <wp:extent cx="5977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77255" cy="8890"/>
                    </a:xfrm>
                    <a:prstGeom prst="rect">
                      <a:avLst/>
                    </a:prstGeom>
                    <a:noFill/>
                  </pic:spPr>
                </pic:pic>
              </a:graphicData>
            </a:graphic>
          </wp:anchor>
        </w:drawing>
      </w:r>
    </w:p>
    <w:p>
      <w:pPr>
        <w:spacing w:after="0" w:line="3"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78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Long-term debt</w:t>
            </w:r>
          </w:p>
        </w:tc>
        <w:tc>
          <w:tcPr>
            <w:tcW w:w="1620" w:type="dxa"/>
            <w:vAlign w:val="bottom"/>
            <w:tcBorders>
              <w:top w:val="single" w:sz="8" w:color="auto"/>
            </w:tcBorders>
          </w:tcPr>
          <w:p>
            <w:pPr>
              <w:spacing w:after="0"/>
              <w:rPr>
                <w:sz w:val="16"/>
                <w:szCs w:val="16"/>
                <w:color w:val="auto"/>
              </w:rPr>
            </w:pPr>
          </w:p>
        </w:tc>
      </w:tr>
      <w:tr>
        <w:trPr>
          <w:trHeight w:val="189"/>
        </w:trPr>
        <w:tc>
          <w:tcPr>
            <w:tcW w:w="7800" w:type="dxa"/>
            <w:vAlign w:val="bottom"/>
          </w:tcPr>
          <w:p>
            <w:pPr>
              <w:spacing w:after="0"/>
              <w:rPr>
                <w:sz w:val="20"/>
                <w:szCs w:val="20"/>
                <w:color w:val="auto"/>
              </w:rPr>
            </w:pPr>
            <w:r>
              <w:rPr>
                <w:rFonts w:ascii="Arial" w:cs="Arial" w:eastAsia="Arial" w:hAnsi="Arial"/>
                <w:sz w:val="16"/>
                <w:szCs w:val="16"/>
                <w:color w:val="auto"/>
              </w:rPr>
              <w:t>Credit agreement with borrowings outstanding, net of fixed rate portion, at an end of period interest rate</w:t>
            </w:r>
          </w:p>
        </w:tc>
        <w:tc>
          <w:tcPr>
            <w:tcW w:w="1620" w:type="dxa"/>
            <w:vAlign w:val="bottom"/>
          </w:tcPr>
          <w:p>
            <w:pPr>
              <w:spacing w:after="0"/>
              <w:rPr>
                <w:sz w:val="16"/>
                <w:szCs w:val="16"/>
                <w:color w:val="auto"/>
              </w:rPr>
            </w:pPr>
          </w:p>
        </w:tc>
      </w:tr>
      <w:tr>
        <w:trPr>
          <w:trHeight w:val="195"/>
        </w:trPr>
        <w:tc>
          <w:tcPr>
            <w:tcW w:w="7800" w:type="dxa"/>
            <w:vAlign w:val="bottom"/>
          </w:tcPr>
          <w:p>
            <w:pPr>
              <w:ind w:left="120"/>
              <w:spacing w:after="0"/>
              <w:rPr>
                <w:sz w:val="20"/>
                <w:szCs w:val="20"/>
                <w:color w:val="auto"/>
              </w:rPr>
            </w:pPr>
            <w:r>
              <w:rPr>
                <w:rFonts w:ascii="Arial" w:cs="Arial" w:eastAsia="Arial" w:hAnsi="Arial"/>
                <w:sz w:val="16"/>
                <w:szCs w:val="16"/>
                <w:color w:val="auto"/>
              </w:rPr>
              <w:t>of 3.425% in 2019, due in 2022</w:t>
            </w:r>
          </w:p>
        </w:tc>
        <w:tc>
          <w:tcPr>
            <w:tcW w:w="1620" w:type="dxa"/>
            <w:vAlign w:val="bottom"/>
          </w:tcPr>
          <w:p>
            <w:pPr>
              <w:jc w:val="right"/>
              <w:ind w:right="559"/>
              <w:spacing w:after="0"/>
              <w:rPr>
                <w:sz w:val="20"/>
                <w:szCs w:val="20"/>
                <w:color w:val="auto"/>
              </w:rPr>
            </w:pPr>
            <w:r>
              <w:rPr>
                <w:rFonts w:ascii="Arial" w:cs="Arial" w:eastAsia="Arial" w:hAnsi="Arial"/>
                <w:sz w:val="16"/>
                <w:szCs w:val="16"/>
                <w:color w:val="auto"/>
              </w:rPr>
              <w:t>$74,000</w:t>
            </w:r>
          </w:p>
        </w:tc>
      </w:tr>
      <w:tr>
        <w:trPr>
          <w:trHeight w:val="155"/>
        </w:trPr>
        <w:tc>
          <w:tcPr>
            <w:tcW w:w="78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r>
      <w:tr>
        <w:trPr>
          <w:trHeight w:val="345"/>
        </w:trPr>
        <w:tc>
          <w:tcPr>
            <w:tcW w:w="7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16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$74,000</w:t>
            </w:r>
          </w:p>
        </w:tc>
      </w:tr>
    </w:tbl>
    <w:p>
      <w:pPr>
        <w:spacing w:after="0" w:line="202"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 interest expense by $0.7 million. To manage interest rate risk, we may periodically enter into interest rate swap agreements to effectively fix the interest rates on variable debt to a specific rate for a period of time. (See Note 15 to the Consolidated Financial Statements in Item 1,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210185</wp:posOffset>
            </wp:positionV>
            <wp:extent cx="7272020" cy="685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68580"/>
                    </a:xfrm>
                    <a:prstGeom prst="rect">
                      <a:avLst/>
                    </a:prstGeom>
                    <a:noFill/>
                  </pic:spPr>
                </pic:pic>
              </a:graphicData>
            </a:graphic>
          </wp:anchor>
        </w:drawing>
      </w:r>
    </w:p>
    <w:sectPr>
      <w:pgSz w:w="11900" w:h="16838" w:orient="portrait"/>
      <w:cols w:equalWidth="0" w:num="1">
        <w:col w:w="11420"/>
      </w:cols>
      <w:pgMar w:left="240" w:top="4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4"/>
    </w:lvl>
  </w:abstractNum>
  <w:abstractNum w:abstractNumId="5">
    <w:nsid w:val="721DA317"/>
    <w:multiLevelType w:val="hybridMultilevel"/>
    <w:lvl w:ilvl="0">
      <w:lvlJc w:val="left"/>
      <w:lvlText w:val="(%1)"/>
      <w:numFmt w:val="lowerLetter"/>
      <w:start w:val="1"/>
    </w:lvl>
  </w:abstractNum>
  <w:abstractNum w:abstractNumId="6">
    <w:nsid w:val="2443A858"/>
    <w:multiLevelType w:val="hybridMultilevel"/>
    <w:lvl w:ilvl="0">
      <w:lvlJc w:val="left"/>
      <w:lvlText w:val="(%1)"/>
      <w:numFmt w:val="lowerLetter"/>
      <w:start w:val="1"/>
    </w:lvl>
  </w:abstractNum>
  <w:abstractNum w:abstractNumId="7">
    <w:nsid w:val="2D1D5AE9"/>
    <w:multiLevelType w:val="hybridMultilevel"/>
    <w:lvl w:ilvl="0">
      <w:lvlJc w:val="left"/>
      <w:lvlText w:val="%1."/>
      <w:numFmt w:val="decimal"/>
      <w:start w:val="17"/>
    </w:lvl>
  </w:abstractNum>
  <w:abstractNum w:abstractNumId="8">
    <w:nsid w:val="6763845E"/>
    <w:multiLevelType w:val="hybridMultilevel"/>
    <w:lvl w:ilvl="0">
      <w:lvlJc w:val="left"/>
      <w:lvlText w:val="(%1)"/>
      <w:numFmt w:val="lowerLetter"/>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lvl w:ilvl="1">
      <w:lvlJc w:val="left"/>
      <w:lvlText w:val="•"/>
      <w:numFmt w:val="bullet"/>
      <w:start w:val="1"/>
    </w:lvl>
  </w:abstractNum>
  <w:abstractNum w:abstractNumId="11">
    <w:nsid w:val="79838CB2"/>
    <w:multiLevelType w:val="hybridMultilevel"/>
    <w:lvl w:ilvl="0">
      <w:lvlJc w:val="left"/>
      <w:lvlText w:val="•"/>
      <w:numFmt w:val="bullet"/>
      <w:start w:val="1"/>
    </w:lvl>
    <w:lvl w:ilvl="1">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lvl w:ilvl="1">
      <w:lvlJc w:val="left"/>
      <w:lvlText w:val="•"/>
      <w:numFmt w:val="bullet"/>
      <w:start w:val="1"/>
    </w:lvl>
  </w:abstractNum>
  <w:abstractNum w:abstractNumId="24">
    <w:nsid w:val="737B8DDC"/>
    <w:multiLevelType w:val="hybridMultilevel"/>
    <w:lvl w:ilvl="0">
      <w:lvlJc w:val="left"/>
      <w:lvlText w:val="•"/>
      <w:numFmt w:val="bullet"/>
      <w:start w:val="1"/>
    </w:lvl>
    <w:lvl w:ilvl="1">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2019-12-28T04:29:05Z</dcterms:created>
  <dcterms:modified xsi:type="dcterms:W3CDTF">2019-12-28T04:29:05Z</dcterms:modified>
</cp:coreProperties>
</file>