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5" w:lineRule="exact"/>
        <w:rPr>
          <w:sz w:val="24"/>
          <w:szCs w:val="24"/>
          <w:color w:val="auto"/>
        </w:rPr>
      </w:pPr>
    </w:p>
    <w:p>
      <w:pPr>
        <w:ind w:left="4480"/>
        <w:spacing w:after="0"/>
        <w:tabs>
          <w:tab w:leader="none" w:pos="5760" w:val="left"/>
        </w:tabs>
        <w:rPr>
          <w:sz w:val="20"/>
          <w:szCs w:val="20"/>
          <w:color w:val="auto"/>
        </w:rPr>
      </w:pPr>
      <w:r>
        <w:rPr>
          <w:rFonts w:ascii="Times New Roman" w:cs="Times New Roman" w:eastAsia="Times New Roman" w:hAnsi="Times New Roman"/>
          <w:sz w:val="18"/>
          <w:szCs w:val="18"/>
          <w:color w:val="auto"/>
        </w:rPr>
        <w:t>Date of Report:</w:t>
      </w:r>
      <w:r>
        <w:rPr>
          <w:sz w:val="20"/>
          <w:szCs w:val="20"/>
          <w:color w:val="auto"/>
        </w:rPr>
        <w:tab/>
      </w:r>
      <w:r>
        <w:rPr>
          <w:rFonts w:ascii="Times New Roman" w:cs="Times New Roman" w:eastAsia="Times New Roman" w:hAnsi="Times New Roman"/>
          <w:sz w:val="17"/>
          <w:szCs w:val="17"/>
          <w:color w:val="auto"/>
        </w:rPr>
        <w:t>May 19, 2026</w:t>
      </w:r>
    </w:p>
    <w:p>
      <w:pPr>
        <w:spacing w:after="0" w:line="2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1144905</wp:posOffset>
            </wp:positionH>
            <wp:positionV relativeFrom="paragraph">
              <wp:posOffset>26670</wp:posOffset>
            </wp:positionV>
            <wp:extent cx="48431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43145" cy="17145"/>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1-10026</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14-0462060</w:t>
            </w:r>
          </w:p>
        </w:tc>
      </w:tr>
      <w:tr>
        <w:trPr>
          <w:trHeight w:val="34"/>
        </w:trPr>
        <w:tc>
          <w:tcPr>
            <w:tcW w:w="38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5"/>
        </w:trPr>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w:t>
            </w:r>
          </w:p>
        </w:tc>
        <w:tc>
          <w:tcPr>
            <w:tcW w:w="3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38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5"/>
        </w:trPr>
        <w:tc>
          <w:tcPr>
            <w:tcW w:w="7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325 Corporate Drive, Portsmouth, New Hampshire</w:t>
            </w:r>
          </w:p>
        </w:tc>
        <w:tc>
          <w:tcPr>
            <w:tcW w:w="3840" w:type="dxa"/>
            <w:vAlign w:val="bottom"/>
            <w:tcBorders>
              <w:bottom w:val="single" w:sz="8" w:color="auto"/>
            </w:tcBorders>
          </w:tcPr>
          <w:p>
            <w:pPr>
              <w:jc w:val="right"/>
              <w:ind w:right="1650"/>
              <w:spacing w:after="0"/>
              <w:rPr>
                <w:sz w:val="20"/>
                <w:szCs w:val="20"/>
                <w:color w:val="auto"/>
              </w:rPr>
            </w:pPr>
            <w:r>
              <w:rPr>
                <w:rFonts w:ascii="Times New Roman" w:cs="Times New Roman" w:eastAsia="Times New Roman" w:hAnsi="Times New Roman"/>
                <w:sz w:val="18"/>
                <w:szCs w:val="18"/>
                <w:b w:val="1"/>
                <w:bCs w:val="1"/>
                <w:color w:val="auto"/>
              </w:rPr>
              <w:t>03801</w:t>
            </w:r>
          </w:p>
        </w:tc>
      </w:tr>
      <w:tr>
        <w:trPr>
          <w:trHeight w:val="243"/>
        </w:trPr>
        <w:tc>
          <w:tcPr>
            <w:tcW w:w="74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24"/>
        </w:trPr>
        <w:tc>
          <w:tcPr>
            <w:tcW w:w="3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603-330-5800</w:t>
            </w:r>
          </w:p>
        </w:tc>
        <w:tc>
          <w:tcPr>
            <w:tcW w:w="3840" w:type="dxa"/>
            <w:vAlign w:val="bottom"/>
          </w:tcPr>
          <w:p>
            <w:pPr>
              <w:spacing w:after="0"/>
              <w:rPr>
                <w:sz w:val="24"/>
                <w:szCs w:val="24"/>
                <w:color w:val="auto"/>
              </w:rPr>
            </w:pPr>
          </w:p>
        </w:tc>
      </w:tr>
    </w:tbl>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342"/>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70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34"/>
        </w:trPr>
        <w:tc>
          <w:tcPr>
            <w:tcW w:w="3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5"/>
        </w:trPr>
        <w:tc>
          <w:tcPr>
            <w:tcW w:w="47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Class A Common Stock, $0.001 par value per</w:t>
            </w:r>
          </w:p>
        </w:tc>
        <w:tc>
          <w:tcPr>
            <w:tcW w:w="30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AIN</w:t>
            </w:r>
          </w:p>
        </w:tc>
        <w:tc>
          <w:tcPr>
            <w:tcW w:w="3500" w:type="dxa"/>
            <w:vAlign w:val="bottom"/>
          </w:tcPr>
          <w:p>
            <w:pPr>
              <w:spacing w:after="0"/>
              <w:rPr>
                <w:sz w:val="19"/>
                <w:szCs w:val="19"/>
                <w:color w:val="auto"/>
              </w:rPr>
            </w:pPr>
          </w:p>
        </w:tc>
      </w:tr>
      <w:tr>
        <w:trPr>
          <w:trHeight w:val="234"/>
        </w:trPr>
        <w:tc>
          <w:tcPr>
            <w:tcW w:w="470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color w:val="auto"/>
                <w:w w:val="99"/>
              </w:rPr>
              <w:t>share</w:t>
            </w:r>
          </w:p>
        </w:tc>
        <w:tc>
          <w:tcPr>
            <w:tcW w:w="2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 (NYSE)</w:t>
            </w:r>
          </w:p>
        </w:tc>
      </w:tr>
    </w:tbl>
    <w:p>
      <w:pPr>
        <w:spacing w:after="0" w:line="33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1933 (230.405 of this chapter) or Rule 12b-2 of the Securities Exchange Act of 1934 (240.12b-2 of this chapter).</w:t>
      </w:r>
    </w:p>
    <w:p>
      <w:pPr>
        <w:spacing w:after="0" w:line="12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84" w:lineRule="exact"/>
        <w:rPr>
          <w:rFonts w:ascii="MS PGothic" w:cs="MS PGothic" w:eastAsia="MS PGothic" w:hAnsi="MS PGothic"/>
          <w:sz w:val="18"/>
          <w:szCs w:val="18"/>
          <w:color w:val="auto"/>
        </w:rPr>
      </w:pPr>
    </w:p>
    <w:p>
      <w:pPr>
        <w:ind w:left="340" w:right="80" w:hanging="332"/>
        <w:spacing w:after="0" w:line="282" w:lineRule="auto"/>
        <w:tabs>
          <w:tab w:leader="none" w:pos="4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At the Company’s Annual Meeting of stockholders held on May 15, 2026, there were three items subject to a vote of security holders: (1) the election of eight members of the Board of Directors of the Company; (2) the ratification of the appointment of KPMG LLP as the Company’s independent auditor; and</w:t>
      </w:r>
    </w:p>
    <w:p>
      <w:pPr>
        <w:spacing w:after="0" w:line="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nonbinding vote, of executive compensation.</w:t>
      </w:r>
    </w:p>
    <w:p>
      <w:pPr>
        <w:spacing w:after="0" w:line="21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vote for the election of eight members of the Board of Directors of the Company, the number of votes cast for, the number of votes withheld from, and broker non-votes as to each of the nominees were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Number of Votes For</w:t>
            </w:r>
          </w:p>
        </w:tc>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Number of Votes Withheld</w:t>
            </w:r>
          </w:p>
        </w:tc>
        <w:tc>
          <w:tcPr>
            <w:tcW w:w="1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R. Scannell</w:t>
            </w: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22,824,984</w:t>
            </w:r>
          </w:p>
        </w:tc>
        <w:tc>
          <w:tcPr>
            <w:tcW w:w="108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2,549,827</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r>
        <w:trPr>
          <w:trHeight w:val="37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Katharine L. Plourde</w:t>
            </w: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22,814,892</w:t>
            </w:r>
          </w:p>
        </w:tc>
        <w:tc>
          <w:tcPr>
            <w:tcW w:w="10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2,559,919</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r>
        <w:trPr>
          <w:trHeight w:val="37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Kenneth W. Krueger</w:t>
            </w: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24,162,558</w:t>
            </w:r>
          </w:p>
        </w:tc>
        <w:tc>
          <w:tcPr>
            <w:tcW w:w="10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1,212,253</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r>
        <w:trPr>
          <w:trHeight w:val="37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Michael McQuade</w:t>
            </w: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24,025,709</w:t>
            </w:r>
          </w:p>
        </w:tc>
        <w:tc>
          <w:tcPr>
            <w:tcW w:w="10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1,349,102</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r>
        <w:trPr>
          <w:trHeight w:val="37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Christine M. Alvord</w:t>
            </w: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23,854,847</w:t>
            </w:r>
          </w:p>
        </w:tc>
        <w:tc>
          <w:tcPr>
            <w:tcW w:w="10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1,519,964</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r>
        <w:trPr>
          <w:trHeight w:val="37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Russell E. Toney</w:t>
            </w: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24,276,510</w:t>
            </w:r>
          </w:p>
        </w:tc>
        <w:tc>
          <w:tcPr>
            <w:tcW w:w="10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1,098,301</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r>
        <w:trPr>
          <w:trHeight w:val="37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Gunnar Kleveland</w:t>
            </w:r>
          </w:p>
        </w:tc>
        <w:tc>
          <w:tcPr>
            <w:tcW w:w="226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24,282,507</w:t>
            </w:r>
          </w:p>
        </w:tc>
        <w:tc>
          <w:tcPr>
            <w:tcW w:w="10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1,092,304</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r>
        <w:trPr>
          <w:trHeight w:val="378"/>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Bonnie C. Lind</w:t>
            </w:r>
          </w:p>
        </w:tc>
        <w:tc>
          <w:tcPr>
            <w:tcW w:w="22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8"/>
              </w:rPr>
              <w:t>25,110,479</w:t>
            </w:r>
          </w:p>
        </w:tc>
        <w:tc>
          <w:tcPr>
            <w:tcW w:w="108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264,332</w:t>
            </w:r>
          </w:p>
        </w:tc>
        <w:tc>
          <w:tcPr>
            <w:tcW w:w="260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rPr>
              <w:t>880,924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right="2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vote for the ratification of the appointment of KPMG LLP as the Company's independent auditor, the number of votes for, the number of votes against, and the number of abstentions were as follows: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tcPr>
          <w:p>
            <w:pPr>
              <w:spacing w:after="0"/>
              <w:rPr>
                <w:sz w:val="18"/>
                <w:szCs w:val="18"/>
                <w:color w:val="auto"/>
              </w:rPr>
            </w:pPr>
          </w:p>
        </w:tc>
        <w:tc>
          <w:tcPr>
            <w:tcW w:w="176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
        </w:trPr>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50"/>
        </w:trPr>
        <w:tc>
          <w:tcPr>
            <w:tcW w:w="192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w w:val="98"/>
              </w:rPr>
              <w:t>25,067,522</w:t>
            </w:r>
          </w:p>
        </w:tc>
        <w:tc>
          <w:tcPr>
            <w:tcW w:w="298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1,187,962</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r>
    </w:tbl>
    <w:p>
      <w:pPr>
        <w:spacing w:after="0" w:line="306" w:lineRule="exact"/>
        <w:rPr>
          <w:sz w:val="20"/>
          <w:szCs w:val="20"/>
          <w:color w:val="auto"/>
        </w:rPr>
      </w:pPr>
    </w:p>
    <w:p>
      <w:pPr>
        <w:ind w:left="660" w:right="20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vote to approve, by non-binding vote, executive compensation, the number of votes cast for, the number of votes cast against, the number cast as abstentions, and broker non-votes were as follows:</w:t>
      </w:r>
    </w:p>
    <w:p>
      <w:pPr>
        <w:spacing w:after="0" w:line="230"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13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26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50"/>
        </w:trPr>
        <w:tc>
          <w:tcPr>
            <w:tcW w:w="15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w w:val="98"/>
              </w:rPr>
              <w:t>24,867,270</w:t>
            </w:r>
          </w:p>
        </w:tc>
        <w:tc>
          <w:tcPr>
            <w:tcW w:w="13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5"/>
              </w:rPr>
              <w:t>324,433</w:t>
            </w:r>
          </w:p>
        </w:tc>
        <w:tc>
          <w:tcPr>
            <w:tcW w:w="820" w:type="dxa"/>
            <w:vAlign w:val="bottom"/>
          </w:tcPr>
          <w:p>
            <w:pPr>
              <w:spacing w:after="0"/>
              <w:rPr>
                <w:sz w:val="21"/>
                <w:szCs w:val="21"/>
                <w:color w:val="auto"/>
              </w:rPr>
            </w:pPr>
          </w:p>
        </w:tc>
        <w:tc>
          <w:tcPr>
            <w:tcW w:w="14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9"/>
              </w:rPr>
              <w:t>183,108</w:t>
            </w:r>
          </w:p>
        </w:tc>
        <w:tc>
          <w:tcPr>
            <w:tcW w:w="2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880,924</w:t>
            </w: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ALBANY INTERNATIONAL CORP.</w:t>
      </w:r>
    </w:p>
    <w:p>
      <w:pPr>
        <w:spacing w:after="0" w:line="270" w:lineRule="exact"/>
        <w:rPr>
          <w:sz w:val="20"/>
          <w:szCs w:val="20"/>
          <w:color w:val="auto"/>
        </w:rPr>
      </w:pPr>
    </w:p>
    <w:tbl>
      <w:tblPr>
        <w:tblLayout w:type="fixed"/>
        <w:tblInd w:w="4600" w:type="dxa"/>
        <w:tblCellMar>
          <w:top w:w="0" w:type="dxa"/>
          <w:left w:w="0" w:type="dxa"/>
          <w:bottom w:w="0" w:type="dxa"/>
          <w:right w:w="0" w:type="dxa"/>
        </w:tblCellMar>
      </w:tblPr>
      <w:tr>
        <w:trPr>
          <w:trHeight w:val="26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Willard C. Station</w:t>
            </w:r>
          </w:p>
        </w:tc>
      </w:tr>
      <w:tr>
        <w:trPr>
          <w:trHeight w:val="42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Willard C. Station</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70"/>
        </w:trPr>
        <w:tc>
          <w:tcPr>
            <w:tcW w:w="720" w:type="dxa"/>
            <w:vAlign w:val="bottom"/>
          </w:tcPr>
          <w:p>
            <w:pPr>
              <w:spacing w:after="0"/>
              <w:rPr>
                <w:sz w:val="23"/>
                <w:szCs w:val="23"/>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Inline XBRL cover page.</w:t>
            </w:r>
          </w:p>
        </w:tc>
      </w:tr>
    </w:tbl>
    <w:p>
      <w:pPr>
        <w:spacing w:after="0" w:line="1" w:lineRule="exact"/>
        <w:rPr>
          <w:sz w:val="20"/>
          <w:szCs w:val="20"/>
          <w:color w:val="auto"/>
        </w:rPr>
      </w:pPr>
    </w:p>
    <w:sectPr>
      <w:pgSz w:w="11900" w:h="16838" w:orient="portrait"/>
      <w:cols w:equalWidth="0" w:num="1">
        <w:col w:w="11200"/>
      </w:cols>
      <w:pgMar w:left="320" w:top="10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3"/>
    </w:lvl>
    <w:lvl w:ilvl="1">
      <w:lvlJc w:val="left"/>
      <w:lvlText w:val="%2."/>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2026-05-19T08:07:48Z</dcterms:created>
  <dcterms:modified xsi:type="dcterms:W3CDTF">2026-05-19T08:07:48Z</dcterms:modified>
</cp:coreProperties>
</file>