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50"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ind w:left="460" w:hanging="434"/>
        <w:spacing w:after="0" w:line="210" w:lineRule="auto"/>
        <w:tabs>
          <w:tab w:leader="none" w:pos="4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fiscal year ended: December 31, 2020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34"/>
        <w:spacing w:after="0" w:line="201" w:lineRule="auto"/>
        <w:tabs>
          <w:tab w:leader="none" w:pos="46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rFonts w:ascii="MS PGothic" w:cs="MS PGothic" w:eastAsia="MS PGothic" w:hAnsi="MS PGothic"/>
          <w:sz w:val="43"/>
          <w:szCs w:val="43"/>
          <w:color w:val="auto"/>
          <w:vertAlign w:val="subscript"/>
        </w:rPr>
      </w:pPr>
    </w:p>
    <w:p>
      <w:pPr>
        <w:ind w:left="2920"/>
        <w:spacing w:after="0"/>
        <w:rPr>
          <w:rFonts w:ascii="MS PGothic" w:cs="MS PGothic" w:eastAsia="MS PGothic" w:hAnsi="MS PGothic"/>
          <w:sz w:val="43"/>
          <w:szCs w:val="43"/>
          <w:color w:val="auto"/>
          <w:vertAlign w:val="subscript"/>
        </w:rPr>
      </w:pPr>
      <w:r>
        <w:rPr>
          <w:rFonts w:ascii="Arial" w:cs="Arial" w:eastAsia="Arial" w:hAnsi="Arial"/>
          <w:sz w:val="20"/>
          <w:szCs w:val="20"/>
          <w:b w:val="1"/>
          <w:bCs w:val="1"/>
          <w:color w:val="auto"/>
        </w:rPr>
        <w:t>For the transition period from __________ to __________.</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Commission file number: 1-10026</w:t>
      </w:r>
    </w:p>
    <w:p>
      <w:pPr>
        <w:spacing w:after="0" w:line="80"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ALBANY INTERNATIONAL CORP.</w:t>
      </w:r>
    </w:p>
    <w:p>
      <w:pPr>
        <w:spacing w:after="0" w:line="58"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Delaware</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216 Airport Drive, Rochester, New Hampshire</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ind w:left="5140"/>
        <w:spacing w:after="0"/>
        <w:rPr>
          <w:sz w:val="20"/>
          <w:szCs w:val="20"/>
          <w:color w:val="auto"/>
        </w:rPr>
      </w:pPr>
      <w:r>
        <w:rPr>
          <w:rFonts w:ascii="Arial" w:cs="Arial" w:eastAsia="Arial" w:hAnsi="Arial"/>
          <w:sz w:val="18"/>
          <w:szCs w:val="18"/>
          <w:b w:val="1"/>
          <w:bCs w:val="1"/>
          <w:u w:val="single" w:color="auto"/>
          <w:color w:val="auto"/>
        </w:rPr>
        <w:t>14-0462060</w:t>
      </w:r>
    </w:p>
    <w:p>
      <w:pPr>
        <w:spacing w:after="0" w:line="7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Identification No.)</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03867</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(Zip Code)</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603-330-5850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316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99"/>
              </w:rPr>
              <w:t>Title of each class</w:t>
            </w:r>
          </w:p>
        </w:tc>
        <w:tc>
          <w:tcPr>
            <w:tcW w:w="33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9"/>
              </w:rPr>
              <w:t>Trading Symbol(s)</w:t>
            </w:r>
          </w:p>
        </w:tc>
        <w:tc>
          <w:tcPr>
            <w:tcW w:w="330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155"/>
        </w:trPr>
        <w:tc>
          <w:tcPr>
            <w:tcW w:w="10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3"/>
          </w:tcPr>
          <w:p>
            <w:pPr>
              <w:jc w:val="center"/>
              <w:spacing w:after="0" w:line="156" w:lineRule="exact"/>
              <w:rPr>
                <w:sz w:val="20"/>
                <w:szCs w:val="20"/>
                <w:color w:val="auto"/>
              </w:rPr>
            </w:pPr>
            <w:r>
              <w:rPr>
                <w:rFonts w:ascii="Arial" w:cs="Arial" w:eastAsia="Arial" w:hAnsi="Arial"/>
                <w:sz w:val="18"/>
                <w:szCs w:val="18"/>
                <w:b w:val="1"/>
                <w:bCs w:val="1"/>
                <w:color w:val="auto"/>
              </w:rPr>
              <w:t>registered</w:t>
            </w:r>
          </w:p>
        </w:tc>
        <w:tc>
          <w:tcPr>
            <w:tcW w:w="10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09"/>
        </w:trPr>
        <w:tc>
          <w:tcPr>
            <w:tcW w:w="4220" w:type="dxa"/>
            <w:vAlign w:val="bottom"/>
            <w:gridSpan w:val="3"/>
          </w:tcPr>
          <w:p>
            <w:pPr>
              <w:jc w:val="center"/>
              <w:ind w:right="470"/>
              <w:spacing w:after="0"/>
              <w:rPr>
                <w:sz w:val="20"/>
                <w:szCs w:val="20"/>
                <w:color w:val="auto"/>
              </w:rPr>
            </w:pPr>
            <w:r>
              <w:rPr>
                <w:rFonts w:ascii="Arial" w:cs="Arial" w:eastAsia="Arial" w:hAnsi="Arial"/>
                <w:sz w:val="18"/>
                <w:szCs w:val="18"/>
                <w:color w:val="auto"/>
              </w:rPr>
              <w:t>Class A Common Stock, $0.001 par value per</w:t>
            </w:r>
          </w:p>
        </w:tc>
        <w:tc>
          <w:tcPr>
            <w:tcW w:w="560" w:type="dxa"/>
            <w:vAlign w:val="bottom"/>
          </w:tcPr>
          <w:p>
            <w:pPr>
              <w:spacing w:after="0"/>
              <w:rPr>
                <w:sz w:val="18"/>
                <w:szCs w:val="18"/>
                <w:color w:val="auto"/>
              </w:rPr>
            </w:pPr>
          </w:p>
        </w:tc>
        <w:tc>
          <w:tcPr>
            <w:tcW w:w="2820" w:type="dxa"/>
            <w:vAlign w:val="bottom"/>
            <w:gridSpan w:val="2"/>
          </w:tcPr>
          <w:p>
            <w:pPr>
              <w:jc w:val="center"/>
              <w:ind w:right="1240"/>
              <w:spacing w:after="0"/>
              <w:rPr>
                <w:sz w:val="20"/>
                <w:szCs w:val="20"/>
                <w:color w:val="auto"/>
              </w:rPr>
            </w:pPr>
            <w:r>
              <w:rPr>
                <w:rFonts w:ascii="Arial" w:cs="Arial" w:eastAsia="Arial" w:hAnsi="Arial"/>
                <w:sz w:val="18"/>
                <w:szCs w:val="18"/>
                <w:color w:val="auto"/>
                <w:w w:val="99"/>
              </w:rPr>
              <w:t>AIN</w:t>
            </w:r>
          </w:p>
        </w:tc>
        <w:tc>
          <w:tcPr>
            <w:tcW w:w="3300" w:type="dxa"/>
            <w:vAlign w:val="bottom"/>
            <w:gridSpan w:val="7"/>
          </w:tcPr>
          <w:p>
            <w:pPr>
              <w:jc w:val="center"/>
              <w:ind w:left="70"/>
              <w:spacing w:after="0"/>
              <w:rPr>
                <w:sz w:val="20"/>
                <w:szCs w:val="20"/>
                <w:color w:val="auto"/>
              </w:rPr>
            </w:pPr>
            <w:r>
              <w:rPr>
                <w:rFonts w:ascii="Arial" w:cs="Arial" w:eastAsia="Arial" w:hAnsi="Arial"/>
                <w:sz w:val="18"/>
                <w:szCs w:val="18"/>
                <w:color w:val="auto"/>
                <w:w w:val="99"/>
              </w:rPr>
              <w:t>The New York Stock Exchange (NYSE)</w:t>
            </w:r>
          </w:p>
        </w:tc>
      </w:tr>
      <w:tr>
        <w:trPr>
          <w:trHeight w:val="217"/>
        </w:trPr>
        <w:tc>
          <w:tcPr>
            <w:tcW w:w="1060" w:type="dxa"/>
            <w:vAlign w:val="bottom"/>
          </w:tcPr>
          <w:p>
            <w:pPr>
              <w:spacing w:after="0"/>
              <w:rPr>
                <w:sz w:val="18"/>
                <w:szCs w:val="18"/>
                <w:color w:val="auto"/>
              </w:rPr>
            </w:pPr>
          </w:p>
        </w:tc>
        <w:tc>
          <w:tcPr>
            <w:tcW w:w="3160" w:type="dxa"/>
            <w:vAlign w:val="bottom"/>
            <w:gridSpan w:val="2"/>
          </w:tcPr>
          <w:p>
            <w:pPr>
              <w:jc w:val="center"/>
              <w:ind w:right="1530"/>
              <w:spacing w:after="0"/>
              <w:rPr>
                <w:sz w:val="20"/>
                <w:szCs w:val="20"/>
                <w:color w:val="auto"/>
              </w:rPr>
            </w:pPr>
            <w:r>
              <w:rPr>
                <w:rFonts w:ascii="Arial" w:cs="Arial" w:eastAsia="Arial" w:hAnsi="Arial"/>
                <w:sz w:val="18"/>
                <w:szCs w:val="18"/>
                <w:color w:val="auto"/>
              </w:rPr>
              <w:t>share</w:t>
            </w: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4220" w:type="dxa"/>
            <w:vAlign w:val="bottom"/>
            <w:gridSpan w:val="3"/>
          </w:tcPr>
          <w:p>
            <w:pPr>
              <w:jc w:val="center"/>
              <w:ind w:right="470"/>
              <w:spacing w:after="0" w:line="189" w:lineRule="exact"/>
              <w:rPr>
                <w:sz w:val="20"/>
                <w:szCs w:val="20"/>
                <w:color w:val="auto"/>
              </w:rPr>
            </w:pPr>
            <w:r>
              <w:rPr>
                <w:rFonts w:ascii="Arial" w:cs="Arial" w:eastAsia="Arial" w:hAnsi="Arial"/>
                <w:sz w:val="18"/>
                <w:szCs w:val="18"/>
                <w:color w:val="auto"/>
              </w:rPr>
              <w:t>Class B Common Stock, $0.001 par value per</w:t>
            </w:r>
          </w:p>
        </w:tc>
        <w:tc>
          <w:tcPr>
            <w:tcW w:w="560" w:type="dxa"/>
            <w:vAlign w:val="bottom"/>
          </w:tcPr>
          <w:p>
            <w:pPr>
              <w:spacing w:after="0"/>
              <w:rPr>
                <w:sz w:val="16"/>
                <w:szCs w:val="16"/>
                <w:color w:val="auto"/>
              </w:rPr>
            </w:pPr>
          </w:p>
        </w:tc>
        <w:tc>
          <w:tcPr>
            <w:tcW w:w="2820" w:type="dxa"/>
            <w:vAlign w:val="bottom"/>
            <w:gridSpan w:val="2"/>
          </w:tcPr>
          <w:p>
            <w:pPr>
              <w:jc w:val="center"/>
              <w:ind w:right="1240"/>
              <w:spacing w:after="0" w:line="189" w:lineRule="exact"/>
              <w:rPr>
                <w:sz w:val="20"/>
                <w:szCs w:val="20"/>
                <w:color w:val="auto"/>
              </w:rPr>
            </w:pPr>
            <w:r>
              <w:rPr>
                <w:rFonts w:ascii="Arial" w:cs="Arial" w:eastAsia="Arial" w:hAnsi="Arial"/>
                <w:sz w:val="18"/>
                <w:szCs w:val="18"/>
                <w:color w:val="auto"/>
                <w:w w:val="99"/>
              </w:rPr>
              <w:t>AIN</w:t>
            </w:r>
          </w:p>
        </w:tc>
        <w:tc>
          <w:tcPr>
            <w:tcW w:w="3300" w:type="dxa"/>
            <w:vAlign w:val="bottom"/>
            <w:gridSpan w:val="7"/>
          </w:tcPr>
          <w:p>
            <w:pPr>
              <w:jc w:val="center"/>
              <w:ind w:left="70"/>
              <w:spacing w:after="0" w:line="189" w:lineRule="exact"/>
              <w:rPr>
                <w:sz w:val="20"/>
                <w:szCs w:val="20"/>
                <w:color w:val="auto"/>
              </w:rPr>
            </w:pPr>
            <w:r>
              <w:rPr>
                <w:rFonts w:ascii="Arial" w:cs="Arial" w:eastAsia="Arial" w:hAnsi="Arial"/>
                <w:sz w:val="18"/>
                <w:szCs w:val="18"/>
                <w:color w:val="auto"/>
                <w:w w:val="99"/>
              </w:rPr>
              <w:t>The New York Stock Exchange (NYSE)</w:t>
            </w:r>
          </w:p>
        </w:tc>
      </w:tr>
      <w:tr>
        <w:trPr>
          <w:trHeight w:val="217"/>
        </w:trPr>
        <w:tc>
          <w:tcPr>
            <w:tcW w:w="1060" w:type="dxa"/>
            <w:vAlign w:val="bottom"/>
          </w:tcPr>
          <w:p>
            <w:pPr>
              <w:spacing w:after="0"/>
              <w:rPr>
                <w:sz w:val="18"/>
                <w:szCs w:val="18"/>
                <w:color w:val="auto"/>
              </w:rPr>
            </w:pPr>
          </w:p>
        </w:tc>
        <w:tc>
          <w:tcPr>
            <w:tcW w:w="3160" w:type="dxa"/>
            <w:vAlign w:val="bottom"/>
            <w:gridSpan w:val="2"/>
          </w:tcPr>
          <w:p>
            <w:pPr>
              <w:jc w:val="center"/>
              <w:ind w:right="1530"/>
              <w:spacing w:after="0"/>
              <w:rPr>
                <w:sz w:val="20"/>
                <w:szCs w:val="20"/>
                <w:color w:val="auto"/>
              </w:rPr>
            </w:pPr>
            <w:r>
              <w:rPr>
                <w:rFonts w:ascii="Arial" w:cs="Arial" w:eastAsia="Arial" w:hAnsi="Arial"/>
                <w:sz w:val="18"/>
                <w:szCs w:val="18"/>
                <w:color w:val="auto"/>
              </w:rPr>
              <w:t>share</w:t>
            </w: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59"/>
        </w:trPr>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0" w:type="dxa"/>
            <w:vAlign w:val="bottom"/>
            <w:gridSpan w:val="4"/>
          </w:tcPr>
          <w:p>
            <w:pPr>
              <w:ind w:left="260"/>
              <w:spacing w:after="0"/>
              <w:rPr>
                <w:sz w:val="20"/>
                <w:szCs w:val="20"/>
                <w:color w:val="auto"/>
              </w:rPr>
            </w:pPr>
            <w:r>
              <w:rPr>
                <w:rFonts w:ascii="Arial" w:cs="Arial" w:eastAsia="Arial" w:hAnsi="Arial"/>
                <w:sz w:val="18"/>
                <w:szCs w:val="18"/>
                <w:color w:val="auto"/>
              </w:rPr>
              <w:t>Securities registered pursuant to Section 12(g) of the Act: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w w:val="97"/>
              </w:rPr>
              <w:t>None</w:t>
            </w:r>
          </w:p>
        </w:tc>
      </w:tr>
      <w:tr>
        <w:trPr>
          <w:trHeight w:val="20"/>
        </w:trPr>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5" w:lineRule="exact"/>
        <w:rPr>
          <w:sz w:val="24"/>
          <w:szCs w:val="24"/>
          <w:color w:val="auto"/>
        </w:rPr>
      </w:pPr>
    </w:p>
    <w:p>
      <w:pPr>
        <w:ind w:left="340" w:right="1420"/>
        <w:spacing w:after="0" w:line="27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right="80"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8" w:lineRule="exact"/>
        <w:rPr>
          <w:sz w:val="24"/>
          <w:szCs w:val="24"/>
          <w:color w:val="auto"/>
        </w:rPr>
      </w:pPr>
    </w:p>
    <w:p>
      <w:pPr>
        <w:ind w:right="120"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35" w:lineRule="exact"/>
        <w:rPr>
          <w:sz w:val="24"/>
          <w:szCs w:val="24"/>
          <w:color w:val="auto"/>
        </w:rPr>
      </w:pPr>
    </w:p>
    <w:p>
      <w:pPr>
        <w:ind w:right="160"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2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1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2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0" w:type="dxa"/>
            <w:vAlign w:val="bottom"/>
          </w:tcPr>
          <w:p>
            <w:pPr>
              <w:ind w:left="12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3" w:lineRule="exact"/>
        <w:rPr>
          <w:sz w:val="24"/>
          <w:szCs w:val="24"/>
          <w:color w:val="auto"/>
        </w:rPr>
      </w:pPr>
    </w:p>
    <w:p>
      <w:pPr>
        <w:ind w:right="300" w:firstLine="324"/>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34" w:lineRule="exact"/>
        <w:rPr>
          <w:sz w:val="24"/>
          <w:szCs w:val="24"/>
          <w:color w:val="auto"/>
        </w:rPr>
      </w:pPr>
    </w:p>
    <w:p>
      <w:pPr>
        <w:ind w:firstLine="324"/>
        <w:spacing w:after="0" w:line="20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ectPr>
          <w:pgSz w:w="11900" w:h="16842" w:orient="portrait"/>
          <w:cols w:equalWidth="0" w:num="1">
            <w:col w:w="11200"/>
          </w:cols>
          <w:pgMar w:left="320" w:top="1440" w:right="379" w:bottom="0" w:gutter="0" w:footer="0" w:header="0"/>
        </w:sectPr>
      </w:pPr>
    </w:p>
    <w:bookmarkStart w:id="1" w:name="page2"/>
    <w:bookmarkEnd w:id="1"/>
    <w:p>
      <w:pPr>
        <w:ind w:left="3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aggregate market value of the Common Stock held by non-affiliates of the registrant on June 30, 2020, the last business day of the registrant’s most recently completed second quarter, computed by reference to the price at which Common Stock was last sold on such a date, was $1.8 billion.</w:t>
      </w:r>
    </w:p>
    <w:p>
      <w:pPr>
        <w:spacing w:after="0" w:line="3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registrant had 30.7 million shares of Class A Common Stock and 1.6 million shares of Class B Common Stock outstanding as of February 19, 2021.</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DOCUMENTS INCORPORATED BY REFERENCE</w:t>
            </w:r>
          </w:p>
        </w:tc>
        <w:tc>
          <w:tcPr>
            <w:tcW w:w="670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PART</w:t>
            </w:r>
          </w:p>
        </w:tc>
        <w:tc>
          <w:tcPr>
            <w:tcW w:w="36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6"/>
                <w:szCs w:val="16"/>
                <w:color w:val="auto"/>
              </w:rPr>
              <w:t>Portions of the Registrant’s Proxy Statement for the Annual Meeting of Shareholders to be held on May 13, 2021.</w:t>
            </w:r>
          </w:p>
        </w:tc>
        <w:tc>
          <w:tcPr>
            <w:tcW w:w="80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III</w:t>
            </w:r>
          </w:p>
        </w:tc>
      </w:tr>
      <w:tr>
        <w:trPr>
          <w:trHeight w:val="114"/>
        </w:trPr>
        <w:tc>
          <w:tcPr>
            <w:tcW w:w="2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67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28"/>
        </w:trPr>
        <w:tc>
          <w:tcPr>
            <w:tcW w:w="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r>
      <w:tr>
        <w:trPr>
          <w:trHeight w:val="351"/>
        </w:trPr>
        <w:tc>
          <w:tcPr>
            <w:tcW w:w="820" w:type="dxa"/>
            <w:vAlign w:val="bottom"/>
          </w:tcPr>
          <w:p>
            <w:pPr>
              <w:spacing w:after="0"/>
              <w:rPr>
                <w:sz w:val="24"/>
                <w:szCs w:val="24"/>
                <w:color w:val="auto"/>
              </w:rPr>
            </w:pPr>
          </w:p>
        </w:tc>
        <w:tc>
          <w:tcPr>
            <w:tcW w:w="9680" w:type="dxa"/>
            <w:vAlign w:val="bottom"/>
          </w:tcPr>
          <w:p>
            <w:pPr>
              <w:jc w:val="center"/>
              <w:ind w:left="210"/>
              <w:spacing w:after="0"/>
              <w:rPr>
                <w:rFonts w:ascii="Arial" w:cs="Arial" w:eastAsia="Arial" w:hAnsi="Arial"/>
                <w:sz w:val="18"/>
                <w:szCs w:val="18"/>
                <w:b w:val="1"/>
                <w:bCs w:val="1"/>
                <w:u w:val="single" w:color="auto"/>
                <w:color w:val="0000FF"/>
                <w:w w:val="98"/>
              </w:rPr>
            </w:pPr>
            <w:hyperlink w:anchor="page4">
              <w:r>
                <w:rPr>
                  <w:rFonts w:ascii="Arial" w:cs="Arial" w:eastAsia="Arial" w:hAnsi="Arial"/>
                  <w:sz w:val="18"/>
                  <w:szCs w:val="18"/>
                  <w:b w:val="1"/>
                  <w:bCs w:val="1"/>
                  <w:u w:val="single" w:color="auto"/>
                  <w:color w:val="0000FF"/>
                  <w:w w:val="98"/>
                </w:rPr>
                <w:t>PART I</w:t>
              </w:r>
            </w:hyperlink>
          </w:p>
        </w:tc>
        <w:tc>
          <w:tcPr>
            <w:tcW w:w="600" w:type="dxa"/>
            <w:vAlign w:val="bottom"/>
          </w:tcPr>
          <w:p>
            <w:pPr>
              <w:spacing w:after="0"/>
              <w:rPr>
                <w:sz w:val="24"/>
                <w:szCs w:val="24"/>
                <w:color w:val="auto"/>
              </w:rPr>
            </w:pPr>
          </w:p>
        </w:tc>
      </w:tr>
      <w:tr>
        <w:trPr>
          <w:trHeight w:val="230"/>
        </w:trPr>
        <w:tc>
          <w:tcPr>
            <w:tcW w:w="82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68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Item 1A.</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11</w:t>
              </w:r>
            </w:hyperlink>
          </w:p>
        </w:tc>
      </w:tr>
      <w:tr>
        <w:trPr>
          <w:trHeight w:val="230"/>
        </w:trPr>
        <w:tc>
          <w:tcPr>
            <w:tcW w:w="8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1B.</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Unresolved Staff Comments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1">
              <w:r>
                <w:rPr>
                  <w:rFonts w:ascii="Arial" w:cs="Arial" w:eastAsia="Arial" w:hAnsi="Arial"/>
                  <w:sz w:val="18"/>
                  <w:szCs w:val="18"/>
                  <w:u w:val="single" w:color="auto"/>
                  <w:color w:val="0000FF"/>
                  <w:w w:val="99"/>
                </w:rPr>
                <w:t>21</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Properties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1">
              <w:r>
                <w:rPr>
                  <w:rFonts w:ascii="Arial" w:cs="Arial" w:eastAsia="Arial" w:hAnsi="Arial"/>
                  <w:sz w:val="18"/>
                  <w:szCs w:val="18"/>
                  <w:u w:val="single" w:color="auto"/>
                  <w:color w:val="0000FF"/>
                  <w:w w:val="99"/>
                </w:rPr>
                <w:t>21</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3.</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Legal Proceedings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1">
              <w:r>
                <w:rPr>
                  <w:rFonts w:ascii="Arial" w:cs="Arial" w:eastAsia="Arial" w:hAnsi="Arial"/>
                  <w:sz w:val="18"/>
                  <w:szCs w:val="18"/>
                  <w:u w:val="single" w:color="auto"/>
                  <w:color w:val="0000FF"/>
                  <w:w w:val="99"/>
                </w:rPr>
                <w:t>21</w:t>
              </w:r>
            </w:hyperlink>
          </w:p>
        </w:tc>
      </w:tr>
      <w:tr>
        <w:trPr>
          <w:trHeight w:val="220"/>
        </w:trPr>
        <w:tc>
          <w:tcPr>
            <w:tcW w:w="8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4.</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Mine Safety Disclosures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1">
              <w:r>
                <w:rPr>
                  <w:rFonts w:ascii="Arial" w:cs="Arial" w:eastAsia="Arial" w:hAnsi="Arial"/>
                  <w:sz w:val="18"/>
                  <w:szCs w:val="18"/>
                  <w:u w:val="single" w:color="auto"/>
                  <w:color w:val="0000FF"/>
                  <w:w w:val="99"/>
                </w:rPr>
                <w:t>21</w:t>
              </w:r>
            </w:hyperlink>
          </w:p>
        </w:tc>
      </w:tr>
      <w:tr>
        <w:trPr>
          <w:trHeight w:val="239"/>
        </w:trPr>
        <w:tc>
          <w:tcPr>
            <w:tcW w:w="820" w:type="dxa"/>
            <w:vAlign w:val="bottom"/>
          </w:tcPr>
          <w:p>
            <w:pPr>
              <w:spacing w:after="0"/>
              <w:rPr>
                <w:sz w:val="20"/>
                <w:szCs w:val="20"/>
                <w:color w:val="auto"/>
              </w:rPr>
            </w:pPr>
          </w:p>
        </w:tc>
        <w:tc>
          <w:tcPr>
            <w:tcW w:w="9680" w:type="dxa"/>
            <w:vAlign w:val="bottom"/>
          </w:tcPr>
          <w:p>
            <w:pPr>
              <w:jc w:val="center"/>
              <w:ind w:left="210"/>
              <w:spacing w:after="0"/>
              <w:rPr>
                <w:rFonts w:ascii="Arial" w:cs="Arial" w:eastAsia="Arial" w:hAnsi="Arial"/>
                <w:sz w:val="18"/>
                <w:szCs w:val="18"/>
                <w:b w:val="1"/>
                <w:bCs w:val="1"/>
                <w:u w:val="single" w:color="auto"/>
                <w:color w:val="0000FF"/>
                <w:w w:val="96"/>
              </w:rPr>
            </w:pPr>
            <w:hyperlink w:anchor="page21">
              <w:r>
                <w:rPr>
                  <w:rFonts w:ascii="Arial" w:cs="Arial" w:eastAsia="Arial" w:hAnsi="Arial"/>
                  <w:sz w:val="18"/>
                  <w:szCs w:val="18"/>
                  <w:b w:val="1"/>
                  <w:bCs w:val="1"/>
                  <w:u w:val="single" w:color="auto"/>
                  <w:color w:val="0000FF"/>
                  <w:w w:val="96"/>
                </w:rPr>
                <w:t>PART II</w:t>
              </w:r>
            </w:hyperlink>
          </w:p>
        </w:tc>
        <w:tc>
          <w:tcPr>
            <w:tcW w:w="600" w:type="dxa"/>
            <w:vAlign w:val="bottom"/>
          </w:tcPr>
          <w:p>
            <w:pPr>
              <w:spacing w:after="0"/>
              <w:rPr>
                <w:sz w:val="20"/>
                <w:szCs w:val="20"/>
                <w:color w:val="auto"/>
              </w:rPr>
            </w:pPr>
          </w:p>
        </w:tc>
      </w:tr>
      <w:tr>
        <w:trPr>
          <w:trHeight w:val="230"/>
        </w:trPr>
        <w:tc>
          <w:tcPr>
            <w:tcW w:w="820" w:type="dxa"/>
            <w:vAlign w:val="bottom"/>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5.</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Market for the Registrant’s Common Equity, Related Stockholder Matters, and Issuer Purchases of Equity Securities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2">
              <w:r>
                <w:rPr>
                  <w:rFonts w:ascii="Arial" w:cs="Arial" w:eastAsia="Arial" w:hAnsi="Arial"/>
                  <w:sz w:val="18"/>
                  <w:szCs w:val="18"/>
                  <w:u w:val="single" w:color="auto"/>
                  <w:color w:val="0000FF"/>
                  <w:w w:val="99"/>
                </w:rPr>
                <w:t>22</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6.</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Selected Financial Data</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3">
              <w:r>
                <w:rPr>
                  <w:rFonts w:ascii="Arial" w:cs="Arial" w:eastAsia="Arial" w:hAnsi="Arial"/>
                  <w:sz w:val="18"/>
                  <w:szCs w:val="18"/>
                  <w:u w:val="single" w:color="auto"/>
                  <w:color w:val="0000FF"/>
                  <w:w w:val="99"/>
                </w:rPr>
                <w:t>24</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7.</w:t>
              </w:r>
            </w:hyperlink>
          </w:p>
        </w:tc>
        <w:tc>
          <w:tcPr>
            <w:tcW w:w="968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26">
              <w:r>
                <w:rPr>
                  <w:rFonts w:ascii="Arial" w:cs="Arial" w:eastAsia="Arial" w:hAnsi="Arial"/>
                  <w:sz w:val="18"/>
                  <w:szCs w:val="18"/>
                  <w:u w:val="single" w:color="auto"/>
                  <w:color w:val="0000FF"/>
                  <w:w w:val="99"/>
                </w:rPr>
                <w:t>26</w:t>
              </w:r>
            </w:hyperlink>
          </w:p>
        </w:tc>
      </w:tr>
      <w:tr>
        <w:trPr>
          <w:trHeight w:val="230"/>
        </w:trPr>
        <w:tc>
          <w:tcPr>
            <w:tcW w:w="82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7A.</w:t>
              </w:r>
            </w:hyperlink>
          </w:p>
        </w:tc>
        <w:tc>
          <w:tcPr>
            <w:tcW w:w="9680" w:type="dxa"/>
            <w:vAlign w:val="bottom"/>
          </w:tcPr>
          <w:p>
            <w:pPr>
              <w:ind w:left="1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43">
              <w:r>
                <w:rPr>
                  <w:rFonts w:ascii="Arial" w:cs="Arial" w:eastAsia="Arial" w:hAnsi="Arial"/>
                  <w:sz w:val="18"/>
                  <w:szCs w:val="18"/>
                  <w:u w:val="single" w:color="auto"/>
                  <w:color w:val="0000FF"/>
                  <w:w w:val="99"/>
                </w:rPr>
                <w:t>43</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8.</w:t>
              </w:r>
            </w:hyperlink>
          </w:p>
        </w:tc>
        <w:tc>
          <w:tcPr>
            <w:tcW w:w="9680" w:type="dxa"/>
            <w:vAlign w:val="bottom"/>
          </w:tcPr>
          <w:p>
            <w:pPr>
              <w:ind w:left="1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Financial Statements and Supplementary Data</w:t>
              </w:r>
            </w:hyperlink>
          </w:p>
        </w:tc>
        <w:tc>
          <w:tcPr>
            <w:tcW w:w="600" w:type="dxa"/>
            <w:vAlign w:val="bottom"/>
          </w:tcPr>
          <w:p>
            <w:pPr>
              <w:jc w:val="center"/>
              <w:ind w:left="230"/>
              <w:spacing w:after="0"/>
              <w:rPr>
                <w:rFonts w:ascii="Arial" w:cs="Arial" w:eastAsia="Arial" w:hAnsi="Arial"/>
                <w:sz w:val="18"/>
                <w:szCs w:val="18"/>
                <w:u w:val="single" w:color="auto"/>
                <w:color w:val="0000FF"/>
                <w:w w:val="99"/>
              </w:rPr>
            </w:pPr>
            <w:hyperlink w:anchor="page44">
              <w:r>
                <w:rPr>
                  <w:rFonts w:ascii="Arial" w:cs="Arial" w:eastAsia="Arial" w:hAnsi="Arial"/>
                  <w:sz w:val="18"/>
                  <w:szCs w:val="18"/>
                  <w:u w:val="single" w:color="auto"/>
                  <w:color w:val="0000FF"/>
                  <w:w w:val="99"/>
                </w:rPr>
                <w:t>45</w:t>
              </w:r>
            </w:hyperlink>
          </w:p>
        </w:tc>
      </w:tr>
      <w:tr>
        <w:trPr>
          <w:trHeight w:val="229"/>
        </w:trPr>
        <w:tc>
          <w:tcPr>
            <w:tcW w:w="820" w:type="dxa"/>
            <w:vAlign w:val="bottom"/>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Item 9.</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Changes in and Disagreements with Accountants on Accounting and Financial Disclosure</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4">
              <w:r>
                <w:rPr>
                  <w:rFonts w:ascii="Arial" w:cs="Arial" w:eastAsia="Arial" w:hAnsi="Arial"/>
                  <w:sz w:val="18"/>
                  <w:szCs w:val="18"/>
                  <w:u w:val="single" w:color="auto"/>
                  <w:color w:val="0000FF"/>
                  <w:w w:val="99"/>
                </w:rPr>
                <w:t>105</w:t>
              </w:r>
            </w:hyperlink>
          </w:p>
        </w:tc>
      </w:tr>
      <w:tr>
        <w:trPr>
          <w:trHeight w:val="230"/>
        </w:trPr>
        <w:tc>
          <w:tcPr>
            <w:tcW w:w="820" w:type="dxa"/>
            <w:vAlign w:val="bottom"/>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Item 9A.</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Controls and Procedures</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5">
              <w:r>
                <w:rPr>
                  <w:rFonts w:ascii="Arial" w:cs="Arial" w:eastAsia="Arial" w:hAnsi="Arial"/>
                  <w:sz w:val="18"/>
                  <w:szCs w:val="18"/>
                  <w:u w:val="single" w:color="auto"/>
                  <w:color w:val="0000FF"/>
                  <w:w w:val="99"/>
                </w:rPr>
                <w:t>105</w:t>
              </w:r>
            </w:hyperlink>
          </w:p>
        </w:tc>
      </w:tr>
      <w:tr>
        <w:trPr>
          <w:trHeight w:val="220"/>
        </w:trPr>
        <w:tc>
          <w:tcPr>
            <w:tcW w:w="820" w:type="dxa"/>
            <w:vAlign w:val="bottom"/>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Item 9B.</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Other Information</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6">
              <w:r>
                <w:rPr>
                  <w:rFonts w:ascii="Arial" w:cs="Arial" w:eastAsia="Arial" w:hAnsi="Arial"/>
                  <w:sz w:val="18"/>
                  <w:szCs w:val="18"/>
                  <w:u w:val="single" w:color="auto"/>
                  <w:color w:val="0000FF"/>
                  <w:w w:val="99"/>
                </w:rPr>
                <w:t>106</w:t>
              </w:r>
            </w:hyperlink>
          </w:p>
        </w:tc>
      </w:tr>
      <w:tr>
        <w:trPr>
          <w:trHeight w:val="239"/>
        </w:trPr>
        <w:tc>
          <w:tcPr>
            <w:tcW w:w="820" w:type="dxa"/>
            <w:vAlign w:val="bottom"/>
          </w:tcPr>
          <w:p>
            <w:pPr>
              <w:spacing w:after="0"/>
              <w:rPr>
                <w:sz w:val="20"/>
                <w:szCs w:val="20"/>
                <w:color w:val="auto"/>
              </w:rPr>
            </w:pPr>
          </w:p>
        </w:tc>
        <w:tc>
          <w:tcPr>
            <w:tcW w:w="9680" w:type="dxa"/>
            <w:vAlign w:val="bottom"/>
          </w:tcPr>
          <w:p>
            <w:pPr>
              <w:jc w:val="center"/>
              <w:ind w:left="230"/>
              <w:spacing w:after="0"/>
              <w:rPr>
                <w:rFonts w:ascii="Arial" w:cs="Arial" w:eastAsia="Arial" w:hAnsi="Arial"/>
                <w:sz w:val="18"/>
                <w:szCs w:val="18"/>
                <w:b w:val="1"/>
                <w:bCs w:val="1"/>
                <w:u w:val="single" w:color="auto"/>
                <w:color w:val="0000FF"/>
                <w:w w:val="98"/>
              </w:rPr>
            </w:pPr>
            <w:hyperlink w:anchor="page106">
              <w:r>
                <w:rPr>
                  <w:rFonts w:ascii="Arial" w:cs="Arial" w:eastAsia="Arial" w:hAnsi="Arial"/>
                  <w:sz w:val="18"/>
                  <w:szCs w:val="18"/>
                  <w:b w:val="1"/>
                  <w:bCs w:val="1"/>
                  <w:u w:val="single" w:color="auto"/>
                  <w:color w:val="0000FF"/>
                  <w:w w:val="98"/>
                </w:rPr>
                <w:t>PART III</w:t>
              </w:r>
            </w:hyperlink>
          </w:p>
        </w:tc>
        <w:tc>
          <w:tcPr>
            <w:tcW w:w="600" w:type="dxa"/>
            <w:vAlign w:val="bottom"/>
          </w:tcPr>
          <w:p>
            <w:pPr>
              <w:spacing w:after="0"/>
              <w:rPr>
                <w:sz w:val="20"/>
                <w:szCs w:val="20"/>
                <w:color w:val="auto"/>
              </w:rPr>
            </w:pPr>
          </w:p>
        </w:tc>
      </w:tr>
      <w:tr>
        <w:trPr>
          <w:trHeight w:val="229"/>
        </w:trPr>
        <w:tc>
          <w:tcPr>
            <w:tcW w:w="820" w:type="dxa"/>
            <w:vAlign w:val="bottom"/>
          </w:tcPr>
          <w:p>
            <w:pPr>
              <w:spacing w:after="0"/>
              <w:rPr>
                <w:rFonts w:ascii="Arial" w:cs="Arial" w:eastAsia="Arial" w:hAnsi="Arial"/>
                <w:sz w:val="18"/>
                <w:szCs w:val="18"/>
                <w:color w:val="0000FF"/>
              </w:rPr>
            </w:pPr>
            <w:hyperlink w:anchor="page107">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Directors, Executive Officers and Corporate Governance</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7">
              <w:r>
                <w:rPr>
                  <w:rFonts w:ascii="Arial" w:cs="Arial" w:eastAsia="Arial" w:hAnsi="Arial"/>
                  <w:sz w:val="18"/>
                  <w:szCs w:val="18"/>
                  <w:u w:val="single" w:color="auto"/>
                  <w:color w:val="0000FF"/>
                  <w:w w:val="99"/>
                </w:rPr>
                <w:t>107</w:t>
              </w:r>
            </w:hyperlink>
          </w:p>
        </w:tc>
      </w:tr>
      <w:tr>
        <w:trPr>
          <w:trHeight w:val="229"/>
        </w:trPr>
        <w:tc>
          <w:tcPr>
            <w:tcW w:w="820" w:type="dxa"/>
            <w:vAlign w:val="bottom"/>
          </w:tcPr>
          <w:p>
            <w:pPr>
              <w:spacing w:after="0"/>
              <w:rPr>
                <w:rFonts w:ascii="Arial" w:cs="Arial" w:eastAsia="Arial" w:hAnsi="Arial"/>
                <w:sz w:val="18"/>
                <w:szCs w:val="18"/>
                <w:color w:val="0000FF"/>
              </w:rPr>
            </w:pPr>
            <w:hyperlink w:anchor="page107">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Executive Compensation</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7">
              <w:r>
                <w:rPr>
                  <w:rFonts w:ascii="Arial" w:cs="Arial" w:eastAsia="Arial" w:hAnsi="Arial"/>
                  <w:sz w:val="18"/>
                  <w:szCs w:val="18"/>
                  <w:u w:val="single" w:color="auto"/>
                  <w:color w:val="0000FF"/>
                  <w:w w:val="99"/>
                </w:rPr>
                <w:t>107</w:t>
              </w:r>
            </w:hyperlink>
          </w:p>
        </w:tc>
      </w:tr>
      <w:tr>
        <w:trPr>
          <w:trHeight w:val="230"/>
        </w:trPr>
        <w:tc>
          <w:tcPr>
            <w:tcW w:w="820" w:type="dxa"/>
            <w:vAlign w:val="bottom"/>
          </w:tcPr>
          <w:p>
            <w:pPr>
              <w:spacing w:after="0"/>
              <w:rPr>
                <w:rFonts w:ascii="Arial" w:cs="Arial" w:eastAsia="Arial" w:hAnsi="Arial"/>
                <w:sz w:val="18"/>
                <w:szCs w:val="18"/>
                <w:color w:val="0000FF"/>
              </w:rPr>
            </w:pPr>
            <w:hyperlink w:anchor="page107">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Security Ownership of Certain Beneficial Owners and Management and Related Stockholder Matters</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7">
              <w:r>
                <w:rPr>
                  <w:rFonts w:ascii="Arial" w:cs="Arial" w:eastAsia="Arial" w:hAnsi="Arial"/>
                  <w:sz w:val="18"/>
                  <w:szCs w:val="18"/>
                  <w:u w:val="single" w:color="auto"/>
                  <w:color w:val="0000FF"/>
                  <w:w w:val="99"/>
                </w:rPr>
                <w:t>108</w:t>
              </w:r>
            </w:hyperlink>
          </w:p>
        </w:tc>
      </w:tr>
      <w:tr>
        <w:trPr>
          <w:trHeight w:val="229"/>
        </w:trPr>
        <w:tc>
          <w:tcPr>
            <w:tcW w:w="820" w:type="dxa"/>
            <w:vAlign w:val="bottom"/>
          </w:tcPr>
          <w:p>
            <w:pPr>
              <w:spacing w:after="0"/>
              <w:rPr>
                <w:rFonts w:ascii="Arial" w:cs="Arial" w:eastAsia="Arial" w:hAnsi="Arial"/>
                <w:sz w:val="18"/>
                <w:szCs w:val="18"/>
                <w:color w:val="0000FF"/>
              </w:rPr>
            </w:pPr>
            <w:hyperlink w:anchor="page109">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Certain Relationships, Related Transactions and Director Independence</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9">
              <w:r>
                <w:rPr>
                  <w:rFonts w:ascii="Arial" w:cs="Arial" w:eastAsia="Arial" w:hAnsi="Arial"/>
                  <w:sz w:val="18"/>
                  <w:szCs w:val="18"/>
                  <w:u w:val="single" w:color="auto"/>
                  <w:color w:val="0000FF"/>
                  <w:w w:val="99"/>
                </w:rPr>
                <w:t>109</w:t>
              </w:r>
            </w:hyperlink>
          </w:p>
        </w:tc>
      </w:tr>
      <w:tr>
        <w:trPr>
          <w:trHeight w:val="220"/>
        </w:trPr>
        <w:tc>
          <w:tcPr>
            <w:tcW w:w="820" w:type="dxa"/>
            <w:vAlign w:val="bottom"/>
          </w:tcPr>
          <w:p>
            <w:pPr>
              <w:spacing w:after="0"/>
              <w:rPr>
                <w:rFonts w:ascii="Arial" w:cs="Arial" w:eastAsia="Arial" w:hAnsi="Arial"/>
                <w:sz w:val="18"/>
                <w:szCs w:val="18"/>
                <w:color w:val="0000FF"/>
              </w:rPr>
            </w:pPr>
            <w:hyperlink w:anchor="page109">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Principal Accountant Fees and Services</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09">
              <w:r>
                <w:rPr>
                  <w:rFonts w:ascii="Arial" w:cs="Arial" w:eastAsia="Arial" w:hAnsi="Arial"/>
                  <w:sz w:val="18"/>
                  <w:szCs w:val="18"/>
                  <w:u w:val="single" w:color="auto"/>
                  <w:color w:val="0000FF"/>
                  <w:w w:val="99"/>
                </w:rPr>
                <w:t>109</w:t>
              </w:r>
            </w:hyperlink>
          </w:p>
        </w:tc>
      </w:tr>
      <w:tr>
        <w:trPr>
          <w:trHeight w:val="239"/>
        </w:trPr>
        <w:tc>
          <w:tcPr>
            <w:tcW w:w="820" w:type="dxa"/>
            <w:vAlign w:val="bottom"/>
          </w:tcPr>
          <w:p>
            <w:pPr>
              <w:spacing w:after="0"/>
              <w:rPr>
                <w:sz w:val="20"/>
                <w:szCs w:val="20"/>
                <w:color w:val="auto"/>
              </w:rPr>
            </w:pPr>
          </w:p>
        </w:tc>
        <w:tc>
          <w:tcPr>
            <w:tcW w:w="9680" w:type="dxa"/>
            <w:vAlign w:val="bottom"/>
          </w:tcPr>
          <w:p>
            <w:pPr>
              <w:jc w:val="center"/>
              <w:ind w:left="210"/>
              <w:spacing w:after="0"/>
              <w:rPr>
                <w:rFonts w:ascii="Arial" w:cs="Arial" w:eastAsia="Arial" w:hAnsi="Arial"/>
                <w:sz w:val="18"/>
                <w:szCs w:val="18"/>
                <w:b w:val="1"/>
                <w:bCs w:val="1"/>
                <w:u w:val="single" w:color="auto"/>
                <w:color w:val="0000FF"/>
                <w:w w:val="98"/>
              </w:rPr>
            </w:pPr>
            <w:hyperlink w:anchor="page109">
              <w:r>
                <w:rPr>
                  <w:rFonts w:ascii="Arial" w:cs="Arial" w:eastAsia="Arial" w:hAnsi="Arial"/>
                  <w:sz w:val="18"/>
                  <w:szCs w:val="18"/>
                  <w:b w:val="1"/>
                  <w:bCs w:val="1"/>
                  <w:u w:val="single" w:color="auto"/>
                  <w:color w:val="0000FF"/>
                  <w:w w:val="98"/>
                </w:rPr>
                <w:t>PART IV</w:t>
              </w:r>
            </w:hyperlink>
          </w:p>
        </w:tc>
        <w:tc>
          <w:tcPr>
            <w:tcW w:w="600" w:type="dxa"/>
            <w:vAlign w:val="bottom"/>
          </w:tcPr>
          <w:p>
            <w:pPr>
              <w:spacing w:after="0"/>
              <w:rPr>
                <w:sz w:val="20"/>
                <w:szCs w:val="20"/>
                <w:color w:val="auto"/>
              </w:rPr>
            </w:pPr>
          </w:p>
        </w:tc>
      </w:tr>
      <w:tr>
        <w:trPr>
          <w:trHeight w:val="229"/>
        </w:trPr>
        <w:tc>
          <w:tcPr>
            <w:tcW w:w="820" w:type="dxa"/>
            <w:vAlign w:val="bottom"/>
          </w:tcPr>
          <w:p>
            <w:pPr>
              <w:spacing w:after="0"/>
              <w:rPr>
                <w:rFonts w:ascii="Arial" w:cs="Arial" w:eastAsia="Arial" w:hAnsi="Arial"/>
                <w:sz w:val="18"/>
                <w:szCs w:val="18"/>
                <w:color w:val="0000FF"/>
              </w:rPr>
            </w:pPr>
            <w:hyperlink w:anchor="page110">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9680" w:type="dxa"/>
            <w:vAlign w:val="bottom"/>
          </w:tcPr>
          <w:p>
            <w:pPr>
              <w:ind w:left="14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Exhibits and Financial Statement Schedules</w:t>
              </w:r>
            </w:hyperlink>
          </w:p>
        </w:tc>
        <w:tc>
          <w:tcPr>
            <w:tcW w:w="600" w:type="dxa"/>
            <w:vAlign w:val="bottom"/>
          </w:tcPr>
          <w:p>
            <w:pPr>
              <w:jc w:val="center"/>
              <w:ind w:left="210"/>
              <w:spacing w:after="0"/>
              <w:rPr>
                <w:rFonts w:ascii="Arial" w:cs="Arial" w:eastAsia="Arial" w:hAnsi="Arial"/>
                <w:sz w:val="18"/>
                <w:szCs w:val="18"/>
                <w:u w:val="single" w:color="auto"/>
                <w:color w:val="0000FF"/>
                <w:w w:val="99"/>
              </w:rPr>
            </w:pPr>
            <w:hyperlink w:anchor="page110">
              <w:r>
                <w:rPr>
                  <w:rFonts w:ascii="Arial" w:cs="Arial" w:eastAsia="Arial" w:hAnsi="Arial"/>
                  <w:sz w:val="18"/>
                  <w:szCs w:val="18"/>
                  <w:u w:val="single" w:color="auto"/>
                  <w:color w:val="0000FF"/>
                  <w:w w:val="99"/>
                </w:rPr>
                <w:t>110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02"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our future results and performance and other matters that are “forward-looking” statements within the meaning of Section 27A of the Securities Act of 1933, as amended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66" w:lineRule="exact"/>
        <w:rPr>
          <w:sz w:val="20"/>
          <w:szCs w:val="20"/>
          <w:color w:val="auto"/>
        </w:rPr>
      </w:pPr>
    </w:p>
    <w:p>
      <w:pPr>
        <w:ind w:right="560" w:firstLine="405"/>
        <w:spacing w:after="0" w:line="261"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225" w:lineRule="exact"/>
        <w:rPr>
          <w:sz w:val="20"/>
          <w:szCs w:val="20"/>
          <w:color w:val="auto"/>
        </w:rPr>
      </w:pPr>
    </w:p>
    <w:p>
      <w:pPr>
        <w:ind w:left="740" w:right="160" w:hanging="327"/>
        <w:spacing w:after="0" w:line="229" w:lineRule="auto"/>
        <w:tabs>
          <w:tab w:leader="none" w:pos="727" w:val="left"/>
        </w:tabs>
        <w:numPr>
          <w:ilvl w:val="0"/>
          <w:numId w:val="3"/>
        </w:numPr>
        <w:rPr>
          <w:rFonts w:ascii="Arial" w:cs="Arial" w:eastAsia="Arial" w:hAnsi="Arial"/>
          <w:sz w:val="23"/>
          <w:szCs w:val="23"/>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230" w:lineRule="exact"/>
        <w:rPr>
          <w:rFonts w:ascii="Arial" w:cs="Arial" w:eastAsia="Arial" w:hAnsi="Arial"/>
          <w:sz w:val="23"/>
          <w:szCs w:val="23"/>
          <w:color w:val="auto"/>
        </w:rPr>
      </w:pPr>
    </w:p>
    <w:p>
      <w:pPr>
        <w:ind w:left="740" w:right="340" w:hanging="327"/>
        <w:spacing w:after="0" w:line="220" w:lineRule="auto"/>
        <w:tabs>
          <w:tab w:leader="none" w:pos="727" w:val="left"/>
        </w:tabs>
        <w:numPr>
          <w:ilvl w:val="0"/>
          <w:numId w:val="3"/>
        </w:numPr>
        <w:rPr>
          <w:rFonts w:ascii="Arial" w:cs="Arial" w:eastAsia="Arial" w:hAnsi="Arial"/>
          <w:sz w:val="23"/>
          <w:szCs w:val="23"/>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229" w:lineRule="exact"/>
        <w:rPr>
          <w:rFonts w:ascii="Arial" w:cs="Arial" w:eastAsia="Arial" w:hAnsi="Arial"/>
          <w:sz w:val="23"/>
          <w:szCs w:val="23"/>
          <w:color w:val="auto"/>
        </w:rPr>
      </w:pPr>
    </w:p>
    <w:p>
      <w:pPr>
        <w:ind w:left="740" w:right="180" w:hanging="327"/>
        <w:spacing w:after="0" w:line="229" w:lineRule="auto"/>
        <w:tabs>
          <w:tab w:leader="none" w:pos="727" w:val="left"/>
        </w:tabs>
        <w:numPr>
          <w:ilvl w:val="0"/>
          <w:numId w:val="3"/>
        </w:numPr>
        <w:rPr>
          <w:rFonts w:ascii="Arial" w:cs="Arial" w:eastAsia="Arial" w:hAnsi="Arial"/>
          <w:sz w:val="23"/>
          <w:szCs w:val="23"/>
          <w:color w:val="auto"/>
        </w:rPr>
      </w:pPr>
      <w:r>
        <w:rPr>
          <w:rFonts w:ascii="Arial" w:cs="Arial" w:eastAsia="Arial" w:hAnsi="Arial"/>
          <w:sz w:val="18"/>
          <w:szCs w:val="18"/>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196" w:lineRule="exact"/>
        <w:rPr>
          <w:rFonts w:ascii="Arial" w:cs="Arial" w:eastAsia="Arial" w:hAnsi="Arial"/>
          <w:sz w:val="23"/>
          <w:szCs w:val="23"/>
          <w:color w:val="auto"/>
        </w:rPr>
      </w:pPr>
    </w:p>
    <w:p>
      <w:pPr>
        <w:ind w:left="720" w:hanging="307"/>
        <w:spacing w:after="0"/>
        <w:tabs>
          <w:tab w:leader="none" w:pos="720" w:val="left"/>
        </w:tabs>
        <w:numPr>
          <w:ilvl w:val="0"/>
          <w:numId w:val="3"/>
        </w:numPr>
        <w:rPr>
          <w:rFonts w:ascii="Arial" w:cs="Arial" w:eastAsia="Arial" w:hAnsi="Arial"/>
          <w:sz w:val="23"/>
          <w:szCs w:val="23"/>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81" w:lineRule="exact"/>
        <w:rPr>
          <w:rFonts w:ascii="Arial" w:cs="Arial" w:eastAsia="Arial" w:hAnsi="Arial"/>
          <w:sz w:val="23"/>
          <w:szCs w:val="23"/>
          <w:color w:val="auto"/>
        </w:rPr>
      </w:pPr>
    </w:p>
    <w:p>
      <w:pPr>
        <w:ind w:left="720" w:hanging="307"/>
        <w:spacing w:after="0"/>
        <w:tabs>
          <w:tab w:leader="none" w:pos="720" w:val="left"/>
        </w:tabs>
        <w:numPr>
          <w:ilvl w:val="0"/>
          <w:numId w:val="3"/>
        </w:numPr>
        <w:rPr>
          <w:rFonts w:ascii="Arial" w:cs="Arial" w:eastAsia="Arial" w:hAnsi="Arial"/>
          <w:sz w:val="23"/>
          <w:szCs w:val="23"/>
          <w:color w:val="auto"/>
        </w:rPr>
      </w:pPr>
      <w:r>
        <w:rPr>
          <w:rFonts w:ascii="Arial" w:cs="Arial" w:eastAsia="Arial" w:hAnsi="Arial"/>
          <w:sz w:val="18"/>
          <w:szCs w:val="18"/>
          <w:color w:val="auto"/>
        </w:rPr>
        <w:t>Other risks and uncertainties detailed in this report and other periodic reports.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as well as in Item 1A - “Risk Factors”, in Item 7 of this annual report.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80"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98"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pulp, nonwovens, fiber cement and several other industrial applications.</w:t>
      </w:r>
    </w:p>
    <w:p>
      <w:pPr>
        <w:spacing w:after="0" w:line="157" w:lineRule="exact"/>
        <w:rPr>
          <w:sz w:val="20"/>
          <w:szCs w:val="20"/>
          <w:color w:val="auto"/>
        </w:rPr>
      </w:pPr>
    </w:p>
    <w:p>
      <w:pPr>
        <w:ind w:right="160" w:firstLine="405"/>
        <w:spacing w:after="0" w:line="251"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paper machine clothing products include forming, pressing, and drying fabrics, and process belts. A forming fabric assists in paper sheet formation and conveys the very wet sheet (more than 75 percent water) through the forming section. Pressing fabrics are designed to carry the sheet through the press section, where water is pressed from the sheet as it passes through the press nip. In the drying section, drying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70"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MC segment also supplies engineered fabrics used in the manufacturing process in the pulp, corrugator, nonwovens, fiber cement, building products, and tannery and textile industries.</w:t>
      </w:r>
    </w:p>
    <w:p>
      <w:pPr>
        <w:spacing w:after="0" w:line="171"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MC segment sells its products directly to customer end-users in countries across the globe. MC products, manufacturing processes, and distribution channels are substantially the same in each region of the world in which we operate. The sales of paper machine clothing forming, pressing, and drying fabrics, individually and in the aggregate, accounted for more than 10 percent of our consolidated Net sales during one or more of the last three years. No individual customer accounted for as much as 10 percent of MC segment Net sales in any of the periods presented. A majority of MC segment Net sales in the year ended December 31, 2020 were for use in the production of the growing grades of tissue, containerboard, other paper categories, and other engineered fabrics, while less than 20% of MC segment Net sales were for the production of the declining newsprint and printing and writing papers categories.</w:t>
      </w:r>
    </w:p>
    <w:p>
      <w:pPr>
        <w:spacing w:after="0" w:line="16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in the commercial and defense aerospace industries. AEC’s largest aerospace customer is the SAFRAN Group and sales to SAFRAN (consisting primarily of fan blades and cases for CFM’s LEAP engine) accounted for approximately 11 percent of the Company’s consolidated Net sales in 2020. AEC, through ASC, is the exclusive supplier to the LEAP program of advanced composite fan blades and cases under a long-term supply contract. The LEAP engine is used on the Airbus A320neo and Boeing 737 MAX family of jets. Other significant programs served by AEC include the F-35, Boeing 787, Sikorsky CH-53K, and JASSM programs. AEC also supplies vacuum waste tanks for the Boeing 7-Series programs, and specialty components for the Rolls Royce lift fan on the F-35, as well as the fan case for the GE9X engine. In 2020, approximately 46% of the AEC segment’s sales were related to U.S. government contracts or programs.</w:t>
      </w:r>
    </w:p>
    <w:p>
      <w:pPr>
        <w:spacing w:after="0" w:line="171"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See “Business Environment Overview and Trends” under Item 7, Management’s Discussion and Analysis of Financial Condition and Results of Operations, for a discussion of general segment developments in recent years.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table of Net sales by segment for 2020, 2019, and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6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572,955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601,254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611,858</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327,655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452,878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370,621</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900,610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982,479</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8"/>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15"/>
        </w:trPr>
        <w:tc>
          <w:tcPr>
            <w:tcW w:w="6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3, is included in “Reportable Segments and Geographic Data,” of the Consolidated Financial Statements, included under Item 8 of this Form 10-K, which is incorporated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0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Machine Clothing business segment maintains manufacturing facilities in Brazil, Canada, China, France, Italy, Mexico, South Korea, Sweden, the United Kingdom, and the United States. MC's global manufacturing footprint is designed to most efficiently meet regional customer requirements. Our AEC business segment maintains manufacturing facilities in the United States, France, Mexico, and Germany to meet customer demand in those regions.</w:t>
      </w:r>
    </w:p>
    <w:p>
      <w:pPr>
        <w:spacing w:after="0" w:line="17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global presence subjects us to certain risks, including tariffs and other restrictions on trade, and controls on foreign exchange and the repatriation of funds. While the direct impact of recent developments in global trade and tariff policy has not been significant, there is risk that the impact of such developments on companies in our supply chain will be reflected in higher costs from affected suppliers. We have a cash repatriation strategy that targets a certain amount of foreign current year earnings that are not indefinitely reinvested. While, to date, we have been able to make such repatriations without substantial governmental restrictions, changes in the trade or regulatory compliance in any country that we have significant cash balances could make it more difficult to repatriate foreign earnings cost-effectively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Customers, Seasonality, and Backlog</w:t>
      </w:r>
    </w:p>
    <w:p>
      <w:pPr>
        <w:spacing w:after="0" w:line="20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inventory to assure continuous availability of our products.</w:t>
      </w:r>
    </w:p>
    <w:p>
      <w:pPr>
        <w:spacing w:after="0" w:line="17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w:t>
      </w:r>
    </w:p>
    <w:p>
      <w:pPr>
        <w:spacing w:after="0" w:line="16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AEC segment primarily serves customers in the commercial and defense aerospace market through both engine and airframe applications. AEC's working capital levels rose sharply in the last few years. In 2018 and 2019, the increased working capital was associated with revenue growth while, in 2020, a slowdown in several key programs resulted in working capital increases, principally Contract assets.</w:t>
      </w:r>
    </w:p>
    <w:p>
      <w:pPr>
        <w:spacing w:after="0" w:line="161"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200" w:lineRule="exact"/>
        <w:rPr>
          <w:sz w:val="20"/>
          <w:szCs w:val="20"/>
          <w:color w:val="auto"/>
        </w:rPr>
      </w:pPr>
    </w:p>
    <w:p>
      <w:pPr>
        <w:spacing w:after="0" w:line="224" w:lineRule="exact"/>
        <w:rPr>
          <w:sz w:val="20"/>
          <w:szCs w:val="20"/>
          <w:color w:val="auto"/>
        </w:rPr>
      </w:pPr>
    </w:p>
    <w:p>
      <w:pPr>
        <w:ind w:right="80" w:firstLine="405"/>
        <w:spacing w:after="0" w:line="238" w:lineRule="auto"/>
        <w:rPr>
          <w:sz w:val="20"/>
          <w:szCs w:val="20"/>
          <w:color w:val="auto"/>
        </w:rPr>
      </w:pPr>
      <w:r>
        <w:rPr>
          <w:rFonts w:ascii="Arial" w:cs="Arial" w:eastAsia="Arial" w:hAnsi="Arial"/>
          <w:sz w:val="18"/>
          <w:szCs w:val="18"/>
          <w:color w:val="auto"/>
        </w:rPr>
        <w:t>Backlog in the MC segment was $190 million at December 31, 2020, compared to $166 million at December 31, 2019. Backlog in the AEC segment decreased to $242 million at December 31, 2020, compared to $288 million at December 31, 2019. The decrease in AEC’s backlog was due to the longer-than-expected delays in the Boeing 737 MAX return to service, and effects of the COVID-19 pandemic on the aerospace industry. All of the backlog in MC and substantially all of the AEC backlog is expected to be invoiced during the next 12 months.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Technology</w:t>
      </w:r>
    </w:p>
    <w:p>
      <w:pPr>
        <w:spacing w:after="0" w:line="207"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MC segment products are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many employees in sales and technical functions have engineering degrees, paper mill experience, or other manufacturing experience in the markets in which they operate. Our market leadership position reflects our commitment to technological innovation. This innovation has resulted in new MC products and/or enhancements across all of our product lines.</w:t>
      </w:r>
    </w:p>
    <w:p>
      <w:pPr>
        <w:spacing w:after="0" w:line="168" w:lineRule="exact"/>
        <w:rPr>
          <w:sz w:val="20"/>
          <w:szCs w:val="20"/>
          <w:color w:val="auto"/>
        </w:rPr>
      </w:pPr>
    </w:p>
    <w:p>
      <w:pPr>
        <w:ind w:right="100" w:firstLine="405"/>
        <w:spacing w:after="0" w:line="278" w:lineRule="auto"/>
        <w:rPr>
          <w:sz w:val="20"/>
          <w:szCs w:val="20"/>
          <w:color w:val="auto"/>
        </w:rPr>
      </w:pPr>
      <w:r>
        <w:rPr>
          <w:rFonts w:ascii="Arial" w:cs="Arial" w:eastAsia="Arial" w:hAnsi="Arial"/>
          <w:sz w:val="17"/>
          <w:szCs w:val="17"/>
          <w:color w:val="auto"/>
        </w:rPr>
        <w:t>Albany Engineered Composites designs, develops and manufactures advanced composite parts for complex aerospace applications, using a range of core technologies, including its proprietary 3D-woven reinforced composites technology, traditional 2D laminated composite structures, automated material placement, filament winding, through-thickness reinforcement, braiding, and thermoplastic pultrusion.</w:t>
      </w:r>
    </w:p>
    <w:p>
      <w:pPr>
        <w:spacing w:after="0" w:line="144" w:lineRule="exact"/>
        <w:rPr>
          <w:sz w:val="20"/>
          <w:szCs w:val="20"/>
          <w:color w:val="auto"/>
        </w:rPr>
      </w:pPr>
    </w:p>
    <w:p>
      <w:pPr>
        <w:ind w:right="240" w:firstLine="405"/>
        <w:spacing w:after="0" w:line="278" w:lineRule="auto"/>
        <w:rPr>
          <w:sz w:val="20"/>
          <w:szCs w:val="20"/>
          <w:color w:val="auto"/>
        </w:rPr>
      </w:pPr>
      <w:r>
        <w:rPr>
          <w:rFonts w:ascii="Arial" w:cs="Arial" w:eastAsia="Arial" w:hAnsi="Arial"/>
          <w:sz w:val="17"/>
          <w:szCs w:val="17"/>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5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Company-funded research expenses totaled $25.8 million in 2020, $26.9 million in 2019, and $29.8 million in 2018. In 2020, these costs were 2.9 percent of total Company Net sales, including $9.8 million, or 3.0 percent of Net sales, in our AEC segment. Research and development in the AEC segment includes both Company-sponsored and customer-funded activities. Some customer funded research and development may be on a cost sharing basis, in which case, amounts charged to the collaborating entity are credited against research and development costs. For customer-funded research and development in which we anticipate funding to exceed expenses, we include amounts charged to the customer in Net sales. Cost of sales associated with customer-funded research was $5.1 million in 2020, $6.8 million in 2019, and $3.5 million in 2018.</w:t>
      </w:r>
    </w:p>
    <w:p>
      <w:pPr>
        <w:spacing w:after="0" w:line="16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over 2,400 patents, and approximately 250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percent of consolidated net sales.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30 percent of our worldwide monofilament requirements. In the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price and availability risks. Currently, the primary raw materials used in each segment are derived from petroleum, and are therefore sensitive to changes in the price of petroleum and petroleum intermediates.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In the paper machine clothing market, we believe that we had a worldwide market share of approximately 30 percent in 2020, while the two largest competitors each had a market share of approximately half of ours.</w:t>
      </w:r>
    </w:p>
    <w:p>
      <w:pPr>
        <w:spacing w:after="0" w:line="200" w:lineRule="exact"/>
        <w:rPr>
          <w:sz w:val="20"/>
          <w:szCs w:val="20"/>
          <w:color w:val="auto"/>
        </w:rPr>
      </w:pPr>
    </w:p>
    <w:p>
      <w:pPr>
        <w:spacing w:after="0" w:line="37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While some competitors in the MC segment tend to compete more on the basis of price, and others attempt to compete more on the basis of technology, both are significant competitive factors in this industry. Albany’s Machine Clothing product portfolio is broad and deep, with products for every part of the machine and a wide range of machine types and paper grades.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These efforts – which effectively integrate the Company’s experience and technological expertise into each product we sell – are reflected in the Company’s strong competitive position in the marketplace. Some of the Company’s paper machine clothing competitors also supply paper machines, papermaking equipment, and aftermarket parts and services, and often bundle clothing with original or rebuilt machines and/or aftermarket services.</w:t>
      </w:r>
    </w:p>
    <w:p>
      <w:pPr>
        <w:spacing w:after="0" w:line="16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The primary competitive factors in the markets in which our Albany Engineered Composites segment competes is product performance and price. Achieving lower weight without sacrificing strength is the key to improving fuel efficiency, and is a critical performance requirement in the aerospace industry. Our broad array of capabilities in composites enable us to offer customers the opportunity to displace metal components and, in some cases, conventional composites with lower-weight, high-strength, and potentially high-temperature resistant composites. The dominant competitive factor is how the customer weighs these performance benefits, which include fuel savings due to lower weight, against the possible cost advantage of more traditional metal and composite components.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0" w:lineRule="exact"/>
        <w:rPr>
          <w:sz w:val="20"/>
          <w:szCs w:val="20"/>
          <w:color w:val="auto"/>
        </w:rPr>
      </w:pPr>
    </w:p>
    <w:p>
      <w:pPr>
        <w:ind w:right="80" w:firstLine="405"/>
        <w:spacing w:after="0" w:line="237" w:lineRule="auto"/>
        <w:rPr>
          <w:sz w:val="20"/>
          <w:szCs w:val="20"/>
          <w:color w:val="auto"/>
        </w:rPr>
      </w:pPr>
      <w:r>
        <w:rPr>
          <w:rFonts w:ascii="Arial" w:cs="Arial" w:eastAsia="Arial" w:hAnsi="Arial"/>
          <w:sz w:val="18"/>
          <w:szCs w:val="18"/>
          <w:color w:val="auto"/>
        </w:rPr>
        <w:t>Albany International recognizes that its long, successful history and future opportunities are directly linked to dedicated, engaged and diverse employees that serve the Company in all business operations. Albany currently employs over 4,000 people, with significant operations in North America, South America, Europe and Asia. Wages and benefits are competitive with those of other manufacturers in the geographic areas in which our facilities are located. A number of hourly employees outside of the United States are members of various unions. In general, we consider our relations with employees to be excellent. Employees participate in regular training programs appropriate for their responsibility and extensive optional training programs have been developed for those who seek professional and personal growth opportunities. All employees are required to participate in safety training on a regular basis.</w:t>
      </w:r>
    </w:p>
    <w:p>
      <w:pPr>
        <w:spacing w:after="0" w:line="1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7"/>
          <w:szCs w:val="17"/>
          <w:color w:val="auto"/>
        </w:rPr>
        <w:t>The Company’s Executive Vice President- Human Resources and Chief Human Resources Officer meets regularly with the Chief Executive Officer to align Human Capital strategy, plan and initiatives with business strategy and goals. Albany’s Human Capital Resources plan ensures that we provide a rewarding employee experience across the company. We continuously review our Human Capital Resources metrics, including safety metrics and action plans, to promote an emotionally and physically safe and inclusive working environment.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February 25, 2021:</w:t>
      </w:r>
    </w:p>
    <w:p>
      <w:pPr>
        <w:spacing w:after="0" w:line="167"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i w:val="1"/>
          <w:iCs w:val="1"/>
          <w:color w:val="auto"/>
        </w:rPr>
        <w:t>A. William Higgins, 62, President and Chief Executive Officer</w:t>
      </w:r>
      <w:r>
        <w:rPr>
          <w:rFonts w:ascii="Arial" w:cs="Arial" w:eastAsia="Arial" w:hAnsi="Arial"/>
          <w:sz w:val="18"/>
          <w:szCs w:val="18"/>
          <w:color w:val="auto"/>
        </w:rPr>
        <w:t>, joined the Company in 2020. He has served the Company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since January 2020. He has been a director of the Company since 2016 and served as Chairman of the Board from February 2019 until January 2020. From 2005 to 2012 he served CIRCOR International, Inc. in a variety of senior organizational positions, including Chief Executive Officer and Chairman. Prior to joining CIRCOR, he held a variety of senior management positions with Honeywell International and AlliedSignal.</w:t>
      </w:r>
    </w:p>
    <w:p>
      <w:pPr>
        <w:spacing w:after="0" w:line="156" w:lineRule="exact"/>
        <w:rPr>
          <w:sz w:val="20"/>
          <w:szCs w:val="20"/>
          <w:color w:val="auto"/>
        </w:rPr>
      </w:pPr>
    </w:p>
    <w:p>
      <w:pPr>
        <w:ind w:right="580" w:firstLine="405"/>
        <w:spacing w:after="0" w:line="282" w:lineRule="auto"/>
        <w:rPr>
          <w:sz w:val="20"/>
          <w:szCs w:val="20"/>
          <w:color w:val="auto"/>
        </w:rPr>
      </w:pPr>
      <w:r>
        <w:rPr>
          <w:rFonts w:ascii="Arial" w:cs="Arial" w:eastAsia="Arial" w:hAnsi="Arial"/>
          <w:sz w:val="18"/>
          <w:szCs w:val="18"/>
          <w:i w:val="1"/>
          <w:iCs w:val="1"/>
          <w:color w:val="auto"/>
        </w:rPr>
        <w:t xml:space="preserve">Stephen M. Nolan, 51, Chief Financial Officer and Treasurer, </w:t>
      </w:r>
      <w:r>
        <w:rPr>
          <w:rFonts w:ascii="Arial" w:cs="Arial" w:eastAsia="Arial" w:hAnsi="Arial"/>
          <w:sz w:val="18"/>
          <w:szCs w:val="18"/>
          <w:color w:val="auto"/>
        </w:rPr>
        <w:t>joined the Company in 2019. He has served the Company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Treasurer since April 2019. Prior to joining the Company, he served as Chief</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Financial Officer of Esterline and previously held the same role at Vista Outdoor, Inc. He previously worked in a number of strategic and operational management roles at ATK, including Senior Vice President for Strategy and Business Development and several business unit leadership positions. Earlier in his career, Mr. Nolan served in corporate development and strategy roles at Raytheon Company and as a strategy consultant at McKinsey &amp; Company.</w:t>
      </w:r>
    </w:p>
    <w:p>
      <w:pPr>
        <w:spacing w:after="0" w:line="14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i w:val="1"/>
          <w:iCs w:val="1"/>
          <w:color w:val="auto"/>
        </w:rPr>
        <w:t xml:space="preserve">Daniel A. Halftermeyer, 59,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Machine Clothing, </w:t>
      </w:r>
      <w:r>
        <w:rPr>
          <w:rFonts w:ascii="Arial" w:cs="Arial" w:eastAsia="Arial" w:hAnsi="Arial"/>
          <w:sz w:val="18"/>
          <w:szCs w:val="18"/>
          <w:color w:val="auto"/>
        </w:rPr>
        <w:t>joined the Company in 1987.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4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i w:val="1"/>
          <w:iCs w:val="1"/>
          <w:color w:val="auto"/>
        </w:rPr>
        <w:t xml:space="preserve">Greg Harwell, 57,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Albany Engineered Composites, </w:t>
      </w:r>
      <w:r>
        <w:rPr>
          <w:rFonts w:ascii="Arial" w:cs="Arial" w:eastAsia="Arial" w:hAnsi="Arial"/>
          <w:sz w:val="18"/>
          <w:szCs w:val="18"/>
          <w:color w:val="auto"/>
        </w:rPr>
        <w:t>joined the Company in 2019. He has served the Company as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Albany Engineered Composites since November 2019. Prior to joining the company, he served as President of Aerostructures for Precision Castparts (PCC) managing all aspects of the organization for the Aerostructures division. He also served as Vice President and General Manager in charge of Global Operations Strategy at Alcoa Fastening Systems and Rings, and before November 2014 was responsible for multiple operations within Alcoa Fastening Systems. From June 2019 until he joined Albany International, Mr. Harwell was a consultant to Arlington Capital Partners, providing M&amp;A advisory services.</w:t>
      </w:r>
    </w:p>
    <w:p>
      <w:pPr>
        <w:spacing w:after="0" w:line="160" w:lineRule="exact"/>
        <w:rPr>
          <w:sz w:val="20"/>
          <w:szCs w:val="20"/>
          <w:color w:val="auto"/>
        </w:rPr>
      </w:pPr>
    </w:p>
    <w:p>
      <w:pPr>
        <w:ind w:right="340" w:firstLine="405"/>
        <w:spacing w:after="0" w:line="276" w:lineRule="auto"/>
        <w:rPr>
          <w:sz w:val="20"/>
          <w:szCs w:val="20"/>
          <w:color w:val="auto"/>
        </w:rPr>
      </w:pPr>
      <w:r>
        <w:rPr>
          <w:rFonts w:ascii="Arial" w:cs="Arial" w:eastAsia="Arial" w:hAnsi="Arial"/>
          <w:sz w:val="17"/>
          <w:szCs w:val="17"/>
          <w:i w:val="1"/>
          <w:iCs w:val="1"/>
          <w:color w:val="auto"/>
        </w:rPr>
        <w:t xml:space="preserve">Alice McCarvill, 56, Executive Vice President- Human Resources and Chief Human Resources Officer, </w:t>
      </w:r>
      <w:r>
        <w:rPr>
          <w:rFonts w:ascii="Arial" w:cs="Arial" w:eastAsia="Arial" w:hAnsi="Arial"/>
          <w:sz w:val="17"/>
          <w:szCs w:val="17"/>
          <w:color w:val="auto"/>
        </w:rPr>
        <w:t>joined the Company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She has served the Company as Executive Vice President- Human Resources and Chief Human Resources Officer since February</w:t>
      </w:r>
    </w:p>
    <w:p>
      <w:pPr>
        <w:ind w:right="380"/>
        <w:spacing w:after="0" w:line="261" w:lineRule="auto"/>
        <w:rPr>
          <w:sz w:val="20"/>
          <w:szCs w:val="20"/>
          <w:color w:val="auto"/>
        </w:rPr>
      </w:pPr>
      <w:r>
        <w:rPr>
          <w:rFonts w:ascii="Arial" w:cs="Arial" w:eastAsia="Arial" w:hAnsi="Arial"/>
          <w:sz w:val="18"/>
          <w:szCs w:val="18"/>
          <w:color w:val="auto"/>
        </w:rPr>
        <w:t>2019</w:t>
      </w:r>
      <w:r>
        <w:rPr>
          <w:rFonts w:ascii="Arial" w:cs="Arial" w:eastAsia="Arial" w:hAnsi="Arial"/>
          <w:sz w:val="18"/>
          <w:szCs w:val="18"/>
          <w:i w:val="1"/>
          <w:iCs w:val="1"/>
          <w:color w:val="auto"/>
        </w:rPr>
        <w:t>.</w:t>
      </w:r>
      <w:r>
        <w:rPr>
          <w:rFonts w:ascii="Arial" w:cs="Arial" w:eastAsia="Arial" w:hAnsi="Arial"/>
          <w:sz w:val="18"/>
          <w:szCs w:val="18"/>
          <w:color w:val="auto"/>
        </w:rPr>
        <w:t xml:space="preserve"> She joined the Company in March 2018 as Executive Vice President- Human Resources. Prior to 2018 she was Group VP Human Resources for Arconic Engineered Products and Solutions.</w:t>
      </w:r>
    </w:p>
    <w:p>
      <w:pPr>
        <w:spacing w:after="0" w:line="139"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i w:val="1"/>
          <w:iCs w:val="1"/>
          <w:color w:val="auto"/>
        </w:rPr>
        <w:t xml:space="preserve">Joseph M. Gaug, 57, Vice President- General Counsel and Secretary, </w:t>
      </w:r>
      <w:r>
        <w:rPr>
          <w:rFonts w:ascii="Arial" w:cs="Arial" w:eastAsia="Arial" w:hAnsi="Arial"/>
          <w:sz w:val="18"/>
          <w:szCs w:val="18"/>
          <w:color w:val="auto"/>
        </w:rPr>
        <w:t>joined the Company in 2004. He has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Secretary and General Counsel since May 2020. He previously served as Associate General Counsel from 2004 and as Associate General Counsel and Assistant Secretary from 2006 to May 2020. Prior to 2004 he was a principal at McNamee, Lochner, Titus &amp; Williams, PC.</w:t>
      </w:r>
    </w:p>
    <w:p>
      <w:pPr>
        <w:spacing w:after="0" w:line="139"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i w:val="1"/>
          <w:iCs w:val="1"/>
          <w:color w:val="auto"/>
        </w:rPr>
        <w:t xml:space="preserve">Robert A. Hansen, 63, Senior Vice President and Chief Technology Officer, </w:t>
      </w:r>
      <w:r>
        <w:rPr>
          <w:rFonts w:ascii="Arial" w:cs="Arial" w:eastAsia="Arial" w:hAnsi="Arial"/>
          <w:sz w:val="18"/>
          <w:szCs w:val="18"/>
          <w:color w:val="auto"/>
        </w:rPr>
        <w:t>joined the Company in 1981. He has served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Press Fabrics, Göppingen, Germany. Before 2000, he served the Company in a number of technical management and research and development positions in Europe and the U.S.</w:t>
      </w:r>
    </w:p>
    <w:p>
      <w:pPr>
        <w:spacing w:after="0" w:line="156"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i w:val="1"/>
          <w:iCs w:val="1"/>
          <w:color w:val="auto"/>
        </w:rPr>
        <w:t xml:space="preserve">David M. Pawlick, 59,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Controller, </w:t>
      </w:r>
      <w:r>
        <w:rPr>
          <w:rFonts w:ascii="Arial" w:cs="Arial" w:eastAsia="Arial" w:hAnsi="Arial"/>
          <w:sz w:val="18"/>
          <w:szCs w:val="18"/>
          <w:color w:val="auto"/>
        </w:rPr>
        <w:t>joined the Company in 2000. He has served the Company as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since 2008, and as 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157" w:lineRule="exact"/>
        <w:rPr>
          <w:sz w:val="20"/>
          <w:szCs w:val="20"/>
          <w:color w:val="auto"/>
        </w:rPr>
      </w:pPr>
    </w:p>
    <w:p>
      <w:pPr>
        <w:ind w:right="40" w:firstLine="405"/>
        <w:spacing w:after="0" w:line="278"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44"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75"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(the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Reading Room at 100 F Street, N.E., Room 1580, Washington, D.C. The public may obtain information on the operation of the Public Reading Room by</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calling the SEC at 1-800-SEC-0330. The SEC maintains a website (www.sec.gov) that contains reports, proxy, information statements, and other information regarding issuers that file electronically with the SEC.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01" w:right="5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60" w:firstLine="405"/>
        <w:spacing w:after="0" w:line="242" w:lineRule="auto"/>
        <w:rPr>
          <w:sz w:val="20"/>
          <w:szCs w:val="20"/>
          <w:color w:val="auto"/>
        </w:rPr>
      </w:pPr>
      <w:r>
        <w:rPr>
          <w:rFonts w:ascii="Arial" w:cs="Arial" w:eastAsia="Arial" w:hAnsi="Arial"/>
          <w:sz w:val="18"/>
          <w:szCs w:val="18"/>
          <w:i w:val="1"/>
          <w:iCs w:val="1"/>
          <w:color w:val="auto"/>
        </w:rPr>
        <w:t>The risks and uncertainties described below are those that we have identified as material, but are not the only risks and uncertainties facing the Company. This list is not all-inclusive or necessarily in order of importance. If any of the events contemplated by the following risks occurs, our business, financial condition, or results of operations could be materially adversely affected. Some of these risks are described below and in the documents incorporated by reference, and investors should take these risks into account when evaluating any investment decision involving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operations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certain negative impacts on our business, and such impacts may have a material adverse effect on our results of operations, financial condition and cash flows</w:t>
      </w:r>
    </w:p>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public health crisis caused by the COVID-19 pandemic and the measures being taken by governments, businesses, and the public at large to limit COVID-19's spread has had, and are expected to continue to have, certain negative effects on the markets we serve. These effects include deteriorating general economic conditions in many regions of the world, increased unemployment, decreases in disposable income, decline in consumer confidence, and changes in consumer spending habits. Certain adverse impacts specific to the Company include, without limitation:</w:t>
      </w:r>
    </w:p>
    <w:p>
      <w:pPr>
        <w:spacing w:after="0" w:line="229" w:lineRule="exact"/>
        <w:rPr>
          <w:sz w:val="20"/>
          <w:szCs w:val="20"/>
          <w:color w:val="auto"/>
        </w:rPr>
      </w:pPr>
    </w:p>
    <w:p>
      <w:pPr>
        <w:jc w:val="both"/>
        <w:ind w:firstLine="332"/>
        <w:spacing w:after="0" w:line="238"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2020, some employees in various plants contracted the COVID-19 virus, which led to workforce absences of employees that contracted the virus and others that may have been exposed. Highly contagious diseases such as COVID-19 create the risk that we may need to shut down one of our facilities for an extended period of time, which could increase our costs and affect our ability to meet commitments to customers.</w:t>
      </w:r>
    </w:p>
    <w:p>
      <w:pPr>
        <w:spacing w:after="0" w:line="231" w:lineRule="exact"/>
        <w:rPr>
          <w:rFonts w:ascii="Arial" w:cs="Arial" w:eastAsia="Arial" w:hAnsi="Arial"/>
          <w:sz w:val="18"/>
          <w:szCs w:val="18"/>
          <w:color w:val="auto"/>
        </w:rPr>
      </w:pPr>
    </w:p>
    <w:p>
      <w:pPr>
        <w:jc w:val="both"/>
        <w:ind w:firstLine="332"/>
        <w:spacing w:after="0" w:line="237" w:lineRule="auto"/>
        <w:tabs>
          <w:tab w:leader="none" w:pos="4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larger-than-anticipated declines in demand for MC fabrics used to make certain paper grades, specifically publication paper grades, that could be COVID-19 related. Additionally, behavioral changes that have occurred during the pandemic have impacted demand for various products that are made with MC fabrics. The above effects are likely to continue to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 for the MC products used to manufacture such paper grades or building products. A decline in revenues would lead to lower gross profit on those products and the possibility of unabsorbed fixed manufacturing costs.</w:t>
      </w:r>
    </w:p>
    <w:p>
      <w:pPr>
        <w:spacing w:after="0" w:line="229" w:lineRule="exact"/>
        <w:rPr>
          <w:rFonts w:ascii="Arial" w:cs="Arial" w:eastAsia="Arial" w:hAnsi="Arial"/>
          <w:sz w:val="18"/>
          <w:szCs w:val="18"/>
          <w:color w:val="auto"/>
        </w:rPr>
      </w:pPr>
    </w:p>
    <w:p>
      <w:pPr>
        <w:jc w:val="both"/>
        <w:ind w:firstLine="332"/>
        <w:spacing w:after="0" w:line="237" w:lineRule="auto"/>
        <w:tabs>
          <w:tab w:leader="none" w:pos="4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Albany Engineered Composites segment generates a significant portion of its revenue from commercial aerospace programs and contracts for the U.S. Department of Defense (DOD). The COVID-19 pandemic has significantly impacted passenger air travel which, in turn, has impacted and is likely to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 The outcome of the 2020 U.S. Presidential election could increase the uncertainties associated with DOD programs.</w:t>
      </w:r>
    </w:p>
    <w:p>
      <w:pPr>
        <w:spacing w:after="0" w:line="229" w:lineRule="exact"/>
        <w:rPr>
          <w:rFonts w:ascii="Arial" w:cs="Arial" w:eastAsia="Arial" w:hAnsi="Arial"/>
          <w:sz w:val="18"/>
          <w:szCs w:val="18"/>
          <w:color w:val="auto"/>
        </w:rPr>
      </w:pPr>
    </w:p>
    <w:p>
      <w:pPr>
        <w:ind w:firstLine="332"/>
        <w:spacing w:after="0" w:line="246" w:lineRule="auto"/>
        <w:tabs>
          <w:tab w:leader="none" w:pos="438"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supply chains may place constraints on our ability to source key raw materials and services which could impact our ability to deliver products to customers as scheduled. Additionally, manufacturing or delivery costs could increase.</w:t>
      </w:r>
    </w:p>
    <w:p>
      <w:pPr>
        <w:spacing w:after="0" w:line="223" w:lineRule="exact"/>
        <w:rPr>
          <w:rFonts w:ascii="Arial" w:cs="Arial" w:eastAsia="Arial" w:hAnsi="Arial"/>
          <w:sz w:val="18"/>
          <w:szCs w:val="18"/>
          <w:color w:val="auto"/>
        </w:rPr>
      </w:pPr>
    </w:p>
    <w:p>
      <w:pPr>
        <w:jc w:val="both"/>
        <w:ind w:firstLine="332"/>
        <w:spacing w:after="0"/>
        <w:tabs>
          <w:tab w:leader="none" w:pos="438"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periods of economic weakness, the Company may be exposed to greater credit risk. Additionally, we could be required to record significant impairment charges with respect to noncurrent assets, including goodwill and other intangible assets, whose fair values may be negatively affected by the effects of the COVID-19 pandemic on our operations.</w:t>
      </w:r>
    </w:p>
    <w:p>
      <w:pPr>
        <w:spacing w:after="0" w:line="38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number of industry factors have had, and in future periods could have, an adverse impact on sales, profitability and cash flow in the Company’s MC and AEC segments</w:t>
      </w:r>
    </w:p>
    <w:p>
      <w:pPr>
        <w:spacing w:after="0" w:line="134"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Significant consolidation and rationalization in the paper industry in recent years have reduced global consumption of paper machine clothing in certain markets. Developments in digital media have adversely affected</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the future are likely to have, an adverse effect on paper machine clothing sales.</w:t>
      </w:r>
    </w:p>
    <w:p>
      <w:pPr>
        <w:spacing w:after="0" w:line="16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auto"/>
        </w:rPr>
        <w:t>The market for paper machine clothing in recent years has been characterized by continuous pressure to provide more favorable commercial terms, which has unfavorably affected our operating results. We expect such pressure to remain intense in all paper machine clothing markets, especially during periods of customer consolidation, plant closures, or when major contracts are being renegotiated. The emergence of Chinese competitors exacerbates this risk.</w:t>
      </w:r>
    </w:p>
    <w:p>
      <w:pPr>
        <w:spacing w:after="0" w:line="2" w:lineRule="exact"/>
        <w:rPr>
          <w:sz w:val="20"/>
          <w:szCs w:val="20"/>
          <w:color w:val="auto"/>
        </w:rPr>
      </w:pPr>
    </w:p>
    <w:p>
      <w:pPr>
        <w:ind w:right="60" w:firstLine="405"/>
        <w:spacing w:after="0"/>
        <w:rPr>
          <w:sz w:val="20"/>
          <w:szCs w:val="20"/>
          <w:color w:val="auto"/>
        </w:rPr>
      </w:pPr>
      <w:r>
        <w:rPr>
          <w:rFonts w:ascii="Arial" w:cs="Arial" w:eastAsia="Arial" w:hAnsi="Arial"/>
          <w:sz w:val="18"/>
          <w:szCs w:val="18"/>
          <w:color w:val="auto"/>
        </w:rPr>
        <w:t>Similar pressures exist in the markets in which AEC competes. During 2019, Net sales under the LEAP contract exceeded $210 million. Due to the grounding of the Boeing 737 MAX and the impact of the pandemic on air travel, 2020 Net sales generated by the LEAP contract declined to less than $95 million.</w:t>
      </w:r>
    </w:p>
    <w:p>
      <w:pPr>
        <w:spacing w:after="0" w:line="16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Additionally, the LEAP long-term supply agreement contains certain events of default that, if triggered, could result in termination of the agreement by the customer, which would also have a material adverse impact on segment sales and profitability. Additionally, many of AEC’s customers, as well as the companies supplied by our customers are under pressure to achieve acceptable returns on their substantial investments in recent years in new technologies, new programs and new product introductions. This has contributed to a relentless focus on reducing costs, resulting in continuous pressure for cost reduction and pricing improvement throughout the supply chain. The recent wave of consolidation in the aerospace industry could continue or intensify these pressures.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long-term organic growth prospects of AEC are subject to a number of risks</w:t>
      </w:r>
    </w:p>
    <w:p>
      <w:pPr>
        <w:spacing w:after="0" w:line="20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50"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AEC is currently working on a broad portfolio of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to dealing with these development and manufacturing execution risks, future AEC growth will likely require increasingly larger amounts of cash to fund the investments in equipment, capital, and development efforts needed to achieve this growth. Until AEC is able to consistently generate positive cash flows, it will remain dependent on the MC segment’s ability to generate cash. A significant decline in MC sales, operating income or cash flows could therefore have a material adverse impact on AEC’s growth.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is subject to significant risks related to the potential manufacture and sale of defective or non-conforming products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could also be subject to substantial contractual damages or warranty claims from our customers. AEC could also be subject to product liability claims if such failures were to cause death, injury or losses to third parties, or damage claims resulting from the grounding of aircraft into which such defective or non-conforming products had been incorporated. While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Deterioration of global economic conditions could have an adverse impact on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the risk of greater price competition in the machine clothing industry.</w:t>
      </w:r>
    </w:p>
    <w:p>
      <w:pPr>
        <w:spacing w:after="0" w:line="16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Demand for AEC’s light-weight composite aircraft components is driven by demand for the lighter, more fuel-efficient aircraft engine and other applications into which they are incorporated, such as the CFM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16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business, financial condition, or operating results. Furthermore, both the MC and AEC business segments manufacture products that are custom-designed for a specific customer application. In the event of a customer liquidity issue, the Company could also be required to write off amounts that are included in Contract assets,net or Inventories. In the case of AEC, such write-offs could also include investments in equipment, tooling, and non-recurring engineering, some of which could be significant depending on the program.</w:t>
      </w:r>
    </w:p>
    <w:p>
      <w:pPr>
        <w:spacing w:after="0" w:line="158" w:lineRule="exact"/>
        <w:rPr>
          <w:sz w:val="20"/>
          <w:szCs w:val="20"/>
          <w:color w:val="auto"/>
        </w:rPr>
      </w:pPr>
    </w:p>
    <w:p>
      <w:pPr>
        <w:jc w:val="right"/>
        <w:ind w:right="420"/>
        <w:spacing w:after="0" w:line="364" w:lineRule="auto"/>
        <w:rPr>
          <w:sz w:val="20"/>
          <w:szCs w:val="20"/>
          <w:color w:val="auto"/>
        </w:rPr>
      </w:pPr>
      <w:r>
        <w:rPr>
          <w:rFonts w:ascii="Arial" w:cs="Arial" w:eastAsia="Arial" w:hAnsi="Arial"/>
          <w:sz w:val="18"/>
          <w:szCs w:val="18"/>
          <w:b w:val="1"/>
          <w:bCs w:val="1"/>
          <w:i w:val="1"/>
          <w:iCs w:val="1"/>
          <w:color w:val="auto"/>
        </w:rPr>
        <w:t xml:space="preserve">The Company may experience supply constraints due to a limited number of suppliers of certain raw materials and equipment </w:t>
      </w:r>
      <w:r>
        <w:rPr>
          <w:rFonts w:ascii="Arial" w:cs="Arial" w:eastAsia="Arial" w:hAnsi="Arial"/>
          <w:sz w:val="18"/>
          <w:szCs w:val="18"/>
          <w:color w:val="auto"/>
        </w:rPr>
        <w:t>There are a limited number of suppliers of polymer fiber and monofilaments, key raw materials used in the manufacture of machine</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clothing, and of carbon fiber and carbon resin, key raw materials used by AEC. In addition, there are a limited number of suppliers of some of the equipment used in each of the MC and AEC segments. The risks associated with limited suppliers were increased during 2020 as the COVID-19 pandemic put pressure on the supply chain, as well as transportation companies that deliver our products to customers. While we have always been able to meet our raw material and equipment needs, the limited number of suppliers of these items creates the potential for disruptions in supply. AEC currently relies on single suppliers under contracts they have with SAFRAN to meet the carbon fiber and carbon resin requirements for the LEAP program. Lack of supply, delivery delays, or quality problems relating to supplied raw materials or for our key manufacturing equipment could harm our production capacity, and could require the Company to attempt to qualify one or more additional suppliers, which could be a lengthy, expensive and uncertain process. Such disruptions could make it difficult to supply our customers with products on time, which could have a negative impact on our business, financial condition, and results of operations.</w:t>
      </w:r>
    </w:p>
    <w:p>
      <w:pPr>
        <w:spacing w:after="0" w:line="14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Some of the Company’s competitors in the MC segment have the capability to make and sell paper machines and papermaking equipment as well as other engineered fabrics</w:t>
      </w:r>
    </w:p>
    <w:p>
      <w:pPr>
        <w:spacing w:after="0" w:line="14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63"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3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48"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manufacturing operations. These restructuring activities were intended to match manufacturing capacity to shifting global demand, and also to improve the efficiency of manufacturing and administrative processes. Future shifting of</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at one or more of our facilities could make it difficult for us to meet our supply obligations to our customers</w:t>
      </w:r>
    </w:p>
    <w:p>
      <w:pPr>
        <w:spacing w:after="0" w:line="207"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AEC’s production of LEAP engine components is currently located in three facilities. A natural disaster at any of these locations would have a significant adverse effect on AEC’s ability to timely satisfy orders for LEAP components. Production of almost all of AEC’s other legacy and growth programs – including components for the F-35, fuselage components for the Boeing 787, components for the CH-53K helicopter, vacuum waste tanks for Boeing 7-Series aircraft, and missile bodies for Lockheed Martin’s JASSM air-to-surface missiles – is located primarily in facilities in Salt Lake City, Utah or Boerne, Texas.</w:t>
      </w:r>
    </w:p>
    <w:p>
      <w:pPr>
        <w:spacing w:after="0" w:line="178" w:lineRule="exact"/>
        <w:rPr>
          <w:sz w:val="20"/>
          <w:szCs w:val="20"/>
          <w:color w:val="auto"/>
        </w:rPr>
      </w:pPr>
    </w:p>
    <w:p>
      <w:pPr>
        <w:ind w:right="380" w:firstLine="405"/>
        <w:spacing w:after="0" w:line="253" w:lineRule="auto"/>
        <w:rPr>
          <w:sz w:val="20"/>
          <w:szCs w:val="20"/>
          <w:color w:val="auto"/>
        </w:rPr>
      </w:pPr>
      <w:r>
        <w:rPr>
          <w:rFonts w:ascii="Arial" w:cs="Arial" w:eastAsia="Arial" w:hAnsi="Arial"/>
          <w:sz w:val="18"/>
          <w:szCs w:val="18"/>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capable of being produced at, all facilities. We have Machine Clothing facilities located near Mexico City, which has been identified as an area vulnerable to flood, storm surge and earthquake risks, and in the Pearl River Delta area of China, which has been identified as vulnerable to flood, storm and storm surge risks.</w:t>
      </w:r>
    </w:p>
    <w:p>
      <w:pPr>
        <w:spacing w:after="0" w:line="16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220"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and cost-reduction programs.</w:t>
      </w:r>
    </w:p>
    <w:p>
      <w:pPr>
        <w:spacing w:after="0" w:line="161"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The Company also relies on the labor market in many regions of the world to meet our operational requirements, advance our technology and differentiate products. Low rates of unemployment in key geographic areas in which the Company operates can lead to high rates of turnover and loss of critical talent, which could in turn lead to higher labor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22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manufacturing operations outside of the U.S., which could involve many uncertainties</w:t>
      </w:r>
    </w:p>
    <w:p>
      <w:pPr>
        <w:spacing w:after="0" w:line="20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currently have manufacturing facilities outside the U.S. In 2020, 44% percent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6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have significant manufacturing operations outside of the United States. Changes in U.S. trade policy with foreign countries, or other changes in U.S. laws and policies governing foreign trade, as well as any responsive or retaliatory changes in regulations or policies by such countries, could have an adverse impact on our business, either directly or in the form of increased costs due to their impacts on our supply chain. While the direct impact to date of recent developments in global trade and tariff policy has not been significant, there is a risk that the impact of such developments on companies in our supply chain will be reflected in higher costs from affected suppliers. In addition, the Company has manufacturing operations in the United Kingdom that could be impacted by uncertainties surrounding Brexit.</w:t>
      </w:r>
    </w:p>
    <w:p>
      <w:pPr>
        <w:spacing w:after="0" w:line="181"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contracts</w:t>
      </w:r>
    </w:p>
    <w:p>
      <w:pPr>
        <w:spacing w:after="0" w:line="18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202" w:lineRule="exact"/>
        <w:rPr>
          <w:sz w:val="20"/>
          <w:szCs w:val="20"/>
          <w:color w:val="auto"/>
        </w:rPr>
      </w:pPr>
    </w:p>
    <w:p>
      <w:pPr>
        <w:ind w:right="100" w:firstLine="405"/>
        <w:spacing w:after="0" w:line="238" w:lineRule="auto"/>
        <w:rPr>
          <w:sz w:val="20"/>
          <w:szCs w:val="20"/>
          <w:color w:val="auto"/>
        </w:rPr>
      </w:pPr>
      <w:r>
        <w:rPr>
          <w:rFonts w:ascii="Arial" w:cs="Arial" w:eastAsia="Arial" w:hAnsi="Arial"/>
          <w:sz w:val="18"/>
          <w:szCs w:val="18"/>
          <w:color w:val="auto"/>
        </w:rPr>
        <w:t>AEC manufactures critical aerospace parts and must meet increasingly demanding quality, delivery, and cost targets across a broad spectrum of programs and facilities. AEC’s ability to realize its full financial objectives will depend on how effectively it meets these challenges. Failure to accomplish these customer quality, delivery, and cost targets on any key program could result in material losses to the Company and have a material adverse impact on the amount and timing of anticipated AEC revenues, income, and cash flows, which could in turn have a material adverse impact on our consolidated financial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supply contracts in our Albany Engineered Composites segment pose certain risks</w:t>
      </w:r>
    </w:p>
    <w:p>
      <w:pPr>
        <w:spacing w:after="0" w:line="27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AEC’s customers under these contracts, the termination of such contracts or orders, or the occurrence of similar events over which AEC has no or limited control. The occurrence of one or more of these events could have a material adverse effect on AEC revenues and earnings in any period. Such events could also result in the write-off of deferred charges that have been accumulated in anticipation of future revenues. Additionally, we may enter into contracts that are expected to generate profits over the life of the contract but, under current accounting standards, we could be required to recognize a loss at the inception of the contract.</w:t>
      </w:r>
    </w:p>
    <w:p>
      <w:pPr>
        <w:spacing w:after="0" w:line="166"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While long-term fixed-price contracts also provide AEC with the opportunity to enjoy increased profits as the result of cost reductions and efficiencies, their profitability is dependent on estimates and assumptions regarding contract performance costs over the life of the contract, which in some cases can last for many years. Such estimates and assumptions are subject to many variables, and may prove over time to have been inaccurate when made, or may become inaccurate over time, which can lead to volatility of AEC’s earnings in any period. Additionally, many of</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parts AEC agrees to develop and produce have highly complex designs, and challenging technical, quality, and engineering specifications. Manufacturing or development challenges, disagreements over technical, quality or other contract requirements, and other variables may arise during development or production that result in higher costs, or an inability to achieve required specifications. If actual production and/or development costs should prove higher, or revenues prove lower, than AEC’s estimates, our expected profits may be reduced, or if such costs should exceed contract prices, we may be required to recognize losses for current or future periods. One or more of these events could have a material adverse effect on AEC’s revenues or operating results in any period. Such events could also result in the write-off of deferred charges that have been or could be accumulated in anticipation of future revenues.</w:t>
      </w:r>
    </w:p>
    <w:p>
      <w:pPr>
        <w:spacing w:after="0" w:line="16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Each quarter, the Company updates its outlook for each of its long-term contracts and records the effect of the change in estimated profitability. While the Company believes its estimates on long-term contracts to be accurate based on available information, new information may become available in future periods, or other changes in the program could occur, which may lead to additional program losses, which could have a material effect on operating results in future periods.</w:t>
      </w:r>
    </w:p>
    <w:p>
      <w:pPr>
        <w:spacing w:after="0" w:line="163" w:lineRule="exact"/>
        <w:rPr>
          <w:sz w:val="20"/>
          <w:szCs w:val="20"/>
          <w:color w:val="auto"/>
        </w:rPr>
      </w:pPr>
    </w:p>
    <w:p>
      <w:pPr>
        <w:ind w:right="200" w:firstLine="405"/>
        <w:spacing w:after="0" w:line="251" w:lineRule="auto"/>
        <w:rPr>
          <w:sz w:val="20"/>
          <w:szCs w:val="20"/>
          <w:color w:val="auto"/>
        </w:rPr>
      </w:pPr>
      <w:r>
        <w:rPr>
          <w:rFonts w:ascii="Arial" w:cs="Arial" w:eastAsia="Arial" w:hAnsi="Arial"/>
          <w:sz w:val="18"/>
          <w:szCs w:val="18"/>
          <w:color w:val="auto"/>
        </w:rPr>
        <w:t>Sales of components for a number of programs that are currently considered to be important to the future sales growth of AEC are pursuant to short-term purchase orders for a finite period or number of parts, or short-term supply agreements with terms of one to four years. Such programs include airframe components for the F-35, forward fuselage frames for the Boeing 787, and sponsons, tail-rotor pylons, horizontal stabilizers and struts for the CH-53K helicopter. As a result, while AEC reasonably expects to continue as a supplier on these programs as long as it meets its obligations, there can be no assurance that this will be the case, or that, in programs where it is currently a sole supplier that this sole supplier status will continue even if it continues as a supplier. Even if AEC’s status as a supplier is extended or renewed, there can be no assurance that such extension or renewal will be on the same or similar commercial or other terms. Any failure by AEC to maintain its current supplier status under these programs, or any material change in their commercial or other terms, could have a material adverse effect on AEC’s future sales and operating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AEC derives a significant portion of its revenue from contracts with the U.S. government, which are subject to unique risks</w:t>
      </w:r>
    </w:p>
    <w:p>
      <w:pPr>
        <w:spacing w:after="0" w:line="20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 funding of U.S. government programs is subject to congressional appropriations. Many of the U.S. government programs in which we participate may last several years, but they are normally funded annually. Changes in military strategy and priorities may affect future opportunities and/or existing programs. Long-term government contracts and related orders are subject to cancellation, delay or restructure, if appropriations for subsequent performance periods are not made. The termination or reduction of funding for existing or new U.S. government programs could result in a material adverse effect on our earnings, cash flow and financial position.</w:t>
      </w:r>
    </w:p>
    <w:p>
      <w:pPr>
        <w:spacing w:after="0" w:line="16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Additionally, our business with the U.S. government is subject to specific procurement regulations and our contract costs are subject to audits by U.S. government agencies. U.S. government representatives may audit our compliance with government regulations, and such audits could result in adjustments to our contract costs. Any costs found to be improperly allocated to a specific contract will not be reimbursed, and such costs already reimbursed must be refunded.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which could result in a material adverse effect on our earnings, cash flow and financial 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major customers could have a material adverse effect on sales and profitability</w:t>
      </w:r>
    </w:p>
    <w:p>
      <w:pPr>
        <w:spacing w:after="0" w:line="20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One customer (Safran) accounted for approximately 30 percent of Net sales in the AEC segment in 2020, substantially all of which was under an exclusive long-term supply agreement relating to parts for the LEAP engine. Although we are an exclusive supplier of such parts, our customer is not obligated to purchase any minimum quantity of parts, and cancellation or significant reduction in demand for the LEAP program would have a material adverse impact on segment sales and profitability. LEAP engines are currently used on the Boeing 737 MAX, Airbus A320neo and COMAC aircraft. The grounding of the Boeing 737 MAX during 2019 and 2020 led to lower deliveries of parts and could result in significantly lower revenue in future periods than previously expected.</w:t>
      </w:r>
    </w:p>
    <w:p>
      <w:pPr>
        <w:spacing w:after="0" w:line="168"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The LEAP long-term supply agreement contains certain events of default that, if triggered, could result in termination of the agreement by the customer, which would also have a material adverse impact on segment sales and profitability.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 substantial portion of AEC’s non-LEAP revenue in the near term, and revenue growth opportunity in the longer term, is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sales and operating income.</w:t>
      </w:r>
    </w:p>
    <w:p>
      <w:pPr>
        <w:spacing w:after="0" w:line="168"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Our top ten customers in the MC segment accounted for a significant portion of our Net sales in 2020. The loss of one or more of these customers, or a significant decrease in the amount of machine clothing they purchase from us, could have a material adverse impact on segment sales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cybersecurity</w:t>
      </w:r>
    </w:p>
    <w:p>
      <w:pPr>
        <w:spacing w:after="0" w:line="18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The Company is increasingly dependent on information technology and our business, systems, assets and infrastructure face certain risks, including cybersecurity and data leakage risks. The failure to prevent attacks on our operational systems or infrastructure could result in disruptions to our businesses, or the loss or disclosure of confidential and proprietary intellectual property or other assets</w:t>
      </w:r>
    </w:p>
    <w:p>
      <w:pPr>
        <w:spacing w:after="0" w:line="22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As our dependence on information technology and communication systems has increased, so have the risks associated with cyber-attacks from third parties attempting to gain access to our systems, data, or assets using varied means, from electronic “hacking” to traditional social engineering aimed at our employees. The Company has been the target of such attacks, none of which have had, individually or in the aggregate, a material impact on the Company. We will likely continue to be the target of such attacks which could have a material impact in future periods.</w:t>
      </w:r>
    </w:p>
    <w:p>
      <w:pPr>
        <w:spacing w:after="0" w:line="16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Any significant breakdown, invasion, destruction or interruption of our business systems by employees, others with authorized access to our systems, or unauthorized persons could negatively impact operations. There is also a risk that we could experience a business interruption, theft of information or other assets, or reputational damage. While we have made, and will continue to make, significant investments in business systems, information technology infrastructure, internal controls systems and employee training to attempt to reduce these risks, there can be no assurance that our efforts will prevent breakdowns, losses or breaches that could have a material adverse effect on our business, financial position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matters</w:t>
      </w:r>
    </w:p>
    <w:p>
      <w:pPr>
        <w:spacing w:after="0" w:line="18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34"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sales and associated costs are in the same currency, other non-U.S. sales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6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expense, net. Revaluation gains and losses occur when our business units have cash,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firstLine="405"/>
        <w:spacing w:after="0" w:line="261" w:lineRule="auto"/>
        <w:rPr>
          <w:sz w:val="20"/>
          <w:szCs w:val="20"/>
          <w:color w:val="auto"/>
        </w:rPr>
      </w:pPr>
      <w:r>
        <w:rPr>
          <w:rFonts w:ascii="Arial" w:cs="Arial" w:eastAsia="Arial" w:hAnsi="Arial"/>
          <w:sz w:val="18"/>
          <w:szCs w:val="18"/>
          <w:color w:val="auto"/>
        </w:rPr>
        <w:t>As a result of these exposures to foreign currency transactions and balances, changes in currency rates could adversely affect the Company’s business, financial condition or results of operations.</w:t>
      </w:r>
    </w:p>
    <w:p>
      <w:pPr>
        <w:spacing w:after="0" w:line="13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We have a substantial amount of indebtedness. At December 31, 2020, the Company had outstanding long-term debt of $398 million</w:t>
      </w:r>
    </w:p>
    <w:p>
      <w:pPr>
        <w:spacing w:after="0" w:line="134"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At December 31, 2020, our leverage ratio (as defined in our primary borrowing agreement) was 1.34 to 1.00, and we had borrowed $398 million under our $700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8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use interest rate swap agreements to help manage the interest cost associated with our borrowings. We account for those swaps as a hedge of future cash flows and, accordingly, changes in the fair value of the swaps are recorded in Other comprehensive income. Borrowings under the revolving credit facility and the interest rate swaps are currently based on LIBOR, which is expected to be phased out and replaced starting in 2022. Future changes in the interest rate benchmark could affect the Company’s cash flows, or the effectiveness of the swap agreements, which could have an effect on net income.</w:t>
      </w:r>
    </w:p>
    <w:p>
      <w:pPr>
        <w:spacing w:after="0" w:line="16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As of December 31, 2020, we had approximately $302 million of additional borrowing capacity under our $700 million revolving credit facility. Incurrence of additional indebtedness could increase the above-described risks associated with higher leverage. In addition, any such indebtedness could contain terms that are more restrictive than our current facilities.</w:t>
      </w:r>
    </w:p>
    <w:p>
      <w:pPr>
        <w:spacing w:after="0" w:line="13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Changes in actuarial assumptions and differences between actual experience and assumptions could adversely affect our pension and postretirement benefit costs and liabilities</w:t>
      </w:r>
    </w:p>
    <w:p>
      <w:pPr>
        <w:spacing w:after="0" w:line="14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Although we have reduced pension liabilities by a significant amount during the past few years, as of December 31, 2020, remaining net liabilities under our defined benefit pension plans exceeded plan assets by $6.7 million ($4.5 million for the U.S. plan, $2.2 million for non-U.S. plans). Additionally, the liability for unfunded postretirement welfare benefits, principally in the United States, totaled $48.0 million. Annual expense associated with these plans, as well as annual cash contributions, are subject to a number of variables, including discount rates, return on plan assets, mortality, and differences between actuarial assumptions and actual experience. Those liabilities include $61.2 million of deferred costs which are included in Accumulated other comprehensive income. The deferred costs will be amortized into expense in future periods, or a significant charge could be recorded if we were to settle pension or postretirement obligations.</w:t>
      </w:r>
    </w:p>
    <w:p>
      <w:pPr>
        <w:spacing w:after="0" w:line="166"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Although the Company has taken actions to hedge certain pension plan assets to the pension liabilities, weakness in investment returns on plan assets, changes in discount rates or actuarial assumptions, and actual future experience could result in higher benefit plan expense and the need to increase pension plan contributions in future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22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actual results significantly differ from estimates, our financial condition, results of operations, and cash flows could be materially impacted by losses under these programs, as well as higher stop-loss premiums in future periods.</w:t>
      </w:r>
    </w:p>
    <w:p>
      <w:pPr>
        <w:spacing w:after="0" w:line="13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w:t>
      </w:r>
    </w:p>
    <w:p>
      <w:pPr>
        <w:spacing w:after="0" w:line="134"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tax rates, or tax policies in the countries in which we operate, could affect our future results of operations. Our future effective tax rate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 Additionally, changes in the tax laws in any country may be difficult to interpret without additional guidance, which could lead to future adjustments to our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resulting in a charge to earnings</w:t>
      </w:r>
    </w:p>
    <w:p>
      <w:pPr>
        <w:spacing w:after="0" w:line="20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Company has substantial deferred tax assets in several tax jurisdictions, including the U.S. The realization of deferred tax assets is dependent upon many factors, including the generation of future taxable income in specific countries (See Note 7 of the Consolidated Financial Statements, included under Item 8 of this Form 10-K, which is incorporated herein, for a discussion of this matter). Lower than expected operating results, organizational changes, or changes in tax laws could result in those deferred tax assets becoming impaired, thus resulting in a charge to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or future tax audits</w:t>
      </w:r>
    </w:p>
    <w:p>
      <w:pPr>
        <w:spacing w:after="0" w:line="220"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auto"/>
        </w:rPr>
        <w:t>The Company is currently under audit in certain jurisdictions and is likely to be audited in the future. While the Company believes its tax filings to be correct, a final adverse outcome with respect to pending or future audits could have a material adverse impact on the Company’s results in any period in which it occurs.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legal and regulatory environment</w:t>
      </w:r>
    </w:p>
    <w:p>
      <w:pPr>
        <w:spacing w:after="0" w:line="189"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3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4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14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Note 21 of the Consolidated Financial Statements, included under Item 8 of this Form 10-K, which is incorporated herein. Litigation is an inherently unpredictable process and unanticipated negative outcomes are always possible. An adverse outcome in any period could have an adverse impact on the Company’s operating results for that period.</w:t>
      </w:r>
    </w:p>
    <w:p>
      <w:pPr>
        <w:spacing w:after="0" w:line="163" w:lineRule="exact"/>
        <w:rPr>
          <w:sz w:val="20"/>
          <w:szCs w:val="20"/>
          <w:color w:val="auto"/>
        </w:rPr>
      </w:pPr>
    </w:p>
    <w:p>
      <w:pPr>
        <w:jc w:val="both"/>
        <w:ind w:right="340" w:firstLine="405"/>
        <w:spacing w:after="0" w:line="256"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cannot be predicted with certainty, are likely to arise from time to time. Failure to resolve successfully any legal proceedings related to compliance matters could have an adverse impact on our results in any period.</w:t>
      </w:r>
    </w:p>
    <w:p>
      <w:pPr>
        <w:spacing w:after="0" w:line="13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34"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75"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We incur significant expenses to comply with laws and regulations. Changes or additions to laws and regulations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61"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Changes in laws and regulations could also place restrictions on our ability to sell certain products, or to source certain input products from certain suppliers, both of which could have an adverse impact on our financial condition and results of operations.</w:t>
      </w:r>
    </w:p>
    <w:p>
      <w:pPr>
        <w:spacing w:after="0" w:line="15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15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The Standish Family continues to have considerable influence over the management and affairs of the Company and matters requiring stockholder approval</w:t>
      </w:r>
    </w:p>
    <w:p>
      <w:pPr>
        <w:spacing w:after="0" w:line="13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As of December 31, 2020, the Standish Family had held in the aggregate shares entitling them to cast 34.5 percent of the combined votes entitled to be cast by all stockholders of the Company. </w:t>
      </w:r>
      <w:r>
        <w:rPr>
          <w:rFonts w:ascii="Arial" w:cs="Arial" w:eastAsia="Arial" w:hAnsi="Arial"/>
          <w:sz w:val="18"/>
          <w:szCs w:val="18"/>
          <w:color w:val="1F497D"/>
        </w:rPr>
        <w:t>T</w:t>
      </w:r>
      <w:r>
        <w:rPr>
          <w:rFonts w:ascii="Arial" w:cs="Arial" w:eastAsia="Arial" w:hAnsi="Arial"/>
          <w:sz w:val="18"/>
          <w:szCs w:val="18"/>
          <w:color w:val="auto"/>
        </w:rPr>
        <w:t>he Standish Family continue</w:t>
      </w:r>
      <w:r>
        <w:rPr>
          <w:rFonts w:ascii="Arial" w:cs="Arial" w:eastAsia="Arial" w:hAnsi="Arial"/>
          <w:sz w:val="18"/>
          <w:szCs w:val="18"/>
          <w:color w:val="1F497D"/>
        </w:rPr>
        <w:t>s</w:t>
      </w:r>
      <w:r>
        <w:rPr>
          <w:rFonts w:ascii="Arial" w:cs="Arial" w:eastAsia="Arial" w:hAnsi="Arial"/>
          <w:sz w:val="18"/>
          <w:szCs w:val="18"/>
          <w:color w:val="auto"/>
        </w:rPr>
        <w:t xml:space="preserve"> to have considerable influence over the management and affairs of the Company and matters requiring stockholder approval, including the election of directors and approval of significant corporate transactions. This could have the effect of delaying or preventing a change in control or a merger, consolidation, or other business combination at a premium price, even if such transaction were favored by our other stockholders.</w:t>
      </w:r>
    </w:p>
    <w:p>
      <w:pPr>
        <w:spacing w:after="0" w:line="14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14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Class A Common Stock.</w:t>
      </w:r>
    </w:p>
    <w:p>
      <w:pPr>
        <w:spacing w:after="0" w:line="16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pay cash dividends on our Common Stock</w:t>
      </w:r>
    </w:p>
    <w:p>
      <w:pPr>
        <w:spacing w:after="0" w:line="22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61"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In the future, we may also enter into other credit agreements or other borrowing arrangements or issue debt securities that, in each case, restrict or limit our ability to pay cash dividends on our Common Stock. In addition, since a significant portion of our cash is generated from operations of our subsidiaries, our ability to pay dividends is in part dependent on the ability of our subsidiaries – some of which are located outside of the United States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Common Stock.</w:t>
      </w:r>
    </w:p>
    <w:p>
      <w:pPr>
        <w:spacing w:after="0" w:line="14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48"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us or our existing stockholders could cause our stock price to decline</w:t>
      </w:r>
    </w:p>
    <w:p>
      <w:pPr>
        <w:spacing w:after="0" w:line="207" w:lineRule="exact"/>
        <w:rPr>
          <w:sz w:val="20"/>
          <w:szCs w:val="20"/>
          <w:color w:val="auto"/>
        </w:rPr>
      </w:pPr>
    </w:p>
    <w:p>
      <w:pPr>
        <w:jc w:val="both"/>
        <w:ind w:right="60" w:firstLine="405"/>
        <w:spacing w:after="0" w:line="256"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175"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As of February 19, 2021 we had 30,706,635 shares of Class A Common Stock outstanding and 1,617,998 shares of Class B Common Stock outstanding, each of which is convertible at any time into an equal number of shares of Class A Common Stock. In addition, shares of Class A Common Stock are issuable upon the exercise of outstanding stock options or the vesting of outstanding equity awards, and certain shares are reserved for future issuance under our equity compensation plans.</w:t>
      </w:r>
    </w:p>
    <w:p>
      <w:pPr>
        <w:spacing w:after="0" w:line="1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principal manufacturing facilities are located in Brazil, Canada, China, France, Germany, Italy, Mexico, South Korea, Sweden, the United Kingdom, and the United States. The aggregate square footage of our operating facilities in the United States is approximately 2.0 million square feet, of which 1.1 million square feet are owned and 0.9 million square feet are leased. Our facilities located outside the United States comprise approximately 3.6 million square feet, of which 3.1 million square feet are owned and 0.5 million square feet are leased. We consider these facilities to be in good condition and suitable for our purpose. The capacity associated with these facilities is adequate to meet production levels required and anticipated through 2021.</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The information set forth above under Note 21 of the Consolidated Financial Statements, included under Item 8 of this Form 10-K, which is incorporated herein.</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780" w:right="100" w:hanging="971"/>
        <w:spacing w:after="0" w:line="287" w:lineRule="auto"/>
        <w:tabs>
          <w:tab w:leader="none" w:pos="760" w:val="left"/>
        </w:tabs>
        <w:rPr>
          <w:sz w:val="20"/>
          <w:szCs w:val="20"/>
          <w:color w:val="auto"/>
        </w:rPr>
      </w:pPr>
      <w:r>
        <w:rPr>
          <w:rFonts w:ascii="Arial" w:cs="Arial" w:eastAsia="Arial" w:hAnsi="Arial"/>
          <w:sz w:val="18"/>
          <w:szCs w:val="18"/>
          <w:b w:val="1"/>
          <w:bCs w:val="1"/>
          <w:color w:val="auto"/>
        </w:rPr>
        <w:t>Item 5.</w:t>
        <w:tab/>
        <w:t>MARKET FOR THE REGISTRANT’S COMMON EQUITY, RELATED STOCKHOLDER MATTERS, AND ISSUER PURCHASES OF EQUITY SECURITIES</w:t>
      </w:r>
    </w:p>
    <w:p>
      <w:pPr>
        <w:spacing w:after="0" w:line="13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According to Broadridge, as of December 31, 2020, there were over 20,000 beneficial owners of our Class A Common Stock, including employees owning shares through our 401(k) defined contribution plan. Our Class B Common Stock does not trade publicly. As of December 31, 2020, there were 6 holders of Class B Common Stock. Dividends are paid equally on shares of each class. Our cash dividends, and the high and low prices per share of our Class A Common Stock, were as follows for the periods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b w:val="1"/>
                <w:bCs w:val="1"/>
                <w:color w:val="auto"/>
              </w:rPr>
              <w:t>December 31</w:t>
            </w:r>
          </w:p>
        </w:tc>
      </w:tr>
      <w:tr>
        <w:trPr>
          <w:trHeight w:val="238"/>
        </w:trPr>
        <w:tc>
          <w:tcPr>
            <w:tcW w:w="3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1"/>
        </w:trPr>
        <w:tc>
          <w:tcPr>
            <w:tcW w:w="3620" w:type="dxa"/>
            <w:vAlign w:val="bottom"/>
          </w:tcPr>
          <w:p>
            <w:pPr>
              <w:ind w:left="20"/>
              <w:spacing w:after="0"/>
              <w:rPr>
                <w:sz w:val="20"/>
                <w:szCs w:val="20"/>
                <w:color w:val="auto"/>
              </w:rPr>
            </w:pPr>
            <w:r>
              <w:rPr>
                <w:rFonts w:ascii="Arial" w:cs="Arial" w:eastAsia="Arial" w:hAnsi="Arial"/>
                <w:sz w:val="18"/>
                <w:szCs w:val="18"/>
                <w:color w:val="auto"/>
              </w:rPr>
              <w:t>Cash dividends per share</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Class A Common Stock prices: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97"/>
        </w:trPr>
        <w:tc>
          <w:tcPr>
            <w:tcW w:w="3620" w:type="dxa"/>
            <w:vAlign w:val="bottom"/>
          </w:tcPr>
          <w:p>
            <w:pPr>
              <w:ind w:left="220"/>
              <w:spacing w:after="0"/>
              <w:rPr>
                <w:sz w:val="20"/>
                <w:szCs w:val="20"/>
                <w:color w:val="auto"/>
              </w:rPr>
            </w:pPr>
            <w:r>
              <w:rPr>
                <w:rFonts w:ascii="Arial" w:cs="Arial" w:eastAsia="Arial" w:hAnsi="Arial"/>
                <w:sz w:val="18"/>
                <w:szCs w:val="18"/>
                <w:color w:val="auto"/>
              </w:rPr>
              <w:t>High</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74.00</w:t>
            </w: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Low</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32"/>
        </w:trPr>
        <w:tc>
          <w:tcPr>
            <w:tcW w:w="3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1"/>
        </w:trPr>
        <w:tc>
          <w:tcPr>
            <w:tcW w:w="3620" w:type="dxa"/>
            <w:vAlign w:val="bottom"/>
          </w:tcPr>
          <w:p>
            <w:pPr>
              <w:ind w:left="20"/>
              <w:spacing w:after="0"/>
              <w:rPr>
                <w:sz w:val="20"/>
                <w:szCs w:val="20"/>
                <w:color w:val="auto"/>
              </w:rPr>
            </w:pPr>
            <w:r>
              <w:rPr>
                <w:rFonts w:ascii="Arial" w:cs="Arial" w:eastAsia="Arial" w:hAnsi="Arial"/>
                <w:sz w:val="18"/>
                <w:szCs w:val="18"/>
                <w:color w:val="auto"/>
              </w:rPr>
              <w:t>Cash dividends per share</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Class A Common Stock prices: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97"/>
        </w:trPr>
        <w:tc>
          <w:tcPr>
            <w:tcW w:w="3620" w:type="dxa"/>
            <w:vAlign w:val="bottom"/>
          </w:tcPr>
          <w:p>
            <w:pPr>
              <w:ind w:left="220"/>
              <w:spacing w:after="0"/>
              <w:rPr>
                <w:sz w:val="20"/>
                <w:szCs w:val="20"/>
                <w:color w:val="auto"/>
              </w:rPr>
            </w:pPr>
            <w:r>
              <w:rPr>
                <w:rFonts w:ascii="Arial" w:cs="Arial" w:eastAsia="Arial" w:hAnsi="Arial"/>
                <w:sz w:val="18"/>
                <w:szCs w:val="18"/>
                <w:color w:val="auto"/>
              </w:rPr>
              <w:t>High</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78.45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91.51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90.30</w:t>
            </w: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Low</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75.92</w:t>
            </w:r>
          </w:p>
        </w:tc>
      </w:tr>
    </w:tbl>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graph below matches the cumulative 5-Year total return of holders of Albany International Corp.’s common stock with the cumulative total returns of the Russell 2000 index and a customized peer group of twenty two companies that includes: Astronics Corp, Barnes Group Inc., Circor International Inc., Curtiss-wright Corp, Ducommun Inc., Enerpac Tool Group Corp, Enpro Industries Inc., Esco Technologies Inc., Heico Corp, Hexcel Corp, Idex Corp, Kadant Inc., National Presto Industries Inc., Neenah Inc., Nordson Corp, P H Glatfelter Co, Raven Industries Inc., Rogers Corp, Schweitzer-Mauduit International Inc., Tredegar Corp, Trimas Corp and Watts Water Technologies Inc. The graph assumes that the value of the investment in our common stock, in each index, and in the peer group (including reinvestment of dividends) was $100 on December 31, 2015 and tracks it through December 31,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20320</wp:posOffset>
            </wp:positionV>
            <wp:extent cx="5572125" cy="2794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2125" cy="279463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01" w:right="4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invested on 12/31/15 in stock or index, including reinvestment of dividends.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Fiscal year ending December 31. Copyright© 2020 Russell Investment Group. All rights reserved.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14"/>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Albany International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66"/>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100.00</w:t>
            </w:r>
          </w:p>
        </w:tc>
        <w:tc>
          <w:tcPr>
            <w:tcW w:w="10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128.80</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173.21</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177.81</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218.33</w:t>
            </w:r>
          </w:p>
        </w:tc>
        <w:tc>
          <w:tcPr>
            <w:tcW w:w="1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214.16</w:t>
            </w:r>
          </w:p>
        </w:tc>
      </w:tr>
      <w:tr>
        <w:trPr>
          <w:trHeight w:val="270"/>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Russell 2000</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100.00</w:t>
            </w:r>
          </w:p>
        </w:tc>
        <w:tc>
          <w:tcPr>
            <w:tcW w:w="10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121.31</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139.08</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123.76</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155.35</w:t>
            </w:r>
          </w:p>
        </w:tc>
        <w:tc>
          <w:tcPr>
            <w:tcW w:w="1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186.36</w:t>
            </w:r>
          </w:p>
        </w:tc>
      </w:tr>
      <w:tr>
        <w:trPr>
          <w:trHeight w:val="270"/>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Peer Group</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100.00</w:t>
            </w:r>
          </w:p>
        </w:tc>
        <w:tc>
          <w:tcPr>
            <w:tcW w:w="10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135.53</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174.15</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152.94</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205.12</w:t>
            </w:r>
          </w:p>
        </w:tc>
        <w:tc>
          <w:tcPr>
            <w:tcW w:w="1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215.29</w:t>
            </w:r>
          </w:p>
        </w:tc>
      </w:tr>
    </w:tbl>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3"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Restrictions on dividends and other distributions are described in Note 17 of the Consolidated Financial Statements, included under Item 8 of this Form 10-K, which is incorporated herein.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Disclosures of securities authorized for issuance under equity compensation plans are included under Item 12 of this Form 10-K.</w:t>
      </w:r>
    </w:p>
    <w:p>
      <w:pPr>
        <w:spacing w:after="0" w:line="18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August 2006, we announced that the Board of Directors had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this authorization.</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0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following selected historical financial data have been derived from our Consolidated Financial Statements in Item 8, which is incorporated herein by reference. The data should be read in conjunction with those financial statements and Management’s Discussion and Analysis of Financial Condition and Results of Operations in Item 7, which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(in thousands, except per share amounts)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2"/>
        </w:trPr>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Summary of Operations</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900,610</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tcPr>
          <w:p>
            <w:pPr>
              <w:ind w:left="80"/>
              <w:spacing w:after="0"/>
              <w:rPr>
                <w:sz w:val="20"/>
                <w:szCs w:val="20"/>
                <w:color w:val="auto"/>
              </w:rPr>
            </w:pPr>
            <w:r>
              <w:rPr>
                <w:rFonts w:ascii="Arial" w:cs="Arial" w:eastAsia="Arial" w:hAnsi="Arial"/>
                <w:sz w:val="18"/>
                <w:szCs w:val="18"/>
                <w:color w:val="auto"/>
              </w:rPr>
              <w:t>Net sales (3) (4) (8)</w:t>
            </w: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1,054,132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982,479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863,717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779,839</w:t>
            </w:r>
          </w:p>
        </w:tc>
        <w:tc>
          <w:tcPr>
            <w:tcW w:w="0" w:type="dxa"/>
            <w:vAlign w:val="bottom"/>
          </w:tcPr>
          <w:p>
            <w:pPr>
              <w:spacing w:after="0"/>
              <w:rPr>
                <w:sz w:val="1"/>
                <w:szCs w:val="1"/>
                <w:color w:val="auto"/>
              </w:rPr>
            </w:pPr>
          </w:p>
        </w:tc>
      </w:tr>
      <w:tr>
        <w:trPr>
          <w:trHeight w:val="229"/>
        </w:trPr>
        <w:tc>
          <w:tcPr>
            <w:tcW w:w="3560" w:type="dxa"/>
            <w:vAlign w:val="bottom"/>
          </w:tcPr>
          <w:p>
            <w:pPr>
              <w:ind w:left="80"/>
              <w:spacing w:after="0"/>
              <w:rPr>
                <w:sz w:val="20"/>
                <w:szCs w:val="20"/>
                <w:color w:val="auto"/>
              </w:rPr>
            </w:pPr>
            <w:r>
              <w:rPr>
                <w:rFonts w:ascii="Arial" w:cs="Arial" w:eastAsia="Arial" w:hAnsi="Arial"/>
                <w:sz w:val="18"/>
                <w:szCs w:val="18"/>
                <w:color w:val="auto"/>
              </w:rPr>
              <w:t>Cost of goods sold (3) (4) (5) (7)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529,538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656,431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632,730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567,434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478,555</w:t>
            </w: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Restructuring and other (7) (9)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5,736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15,570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29"/>
        </w:trPr>
        <w:tc>
          <w:tcPr>
            <w:tcW w:w="3560" w:type="dxa"/>
            <w:vAlign w:val="bottom"/>
          </w:tcPr>
          <w:p>
            <w:pPr>
              <w:ind w:left="80"/>
              <w:spacing w:after="0"/>
              <w:rPr>
                <w:sz w:val="20"/>
                <w:szCs w:val="20"/>
                <w:color w:val="auto"/>
              </w:rPr>
            </w:pPr>
            <w:r>
              <w:rPr>
                <w:rFonts w:ascii="Arial" w:cs="Arial" w:eastAsia="Arial" w:hAnsi="Arial"/>
                <w:sz w:val="18"/>
                <w:szCs w:val="18"/>
                <w:color w:val="auto"/>
              </w:rPr>
              <w:t>Operating income/(loss) (1) (3) (5)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166,080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193,576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137,408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78,676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94,132</w:t>
            </w:r>
          </w:p>
        </w:tc>
        <w:tc>
          <w:tcPr>
            <w:tcW w:w="0" w:type="dxa"/>
            <w:vAlign w:val="bottom"/>
          </w:tcPr>
          <w:p>
            <w:pPr>
              <w:spacing w:after="0"/>
              <w:rPr>
                <w:sz w:val="1"/>
                <w:szCs w:val="1"/>
                <w:color w:val="auto"/>
              </w:rPr>
            </w:pPr>
          </w:p>
        </w:tc>
      </w:tr>
      <w:tr>
        <w:trPr>
          <w:trHeight w:val="229"/>
        </w:trPr>
        <w:tc>
          <w:tcPr>
            <w:tcW w:w="3560" w:type="dxa"/>
            <w:vAlign w:val="bottom"/>
          </w:tcPr>
          <w:p>
            <w:pPr>
              <w:ind w:left="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13,584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13,464</w:t>
            </w: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Income/(loss) from continuing operations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97,243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133,383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83,019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32,585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52,812</w:t>
            </w:r>
          </w:p>
        </w:tc>
        <w:tc>
          <w:tcPr>
            <w:tcW w:w="0" w:type="dxa"/>
            <w:vAlign w:val="bottom"/>
          </w:tcPr>
          <w:p>
            <w:pPr>
              <w:spacing w:after="0"/>
              <w:rPr>
                <w:sz w:val="1"/>
                <w:szCs w:val="1"/>
                <w:color w:val="auto"/>
              </w:rPr>
            </w:pPr>
          </w:p>
        </w:tc>
      </w:tr>
      <w:tr>
        <w:trPr>
          <w:trHeight w:val="233"/>
        </w:trPr>
        <w:tc>
          <w:tcPr>
            <w:tcW w:w="3560" w:type="dxa"/>
            <w:vAlign w:val="bottom"/>
          </w:tcPr>
          <w:p>
            <w:pPr>
              <w:ind w:left="80"/>
              <w:spacing w:after="0"/>
              <w:rPr>
                <w:sz w:val="20"/>
                <w:szCs w:val="20"/>
                <w:color w:val="auto"/>
              </w:rPr>
            </w:pPr>
            <w:r>
              <w:rPr>
                <w:rFonts w:ascii="Arial" w:cs="Arial" w:eastAsia="Arial" w:hAnsi="Arial"/>
                <w:sz w:val="18"/>
                <w:szCs w:val="18"/>
                <w:color w:val="auto"/>
              </w:rPr>
              <w:t>Net income attributable to the Company</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98,589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132,398</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82,891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33,111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52,733</w:t>
            </w:r>
          </w:p>
        </w:tc>
        <w:tc>
          <w:tcPr>
            <w:tcW w:w="0" w:type="dxa"/>
            <w:vAlign w:val="bottom"/>
          </w:tcPr>
          <w:p>
            <w:pPr>
              <w:spacing w:after="0"/>
              <w:rPr>
                <w:sz w:val="1"/>
                <w:szCs w:val="1"/>
                <w:color w:val="auto"/>
              </w:rPr>
            </w:pPr>
          </w:p>
        </w:tc>
      </w:tr>
      <w:tr>
        <w:trPr>
          <w:trHeight w:val="176"/>
        </w:trPr>
        <w:tc>
          <w:tcPr>
            <w:tcW w:w="3560" w:type="dxa"/>
            <w:vAlign w:val="bottom"/>
          </w:tcPr>
          <w:p>
            <w:pPr>
              <w:ind w:left="80"/>
              <w:spacing w:after="0" w:line="176" w:lineRule="exact"/>
              <w:rPr>
                <w:sz w:val="20"/>
                <w:szCs w:val="20"/>
                <w:color w:val="auto"/>
              </w:rPr>
            </w:pPr>
            <w:r>
              <w:rPr>
                <w:rFonts w:ascii="Arial" w:cs="Arial" w:eastAsia="Arial" w:hAnsi="Arial"/>
                <w:sz w:val="18"/>
                <w:szCs w:val="18"/>
                <w:color w:val="auto"/>
                <w:w w:val="99"/>
              </w:rPr>
              <w:t>Earnings per share attributable to Company</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3.05</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Shareholders- Basic</w:t>
            </w:r>
          </w:p>
        </w:tc>
        <w:tc>
          <w:tcPr>
            <w:tcW w:w="3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80"/>
              <w:spacing w:after="0" w:line="176" w:lineRule="exact"/>
              <w:rPr>
                <w:sz w:val="20"/>
                <w:szCs w:val="20"/>
                <w:color w:val="auto"/>
              </w:rPr>
            </w:pPr>
            <w:r>
              <w:rPr>
                <w:rFonts w:ascii="Arial" w:cs="Arial" w:eastAsia="Arial" w:hAnsi="Arial"/>
                <w:sz w:val="18"/>
                <w:szCs w:val="18"/>
                <w:color w:val="auto"/>
                <w:w w:val="99"/>
              </w:rPr>
              <w:t>Earnings per share attributable to Company</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3.05</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Shareholders- Diluted</w:t>
            </w:r>
          </w:p>
        </w:tc>
        <w:tc>
          <w:tcPr>
            <w:tcW w:w="3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60" w:type="dxa"/>
            <w:vAlign w:val="bottom"/>
          </w:tcPr>
          <w:p>
            <w:pPr>
              <w:ind w:left="80"/>
              <w:spacing w:after="0"/>
              <w:rPr>
                <w:sz w:val="20"/>
                <w:szCs w:val="20"/>
                <w:color w:val="auto"/>
              </w:rPr>
            </w:pPr>
            <w:r>
              <w:rPr>
                <w:rFonts w:ascii="Arial" w:cs="Arial" w:eastAsia="Arial" w:hAnsi="Arial"/>
                <w:sz w:val="18"/>
                <w:szCs w:val="18"/>
                <w:color w:val="auto"/>
              </w:rPr>
              <w:t>Dividends declared per share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0.77</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0.69</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line="176" w:lineRule="exact"/>
              <w:rPr>
                <w:sz w:val="20"/>
                <w:szCs w:val="20"/>
                <w:color w:val="auto"/>
              </w:rPr>
            </w:pPr>
            <w:r>
              <w:rPr>
                <w:rFonts w:ascii="Arial" w:cs="Arial" w:eastAsia="Arial" w:hAnsi="Arial"/>
                <w:sz w:val="18"/>
                <w:szCs w:val="18"/>
                <w:color w:val="auto"/>
                <w:w w:val="89"/>
              </w:rPr>
              <w:t>Weighted average number of shares outstanding</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32,329</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32,296</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32,252</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32,169</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32,086</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 basic</w:t>
            </w:r>
          </w:p>
        </w:tc>
        <w:tc>
          <w:tcPr>
            <w:tcW w:w="3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Capital expenditures, including software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42,390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67,955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82,886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87,637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73,492</w:t>
            </w:r>
          </w:p>
        </w:tc>
        <w:tc>
          <w:tcPr>
            <w:tcW w:w="0" w:type="dxa"/>
            <w:vAlign w:val="bottom"/>
          </w:tcPr>
          <w:p>
            <w:pPr>
              <w:spacing w:after="0"/>
              <w:rPr>
                <w:sz w:val="1"/>
                <w:szCs w:val="1"/>
                <w:color w:val="auto"/>
              </w:rPr>
            </w:pPr>
          </w:p>
        </w:tc>
      </w:tr>
      <w:tr>
        <w:trPr>
          <w:trHeight w:val="233"/>
        </w:trPr>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Financial position</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241,316</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80"/>
              <w:spacing w:after="0"/>
              <w:rPr>
                <w:sz w:val="20"/>
                <w:szCs w:val="20"/>
                <w:color w:val="auto"/>
              </w:rPr>
            </w:pPr>
            <w:r>
              <w:rPr>
                <w:rFonts w:ascii="Arial" w:cs="Arial" w:eastAsia="Arial" w:hAnsi="Arial"/>
                <w:sz w:val="18"/>
                <w:szCs w:val="18"/>
                <w:color w:val="auto"/>
              </w:rPr>
              <w:t>Cash</w:t>
            </w: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195,540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197,755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183,727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181,742</w:t>
            </w:r>
          </w:p>
        </w:tc>
        <w:tc>
          <w:tcPr>
            <w:tcW w:w="0" w:type="dxa"/>
            <w:vAlign w:val="bottom"/>
          </w:tcPr>
          <w:p>
            <w:pPr>
              <w:spacing w:after="0"/>
              <w:rPr>
                <w:sz w:val="1"/>
                <w:szCs w:val="1"/>
                <w:color w:val="auto"/>
              </w:rPr>
            </w:pPr>
          </w:p>
        </w:tc>
      </w:tr>
      <w:tr>
        <w:trPr>
          <w:trHeight w:val="230"/>
        </w:trPr>
        <w:tc>
          <w:tcPr>
            <w:tcW w:w="3560" w:type="dxa"/>
            <w:vAlign w:val="bottom"/>
          </w:tcPr>
          <w:p>
            <w:pPr>
              <w:ind w:left="60"/>
              <w:spacing w:after="0"/>
              <w:rPr>
                <w:sz w:val="20"/>
                <w:szCs w:val="20"/>
                <w:color w:val="auto"/>
              </w:rPr>
            </w:pPr>
            <w:r>
              <w:rPr>
                <w:rFonts w:ascii="Arial" w:cs="Arial" w:eastAsia="Arial" w:hAnsi="Arial"/>
                <w:sz w:val="18"/>
                <w:szCs w:val="18"/>
                <w:color w:val="auto"/>
              </w:rPr>
              <w:t>Asset held for sale (6)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w w:val="96"/>
              </w:rPr>
              <w:t>Property, plant and equipment, net (2) (3) (6)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448,554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466,462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462,055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454,302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422,564</w:t>
            </w:r>
          </w:p>
        </w:tc>
        <w:tc>
          <w:tcPr>
            <w:tcW w:w="0" w:type="dxa"/>
            <w:vAlign w:val="bottom"/>
          </w:tcPr>
          <w:p>
            <w:pPr>
              <w:spacing w:after="0"/>
              <w:rPr>
                <w:sz w:val="1"/>
                <w:szCs w:val="1"/>
                <w:color w:val="auto"/>
              </w:rPr>
            </w:pPr>
          </w:p>
        </w:tc>
      </w:tr>
      <w:tr>
        <w:trPr>
          <w:trHeight w:val="229"/>
        </w:trPr>
        <w:tc>
          <w:tcPr>
            <w:tcW w:w="3560" w:type="dxa"/>
            <w:vAlign w:val="bottom"/>
          </w:tcPr>
          <w:p>
            <w:pPr>
              <w:ind w:left="60"/>
              <w:spacing w:after="0"/>
              <w:rPr>
                <w:sz w:val="20"/>
                <w:szCs w:val="20"/>
                <w:color w:val="auto"/>
              </w:rPr>
            </w:pPr>
            <w:r>
              <w:rPr>
                <w:rFonts w:ascii="Arial" w:cs="Arial" w:eastAsia="Arial" w:hAnsi="Arial"/>
                <w:sz w:val="18"/>
                <w:szCs w:val="18"/>
                <w:color w:val="auto"/>
              </w:rPr>
              <w:t>Total assets (1) (2) (3) (4) (7) (8)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1,549,936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1,474,368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1,417,992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1,361,198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1,263,433</w:t>
            </w: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Current liabilities (2) (3)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190,863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202,719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189,306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161,517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200,009</w:t>
            </w: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Long-term debt (2)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398,000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424,009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523,707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514,120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432,918</w:t>
            </w:r>
          </w:p>
        </w:tc>
        <w:tc>
          <w:tcPr>
            <w:tcW w:w="0" w:type="dxa"/>
            <w:vAlign w:val="bottom"/>
          </w:tcPr>
          <w:p>
            <w:pPr>
              <w:spacing w:after="0"/>
              <w:rPr>
                <w:sz w:val="1"/>
                <w:szCs w:val="1"/>
                <w:color w:val="auto"/>
              </w:rPr>
            </w:pPr>
          </w:p>
        </w:tc>
      </w:tr>
      <w:tr>
        <w:trPr>
          <w:trHeight w:val="230"/>
        </w:trPr>
        <w:tc>
          <w:tcPr>
            <w:tcW w:w="3560" w:type="dxa"/>
            <w:vAlign w:val="bottom"/>
          </w:tcPr>
          <w:p>
            <w:pPr>
              <w:ind w:left="60"/>
              <w:spacing w:after="0"/>
              <w:rPr>
                <w:sz w:val="20"/>
                <w:szCs w:val="20"/>
                <w:color w:val="auto"/>
              </w:rPr>
            </w:pPr>
            <w:r>
              <w:rPr>
                <w:rFonts w:ascii="Arial" w:cs="Arial" w:eastAsia="Arial" w:hAnsi="Arial"/>
                <w:sz w:val="18"/>
                <w:szCs w:val="18"/>
                <w:color w:val="auto"/>
              </w:rPr>
              <w:t>Total noncurrent liabilities (2) (3)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539,208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568,960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620,406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626,666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552,134</w:t>
            </w:r>
          </w:p>
        </w:tc>
        <w:tc>
          <w:tcPr>
            <w:tcW w:w="0" w:type="dxa"/>
            <w:vAlign w:val="bottom"/>
          </w:tcPr>
          <w:p>
            <w:pPr>
              <w:spacing w:after="0"/>
              <w:rPr>
                <w:sz w:val="1"/>
                <w:szCs w:val="1"/>
                <w:color w:val="auto"/>
              </w:rPr>
            </w:pPr>
          </w:p>
        </w:tc>
      </w:tr>
      <w:tr>
        <w:trPr>
          <w:trHeight w:val="229"/>
        </w:trPr>
        <w:tc>
          <w:tcPr>
            <w:tcW w:w="3560" w:type="dxa"/>
            <w:vAlign w:val="bottom"/>
          </w:tcPr>
          <w:p>
            <w:pPr>
              <w:ind w:left="60"/>
              <w:spacing w:after="0"/>
              <w:rPr>
                <w:sz w:val="20"/>
                <w:szCs w:val="20"/>
                <w:color w:val="auto"/>
              </w:rPr>
            </w:pPr>
            <w:r>
              <w:rPr>
                <w:rFonts w:ascii="Arial" w:cs="Arial" w:eastAsia="Arial" w:hAnsi="Arial"/>
                <w:sz w:val="18"/>
                <w:szCs w:val="18"/>
                <w:color w:val="auto"/>
              </w:rPr>
              <w:t>Total liabilities (2) (3) (4)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730,071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771,679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809,712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788,183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752,143</w:t>
            </w:r>
          </w:p>
        </w:tc>
        <w:tc>
          <w:tcPr>
            <w:tcW w:w="0" w:type="dxa"/>
            <w:vAlign w:val="bottom"/>
          </w:tcPr>
          <w:p>
            <w:pPr>
              <w:spacing w:after="0"/>
              <w:rPr>
                <w:sz w:val="1"/>
                <w:szCs w:val="1"/>
                <w:color w:val="auto"/>
              </w:rPr>
            </w:pPr>
          </w:p>
        </w:tc>
      </w:tr>
      <w:tr>
        <w:trPr>
          <w:trHeight w:val="234"/>
        </w:trPr>
        <w:tc>
          <w:tcPr>
            <w:tcW w:w="3560" w:type="dxa"/>
            <w:vAlign w:val="bottom"/>
          </w:tcPr>
          <w:p>
            <w:pPr>
              <w:ind w:left="60"/>
              <w:spacing w:after="0"/>
              <w:rPr>
                <w:sz w:val="20"/>
                <w:szCs w:val="20"/>
                <w:color w:val="auto"/>
              </w:rPr>
            </w:pPr>
            <w:r>
              <w:rPr>
                <w:rFonts w:ascii="Arial" w:cs="Arial" w:eastAsia="Arial" w:hAnsi="Arial"/>
                <w:sz w:val="18"/>
                <w:szCs w:val="18"/>
                <w:color w:val="auto"/>
              </w:rPr>
              <w:t>Total equity (1) (2) (4)</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819,865</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702,689</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608,280</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573,015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511,290</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2020, we adopted the provisions of ASC 326, Current Expected Credit Losses (CECL), using the</w:t>
      </w:r>
    </w:p>
    <w:p>
      <w:pPr>
        <w:jc w:val="both"/>
        <w:ind w:left="660" w:right="400"/>
        <w:spacing w:after="0" w:line="229" w:lineRule="auto"/>
        <w:rPr>
          <w:sz w:val="20"/>
          <w:szCs w:val="20"/>
          <w:color w:val="auto"/>
        </w:rPr>
      </w:pPr>
      <w:r>
        <w:rPr>
          <w:rFonts w:ascii="Arial" w:cs="Arial" w:eastAsia="Arial" w:hAnsi="Arial"/>
          <w:sz w:val="18"/>
          <w:szCs w:val="18"/>
          <w:color w:val="auto"/>
        </w:rPr>
        <w:t>modified retrospective (or cumulative effect) method for transition. Under this transition method, periods prior to 2020 were not restated and the cumulative effect of initially applying the new standard was recorded as an adjustment to Retained earnings at January 1, 2020.</w:t>
      </w:r>
    </w:p>
    <w:p>
      <w:pPr>
        <w:spacing w:after="0" w:line="218" w:lineRule="exact"/>
        <w:rPr>
          <w:sz w:val="20"/>
          <w:szCs w:val="20"/>
          <w:color w:val="auto"/>
        </w:rPr>
      </w:pPr>
    </w:p>
    <w:p>
      <w:pPr>
        <w:ind w:left="660" w:right="1980" w:hanging="652"/>
        <w:spacing w:after="0" w:line="227"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2019, we adopted the provisions of ASC 842, “Leases”, using the modified retrospective (or cumulative effect) method for transition. Under this transition method, periods prior to 2019 have not been restated and the cumulative effect of initially applying the new standard was recorded as an adjustment to Retained earnings at January 1, 2019.</w:t>
      </w:r>
    </w:p>
    <w:p>
      <w:pPr>
        <w:spacing w:after="0" w:line="215" w:lineRule="exact"/>
        <w:rPr>
          <w:rFonts w:ascii="Arial" w:cs="Arial" w:eastAsia="Arial" w:hAnsi="Arial"/>
          <w:sz w:val="18"/>
          <w:szCs w:val="18"/>
          <w:color w:val="auto"/>
        </w:rPr>
      </w:pPr>
    </w:p>
    <w:p>
      <w:pPr>
        <w:ind w:left="660" w:right="2140" w:hanging="652"/>
        <w:spacing w:after="0" w:line="235"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2019, we acquired the outstanding shares of CirComp GmbH for net cash of $36.3 million, which includes approximately $5.5 million of deferred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40" w:hanging="652"/>
        <w:spacing w:after="0" w:line="227" w:lineRule="auto"/>
        <w:tabs>
          <w:tab w:leader="none" w:pos="43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2018, we adopted the provisions of ASC 606, “Revenue from contracts with customers”, using the modified retrospective (or cumulative effect) method for transition. Under this transition method, periods prior to 2018 have not been restated and the cumulative effect of initially applying the new standard was recorded as an adjustment to Retained earnings at January 1, 2018.</w:t>
      </w:r>
    </w:p>
    <w:p>
      <w:pPr>
        <w:spacing w:after="0" w:line="215" w:lineRule="exact"/>
        <w:rPr>
          <w:rFonts w:ascii="Arial" w:cs="Arial" w:eastAsia="Arial" w:hAnsi="Arial"/>
          <w:sz w:val="18"/>
          <w:szCs w:val="18"/>
          <w:color w:val="auto"/>
        </w:rPr>
      </w:pPr>
    </w:p>
    <w:p>
      <w:pPr>
        <w:ind w:left="660" w:right="1880" w:hanging="652"/>
        <w:spacing w:after="0" w:line="227" w:lineRule="auto"/>
        <w:tabs>
          <w:tab w:leader="none" w:pos="43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2018, we adopted the provisions of ASU 2017-07, “Compensation – Retirement Benefits: improving the presentation of net periodic pension cost and net periodic postretirement benefit cost”. This update resulted in some pension costs being presented on different line items in the Consolidated Statement of Income. As required by that update, we have reclassified pension costs for periods prior to 2018.</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2018, we discontinued operations at the Company’s production facility in Sélestat, France, and wrote</w:t>
      </w:r>
    </w:p>
    <w:p>
      <w:pPr>
        <w:ind w:left="660" w:right="2140"/>
        <w:spacing w:after="0" w:line="235" w:lineRule="auto"/>
        <w:rPr>
          <w:sz w:val="20"/>
          <w:szCs w:val="20"/>
          <w:color w:val="auto"/>
        </w:rPr>
      </w:pPr>
      <w:r>
        <w:rPr>
          <w:rFonts w:ascii="Arial" w:cs="Arial" w:eastAsia="Arial" w:hAnsi="Arial"/>
          <w:sz w:val="18"/>
          <w:szCs w:val="18"/>
          <w:color w:val="auto"/>
        </w:rPr>
        <w:t>down the land and building to its estimated fair market value. The value of $0.6 million as of December 31, 2020 reflects the estimated selling price. We anticipate the sale of the property to occur in 2021.</w:t>
      </w:r>
    </w:p>
    <w:p>
      <w:pPr>
        <w:spacing w:after="0" w:line="216" w:lineRule="exact"/>
        <w:rPr>
          <w:sz w:val="20"/>
          <w:szCs w:val="20"/>
          <w:color w:val="auto"/>
        </w:rPr>
      </w:pPr>
    </w:p>
    <w:p>
      <w:pPr>
        <w:ind w:left="660" w:right="2100" w:hanging="652"/>
        <w:spacing w:after="0" w:line="229"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2017, we discontinued the Bear Claw® line of hydraulic fracturing components used in the oil and gas industry, which led to a charge of $2.8 million to Cost of goods sold for the write-off of inventory, and a non-cash restructuring charge of $4.5 million for the write-off of equipment and intangibles.</w:t>
      </w:r>
    </w:p>
    <w:p>
      <w:pPr>
        <w:spacing w:after="0" w:line="217" w:lineRule="exact"/>
        <w:rPr>
          <w:rFonts w:ascii="Arial" w:cs="Arial" w:eastAsia="Arial" w:hAnsi="Arial"/>
          <w:sz w:val="18"/>
          <w:szCs w:val="18"/>
          <w:color w:val="auto"/>
        </w:rPr>
      </w:pPr>
    </w:p>
    <w:p>
      <w:pPr>
        <w:ind w:left="660" w:right="2160" w:hanging="652"/>
        <w:spacing w:after="0" w:line="229"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2016, we acquired the outstanding shares of Harris Corporation’s composite aerostructures business for cash of $187 million, plus the assumption of certain liabilities. The table above includes operational results from April 8, 2016 to December 31, 2016 and for full years 2017 through 2020.</w:t>
      </w:r>
    </w:p>
    <w:p>
      <w:pPr>
        <w:spacing w:after="0" w:line="217" w:lineRule="exact"/>
        <w:rPr>
          <w:rFonts w:ascii="Arial" w:cs="Arial" w:eastAsia="Arial" w:hAnsi="Arial"/>
          <w:sz w:val="18"/>
          <w:szCs w:val="18"/>
          <w:color w:val="auto"/>
        </w:rPr>
      </w:pPr>
    </w:p>
    <w:p>
      <w:pPr>
        <w:ind w:left="660" w:right="2340" w:hanging="652"/>
        <w:spacing w:after="0" w:line="235"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period 2016 through 2020, we recorded restructuring charges related to organizational changes and cost reduction initiatives.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included under Item 8 of this Form 10-K, which is incorporated herein.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207"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7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w:t>
      </w:r>
    </w:p>
    <w:p>
      <w:pPr>
        <w:sectPr>
          <w:pgSz w:w="11900" w:h="16838" w:orient="portrait"/>
          <w:cols w:equalWidth="0" w:num="1">
            <w:col w:w="11160"/>
          </w:cols>
          <w:pgMar w:left="320" w:top="301" w:right="419" w:bottom="1076"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076"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16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11 percent of the Company’s consolidated Net sales in 2020. The LEAP engine is used on the Airbus A320neo and Boeing 737 MAX family of jets.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Pr>
          <w:p>
            <w:pPr>
              <w:spacing w:after="0"/>
              <w:rPr>
                <w:sz w:val="16"/>
                <w:szCs w:val="16"/>
                <w:color w:val="auto"/>
              </w:rPr>
            </w:pPr>
          </w:p>
        </w:tc>
      </w:tr>
      <w:tr>
        <w:trPr>
          <w:trHeight w:val="201"/>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64"/>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6"/>
              <w:spacing w:after="0"/>
              <w:rPr>
                <w:sz w:val="20"/>
                <w:szCs w:val="20"/>
                <w:color w:val="auto"/>
              </w:rPr>
            </w:pPr>
            <w:r>
              <w:rPr>
                <w:rFonts w:ascii="Arial" w:cs="Arial" w:eastAsia="Arial" w:hAnsi="Arial"/>
                <w:sz w:val="18"/>
                <w:szCs w:val="18"/>
                <w:b w:val="1"/>
                <w:bCs w:val="1"/>
                <w:color w:val="auto"/>
              </w:rPr>
              <w:t>572,955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601,254</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611,858</w:t>
            </w:r>
          </w:p>
        </w:tc>
      </w:tr>
      <w:tr>
        <w:trPr>
          <w:trHeight w:val="27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327,655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452,878</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370,621</w:t>
            </w: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900,610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1,054,132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982,479</w:t>
            </w: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-14.6 %</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74" w:lineRule="exact"/>
        <w:rPr>
          <w:sz w:val="20"/>
          <w:szCs w:val="20"/>
          <w:color w:val="auto"/>
        </w:rPr>
      </w:pPr>
    </w:p>
    <w:p>
      <w:pPr>
        <w:ind w:left="740" w:right="240" w:hanging="327"/>
        <w:spacing w:after="0" w:line="220" w:lineRule="auto"/>
        <w:tabs>
          <w:tab w:leader="none" w:pos="727" w:val="left"/>
        </w:tabs>
        <w:numPr>
          <w:ilvl w:val="0"/>
          <w:numId w:val="9"/>
        </w:numPr>
        <w:rPr>
          <w:rFonts w:ascii="Arial" w:cs="Arial" w:eastAsia="Arial" w:hAnsi="Arial"/>
          <w:sz w:val="23"/>
          <w:szCs w:val="23"/>
          <w:b w:val="1"/>
          <w:bCs w:val="1"/>
          <w:color w:val="auto"/>
        </w:rPr>
      </w:pPr>
      <w:r>
        <w:rPr>
          <w:rFonts w:ascii="Arial" w:cs="Arial" w:eastAsia="Arial" w:hAnsi="Arial"/>
          <w:sz w:val="18"/>
          <w:szCs w:val="18"/>
          <w:color w:val="auto"/>
        </w:rPr>
        <w:t>Changes in currency translation rates had the effect of increasing 2020 Net sales by $2.9 million (0.3% of Net sales) compared to 2019. That currency translation effect was principally due to the stronger euro in 2020, as compared to 2019.</w:t>
      </w:r>
    </w:p>
    <w:p>
      <w:pPr>
        <w:spacing w:after="0" w:line="181" w:lineRule="exact"/>
        <w:rPr>
          <w:rFonts w:ascii="Arial" w:cs="Arial" w:eastAsia="Arial" w:hAnsi="Arial"/>
          <w:sz w:val="23"/>
          <w:szCs w:val="23"/>
          <w:b w:val="1"/>
          <w:bCs w:val="1"/>
          <w:color w:val="auto"/>
        </w:rPr>
      </w:pPr>
    </w:p>
    <w:p>
      <w:pPr>
        <w:ind w:left="720" w:hanging="307"/>
        <w:spacing w:after="0"/>
        <w:tabs>
          <w:tab w:leader="none" w:pos="720" w:val="left"/>
        </w:tabs>
        <w:numPr>
          <w:ilvl w:val="0"/>
          <w:numId w:val="9"/>
        </w:numPr>
        <w:rPr>
          <w:rFonts w:ascii="Arial" w:cs="Arial" w:eastAsia="Arial" w:hAnsi="Arial"/>
          <w:sz w:val="23"/>
          <w:szCs w:val="23"/>
          <w:b w:val="1"/>
          <w:bCs w:val="1"/>
          <w:color w:val="auto"/>
        </w:rPr>
      </w:pPr>
      <w:r>
        <w:rPr>
          <w:rFonts w:ascii="Arial" w:cs="Arial" w:eastAsia="Arial" w:hAnsi="Arial"/>
          <w:sz w:val="18"/>
          <w:szCs w:val="18"/>
          <w:color w:val="auto"/>
        </w:rPr>
        <w:t>Excluding the effect of changes in currency translation rates:</w:t>
      </w:r>
    </w:p>
    <w:p>
      <w:pPr>
        <w:spacing w:after="0" w:line="181" w:lineRule="exact"/>
        <w:rPr>
          <w:rFonts w:ascii="Arial" w:cs="Arial" w:eastAsia="Arial" w:hAnsi="Arial"/>
          <w:sz w:val="23"/>
          <w:szCs w:val="23"/>
          <w:b w:val="1"/>
          <w:bCs w:val="1"/>
          <w:color w:val="auto"/>
        </w:rPr>
      </w:pPr>
    </w:p>
    <w:p>
      <w:pPr>
        <w:ind w:left="1040" w:hanging="303"/>
        <w:spacing w:after="0"/>
        <w:tabs>
          <w:tab w:leader="none" w:pos="1040" w:val="left"/>
        </w:tabs>
        <w:numPr>
          <w:ilvl w:val="1"/>
          <w:numId w:val="9"/>
        </w:numPr>
        <w:rPr>
          <w:rFonts w:ascii="Arial" w:cs="Arial" w:eastAsia="Arial" w:hAnsi="Arial"/>
          <w:sz w:val="23"/>
          <w:szCs w:val="23"/>
          <w:b w:val="1"/>
          <w:bCs w:val="1"/>
          <w:color w:val="auto"/>
        </w:rPr>
      </w:pPr>
      <w:r>
        <w:rPr>
          <w:rFonts w:ascii="Arial" w:cs="Arial" w:eastAsia="Arial" w:hAnsi="Arial"/>
          <w:sz w:val="18"/>
          <w:szCs w:val="18"/>
          <w:color w:val="auto"/>
        </w:rPr>
        <w:t>Consolidated Net sales decreased 14.8%.</w:t>
      </w:r>
    </w:p>
    <w:p>
      <w:pPr>
        <w:spacing w:after="0" w:line="194" w:lineRule="exact"/>
        <w:rPr>
          <w:rFonts w:ascii="Arial" w:cs="Arial" w:eastAsia="Arial" w:hAnsi="Arial"/>
          <w:sz w:val="23"/>
          <w:szCs w:val="23"/>
          <w:b w:val="1"/>
          <w:bCs w:val="1"/>
          <w:color w:val="auto"/>
        </w:rPr>
      </w:pPr>
    </w:p>
    <w:p>
      <w:pPr>
        <w:ind w:left="1040" w:hanging="303"/>
        <w:spacing w:after="0"/>
        <w:tabs>
          <w:tab w:leader="none" w:pos="1040" w:val="left"/>
        </w:tabs>
        <w:numPr>
          <w:ilvl w:val="1"/>
          <w:numId w:val="9"/>
        </w:numPr>
        <w:rPr>
          <w:rFonts w:ascii="Arial" w:cs="Arial" w:eastAsia="Arial" w:hAnsi="Arial"/>
          <w:sz w:val="23"/>
          <w:szCs w:val="23"/>
          <w:b w:val="1"/>
          <w:bCs w:val="1"/>
          <w:color w:val="auto"/>
        </w:rPr>
      </w:pPr>
      <w:r>
        <w:rPr>
          <w:rFonts w:ascii="Arial" w:cs="Arial" w:eastAsia="Arial" w:hAnsi="Arial"/>
          <w:sz w:val="18"/>
          <w:szCs w:val="18"/>
          <w:color w:val="auto"/>
        </w:rPr>
        <w:t>Net sales in MC decreased 5.1% compared to 2019, principally due to decreases in sales for publication grades.</w:t>
      </w:r>
    </w:p>
    <w:p>
      <w:pPr>
        <w:spacing w:after="0" w:line="181" w:lineRule="exact"/>
        <w:rPr>
          <w:rFonts w:ascii="Arial" w:cs="Arial" w:eastAsia="Arial" w:hAnsi="Arial"/>
          <w:sz w:val="23"/>
          <w:szCs w:val="23"/>
          <w:b w:val="1"/>
          <w:bCs w:val="1"/>
          <w:color w:val="auto"/>
        </w:rPr>
      </w:pPr>
    </w:p>
    <w:p>
      <w:pPr>
        <w:ind w:left="1040" w:hanging="303"/>
        <w:spacing w:after="0"/>
        <w:tabs>
          <w:tab w:leader="none" w:pos="1040" w:val="left"/>
        </w:tabs>
        <w:numPr>
          <w:ilvl w:val="1"/>
          <w:numId w:val="9"/>
        </w:numPr>
        <w:rPr>
          <w:rFonts w:ascii="Arial" w:cs="Arial" w:eastAsia="Arial" w:hAnsi="Arial"/>
          <w:sz w:val="23"/>
          <w:szCs w:val="23"/>
          <w:b w:val="1"/>
          <w:bCs w:val="1"/>
          <w:color w:val="auto"/>
        </w:rPr>
      </w:pPr>
      <w:r>
        <w:rPr>
          <w:rFonts w:ascii="Arial" w:cs="Arial" w:eastAsia="Arial" w:hAnsi="Arial"/>
          <w:sz w:val="18"/>
          <w:szCs w:val="18"/>
          <w:color w:val="auto"/>
        </w:rPr>
        <w:t>Net sales in AEC decreased 27.8%, principally due to declines in sales for the LEAP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74" w:lineRule="exact"/>
        <w:rPr>
          <w:sz w:val="20"/>
          <w:szCs w:val="20"/>
          <w:color w:val="auto"/>
        </w:rPr>
      </w:pPr>
    </w:p>
    <w:p>
      <w:pPr>
        <w:jc w:val="both"/>
        <w:ind w:left="740" w:right="80" w:hanging="327"/>
        <w:spacing w:after="0" w:line="231" w:lineRule="auto"/>
        <w:tabs>
          <w:tab w:leader="none" w:pos="727" w:val="left"/>
        </w:tabs>
        <w:numPr>
          <w:ilvl w:val="0"/>
          <w:numId w:val="10"/>
        </w:numPr>
        <w:rPr>
          <w:rFonts w:ascii="Arial" w:cs="Arial" w:eastAsia="Arial" w:hAnsi="Arial"/>
          <w:sz w:val="22"/>
          <w:szCs w:val="22"/>
          <w:b w:val="1"/>
          <w:bCs w:val="1"/>
          <w:color w:val="auto"/>
        </w:rPr>
      </w:pPr>
      <w:r>
        <w:rPr>
          <w:rFonts w:ascii="Arial" w:cs="Arial" w:eastAsia="Arial" w:hAnsi="Arial"/>
          <w:sz w:val="17"/>
          <w:szCs w:val="17"/>
          <w:color w:val="auto"/>
        </w:rPr>
        <w:t>Changes in currency translation rates had the effect of decreasing 2019 Net sales by $14.8 million (1.4% of Net sales) compared to 2018. That currency translation effect was principally due to the weaker euro and Chinese renminbi in 2019, as compared to 2018.</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hanging="307"/>
        <w:spacing w:after="0"/>
        <w:tabs>
          <w:tab w:leader="none" w:pos="720" w:val="left"/>
        </w:tabs>
        <w:numPr>
          <w:ilvl w:val="0"/>
          <w:numId w:val="11"/>
        </w:numPr>
        <w:rPr>
          <w:rFonts w:ascii="Arial" w:cs="Arial" w:eastAsia="Arial" w:hAnsi="Arial"/>
          <w:sz w:val="23"/>
          <w:szCs w:val="23"/>
          <w:b w:val="1"/>
          <w:bCs w:val="1"/>
          <w:color w:val="auto"/>
        </w:rPr>
      </w:pPr>
      <w:r>
        <w:rPr>
          <w:rFonts w:ascii="Arial" w:cs="Arial" w:eastAsia="Arial" w:hAnsi="Arial"/>
          <w:sz w:val="18"/>
          <w:szCs w:val="18"/>
          <w:color w:val="auto"/>
        </w:rPr>
        <w:t>Excluding the effect of changes in currency translation rates:</w:t>
      </w:r>
    </w:p>
    <w:p>
      <w:pPr>
        <w:spacing w:after="0" w:line="181" w:lineRule="exact"/>
        <w:rPr>
          <w:rFonts w:ascii="Arial" w:cs="Arial" w:eastAsia="Arial" w:hAnsi="Arial"/>
          <w:sz w:val="23"/>
          <w:szCs w:val="23"/>
          <w:b w:val="1"/>
          <w:bCs w:val="1"/>
          <w:color w:val="auto"/>
        </w:rPr>
      </w:pPr>
    </w:p>
    <w:p>
      <w:pPr>
        <w:ind w:left="1040" w:hanging="303"/>
        <w:spacing w:after="0"/>
        <w:tabs>
          <w:tab w:leader="none" w:pos="1040" w:val="left"/>
        </w:tabs>
        <w:numPr>
          <w:ilvl w:val="1"/>
          <w:numId w:val="11"/>
        </w:numPr>
        <w:rPr>
          <w:rFonts w:ascii="Arial" w:cs="Arial" w:eastAsia="Arial" w:hAnsi="Arial"/>
          <w:sz w:val="23"/>
          <w:szCs w:val="23"/>
          <w:b w:val="1"/>
          <w:bCs w:val="1"/>
          <w:color w:val="auto"/>
        </w:rPr>
      </w:pPr>
      <w:r>
        <w:rPr>
          <w:rFonts w:ascii="Arial" w:cs="Arial" w:eastAsia="Arial" w:hAnsi="Arial"/>
          <w:sz w:val="18"/>
          <w:szCs w:val="18"/>
          <w:color w:val="auto"/>
        </w:rPr>
        <w:t>Consolidated Net sales increased 8.8%.</w:t>
      </w:r>
    </w:p>
    <w:p>
      <w:pPr>
        <w:spacing w:after="0" w:line="228" w:lineRule="exact"/>
        <w:rPr>
          <w:rFonts w:ascii="Arial" w:cs="Arial" w:eastAsia="Arial" w:hAnsi="Arial"/>
          <w:sz w:val="23"/>
          <w:szCs w:val="23"/>
          <w:b w:val="1"/>
          <w:bCs w:val="1"/>
          <w:color w:val="auto"/>
        </w:rPr>
      </w:pPr>
    </w:p>
    <w:p>
      <w:pPr>
        <w:ind w:left="1060" w:right="80" w:hanging="323"/>
        <w:spacing w:after="0" w:line="220" w:lineRule="auto"/>
        <w:tabs>
          <w:tab w:leader="none" w:pos="1047" w:val="left"/>
        </w:tabs>
        <w:numPr>
          <w:ilvl w:val="1"/>
          <w:numId w:val="11"/>
        </w:numPr>
        <w:rPr>
          <w:rFonts w:ascii="Arial" w:cs="Arial" w:eastAsia="Arial" w:hAnsi="Arial"/>
          <w:sz w:val="23"/>
          <w:szCs w:val="23"/>
          <w:b w:val="1"/>
          <w:bCs w:val="1"/>
          <w:color w:val="auto"/>
        </w:rPr>
      </w:pPr>
      <w:r>
        <w:rPr>
          <w:rFonts w:ascii="Arial" w:cs="Arial" w:eastAsia="Arial" w:hAnsi="Arial"/>
          <w:sz w:val="18"/>
          <w:szCs w:val="18"/>
          <w:color w:val="auto"/>
        </w:rPr>
        <w:t>Net sales in MC were flat compared to 2018, as increases in sales for tissue and packaging grades were offset by decreases in sales for publication grades.</w:t>
      </w:r>
    </w:p>
    <w:p>
      <w:pPr>
        <w:spacing w:after="0" w:line="195" w:lineRule="exact"/>
        <w:rPr>
          <w:rFonts w:ascii="Arial" w:cs="Arial" w:eastAsia="Arial" w:hAnsi="Arial"/>
          <w:sz w:val="23"/>
          <w:szCs w:val="23"/>
          <w:b w:val="1"/>
          <w:bCs w:val="1"/>
          <w:color w:val="auto"/>
        </w:rPr>
      </w:pPr>
    </w:p>
    <w:p>
      <w:pPr>
        <w:ind w:left="1040" w:hanging="303"/>
        <w:spacing w:after="0"/>
        <w:tabs>
          <w:tab w:leader="none" w:pos="1040" w:val="left"/>
        </w:tabs>
        <w:numPr>
          <w:ilvl w:val="1"/>
          <w:numId w:val="11"/>
        </w:numPr>
        <w:rPr>
          <w:rFonts w:ascii="Arial" w:cs="Arial" w:eastAsia="Arial" w:hAnsi="Arial"/>
          <w:sz w:val="23"/>
          <w:szCs w:val="23"/>
          <w:b w:val="1"/>
          <w:bCs w:val="1"/>
          <w:color w:val="auto"/>
        </w:rPr>
      </w:pPr>
      <w:r>
        <w:rPr>
          <w:rFonts w:ascii="Arial" w:cs="Arial" w:eastAsia="Arial" w:hAnsi="Arial"/>
          <w:sz w:val="18"/>
          <w:szCs w:val="18"/>
          <w:color w:val="auto"/>
        </w:rPr>
        <w:t>Net sales in AEC increased 23.4%, driven by growth in the LEAP, F-35, CH-53K and Boeing 787 programs.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301" w:lineRule="exact"/>
        <w:rPr>
          <w:sz w:val="20"/>
          <w:szCs w:val="20"/>
          <w:color w:val="auto"/>
        </w:rPr>
      </w:pPr>
    </w:p>
    <w:p>
      <w:pPr>
        <w:ind w:right="100" w:firstLine="405"/>
        <w:spacing w:after="0" w:line="238" w:lineRule="auto"/>
        <w:rPr>
          <w:sz w:val="20"/>
          <w:szCs w:val="20"/>
          <w:color w:val="auto"/>
        </w:rPr>
      </w:pPr>
      <w:r>
        <w:rPr>
          <w:rFonts w:ascii="Arial" w:cs="Arial" w:eastAsia="Arial" w:hAnsi="Arial"/>
          <w:sz w:val="18"/>
          <w:szCs w:val="18"/>
          <w:color w:val="auto"/>
        </w:rPr>
        <w:t>Backlog in the MC segment was $190 million at December 31, 2020, compared to $166 million at December 31, 2019. Backlog in the AEC segment decreased to $242 million at December 31, 2020, compared to $288 million at December 31, 2019. The decrease in AEC’s backlog was due to the longer-than-expected delays in the Boeing 737 MAX return to service, and effects of the COVID-19 pandemic on the aerospace industry. All of the backlog in MC and substantially all of the AEC backlog is expected to be invoiced during the next 12 months.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(in thousands, except percentages)</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301,144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309,641</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297,416</w:t>
            </w:r>
          </w:p>
        </w:tc>
        <w:tc>
          <w:tcPr>
            <w:tcW w:w="0" w:type="dxa"/>
            <w:vAlign w:val="bottom"/>
          </w:tcPr>
          <w:p>
            <w:pPr>
              <w:spacing w:after="0"/>
              <w:rPr>
                <w:sz w:val="1"/>
                <w:szCs w:val="1"/>
                <w:color w:val="auto"/>
              </w:rPr>
            </w:pP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69,928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88,060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52,550</w:t>
            </w:r>
          </w:p>
        </w:tc>
        <w:tc>
          <w:tcPr>
            <w:tcW w:w="0" w:type="dxa"/>
            <w:vAlign w:val="bottom"/>
          </w:tcPr>
          <w:p>
            <w:pPr>
              <w:spacing w:after="0"/>
              <w:rPr>
                <w:sz w:val="1"/>
                <w:szCs w:val="1"/>
                <w:color w:val="auto"/>
              </w:rPr>
            </w:pP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3"/>
                <w:szCs w:val="2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371,072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397,701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349,749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20"/>
              <w:spacing w:after="0"/>
              <w:rPr>
                <w:sz w:val="20"/>
                <w:szCs w:val="20"/>
                <w:color w:val="auto"/>
              </w:rPr>
            </w:pPr>
            <w:r>
              <w:rPr>
                <w:rFonts w:ascii="Arial" w:cs="Arial" w:eastAsia="Arial" w:hAnsi="Arial"/>
                <w:sz w:val="18"/>
                <w:szCs w:val="18"/>
                <w:color w:val="auto"/>
              </w:rPr>
              <w:t>% of Net Sales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41.2 %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The decrease in 2020 Gross profit, as compared to 2019, was principally due to, in both segments, the effect of lower sales, partially offset by an increase in gross profit as a percentage of sales. Gross profit as a percentage of sales:</w:t>
      </w:r>
    </w:p>
    <w:p>
      <w:pPr>
        <w:spacing w:after="0" w:line="211" w:lineRule="exact"/>
        <w:rPr>
          <w:sz w:val="20"/>
          <w:szCs w:val="20"/>
          <w:color w:val="auto"/>
        </w:rPr>
      </w:pPr>
    </w:p>
    <w:p>
      <w:pPr>
        <w:ind w:left="740" w:right="220" w:hanging="327"/>
        <w:spacing w:after="0" w:line="220" w:lineRule="auto"/>
        <w:tabs>
          <w:tab w:leader="none" w:pos="727" w:val="left"/>
        </w:tabs>
        <w:numPr>
          <w:ilvl w:val="0"/>
          <w:numId w:val="12"/>
        </w:numPr>
        <w:rPr>
          <w:rFonts w:ascii="Arial" w:cs="Arial" w:eastAsia="Arial" w:hAnsi="Arial"/>
          <w:sz w:val="23"/>
          <w:szCs w:val="23"/>
          <w:b w:val="1"/>
          <w:bCs w:val="1"/>
          <w:color w:val="auto"/>
        </w:rPr>
      </w:pPr>
      <w:r>
        <w:rPr>
          <w:rFonts w:ascii="Arial" w:cs="Arial" w:eastAsia="Arial" w:hAnsi="Arial"/>
          <w:sz w:val="18"/>
          <w:szCs w:val="18"/>
          <w:color w:val="auto"/>
        </w:rPr>
        <w:t>Increased from 51.5% in 2019 to 52.6% in 2020 in Machine Clothing, principally due to favorable foreign currency exchange rates (Brazilian real and Mexican peso), increased efficiencies, and product mix.</w:t>
      </w:r>
    </w:p>
    <w:p>
      <w:pPr>
        <w:spacing w:after="0" w:line="229" w:lineRule="exact"/>
        <w:rPr>
          <w:rFonts w:ascii="Arial" w:cs="Arial" w:eastAsia="Arial" w:hAnsi="Arial"/>
          <w:sz w:val="23"/>
          <w:szCs w:val="23"/>
          <w:b w:val="1"/>
          <w:bCs w:val="1"/>
          <w:color w:val="auto"/>
        </w:rPr>
      </w:pPr>
    </w:p>
    <w:p>
      <w:pPr>
        <w:ind w:left="740" w:right="180" w:hanging="327"/>
        <w:spacing w:after="0" w:line="220" w:lineRule="auto"/>
        <w:tabs>
          <w:tab w:leader="none" w:pos="727" w:val="left"/>
        </w:tabs>
        <w:numPr>
          <w:ilvl w:val="0"/>
          <w:numId w:val="12"/>
        </w:numPr>
        <w:rPr>
          <w:rFonts w:ascii="Arial" w:cs="Arial" w:eastAsia="Arial" w:hAnsi="Arial"/>
          <w:sz w:val="23"/>
          <w:szCs w:val="23"/>
          <w:b w:val="1"/>
          <w:bCs w:val="1"/>
          <w:color w:val="auto"/>
        </w:rPr>
      </w:pPr>
      <w:r>
        <w:rPr>
          <w:rFonts w:ascii="Arial" w:cs="Arial" w:eastAsia="Arial" w:hAnsi="Arial"/>
          <w:sz w:val="18"/>
          <w:szCs w:val="18"/>
          <w:color w:val="auto"/>
        </w:rPr>
        <w:t>Increased from 19.4% in 2019 to 21.3% in 2020 in AEC, principally due to a favorable shift in the mix of program revenue, partially offset by a slightly lower net favorable change in the estimated profitability of long-term contracts.</w:t>
      </w:r>
    </w:p>
    <w:p>
      <w:pPr>
        <w:spacing w:after="0" w:line="189"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The increase in 2019 Gross profit, as compared to 2018, was principally due to the net effect of the following individually significant items:</w:t>
      </w:r>
    </w:p>
    <w:p>
      <w:pPr>
        <w:spacing w:after="0" w:line="211" w:lineRule="exact"/>
        <w:rPr>
          <w:sz w:val="20"/>
          <w:szCs w:val="20"/>
          <w:color w:val="auto"/>
        </w:rPr>
      </w:pPr>
    </w:p>
    <w:p>
      <w:pPr>
        <w:ind w:left="740" w:right="520" w:hanging="327"/>
        <w:spacing w:after="0" w:line="229" w:lineRule="auto"/>
        <w:tabs>
          <w:tab w:leader="none" w:pos="727" w:val="left"/>
        </w:tabs>
        <w:numPr>
          <w:ilvl w:val="0"/>
          <w:numId w:val="13"/>
        </w:numPr>
        <w:rPr>
          <w:rFonts w:ascii="Arial" w:cs="Arial" w:eastAsia="Arial" w:hAnsi="Arial"/>
          <w:sz w:val="23"/>
          <w:szCs w:val="23"/>
          <w:b w:val="1"/>
          <w:bCs w:val="1"/>
          <w:color w:val="auto"/>
        </w:rPr>
      </w:pPr>
      <w:r>
        <w:rPr>
          <w:rFonts w:ascii="Arial" w:cs="Arial" w:eastAsia="Arial" w:hAnsi="Arial"/>
          <w:sz w:val="18"/>
          <w:szCs w:val="18"/>
          <w:color w:val="auto"/>
        </w:rPr>
        <w:t>Increased from 48.6% in 2018 to 51.5% in 2019 in Machine Clothing, principally due to a $9.0 million reduction in depreciation expense that resulted principally from significant investments made approximately ten years ago that have become fully depreciated.</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40" w:right="120" w:hanging="327"/>
        <w:spacing w:after="0" w:line="229" w:lineRule="auto"/>
        <w:tabs>
          <w:tab w:leader="none" w:pos="727" w:val="left"/>
        </w:tabs>
        <w:numPr>
          <w:ilvl w:val="0"/>
          <w:numId w:val="14"/>
        </w:numPr>
        <w:rPr>
          <w:rFonts w:ascii="Arial" w:cs="Arial" w:eastAsia="Arial" w:hAnsi="Arial"/>
          <w:sz w:val="23"/>
          <w:szCs w:val="23"/>
          <w:b w:val="1"/>
          <w:bCs w:val="1"/>
          <w:color w:val="auto"/>
        </w:rPr>
      </w:pPr>
      <w:r>
        <w:rPr>
          <w:rFonts w:ascii="Arial" w:cs="Arial" w:eastAsia="Arial" w:hAnsi="Arial"/>
          <w:sz w:val="18"/>
          <w:szCs w:val="18"/>
          <w:color w:val="auto"/>
        </w:rPr>
        <w:t>Increased from 14.2% in 2018 to 19.4% in 2019 in AEC, principally due to Net sales increase impacting Gross profit by $12 million, and increased net favorable change in the estimated profitability of long-term contracts of $10.8 million in 2019, compared to a decrease of $2.0 million in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0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product engineering and research 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5"/>
              <w:spacing w:after="0"/>
              <w:rPr>
                <w:sz w:val="20"/>
                <w:szCs w:val="20"/>
                <w:color w:val="auto"/>
              </w:rPr>
            </w:pPr>
            <w:r>
              <w:rPr>
                <w:rFonts w:ascii="Arial" w:cs="Arial" w:eastAsia="Arial" w:hAnsi="Arial"/>
                <w:sz w:val="18"/>
                <w:szCs w:val="18"/>
                <w:b w:val="1"/>
                <w:bCs w:val="1"/>
                <w:color w:val="auto"/>
              </w:rPr>
              <w:t>107,594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116,546</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115,305</w:t>
            </w:r>
          </w:p>
        </w:tc>
        <w:tc>
          <w:tcPr>
            <w:tcW w:w="0" w:type="dxa"/>
            <w:vAlign w:val="bottom"/>
          </w:tcPr>
          <w:p>
            <w:pPr>
              <w:spacing w:after="0"/>
              <w:rPr>
                <w:sz w:val="1"/>
                <w:szCs w:val="1"/>
                <w:color w:val="auto"/>
              </w:rPr>
            </w:pPr>
          </w:p>
        </w:tc>
      </w:tr>
      <w:tr>
        <w:trPr>
          <w:trHeight w:val="27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60" w:type="dxa"/>
            <w:vAlign w:val="bottom"/>
          </w:tcPr>
          <w:p>
            <w:pPr>
              <w:spacing w:after="0"/>
              <w:rPr>
                <w:sz w:val="23"/>
                <w:szCs w:val="23"/>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b w:val="1"/>
                <w:bCs w:val="1"/>
                <w:color w:val="auto"/>
              </w:rPr>
              <w:t>35,571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30,707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27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56,091</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53,967</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48,611</w:t>
            </w:r>
          </w:p>
        </w:tc>
        <w:tc>
          <w:tcPr>
            <w:tcW w:w="0" w:type="dxa"/>
            <w:vAlign w:val="bottom"/>
          </w:tcPr>
          <w:p>
            <w:pPr>
              <w:spacing w:after="0"/>
              <w:rPr>
                <w:sz w:val="1"/>
                <w:szCs w:val="1"/>
                <w:color w:val="auto"/>
              </w:rPr>
            </w:pPr>
          </w:p>
        </w:tc>
      </w:tr>
      <w:tr>
        <w:trPr>
          <w:trHeight w:val="22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199,256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201,220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196,771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20"/>
              <w:spacing w:after="0"/>
              <w:rPr>
                <w:sz w:val="20"/>
                <w:szCs w:val="20"/>
                <w:color w:val="auto"/>
              </w:rPr>
            </w:pPr>
            <w:r>
              <w:rPr>
                <w:rFonts w:ascii="Arial" w:cs="Arial" w:eastAsia="Arial" w:hAnsi="Arial"/>
                <w:sz w:val="18"/>
                <w:szCs w:val="18"/>
                <w:color w:val="auto"/>
              </w:rPr>
              <w:t>% of Net Sales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2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22.1 %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STG&amp;R expenses in 2020 compared to 2019, was principally due to the following individually significant items:</w:t>
      </w:r>
    </w:p>
    <w:p>
      <w:pPr>
        <w:spacing w:after="0" w:line="191" w:lineRule="exact"/>
        <w:rPr>
          <w:sz w:val="20"/>
          <w:szCs w:val="20"/>
          <w:color w:val="auto"/>
        </w:rPr>
      </w:pPr>
    </w:p>
    <w:p>
      <w:pPr>
        <w:ind w:left="720" w:hanging="307"/>
        <w:spacing w:after="0"/>
        <w:tabs>
          <w:tab w:leader="none" w:pos="720" w:val="left"/>
        </w:tabs>
        <w:numPr>
          <w:ilvl w:val="0"/>
          <w:numId w:val="15"/>
        </w:numPr>
        <w:rPr>
          <w:rFonts w:ascii="Arial" w:cs="Arial" w:eastAsia="Arial" w:hAnsi="Arial"/>
          <w:sz w:val="23"/>
          <w:szCs w:val="23"/>
          <w:b w:val="1"/>
          <w:bCs w:val="1"/>
          <w:color w:val="auto"/>
        </w:rPr>
      </w:pPr>
      <w:r>
        <w:rPr>
          <w:rFonts w:ascii="Arial" w:cs="Arial" w:eastAsia="Arial" w:hAnsi="Arial"/>
          <w:sz w:val="18"/>
          <w:szCs w:val="18"/>
          <w:color w:val="auto"/>
        </w:rPr>
        <w:t>In MC, the following items impacted STG&amp;R expenses:</w:t>
      </w:r>
    </w:p>
    <w:p>
      <w:pPr>
        <w:spacing w:after="0" w:line="181" w:lineRule="exact"/>
        <w:rPr>
          <w:rFonts w:ascii="Arial" w:cs="Arial" w:eastAsia="Arial" w:hAnsi="Arial"/>
          <w:sz w:val="23"/>
          <w:szCs w:val="23"/>
          <w:b w:val="1"/>
          <w:bCs w:val="1"/>
          <w:color w:val="auto"/>
        </w:rPr>
      </w:pPr>
    </w:p>
    <w:p>
      <w:pPr>
        <w:ind w:left="1380" w:hanging="319"/>
        <w:spacing w:after="0"/>
        <w:tabs>
          <w:tab w:leader="none" w:pos="1380" w:val="left"/>
        </w:tabs>
        <w:numPr>
          <w:ilvl w:val="1"/>
          <w:numId w:val="15"/>
        </w:numPr>
        <w:rPr>
          <w:rFonts w:ascii="Arial" w:cs="Arial" w:eastAsia="Arial" w:hAnsi="Arial"/>
          <w:sz w:val="23"/>
          <w:szCs w:val="23"/>
          <w:color w:val="auto"/>
        </w:rPr>
      </w:pPr>
      <w:r>
        <w:rPr>
          <w:rFonts w:ascii="Arial" w:cs="Arial" w:eastAsia="Arial" w:hAnsi="Arial"/>
          <w:sz w:val="18"/>
          <w:szCs w:val="18"/>
          <w:color w:val="auto"/>
        </w:rPr>
        <w:t>Travel expenses were approximately $6 million lower in 2020, as a result of the COVID-19 pandemic.</w:t>
      </w:r>
    </w:p>
    <w:p>
      <w:pPr>
        <w:spacing w:after="0" w:line="242" w:lineRule="exact"/>
        <w:rPr>
          <w:rFonts w:ascii="Arial" w:cs="Arial" w:eastAsia="Arial" w:hAnsi="Arial"/>
          <w:sz w:val="23"/>
          <w:szCs w:val="23"/>
          <w:color w:val="auto"/>
        </w:rPr>
      </w:pPr>
    </w:p>
    <w:p>
      <w:pPr>
        <w:ind w:left="1380" w:right="460" w:hanging="319"/>
        <w:spacing w:after="0" w:line="220" w:lineRule="auto"/>
        <w:tabs>
          <w:tab w:leader="none" w:pos="1367" w:val="left"/>
        </w:tabs>
        <w:numPr>
          <w:ilvl w:val="1"/>
          <w:numId w:val="15"/>
        </w:numPr>
        <w:rPr>
          <w:rFonts w:ascii="Arial" w:cs="Arial" w:eastAsia="Arial" w:hAnsi="Arial"/>
          <w:sz w:val="23"/>
          <w:szCs w:val="23"/>
          <w:color w:val="auto"/>
        </w:rPr>
      </w:pPr>
      <w:r>
        <w:rPr>
          <w:rFonts w:ascii="Arial" w:cs="Arial" w:eastAsia="Arial" w:hAnsi="Arial"/>
          <w:sz w:val="18"/>
          <w:szCs w:val="18"/>
          <w:color w:val="auto"/>
        </w:rPr>
        <w:t>Revaluation of nonfunctional currency assets and liabilities resulted in losses of $1.7 million in 2020 and $0.6 million in 2019.</w:t>
      </w:r>
    </w:p>
    <w:p>
      <w:pPr>
        <w:spacing w:after="0" w:line="181" w:lineRule="exact"/>
        <w:rPr>
          <w:rFonts w:ascii="Arial" w:cs="Arial" w:eastAsia="Arial" w:hAnsi="Arial"/>
          <w:sz w:val="23"/>
          <w:szCs w:val="23"/>
          <w:color w:val="auto"/>
        </w:rPr>
      </w:pPr>
    </w:p>
    <w:p>
      <w:pPr>
        <w:ind w:left="1380" w:hanging="319"/>
        <w:spacing w:after="0"/>
        <w:tabs>
          <w:tab w:leader="none" w:pos="1380" w:val="left"/>
        </w:tabs>
        <w:numPr>
          <w:ilvl w:val="1"/>
          <w:numId w:val="15"/>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decreasing STG&amp;R by $1.3 million.</w:t>
      </w:r>
    </w:p>
    <w:p>
      <w:pPr>
        <w:spacing w:after="0" w:line="228" w:lineRule="exact"/>
        <w:rPr>
          <w:rFonts w:ascii="Arial" w:cs="Arial" w:eastAsia="Arial" w:hAnsi="Arial"/>
          <w:sz w:val="23"/>
          <w:szCs w:val="23"/>
          <w:color w:val="auto"/>
        </w:rPr>
      </w:pPr>
    </w:p>
    <w:p>
      <w:pPr>
        <w:ind w:left="1380" w:right="180" w:hanging="319"/>
        <w:spacing w:after="0" w:line="220" w:lineRule="auto"/>
        <w:tabs>
          <w:tab w:leader="none" w:pos="1367" w:val="left"/>
        </w:tabs>
        <w:numPr>
          <w:ilvl w:val="1"/>
          <w:numId w:val="15"/>
        </w:numPr>
        <w:rPr>
          <w:rFonts w:ascii="Arial" w:cs="Arial" w:eastAsia="Arial" w:hAnsi="Arial"/>
          <w:sz w:val="23"/>
          <w:szCs w:val="23"/>
          <w:color w:val="auto"/>
        </w:rPr>
      </w:pPr>
      <w:r>
        <w:rPr>
          <w:rFonts w:ascii="Arial" w:cs="Arial" w:eastAsia="Arial" w:hAnsi="Arial"/>
          <w:sz w:val="18"/>
          <w:szCs w:val="18"/>
          <w:color w:val="auto"/>
        </w:rPr>
        <w:t>The factors above were partially offset by a charge of $1.0 million in the first quarter of 2020 for additional estimated credit losses recognized in accordance with ASC 326.</w:t>
      </w:r>
    </w:p>
    <w:p>
      <w:pPr>
        <w:spacing w:after="0" w:line="242" w:lineRule="exact"/>
        <w:rPr>
          <w:rFonts w:ascii="Arial" w:cs="Arial" w:eastAsia="Arial" w:hAnsi="Arial"/>
          <w:sz w:val="23"/>
          <w:szCs w:val="23"/>
          <w:color w:val="auto"/>
        </w:rPr>
      </w:pPr>
    </w:p>
    <w:p>
      <w:pPr>
        <w:ind w:left="740" w:right="660" w:hanging="327"/>
        <w:spacing w:after="0" w:line="231" w:lineRule="auto"/>
        <w:tabs>
          <w:tab w:leader="none" w:pos="727" w:val="left"/>
        </w:tabs>
        <w:numPr>
          <w:ilvl w:val="0"/>
          <w:numId w:val="15"/>
        </w:numPr>
        <w:rPr>
          <w:rFonts w:ascii="Arial" w:cs="Arial" w:eastAsia="Arial" w:hAnsi="Arial"/>
          <w:sz w:val="22"/>
          <w:szCs w:val="22"/>
          <w:b w:val="1"/>
          <w:bCs w:val="1"/>
          <w:color w:val="auto"/>
        </w:rPr>
      </w:pPr>
      <w:r>
        <w:rPr>
          <w:rFonts w:ascii="Arial" w:cs="Arial" w:eastAsia="Arial" w:hAnsi="Arial"/>
          <w:sz w:val="17"/>
          <w:szCs w:val="17"/>
          <w:color w:val="auto"/>
        </w:rPr>
        <w:t>In AEC, STG&amp;R expenses increased $4.9 million principally due to expenses at CirComp, which the Company acquired in November 2019, and a charge of $0.5 million for additional estimated credit losses recognized in accordance with ASC 326.</w:t>
      </w:r>
    </w:p>
    <w:p>
      <w:pPr>
        <w:spacing w:after="0" w:line="229" w:lineRule="exact"/>
        <w:rPr>
          <w:rFonts w:ascii="Arial" w:cs="Arial" w:eastAsia="Arial" w:hAnsi="Arial"/>
          <w:sz w:val="22"/>
          <w:szCs w:val="22"/>
          <w:b w:val="1"/>
          <w:bCs w:val="1"/>
          <w:color w:val="auto"/>
        </w:rPr>
      </w:pPr>
    </w:p>
    <w:p>
      <w:pPr>
        <w:ind w:left="740" w:right="20" w:hanging="327"/>
        <w:spacing w:after="0" w:line="220" w:lineRule="auto"/>
        <w:tabs>
          <w:tab w:leader="none" w:pos="727" w:val="left"/>
        </w:tabs>
        <w:numPr>
          <w:ilvl w:val="0"/>
          <w:numId w:val="15"/>
        </w:numPr>
        <w:rPr>
          <w:rFonts w:ascii="Arial" w:cs="Arial" w:eastAsia="Arial" w:hAnsi="Arial"/>
          <w:sz w:val="23"/>
          <w:szCs w:val="23"/>
          <w:b w:val="1"/>
          <w:bCs w:val="1"/>
          <w:color w:val="auto"/>
        </w:rPr>
      </w:pPr>
      <w:r>
        <w:rPr>
          <w:rFonts w:ascii="Arial" w:cs="Arial" w:eastAsia="Arial" w:hAnsi="Arial"/>
          <w:sz w:val="18"/>
          <w:szCs w:val="18"/>
          <w:color w:val="auto"/>
        </w:rPr>
        <w:t>Corporate STG&amp;R expenses increased principally due to former CEO termination costs and higher incentive compensation expense partially offset by lower professional fees and travel expenses.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STG&amp;R expenses in 2019 compared to 2018, was principally due to the following individually significant items:</w:t>
      </w:r>
    </w:p>
    <w:p>
      <w:pPr>
        <w:spacing w:after="0" w:line="252" w:lineRule="exact"/>
        <w:rPr>
          <w:sz w:val="20"/>
          <w:szCs w:val="20"/>
          <w:color w:val="auto"/>
        </w:rPr>
      </w:pPr>
    </w:p>
    <w:p>
      <w:pPr>
        <w:ind w:left="740" w:right="120" w:hanging="327"/>
        <w:spacing w:after="0" w:line="220" w:lineRule="auto"/>
        <w:tabs>
          <w:tab w:leader="none" w:pos="727" w:val="left"/>
        </w:tabs>
        <w:numPr>
          <w:ilvl w:val="0"/>
          <w:numId w:val="16"/>
        </w:numPr>
        <w:rPr>
          <w:rFonts w:ascii="Arial" w:cs="Arial" w:eastAsia="Arial" w:hAnsi="Arial"/>
          <w:sz w:val="23"/>
          <w:szCs w:val="23"/>
          <w:color w:val="auto"/>
        </w:rPr>
      </w:pPr>
      <w:r>
        <w:rPr>
          <w:rFonts w:ascii="Arial" w:cs="Arial" w:eastAsia="Arial" w:hAnsi="Arial"/>
          <w:sz w:val="18"/>
          <w:szCs w:val="18"/>
          <w:color w:val="auto"/>
        </w:rPr>
        <w:t>In MC, revaluation of nonfunctional currency assets and liabilities resulted in losses of $0.6 million in 2019 and gains of $0.8 million in 2018.</w:t>
      </w:r>
    </w:p>
    <w:p>
      <w:pPr>
        <w:spacing w:after="0" w:line="229" w:lineRule="exact"/>
        <w:rPr>
          <w:rFonts w:ascii="Arial" w:cs="Arial" w:eastAsia="Arial" w:hAnsi="Arial"/>
          <w:sz w:val="23"/>
          <w:szCs w:val="23"/>
          <w:color w:val="auto"/>
        </w:rPr>
      </w:pPr>
    </w:p>
    <w:p>
      <w:pPr>
        <w:ind w:left="740" w:right="540" w:hanging="327"/>
        <w:spacing w:after="0" w:line="220" w:lineRule="auto"/>
        <w:tabs>
          <w:tab w:leader="none" w:pos="727" w:val="left"/>
        </w:tabs>
        <w:numPr>
          <w:ilvl w:val="0"/>
          <w:numId w:val="16"/>
        </w:numPr>
        <w:rPr>
          <w:rFonts w:ascii="Arial" w:cs="Arial" w:eastAsia="Arial" w:hAnsi="Arial"/>
          <w:sz w:val="23"/>
          <w:szCs w:val="23"/>
          <w:color w:val="auto"/>
        </w:rPr>
      </w:pPr>
      <w:r>
        <w:rPr>
          <w:rFonts w:ascii="Arial" w:cs="Arial" w:eastAsia="Arial" w:hAnsi="Arial"/>
          <w:sz w:val="18"/>
          <w:szCs w:val="18"/>
          <w:color w:val="auto"/>
        </w:rPr>
        <w:t>In AEC, STG&amp;R expenses decreased $2.1 million principally due to lower spending on research and development in 2019, as compared to 2018.</w:t>
      </w:r>
    </w:p>
    <w:p>
      <w:pPr>
        <w:spacing w:after="0" w:line="229" w:lineRule="exact"/>
        <w:rPr>
          <w:rFonts w:ascii="Arial" w:cs="Arial" w:eastAsia="Arial" w:hAnsi="Arial"/>
          <w:sz w:val="23"/>
          <w:szCs w:val="23"/>
          <w:color w:val="auto"/>
        </w:rPr>
      </w:pPr>
    </w:p>
    <w:p>
      <w:pPr>
        <w:ind w:left="740" w:right="560" w:hanging="327"/>
        <w:spacing w:after="0" w:line="220" w:lineRule="auto"/>
        <w:tabs>
          <w:tab w:leader="none" w:pos="727" w:val="left"/>
        </w:tabs>
        <w:numPr>
          <w:ilvl w:val="0"/>
          <w:numId w:val="16"/>
        </w:numPr>
        <w:rPr>
          <w:rFonts w:ascii="Arial" w:cs="Arial" w:eastAsia="Arial" w:hAnsi="Arial"/>
          <w:sz w:val="23"/>
          <w:szCs w:val="23"/>
          <w:color w:val="auto"/>
        </w:rPr>
      </w:pPr>
      <w:r>
        <w:rPr>
          <w:rFonts w:ascii="Arial" w:cs="Arial" w:eastAsia="Arial" w:hAnsi="Arial"/>
          <w:sz w:val="18"/>
          <w:szCs w:val="18"/>
          <w:color w:val="auto"/>
        </w:rPr>
        <w:t>Corporate STG&amp;R expenses increased principally due to costs in 2019 for terminations and professional fees associated with various initiatives.</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7"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The following table is a subset of the STG&amp;R table above and summarizes expenses associated with internally funded research and development by business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9"/>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6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15,922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16,412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17,474</w:t>
            </w:r>
          </w:p>
        </w:tc>
      </w:tr>
      <w:tr>
        <w:trPr>
          <w:trHeight w:val="27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29,752</w:t>
            </w:r>
          </w:p>
        </w:tc>
      </w:tr>
      <w:tr>
        <w:trPr>
          <w:trHeight w:val="21"/>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0"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$5.7 million in 2020, $2.9 million in 2019, and $15.6 million in 2018.</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Restructuring expense, net by business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9"/>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6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12,278</w:t>
            </w:r>
          </w:p>
        </w:tc>
      </w:tr>
      <w:tr>
        <w:trPr>
          <w:trHeight w:val="27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7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AEC reduced its workforce at various locations, principally in the United States, leading to restructuring charges of $2.8 million.</w:t>
      </w:r>
    </w:p>
    <w:p>
      <w:pPr>
        <w:spacing w:after="0" w:line="171" w:lineRule="exact"/>
        <w:rPr>
          <w:sz w:val="20"/>
          <w:szCs w:val="20"/>
          <w:color w:val="auto"/>
        </w:rPr>
      </w:pPr>
    </w:p>
    <w:p>
      <w:pPr>
        <w:ind w:right="60" w:firstLine="405"/>
        <w:spacing w:after="0" w:line="237" w:lineRule="auto"/>
        <w:rPr>
          <w:sz w:val="20"/>
          <w:szCs w:val="20"/>
          <w:color w:val="auto"/>
        </w:rPr>
      </w:pPr>
      <w:r>
        <w:rPr>
          <w:rFonts w:ascii="Arial" w:cs="Arial" w:eastAsia="Arial" w:hAnsi="Arial"/>
          <w:sz w:val="18"/>
          <w:szCs w:val="18"/>
          <w:color w:val="auto"/>
        </w:rPr>
        <w:t>In 2017, the Company announced a proposal to close its MC production facility in Sélestat, France, and the proposal was approved by the French Labor Ministry in 2018. The restructuring program was driven by the Company’s need to balance manufacturing capacity with demand. We recorded restructuring expense of $10.7 million in 2018, $0.9 million in 2019, and $1.2 million in 2020, which included severance and outplacement costs for the approximately 50 positions that were terminated under this plan. To date, we have recorded $13.9 million of restructuring charges related to these actions. Annual cost savings associated with this action principally resulted in lower Cost of goods sold in 2019 and 2020.</w:t>
      </w:r>
    </w:p>
    <w:p>
      <w:pPr>
        <w:spacing w:after="0" w:line="164" w:lineRule="exact"/>
        <w:rPr>
          <w:sz w:val="20"/>
          <w:szCs w:val="20"/>
          <w:color w:val="auto"/>
        </w:rPr>
      </w:pPr>
    </w:p>
    <w:p>
      <w:pPr>
        <w:ind w:right="180" w:firstLine="405"/>
        <w:spacing w:after="0" w:line="238" w:lineRule="auto"/>
        <w:rPr>
          <w:sz w:val="20"/>
          <w:szCs w:val="20"/>
          <w:color w:val="auto"/>
        </w:rPr>
      </w:pPr>
      <w:r>
        <w:rPr>
          <w:rFonts w:ascii="Arial" w:cs="Arial" w:eastAsia="Arial" w:hAnsi="Arial"/>
          <w:sz w:val="18"/>
          <w:szCs w:val="18"/>
          <w:color w:val="auto"/>
        </w:rPr>
        <w:t>In 2018, the Company discontinued certain manufacturing processes at its AEC facility in Salt Lake City, Utah, which resulted in $1.9 million of restructuring in 2018, which included a non-cash restructuring charge of $1.7 million, and an additional $0.2 million for severance. The non-cash restructuring charge resulted from writing down manufacturing equipment used in that line of business to its estimated value. In 2019, the Company wrote off the remaining $1.2 million book value of that equipment as the Company was unable to sell it. To date, we have recorded $3.1 million of restructuring charges related to these actions.</w:t>
      </w:r>
    </w:p>
    <w:p>
      <w:pPr>
        <w:spacing w:after="0" w:line="175"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For more information on our restructuring charges, see Note 5 of the Consolidated Financial Statements, included under Item 8 of this Form 10-K, which is incorporated herein.</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gridSpan w:val="2"/>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Machine Clothing</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190,805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191,965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169,836</w:t>
            </w:r>
          </w:p>
        </w:tc>
        <w:tc>
          <w:tcPr>
            <w:tcW w:w="0" w:type="dxa"/>
            <w:vAlign w:val="bottom"/>
          </w:tcPr>
          <w:p>
            <w:pPr>
              <w:spacing w:after="0"/>
              <w:rPr>
                <w:sz w:val="1"/>
                <w:szCs w:val="1"/>
                <w:color w:val="auto"/>
              </w:rPr>
            </w:pPr>
          </w:p>
        </w:tc>
      </w:tr>
      <w:tr>
        <w:trPr>
          <w:trHeight w:val="27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Albany Engineered Composites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31,536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7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Corporate expenses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(56,261)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(49,075)</w:t>
            </w:r>
          </w:p>
        </w:tc>
        <w:tc>
          <w:tcPr>
            <w:tcW w:w="0" w:type="dxa"/>
            <w:vAlign w:val="bottom"/>
          </w:tcPr>
          <w:p>
            <w:pPr>
              <w:spacing w:after="0"/>
              <w:rPr>
                <w:sz w:val="1"/>
                <w:szCs w:val="1"/>
                <w:color w:val="auto"/>
              </w:rPr>
            </w:pPr>
          </w:p>
        </w:tc>
      </w:tr>
      <w:tr>
        <w:trPr>
          <w:trHeight w:val="223"/>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137,408</w:t>
            </w:r>
          </w:p>
        </w:tc>
        <w:tc>
          <w:tcPr>
            <w:tcW w:w="0" w:type="dxa"/>
            <w:vAlign w:val="bottom"/>
          </w:tcPr>
          <w:p>
            <w:pPr>
              <w:spacing w:after="0"/>
              <w:rPr>
                <w:sz w:val="1"/>
                <w:szCs w:val="1"/>
                <w:color w:val="auto"/>
              </w:rPr>
            </w:pPr>
          </w:p>
        </w:tc>
      </w:tr>
      <w:tr>
        <w:trPr>
          <w:trHeight w:val="21"/>
        </w:trPr>
        <w:tc>
          <w:tcPr>
            <w:tcW w:w="6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Earnings Items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67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13,584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16,921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18,124</w:t>
            </w:r>
          </w:p>
        </w:tc>
        <w:tc>
          <w:tcPr>
            <w:tcW w:w="0" w:type="dxa"/>
            <w:vAlign w:val="bottom"/>
          </w:tcPr>
          <w:p>
            <w:pPr>
              <w:spacing w:after="0"/>
              <w:rPr>
                <w:sz w:val="1"/>
                <w:szCs w:val="1"/>
                <w:color w:val="auto"/>
              </w:rPr>
            </w:pPr>
          </w:p>
        </w:tc>
      </w:tr>
      <w:tr>
        <w:trPr>
          <w:trHeight w:val="27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Other (income)/expense, net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7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41,831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7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Net income/(loss) attributable to the noncontrolling interest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Interest expense, net, decreased $3.3 million in 2020 principally due interest income of $0.9 million related to the Brazil tax refund noted below, and also the effect of lower debt balances. Lower interest rates on debt in 2020 were partially offset by a slightly higher interest rate spread under the amended and restated Revolving Credit Facility Agreement. See “Liquidity and Capital Resources” for further discussion of borrowings and interest rates.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Other (income)/expense, net included the following individually significant items:</w:t>
      </w:r>
    </w:p>
    <w:p>
      <w:pPr>
        <w:spacing w:after="0" w:line="239" w:lineRule="exact"/>
        <w:rPr>
          <w:sz w:val="20"/>
          <w:szCs w:val="20"/>
          <w:color w:val="auto"/>
        </w:rPr>
      </w:pPr>
    </w:p>
    <w:p>
      <w:pPr>
        <w:ind w:left="740" w:right="200" w:hanging="327"/>
        <w:spacing w:after="0" w:line="229" w:lineRule="auto"/>
        <w:tabs>
          <w:tab w:leader="none" w:pos="727" w:val="left"/>
        </w:tabs>
        <w:numPr>
          <w:ilvl w:val="0"/>
          <w:numId w:val="17"/>
        </w:numPr>
        <w:rPr>
          <w:rFonts w:ascii="Arial" w:cs="Arial" w:eastAsia="Arial" w:hAnsi="Arial"/>
          <w:sz w:val="23"/>
          <w:szCs w:val="23"/>
          <w:color w:val="auto"/>
        </w:rPr>
      </w:pPr>
      <w:r>
        <w:rPr>
          <w:rFonts w:ascii="Arial" w:cs="Arial" w:eastAsia="Arial" w:hAnsi="Arial"/>
          <w:sz w:val="18"/>
          <w:szCs w:val="18"/>
          <w:color w:val="auto"/>
        </w:rPr>
        <w:t>In 2020 revaluation of foreign currency revaluations of cash and intercompany balances resulted in a loss of $13.6 million in 2020, compared to net gains of $4.5 million in 2019, and $0.1 million in 2018. The loss in 2020 principally resulted from intercompany demand loans payable by Mexican subsidiaries, combined with the effects of a weaker peso in 2020.</w:t>
      </w:r>
    </w:p>
    <w:p>
      <w:pPr>
        <w:spacing w:after="0" w:line="230" w:lineRule="exact"/>
        <w:rPr>
          <w:rFonts w:ascii="Arial" w:cs="Arial" w:eastAsia="Arial" w:hAnsi="Arial"/>
          <w:sz w:val="23"/>
          <w:szCs w:val="23"/>
          <w:color w:val="auto"/>
        </w:rPr>
      </w:pPr>
    </w:p>
    <w:p>
      <w:pPr>
        <w:ind w:left="740" w:right="340" w:hanging="327"/>
        <w:spacing w:after="0" w:line="220" w:lineRule="auto"/>
        <w:tabs>
          <w:tab w:leader="none" w:pos="727" w:val="left"/>
        </w:tabs>
        <w:numPr>
          <w:ilvl w:val="0"/>
          <w:numId w:val="17"/>
        </w:numPr>
        <w:rPr>
          <w:rFonts w:ascii="Arial" w:cs="Arial" w:eastAsia="Arial" w:hAnsi="Arial"/>
          <w:sz w:val="23"/>
          <w:szCs w:val="23"/>
          <w:color w:val="auto"/>
        </w:rPr>
      </w:pPr>
      <w:r>
        <w:rPr>
          <w:rFonts w:ascii="Arial" w:cs="Arial" w:eastAsia="Arial" w:hAnsi="Arial"/>
          <w:sz w:val="18"/>
          <w:szCs w:val="18"/>
          <w:color w:val="auto"/>
        </w:rPr>
        <w:t>In 2020, the Company successfully resolved a claim for a rebate of foreign sales tax paid in previous years, resulting in a gain of $2.6 million.</w:t>
      </w:r>
    </w:p>
    <w:p>
      <w:pPr>
        <w:spacing w:after="0" w:line="195" w:lineRule="exact"/>
        <w:rPr>
          <w:rFonts w:ascii="Arial" w:cs="Arial" w:eastAsia="Arial" w:hAnsi="Arial"/>
          <w:sz w:val="23"/>
          <w:szCs w:val="23"/>
          <w:color w:val="auto"/>
        </w:rPr>
      </w:pPr>
    </w:p>
    <w:p>
      <w:pPr>
        <w:ind w:left="720" w:hanging="307"/>
        <w:spacing w:after="0"/>
        <w:tabs>
          <w:tab w:leader="none" w:pos="720" w:val="left"/>
        </w:tabs>
        <w:numPr>
          <w:ilvl w:val="0"/>
          <w:numId w:val="17"/>
        </w:numPr>
        <w:rPr>
          <w:rFonts w:ascii="Arial" w:cs="Arial" w:eastAsia="Arial" w:hAnsi="Arial"/>
          <w:sz w:val="23"/>
          <w:szCs w:val="23"/>
          <w:color w:val="auto"/>
        </w:rPr>
      </w:pPr>
      <w:r>
        <w:rPr>
          <w:rFonts w:ascii="Arial" w:cs="Arial" w:eastAsia="Arial" w:hAnsi="Arial"/>
          <w:sz w:val="18"/>
          <w:szCs w:val="18"/>
          <w:color w:val="auto"/>
        </w:rPr>
        <w:t>In 2019, we recorded a $0.5 million charge related to the freezing of defined benefit plan accruals in the United Kingdom.</w:t>
      </w:r>
    </w:p>
    <w:p>
      <w:pPr>
        <w:spacing w:after="0" w:line="228" w:lineRule="exact"/>
        <w:rPr>
          <w:rFonts w:ascii="Arial" w:cs="Arial" w:eastAsia="Arial" w:hAnsi="Arial"/>
          <w:sz w:val="23"/>
          <w:szCs w:val="23"/>
          <w:color w:val="auto"/>
        </w:rPr>
      </w:pPr>
    </w:p>
    <w:p>
      <w:pPr>
        <w:ind w:left="740" w:right="620" w:hanging="327"/>
        <w:spacing w:after="0" w:line="220" w:lineRule="auto"/>
        <w:tabs>
          <w:tab w:leader="none" w:pos="727" w:val="left"/>
        </w:tabs>
        <w:numPr>
          <w:ilvl w:val="0"/>
          <w:numId w:val="17"/>
        </w:numPr>
        <w:rPr>
          <w:rFonts w:ascii="Arial" w:cs="Arial" w:eastAsia="Arial" w:hAnsi="Arial"/>
          <w:sz w:val="23"/>
          <w:szCs w:val="23"/>
          <w:color w:val="auto"/>
        </w:rPr>
      </w:pPr>
      <w:r>
        <w:rPr>
          <w:rFonts w:ascii="Arial" w:cs="Arial" w:eastAsia="Arial" w:hAnsi="Arial"/>
          <w:sz w:val="18"/>
          <w:szCs w:val="18"/>
          <w:color w:val="auto"/>
        </w:rPr>
        <w:t>In 2018, we recorded a $2.2 million charge related to the settlement of a portion of our non-U.S. defined benefit pension plan liabilities and a curtailment gain of $0.7 million related to the restructuring in Sélestat, France.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in 2020.</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jurisdictional location of earnings is a significant component of our effective tax rate each year and, therefore, on our overall income tax expense.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effective tax rate for fiscal years 2020, 2019, and 2018 was 30.1%, 25.2%, and 28.0%, respectively.</w:t>
      </w:r>
    </w:p>
    <w:p>
      <w:pPr>
        <w:spacing w:after="0" w:line="185"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The tax rate is affected by recurring items, such as the income tax rate in the U.S. and in non-U.S. jurisdictions and the mix of income earned in those jurisdictions and discrete items that may occur in any given year but are not consistent from year to year.</w:t>
      </w:r>
    </w:p>
    <w:p>
      <w:pPr>
        <w:spacing w:after="0" w:line="171"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Significant items that impacted the effective tax rate in the years 2020, 2019 and 2018, included the following (percentages reflect the effect of each item as a percentage of income before income taxes):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Tax 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Amount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Tax Amount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0"/>
                <w:szCs w:val="20"/>
                <w:color w:val="auto"/>
              </w:rPr>
            </w:pPr>
            <w:r>
              <w:rPr>
                <w:rFonts w:ascii="Arial" w:cs="Arial" w:eastAsia="Arial" w:hAnsi="Arial"/>
                <w:sz w:val="14"/>
                <w:szCs w:val="14"/>
                <w:color w:val="auto"/>
              </w:rPr>
              <w:t>Continuing Operations (Excluding Discrete Items)</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39,544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28.4%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49,977</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28.0%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36,046</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404"/>
        </w:trPr>
        <w:tc>
          <w:tcPr>
            <w:tcW w:w="3780" w:type="dxa"/>
            <w:vAlign w:val="bottom"/>
          </w:tcPr>
          <w:p>
            <w:pPr>
              <w:spacing w:after="0"/>
              <w:rPr>
                <w:sz w:val="20"/>
                <w:szCs w:val="20"/>
                <w:color w:val="auto"/>
              </w:rPr>
            </w:pPr>
            <w:r>
              <w:rPr>
                <w:rFonts w:ascii="Arial" w:cs="Arial" w:eastAsia="Arial" w:hAnsi="Arial"/>
                <w:sz w:val="14"/>
                <w:szCs w:val="14"/>
                <w:color w:val="auto"/>
              </w:rPr>
              <w:t>Changes in uncertain tax positions</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(2,874)</w:t>
            </w: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(696)</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(0.5)</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Arial" w:cs="Arial" w:eastAsia="Arial" w:hAnsi="Arial"/>
                <w:sz w:val="14"/>
                <w:szCs w:val="14"/>
                <w:color w:val="auto"/>
              </w:rPr>
              <w:t>Resolution of tax audits, net</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1,981</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52"/>
        </w:trPr>
        <w:tc>
          <w:tcPr>
            <w:tcW w:w="3780" w:type="dxa"/>
            <w:vAlign w:val="bottom"/>
          </w:tcPr>
          <w:p>
            <w:pPr>
              <w:spacing w:after="0" w:line="152" w:lineRule="exact"/>
              <w:rPr>
                <w:sz w:val="20"/>
                <w:szCs w:val="20"/>
                <w:color w:val="auto"/>
              </w:rPr>
            </w:pPr>
            <w:r>
              <w:rPr>
                <w:rFonts w:ascii="Arial" w:cs="Arial" w:eastAsia="Arial" w:hAnsi="Arial"/>
                <w:sz w:val="14"/>
                <w:szCs w:val="14"/>
                <w:color w:val="auto"/>
              </w:rPr>
              <w:t>Tax effect of non-deductible foreign exchange loss on</w:t>
            </w:r>
          </w:p>
        </w:tc>
        <w:tc>
          <w:tcPr>
            <w:tcW w:w="3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3,801</w:t>
            </w:r>
          </w:p>
        </w:tc>
        <w:tc>
          <w:tcPr>
            <w:tcW w:w="10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color w:val="auto"/>
              </w:rPr>
              <w:t>intercompany loan</w:t>
            </w: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Changes in opening valuation allowance</w:t>
            </w:r>
          </w:p>
        </w:tc>
        <w:tc>
          <w:tcPr>
            <w:tcW w:w="3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(1,385)</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(4,882)</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Creation of valuation allowance</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860</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True-up of prior year estimated taxes</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(2,420)</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(1,637)</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(1,284)</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Impact of mandatory repatriation</w:t>
            </w:r>
          </w:p>
        </w:tc>
        <w:tc>
          <w:tcPr>
            <w:tcW w:w="3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(1,003)</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Tax rate change</w:t>
            </w:r>
          </w:p>
        </w:tc>
        <w:tc>
          <w:tcPr>
            <w:tcW w:w="3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2,066</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Arial" w:cs="Arial" w:eastAsia="Arial" w:hAnsi="Arial"/>
                <w:sz w:val="14"/>
                <w:szCs w:val="14"/>
                <w:color w:val="auto"/>
              </w:rPr>
              <w:t>Other tax adjustments</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20"/>
                <w:szCs w:val="20"/>
                <w:color w:val="auto"/>
              </w:rPr>
            </w:pPr>
            <w:r>
              <w:rPr>
                <w:rFonts w:ascii="Arial" w:cs="Arial" w:eastAsia="Arial" w:hAnsi="Arial"/>
                <w:sz w:val="14"/>
                <w:szCs w:val="14"/>
                <w:color w:val="auto"/>
              </w:rPr>
              <w:t>Effective Tax Rate</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41,831</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30.1%</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44,829</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25.2%</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32,228</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28.0%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more information on income tax, see Note 7 to the Consolidated Statements in item 8, which is incorporated herein by reference.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2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Machine Clothing is our primary business segment and accounted for 64 percent of our consolidated revenues during 2020.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16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various countries.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(in thousands, except percentages)</w:t>
            </w:r>
          </w:p>
        </w:tc>
        <w:tc>
          <w:tcPr>
            <w:tcW w:w="1060" w:type="dxa"/>
            <w:vAlign w:val="bottom"/>
            <w:tcBorders>
              <w:bottom w:val="single" w:sz="8" w:color="auto"/>
            </w:tcBorders>
          </w:tcPr>
          <w:p>
            <w:pPr>
              <w:spacing w:after="0"/>
              <w:rPr>
                <w:sz w:val="17"/>
                <w:szCs w:val="17"/>
                <w:color w:val="auto"/>
              </w:rPr>
            </w:pPr>
          </w:p>
        </w:tc>
      </w:tr>
      <w:tr>
        <w:trPr>
          <w:trHeight w:val="18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6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572,955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601,254</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611,858</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 change from prior year</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301,144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309,641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297,416</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 of net sales</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52.6 %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48.6 %</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STG&amp;R expenses</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107,594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116,546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115,305</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190,805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191,965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169,836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26" w:lineRule="exact"/>
        <w:rPr>
          <w:sz w:val="20"/>
          <w:szCs w:val="20"/>
          <w:color w:val="auto"/>
        </w:rPr>
      </w:pPr>
    </w:p>
    <w:p>
      <w:pPr>
        <w:ind w:left="720" w:hanging="307"/>
        <w:spacing w:after="0"/>
        <w:tabs>
          <w:tab w:leader="none" w:pos="720" w:val="left"/>
        </w:tabs>
        <w:numPr>
          <w:ilvl w:val="0"/>
          <w:numId w:val="18"/>
        </w:numPr>
        <w:rPr>
          <w:rFonts w:ascii="Arial" w:cs="Arial" w:eastAsia="Arial" w:hAnsi="Arial"/>
          <w:sz w:val="23"/>
          <w:szCs w:val="23"/>
          <w:color w:val="auto"/>
        </w:rPr>
      </w:pPr>
      <w:r>
        <w:rPr>
          <w:rFonts w:ascii="Arial" w:cs="Arial" w:eastAsia="Arial" w:hAnsi="Arial"/>
          <w:sz w:val="18"/>
          <w:szCs w:val="18"/>
          <w:color w:val="auto"/>
        </w:rPr>
        <w:t>Net sales decreased 4.7%</w:t>
      </w:r>
    </w:p>
    <w:p>
      <w:pPr>
        <w:spacing w:after="0" w:line="228" w:lineRule="exact"/>
        <w:rPr>
          <w:rFonts w:ascii="Arial" w:cs="Arial" w:eastAsia="Arial" w:hAnsi="Arial"/>
          <w:sz w:val="23"/>
          <w:szCs w:val="23"/>
          <w:color w:val="auto"/>
        </w:rPr>
      </w:pPr>
    </w:p>
    <w:p>
      <w:pPr>
        <w:ind w:left="740" w:right="500" w:hanging="327"/>
        <w:spacing w:after="0" w:line="220" w:lineRule="auto"/>
        <w:tabs>
          <w:tab w:leader="none" w:pos="727" w:val="left"/>
        </w:tabs>
        <w:numPr>
          <w:ilvl w:val="0"/>
          <w:numId w:val="18"/>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increasing 2020 sales by $2.3 million compared to 2019. That currency translation effect was principally due to the stronger euro as compared to 2019.</w:t>
      </w:r>
    </w:p>
    <w:p>
      <w:pPr>
        <w:spacing w:after="0" w:line="229" w:lineRule="exact"/>
        <w:rPr>
          <w:rFonts w:ascii="Arial" w:cs="Arial" w:eastAsia="Arial" w:hAnsi="Arial"/>
          <w:sz w:val="23"/>
          <w:szCs w:val="23"/>
          <w:color w:val="auto"/>
        </w:rPr>
      </w:pPr>
    </w:p>
    <w:p>
      <w:pPr>
        <w:ind w:left="740" w:right="80" w:hanging="327"/>
        <w:spacing w:after="0" w:line="220" w:lineRule="auto"/>
        <w:tabs>
          <w:tab w:leader="none" w:pos="727" w:val="left"/>
        </w:tabs>
        <w:numPr>
          <w:ilvl w:val="0"/>
          <w:numId w:val="18"/>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 MC decreased 5.1% compared to 2019, principally due to declines in sales for publication grades.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13" w:lineRule="exact"/>
        <w:rPr>
          <w:sz w:val="20"/>
          <w:szCs w:val="20"/>
          <w:color w:val="auto"/>
        </w:rPr>
      </w:pPr>
    </w:p>
    <w:p>
      <w:pPr>
        <w:ind w:left="720" w:hanging="307"/>
        <w:spacing w:after="0"/>
        <w:tabs>
          <w:tab w:leader="none" w:pos="720" w:val="left"/>
        </w:tabs>
        <w:numPr>
          <w:ilvl w:val="0"/>
          <w:numId w:val="19"/>
        </w:numPr>
        <w:rPr>
          <w:rFonts w:ascii="Arial" w:cs="Arial" w:eastAsia="Arial" w:hAnsi="Arial"/>
          <w:sz w:val="23"/>
          <w:szCs w:val="23"/>
          <w:color w:val="auto"/>
        </w:rPr>
      </w:pPr>
      <w:r>
        <w:rPr>
          <w:rFonts w:ascii="Arial" w:cs="Arial" w:eastAsia="Arial" w:hAnsi="Arial"/>
          <w:sz w:val="18"/>
          <w:szCs w:val="18"/>
          <w:color w:val="auto"/>
        </w:rPr>
        <w:t>Net sales decreased 1.7%</w:t>
      </w:r>
    </w:p>
    <w:p>
      <w:pPr>
        <w:spacing w:after="0" w:line="242" w:lineRule="exact"/>
        <w:rPr>
          <w:rFonts w:ascii="Arial" w:cs="Arial" w:eastAsia="Arial" w:hAnsi="Arial"/>
          <w:sz w:val="23"/>
          <w:szCs w:val="23"/>
          <w:color w:val="auto"/>
        </w:rPr>
      </w:pPr>
    </w:p>
    <w:p>
      <w:pPr>
        <w:ind w:left="740" w:right="340" w:hanging="327"/>
        <w:spacing w:after="0" w:line="220" w:lineRule="auto"/>
        <w:tabs>
          <w:tab w:leader="none" w:pos="727" w:val="left"/>
        </w:tabs>
        <w:numPr>
          <w:ilvl w:val="0"/>
          <w:numId w:val="19"/>
        </w:numPr>
        <w:rPr>
          <w:rFonts w:ascii="Arial" w:cs="Arial" w:eastAsia="Arial" w:hAnsi="Arial"/>
          <w:sz w:val="23"/>
          <w:szCs w:val="23"/>
          <w:color w:val="auto"/>
        </w:rPr>
      </w:pPr>
      <w:r>
        <w:rPr>
          <w:rFonts w:ascii="Arial" w:cs="Arial" w:eastAsia="Arial" w:hAnsi="Arial"/>
          <w:sz w:val="18"/>
          <w:szCs w:val="18"/>
          <w:color w:val="auto"/>
        </w:rPr>
        <w:t>Changes in currency translation rates had the effect of decreasing 2019 sales by $10.5 million compared to 2018. That currency translation effect was principally due to the weaker euro and Chinese renminbi in 2019, compared to 2018.</w:t>
      </w:r>
    </w:p>
    <w:p>
      <w:pPr>
        <w:spacing w:after="0" w:line="229" w:lineRule="exact"/>
        <w:rPr>
          <w:rFonts w:ascii="Arial" w:cs="Arial" w:eastAsia="Arial" w:hAnsi="Arial"/>
          <w:sz w:val="23"/>
          <w:szCs w:val="23"/>
          <w:color w:val="auto"/>
        </w:rPr>
      </w:pPr>
    </w:p>
    <w:p>
      <w:pPr>
        <w:ind w:left="740" w:right="120" w:hanging="327"/>
        <w:spacing w:after="0" w:line="220" w:lineRule="auto"/>
        <w:tabs>
          <w:tab w:leader="none" w:pos="727" w:val="left"/>
        </w:tabs>
        <w:numPr>
          <w:ilvl w:val="0"/>
          <w:numId w:val="19"/>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 MC were flat compared to 2018, as increases in sales for tissue and packaging grades were offset by decreases in sales for publication grades.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61" w:lineRule="exact"/>
        <w:rPr>
          <w:sz w:val="20"/>
          <w:szCs w:val="20"/>
          <w:color w:val="auto"/>
        </w:rPr>
      </w:pPr>
    </w:p>
    <w:p>
      <w:pPr>
        <w:ind w:left="740" w:right="280" w:hanging="327"/>
        <w:spacing w:after="0" w:line="220" w:lineRule="auto"/>
        <w:tabs>
          <w:tab w:leader="none" w:pos="727" w:val="left"/>
        </w:tabs>
        <w:numPr>
          <w:ilvl w:val="0"/>
          <w:numId w:val="20"/>
        </w:numPr>
        <w:rPr>
          <w:rFonts w:ascii="Arial" w:cs="Arial" w:eastAsia="Arial" w:hAnsi="Arial"/>
          <w:sz w:val="23"/>
          <w:szCs w:val="23"/>
          <w:b w:val="1"/>
          <w:bCs w:val="1"/>
          <w:color w:val="auto"/>
        </w:rPr>
      </w:pPr>
      <w:r>
        <w:rPr>
          <w:rFonts w:ascii="Arial" w:cs="Arial" w:eastAsia="Arial" w:hAnsi="Arial"/>
          <w:sz w:val="18"/>
          <w:szCs w:val="18"/>
          <w:color w:val="auto"/>
        </w:rPr>
        <w:t>MC Gross profit decreased principally due to lower Net sales, partially offset by favorable foreign currency movements (a weaker Brazilian real and Mexican peso).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61" w:lineRule="exact"/>
        <w:rPr>
          <w:sz w:val="20"/>
          <w:szCs w:val="20"/>
          <w:color w:val="auto"/>
        </w:rPr>
      </w:pPr>
    </w:p>
    <w:p>
      <w:pPr>
        <w:ind w:left="740" w:right="680" w:hanging="327"/>
        <w:spacing w:after="0" w:line="220" w:lineRule="auto"/>
        <w:tabs>
          <w:tab w:leader="none" w:pos="727" w:val="left"/>
        </w:tabs>
        <w:numPr>
          <w:ilvl w:val="0"/>
          <w:numId w:val="21"/>
        </w:numPr>
        <w:rPr>
          <w:rFonts w:ascii="Arial" w:cs="Arial" w:eastAsia="Arial" w:hAnsi="Arial"/>
          <w:sz w:val="23"/>
          <w:szCs w:val="23"/>
          <w:color w:val="auto"/>
        </w:rPr>
      </w:pPr>
      <w:r>
        <w:rPr>
          <w:rFonts w:ascii="Arial" w:cs="Arial" w:eastAsia="Arial" w:hAnsi="Arial"/>
          <w:sz w:val="18"/>
          <w:szCs w:val="18"/>
          <w:color w:val="auto"/>
        </w:rPr>
        <w:t>MC Gross profit increased principally due to a reduction of $9.0 million in depreciation expense due primarily to a number of significant investments made approximately ten years ago, that have become fully depreciated.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Operating income was principally due to the net effect of the following individually significant items:</w:t>
      </w:r>
    </w:p>
    <w:p>
      <w:pPr>
        <w:spacing w:after="0" w:line="204" w:lineRule="exact"/>
        <w:rPr>
          <w:sz w:val="20"/>
          <w:szCs w:val="20"/>
          <w:color w:val="auto"/>
        </w:rPr>
      </w:pPr>
    </w:p>
    <w:p>
      <w:pPr>
        <w:ind w:left="720" w:hanging="307"/>
        <w:spacing w:after="0"/>
        <w:tabs>
          <w:tab w:leader="none" w:pos="720" w:val="left"/>
        </w:tabs>
        <w:numPr>
          <w:ilvl w:val="0"/>
          <w:numId w:val="22"/>
        </w:numPr>
        <w:rPr>
          <w:rFonts w:ascii="Arial" w:cs="Arial" w:eastAsia="Arial" w:hAnsi="Arial"/>
          <w:sz w:val="23"/>
          <w:szCs w:val="23"/>
          <w:color w:val="auto"/>
        </w:rPr>
      </w:pPr>
      <w:r>
        <w:rPr>
          <w:rFonts w:ascii="Arial" w:cs="Arial" w:eastAsia="Arial" w:hAnsi="Arial"/>
          <w:sz w:val="18"/>
          <w:szCs w:val="18"/>
          <w:color w:val="auto"/>
        </w:rPr>
        <w:t>Gross profit decreased $8.5 million, principally due to lower Net sales as described above.</w:t>
      </w:r>
    </w:p>
    <w:p>
      <w:pPr>
        <w:spacing w:after="0" w:line="228" w:lineRule="exact"/>
        <w:rPr>
          <w:rFonts w:ascii="Arial" w:cs="Arial" w:eastAsia="Arial" w:hAnsi="Arial"/>
          <w:sz w:val="23"/>
          <w:szCs w:val="23"/>
          <w:color w:val="auto"/>
        </w:rPr>
      </w:pPr>
    </w:p>
    <w:p>
      <w:pPr>
        <w:ind w:left="740" w:right="400" w:hanging="327"/>
        <w:spacing w:after="0" w:line="220" w:lineRule="auto"/>
        <w:tabs>
          <w:tab w:leader="none" w:pos="727" w:val="left"/>
        </w:tabs>
        <w:numPr>
          <w:ilvl w:val="0"/>
          <w:numId w:val="22"/>
        </w:numPr>
        <w:rPr>
          <w:rFonts w:ascii="Arial" w:cs="Arial" w:eastAsia="Arial" w:hAnsi="Arial"/>
          <w:sz w:val="23"/>
          <w:szCs w:val="23"/>
          <w:color w:val="auto"/>
        </w:rPr>
      </w:pPr>
      <w:r>
        <w:rPr>
          <w:rFonts w:ascii="Arial" w:cs="Arial" w:eastAsia="Arial" w:hAnsi="Arial"/>
          <w:sz w:val="18"/>
          <w:szCs w:val="18"/>
          <w:color w:val="auto"/>
        </w:rPr>
        <w:t>STG&amp;R expenses decreased $8.9 million, principally due to lower travel expenses, partially offset by year-over-year changes in foreign currency revaluation gains and losses, as described above.</w:t>
      </w:r>
    </w:p>
    <w:p>
      <w:pPr>
        <w:spacing w:after="0" w:line="181" w:lineRule="exact"/>
        <w:rPr>
          <w:rFonts w:ascii="Arial" w:cs="Arial" w:eastAsia="Arial" w:hAnsi="Arial"/>
          <w:sz w:val="23"/>
          <w:szCs w:val="23"/>
          <w:color w:val="auto"/>
        </w:rPr>
      </w:pPr>
    </w:p>
    <w:p>
      <w:pPr>
        <w:ind w:left="720" w:hanging="307"/>
        <w:spacing w:after="0"/>
        <w:tabs>
          <w:tab w:leader="none" w:pos="720" w:val="left"/>
        </w:tabs>
        <w:numPr>
          <w:ilvl w:val="0"/>
          <w:numId w:val="22"/>
        </w:numPr>
        <w:rPr>
          <w:rFonts w:ascii="Arial" w:cs="Arial" w:eastAsia="Arial" w:hAnsi="Arial"/>
          <w:sz w:val="23"/>
          <w:szCs w:val="23"/>
          <w:color w:val="auto"/>
        </w:rPr>
      </w:pPr>
      <w:r>
        <w:rPr>
          <w:rFonts w:ascii="Arial" w:cs="Arial" w:eastAsia="Arial" w:hAnsi="Arial"/>
          <w:sz w:val="18"/>
          <w:szCs w:val="18"/>
          <w:color w:val="auto"/>
        </w:rPr>
        <w:t>Restructuring charges were $2.7 million in 2020, compared to $1.1 million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1" w:lineRule="exact"/>
        <w:rPr>
          <w:sz w:val="20"/>
          <w:szCs w:val="20"/>
          <w:color w:val="auto"/>
        </w:rPr>
      </w:pPr>
    </w:p>
    <w:p>
      <w:pPr>
        <w:ind w:left="720" w:hanging="307"/>
        <w:spacing w:after="0"/>
        <w:tabs>
          <w:tab w:leader="none" w:pos="720" w:val="left"/>
        </w:tabs>
        <w:numPr>
          <w:ilvl w:val="0"/>
          <w:numId w:val="23"/>
        </w:numPr>
        <w:rPr>
          <w:rFonts w:ascii="Arial" w:cs="Arial" w:eastAsia="Arial" w:hAnsi="Arial"/>
          <w:sz w:val="23"/>
          <w:szCs w:val="23"/>
          <w:color w:val="auto"/>
        </w:rPr>
      </w:pPr>
      <w:r>
        <w:rPr>
          <w:rFonts w:ascii="Arial" w:cs="Arial" w:eastAsia="Arial" w:hAnsi="Arial"/>
          <w:sz w:val="18"/>
          <w:szCs w:val="18"/>
          <w:color w:val="auto"/>
        </w:rPr>
        <w:t>Gross profit increased $12.2 million, principally due to lower depreciation expense as described above.</w:t>
      </w:r>
    </w:p>
    <w:p>
      <w:pPr>
        <w:spacing w:after="0" w:line="242" w:lineRule="exact"/>
        <w:rPr>
          <w:rFonts w:ascii="Arial" w:cs="Arial" w:eastAsia="Arial" w:hAnsi="Arial"/>
          <w:sz w:val="23"/>
          <w:szCs w:val="23"/>
          <w:color w:val="auto"/>
        </w:rPr>
      </w:pPr>
    </w:p>
    <w:p>
      <w:pPr>
        <w:ind w:left="740" w:right="600" w:hanging="327"/>
        <w:spacing w:after="0" w:line="220" w:lineRule="auto"/>
        <w:tabs>
          <w:tab w:leader="none" w:pos="727" w:val="left"/>
        </w:tabs>
        <w:numPr>
          <w:ilvl w:val="0"/>
          <w:numId w:val="23"/>
        </w:numPr>
        <w:rPr>
          <w:rFonts w:ascii="Arial" w:cs="Arial" w:eastAsia="Arial" w:hAnsi="Arial"/>
          <w:sz w:val="23"/>
          <w:szCs w:val="23"/>
          <w:color w:val="auto"/>
        </w:rPr>
      </w:pPr>
      <w:r>
        <w:rPr>
          <w:rFonts w:ascii="Arial" w:cs="Arial" w:eastAsia="Arial" w:hAnsi="Arial"/>
          <w:sz w:val="18"/>
          <w:szCs w:val="18"/>
          <w:color w:val="auto"/>
        </w:rPr>
        <w:t>STG&amp;R expenses increased $1.2 million, principally due to year-over-year changes in foreign currency revaluation gains and losses, as described above.</w:t>
      </w:r>
    </w:p>
    <w:p>
      <w:pPr>
        <w:spacing w:after="0" w:line="181" w:lineRule="exact"/>
        <w:rPr>
          <w:rFonts w:ascii="Arial" w:cs="Arial" w:eastAsia="Arial" w:hAnsi="Arial"/>
          <w:sz w:val="23"/>
          <w:szCs w:val="23"/>
          <w:color w:val="auto"/>
        </w:rPr>
      </w:pPr>
    </w:p>
    <w:p>
      <w:pPr>
        <w:ind w:left="720" w:hanging="307"/>
        <w:spacing w:after="0"/>
        <w:tabs>
          <w:tab w:leader="none" w:pos="720" w:val="left"/>
        </w:tabs>
        <w:numPr>
          <w:ilvl w:val="0"/>
          <w:numId w:val="23"/>
        </w:numPr>
        <w:rPr>
          <w:rFonts w:ascii="Arial" w:cs="Arial" w:eastAsia="Arial" w:hAnsi="Arial"/>
          <w:sz w:val="23"/>
          <w:szCs w:val="23"/>
          <w:color w:val="auto"/>
        </w:rPr>
      </w:pPr>
      <w:r>
        <w:rPr>
          <w:rFonts w:ascii="Arial" w:cs="Arial" w:eastAsia="Arial" w:hAnsi="Arial"/>
          <w:sz w:val="18"/>
          <w:szCs w:val="18"/>
          <w:color w:val="auto"/>
        </w:rPr>
        <w:t>Restructuring charges were $1.1 million in 2019, compared to $12.3 million in 2018.</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20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Other significant AEC programs include components for the F-35, fuselage frames for the Boeing 787, components for the CH-53K helicopter, and the fan case for the GE9X engine.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Review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(in thousands, except percentages)</w:t>
            </w:r>
          </w:p>
        </w:tc>
        <w:tc>
          <w:tcPr>
            <w:tcW w:w="1060" w:type="dxa"/>
            <w:vAlign w:val="bottom"/>
            <w:tcBorders>
              <w:bottom w:val="single" w:sz="8" w:color="auto"/>
            </w:tcBorders>
          </w:tcPr>
          <w:p>
            <w:pPr>
              <w:spacing w:after="0"/>
              <w:rPr>
                <w:sz w:val="17"/>
                <w:szCs w:val="17"/>
                <w:color w:val="auto"/>
              </w:rPr>
            </w:pPr>
          </w:p>
        </w:tc>
      </w:tr>
      <w:tr>
        <w:trPr>
          <w:trHeight w:val="18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6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327,655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452,878</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370,621</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 change from prior year</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-27.7 %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69,928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88,060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52,550</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 of net sales</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21.3 %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STG&amp;R expenses</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35,571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30,707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32,855</w:t>
            </w:r>
          </w:p>
        </w:tc>
      </w:tr>
      <w:tr>
        <w:trPr>
          <w:trHeight w:val="27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Operating income/(loss)</w:t>
            </w:r>
          </w:p>
        </w:tc>
        <w:tc>
          <w:tcPr>
            <w:tcW w:w="3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b w:val="1"/>
                <w:bCs w:val="1"/>
                <w:color w:val="auto"/>
              </w:rPr>
              <w:t>31,536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55,520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16,647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Net sales was principally due to the net effect of the following individually significant items:</w:t>
      </w:r>
    </w:p>
    <w:p>
      <w:pPr>
        <w:spacing w:after="0" w:line="239" w:lineRule="exact"/>
        <w:rPr>
          <w:sz w:val="20"/>
          <w:szCs w:val="20"/>
          <w:color w:val="auto"/>
        </w:rPr>
      </w:pPr>
    </w:p>
    <w:p>
      <w:pPr>
        <w:ind w:left="740" w:right="380" w:hanging="327"/>
        <w:spacing w:after="0" w:line="220" w:lineRule="auto"/>
        <w:tabs>
          <w:tab w:leader="none" w:pos="727" w:val="left"/>
        </w:tabs>
        <w:numPr>
          <w:ilvl w:val="0"/>
          <w:numId w:val="24"/>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decreased 27.8%, primarily driven by lower sales for the LEAP program.</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239" w:lineRule="exact"/>
        <w:rPr>
          <w:sz w:val="20"/>
          <w:szCs w:val="20"/>
          <w:color w:val="auto"/>
        </w:rPr>
      </w:pPr>
    </w:p>
    <w:p>
      <w:pPr>
        <w:ind w:left="740" w:right="120" w:hanging="327"/>
        <w:spacing w:after="0" w:line="220" w:lineRule="auto"/>
        <w:tabs>
          <w:tab w:leader="none" w:pos="727" w:val="left"/>
        </w:tabs>
        <w:numPr>
          <w:ilvl w:val="0"/>
          <w:numId w:val="25"/>
        </w:numPr>
        <w:rPr>
          <w:rFonts w:ascii="Arial" w:cs="Arial" w:eastAsia="Arial" w:hAnsi="Arial"/>
          <w:sz w:val="23"/>
          <w:szCs w:val="23"/>
          <w:color w:val="auto"/>
        </w:rPr>
      </w:pPr>
      <w:r>
        <w:rPr>
          <w:rFonts w:ascii="Arial" w:cs="Arial" w:eastAsia="Arial" w:hAnsi="Arial"/>
          <w:sz w:val="18"/>
          <w:szCs w:val="18"/>
          <w:color w:val="auto"/>
        </w:rPr>
        <w:t>Excluding the effect of changes in currency translation rates, Net sales increased 23.4%, primarily driven by growth in the LEAP, F-35, CH-53K and Boeing 787 programs.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AEC Gross profit in 2020 was principally due to the net effect of the following individually significant items:</w:t>
      </w:r>
    </w:p>
    <w:p>
      <w:pPr>
        <w:spacing w:after="0" w:line="191" w:lineRule="exact"/>
        <w:rPr>
          <w:sz w:val="20"/>
          <w:szCs w:val="20"/>
          <w:color w:val="auto"/>
        </w:rPr>
      </w:pPr>
    </w:p>
    <w:p>
      <w:pPr>
        <w:ind w:left="720" w:hanging="307"/>
        <w:spacing w:after="0"/>
        <w:tabs>
          <w:tab w:leader="none" w:pos="720" w:val="left"/>
        </w:tabs>
        <w:numPr>
          <w:ilvl w:val="0"/>
          <w:numId w:val="26"/>
        </w:numPr>
        <w:rPr>
          <w:rFonts w:ascii="Arial" w:cs="Arial" w:eastAsia="Arial" w:hAnsi="Arial"/>
          <w:sz w:val="23"/>
          <w:szCs w:val="23"/>
          <w:color w:val="auto"/>
        </w:rPr>
      </w:pPr>
      <w:r>
        <w:rPr>
          <w:rFonts w:ascii="Arial" w:cs="Arial" w:eastAsia="Arial" w:hAnsi="Arial"/>
          <w:sz w:val="18"/>
          <w:szCs w:val="18"/>
          <w:color w:val="auto"/>
        </w:rPr>
        <w:t>The decrease in Net sales decrease for the LEAP program, reduced Gross profit by approximately $20 million, compared to 2019.</w:t>
      </w:r>
    </w:p>
    <w:p>
      <w:pPr>
        <w:spacing w:after="0" w:line="228" w:lineRule="exact"/>
        <w:rPr>
          <w:rFonts w:ascii="Arial" w:cs="Arial" w:eastAsia="Arial" w:hAnsi="Arial"/>
          <w:sz w:val="23"/>
          <w:szCs w:val="23"/>
          <w:color w:val="auto"/>
        </w:rPr>
      </w:pPr>
    </w:p>
    <w:p>
      <w:pPr>
        <w:ind w:left="740" w:right="120" w:hanging="327"/>
        <w:spacing w:after="0" w:line="220" w:lineRule="auto"/>
        <w:tabs>
          <w:tab w:leader="none" w:pos="727" w:val="left"/>
        </w:tabs>
        <w:numPr>
          <w:ilvl w:val="0"/>
          <w:numId w:val="26"/>
        </w:numPr>
        <w:rPr>
          <w:rFonts w:ascii="Arial" w:cs="Arial" w:eastAsia="Arial" w:hAnsi="Arial"/>
          <w:sz w:val="23"/>
          <w:szCs w:val="23"/>
          <w:color w:val="auto"/>
        </w:rPr>
      </w:pPr>
      <w:r>
        <w:rPr>
          <w:rFonts w:ascii="Arial" w:cs="Arial" w:eastAsia="Arial" w:hAnsi="Arial"/>
          <w:sz w:val="18"/>
          <w:szCs w:val="18"/>
          <w:color w:val="auto"/>
        </w:rPr>
        <w:t>Favorable adjustments to the estimated profitability of long-term contracts increased Gross profit by $9.9 million in 2020, compared to $10.8 million in 2019.</w:t>
      </w:r>
    </w:p>
    <w:p>
      <w:pPr>
        <w:spacing w:after="0" w:line="195" w:lineRule="exact"/>
        <w:rPr>
          <w:rFonts w:ascii="Arial" w:cs="Arial" w:eastAsia="Arial" w:hAnsi="Arial"/>
          <w:sz w:val="23"/>
          <w:szCs w:val="23"/>
          <w:color w:val="auto"/>
        </w:rPr>
      </w:pPr>
    </w:p>
    <w:p>
      <w:pPr>
        <w:ind w:left="720" w:hanging="307"/>
        <w:spacing w:after="0"/>
        <w:tabs>
          <w:tab w:leader="none" w:pos="720" w:val="left"/>
        </w:tabs>
        <w:numPr>
          <w:ilvl w:val="0"/>
          <w:numId w:val="26"/>
        </w:numPr>
        <w:rPr>
          <w:rFonts w:ascii="Arial" w:cs="Arial" w:eastAsia="Arial" w:hAnsi="Arial"/>
          <w:sz w:val="23"/>
          <w:szCs w:val="23"/>
          <w:color w:val="auto"/>
        </w:rPr>
      </w:pPr>
      <w:r>
        <w:rPr>
          <w:rFonts w:ascii="Arial" w:cs="Arial" w:eastAsia="Arial" w:hAnsi="Arial"/>
          <w:sz w:val="18"/>
          <w:szCs w:val="18"/>
          <w:color w:val="auto"/>
        </w:rPr>
        <w:t>AEC Gross profit was also increased in 2020 by favorable shift in the mix of program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AEC Gross profit in 2019 was principally due to the net effect of the following individually significant items:</w:t>
      </w:r>
    </w:p>
    <w:p>
      <w:pPr>
        <w:spacing w:after="0" w:line="252" w:lineRule="exact"/>
        <w:rPr>
          <w:sz w:val="20"/>
          <w:szCs w:val="20"/>
          <w:color w:val="auto"/>
        </w:rPr>
      </w:pPr>
    </w:p>
    <w:p>
      <w:pPr>
        <w:ind w:left="740" w:right="20" w:hanging="327"/>
        <w:spacing w:after="0" w:line="220" w:lineRule="auto"/>
        <w:tabs>
          <w:tab w:leader="none" w:pos="727" w:val="left"/>
        </w:tabs>
        <w:numPr>
          <w:ilvl w:val="0"/>
          <w:numId w:val="27"/>
        </w:numPr>
        <w:rPr>
          <w:rFonts w:ascii="Arial" w:cs="Arial" w:eastAsia="Arial" w:hAnsi="Arial"/>
          <w:sz w:val="23"/>
          <w:szCs w:val="23"/>
          <w:color w:val="auto"/>
        </w:rPr>
      </w:pPr>
      <w:r>
        <w:rPr>
          <w:rFonts w:ascii="Arial" w:cs="Arial" w:eastAsia="Arial" w:hAnsi="Arial"/>
          <w:sz w:val="18"/>
          <w:szCs w:val="18"/>
          <w:color w:val="auto"/>
        </w:rPr>
        <w:t>Favorable adjustments to the estimated profitability of long-term contracts increased Gross profit by $10.8 million in 2019, compared to a decrease of $2.0 million in 2018.</w:t>
      </w:r>
    </w:p>
    <w:p>
      <w:pPr>
        <w:spacing w:after="0" w:line="181" w:lineRule="exact"/>
        <w:rPr>
          <w:rFonts w:ascii="Arial" w:cs="Arial" w:eastAsia="Arial" w:hAnsi="Arial"/>
          <w:sz w:val="23"/>
          <w:szCs w:val="23"/>
          <w:color w:val="auto"/>
        </w:rPr>
      </w:pPr>
    </w:p>
    <w:p>
      <w:pPr>
        <w:ind w:left="720" w:hanging="307"/>
        <w:spacing w:after="0"/>
        <w:tabs>
          <w:tab w:leader="none" w:pos="720" w:val="left"/>
        </w:tabs>
        <w:numPr>
          <w:ilvl w:val="0"/>
          <w:numId w:val="27"/>
        </w:numPr>
        <w:rPr>
          <w:rFonts w:ascii="Arial" w:cs="Arial" w:eastAsia="Arial" w:hAnsi="Arial"/>
          <w:sz w:val="23"/>
          <w:szCs w:val="23"/>
          <w:color w:val="auto"/>
        </w:rPr>
      </w:pPr>
      <w:r>
        <w:rPr>
          <w:rFonts w:ascii="Arial" w:cs="Arial" w:eastAsia="Arial" w:hAnsi="Arial"/>
          <w:sz w:val="18"/>
          <w:szCs w:val="18"/>
          <w:color w:val="auto"/>
        </w:rPr>
        <w:t>The Net sales increase in 2019, as described above, increased Gross profit by approximately $12 million.</w:t>
      </w:r>
    </w:p>
    <w:p>
      <w:pPr>
        <w:spacing w:after="0" w:line="181" w:lineRule="exact"/>
        <w:rPr>
          <w:rFonts w:ascii="Arial" w:cs="Arial" w:eastAsia="Arial" w:hAnsi="Arial"/>
          <w:sz w:val="23"/>
          <w:szCs w:val="23"/>
          <w:color w:val="auto"/>
        </w:rPr>
      </w:pPr>
    </w:p>
    <w:p>
      <w:pPr>
        <w:ind w:left="720" w:hanging="307"/>
        <w:spacing w:after="0"/>
        <w:tabs>
          <w:tab w:leader="none" w:pos="720" w:val="left"/>
        </w:tabs>
        <w:numPr>
          <w:ilvl w:val="0"/>
          <w:numId w:val="27"/>
        </w:numPr>
        <w:rPr>
          <w:rFonts w:ascii="Arial" w:cs="Arial" w:eastAsia="Arial" w:hAnsi="Arial"/>
          <w:sz w:val="23"/>
          <w:szCs w:val="23"/>
          <w:color w:val="auto"/>
        </w:rPr>
      </w:pPr>
      <w:r>
        <w:rPr>
          <w:rFonts w:ascii="Arial" w:cs="Arial" w:eastAsia="Arial" w:hAnsi="Arial"/>
          <w:sz w:val="18"/>
          <w:szCs w:val="18"/>
          <w:color w:val="auto"/>
        </w:rPr>
        <w:t>AEC Gross profit was also increased in 2019 by productivity improvements.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207"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arrangement. Revenue earned under these arrangements accounted for approximately 29 percent of segment revenue in 2020 and 49 percent in 2019 and 2018. LEAP engines are currently used on the Boeing 737 MAX, Airbus A320neo and COMAC aircraft.</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for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65"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 sum of net adjustments to the estimated profitability of long-term contracts increased AEC operating income by $9.9 million in 2020, $10.8 million in 2019, and decreased AEC operating income by $2.0 million in 2018. The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favorable effects in 2020 and 2019 were largely attributable to efficiency improvements during the ramp-up of several programs.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vs. 2019</w:t>
      </w:r>
    </w:p>
    <w:p>
      <w:pPr>
        <w:spacing w:after="0" w:line="207"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The decrease in Operating income of $23.9 million in 2020 was principally due to the net effect of the following individually significant items:</w:t>
      </w:r>
    </w:p>
    <w:p>
      <w:pPr>
        <w:spacing w:after="0" w:line="164" w:lineRule="exact"/>
        <w:rPr>
          <w:sz w:val="20"/>
          <w:szCs w:val="20"/>
          <w:color w:val="auto"/>
        </w:rPr>
      </w:pPr>
    </w:p>
    <w:p>
      <w:pPr>
        <w:ind w:left="720" w:hanging="307"/>
        <w:spacing w:after="0"/>
        <w:tabs>
          <w:tab w:leader="none" w:pos="720" w:val="left"/>
        </w:tabs>
        <w:numPr>
          <w:ilvl w:val="0"/>
          <w:numId w:val="28"/>
        </w:numPr>
        <w:rPr>
          <w:rFonts w:ascii="Arial" w:cs="Arial" w:eastAsia="Arial" w:hAnsi="Arial"/>
          <w:sz w:val="23"/>
          <w:szCs w:val="23"/>
          <w:color w:val="auto"/>
        </w:rPr>
      </w:pPr>
      <w:r>
        <w:rPr>
          <w:rFonts w:ascii="Arial" w:cs="Arial" w:eastAsia="Arial" w:hAnsi="Arial"/>
          <w:sz w:val="18"/>
          <w:szCs w:val="18"/>
          <w:color w:val="auto"/>
        </w:rPr>
        <w:t>A decrease in Net sales, as described above.</w:t>
      </w:r>
    </w:p>
    <w:p>
      <w:pPr>
        <w:spacing w:after="0" w:line="194" w:lineRule="exact"/>
        <w:rPr>
          <w:rFonts w:ascii="Arial" w:cs="Arial" w:eastAsia="Arial" w:hAnsi="Arial"/>
          <w:sz w:val="23"/>
          <w:szCs w:val="23"/>
          <w:color w:val="auto"/>
        </w:rPr>
      </w:pPr>
    </w:p>
    <w:p>
      <w:pPr>
        <w:ind w:left="720" w:hanging="307"/>
        <w:spacing w:after="0"/>
        <w:tabs>
          <w:tab w:leader="none" w:pos="720" w:val="left"/>
        </w:tabs>
        <w:numPr>
          <w:ilvl w:val="0"/>
          <w:numId w:val="28"/>
        </w:numPr>
        <w:rPr>
          <w:rFonts w:ascii="Arial" w:cs="Arial" w:eastAsia="Arial" w:hAnsi="Arial"/>
          <w:sz w:val="23"/>
          <w:szCs w:val="23"/>
          <w:color w:val="auto"/>
        </w:rPr>
      </w:pPr>
      <w:r>
        <w:rPr>
          <w:rFonts w:ascii="Arial" w:cs="Arial" w:eastAsia="Arial" w:hAnsi="Arial"/>
          <w:sz w:val="18"/>
          <w:szCs w:val="18"/>
          <w:color w:val="auto"/>
        </w:rPr>
        <w:t>An increase of $1.0 million in Restructuring expenses, as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vs. 2018</w:t>
      </w:r>
    </w:p>
    <w:p>
      <w:pPr>
        <w:spacing w:after="0" w:line="207"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The increase in Operating income of $38.9 million in 2019 was principally due to the net effect of the following individually significant items:</w:t>
      </w:r>
    </w:p>
    <w:p>
      <w:pPr>
        <w:spacing w:after="0" w:line="177" w:lineRule="exact"/>
        <w:rPr>
          <w:sz w:val="20"/>
          <w:szCs w:val="20"/>
          <w:color w:val="auto"/>
        </w:rPr>
      </w:pPr>
    </w:p>
    <w:p>
      <w:pPr>
        <w:ind w:left="720" w:hanging="307"/>
        <w:spacing w:after="0"/>
        <w:tabs>
          <w:tab w:leader="none" w:pos="720" w:val="left"/>
        </w:tabs>
        <w:numPr>
          <w:ilvl w:val="0"/>
          <w:numId w:val="29"/>
        </w:numPr>
        <w:rPr>
          <w:rFonts w:ascii="Arial" w:cs="Arial" w:eastAsia="Arial" w:hAnsi="Arial"/>
          <w:sz w:val="23"/>
          <w:szCs w:val="23"/>
          <w:color w:val="auto"/>
        </w:rPr>
      </w:pPr>
      <w:r>
        <w:rPr>
          <w:rFonts w:ascii="Arial" w:cs="Arial" w:eastAsia="Arial" w:hAnsi="Arial"/>
          <w:sz w:val="18"/>
          <w:szCs w:val="18"/>
          <w:color w:val="auto"/>
        </w:rPr>
        <w:t>An increase in Net sales and strong productivity, as described above.</w:t>
      </w:r>
    </w:p>
    <w:p>
      <w:pPr>
        <w:spacing w:after="0" w:line="181" w:lineRule="exact"/>
        <w:rPr>
          <w:rFonts w:ascii="Arial" w:cs="Arial" w:eastAsia="Arial" w:hAnsi="Arial"/>
          <w:sz w:val="23"/>
          <w:szCs w:val="23"/>
          <w:color w:val="auto"/>
        </w:rPr>
      </w:pPr>
    </w:p>
    <w:p>
      <w:pPr>
        <w:ind w:left="720" w:hanging="307"/>
        <w:spacing w:after="0"/>
        <w:tabs>
          <w:tab w:leader="none" w:pos="720" w:val="left"/>
        </w:tabs>
        <w:numPr>
          <w:ilvl w:val="0"/>
          <w:numId w:val="29"/>
        </w:numPr>
        <w:rPr>
          <w:rFonts w:ascii="Arial" w:cs="Arial" w:eastAsia="Arial" w:hAnsi="Arial"/>
          <w:sz w:val="23"/>
          <w:szCs w:val="23"/>
          <w:color w:val="auto"/>
        </w:rPr>
      </w:pPr>
      <w:r>
        <w:rPr>
          <w:rFonts w:ascii="Arial" w:cs="Arial" w:eastAsia="Arial" w:hAnsi="Arial"/>
          <w:sz w:val="18"/>
          <w:szCs w:val="18"/>
          <w:color w:val="auto"/>
        </w:rPr>
        <w:t>A decrease of $1.2 million in Restructuring expenses, as described above.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6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97,243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133,383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83,019</w:t>
            </w:r>
          </w:p>
        </w:tc>
      </w:tr>
      <w:tr>
        <w:trPr>
          <w:trHeight w:val="27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72,705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70,795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79,036</w:t>
            </w:r>
          </w:p>
        </w:tc>
      </w:tr>
      <w:tr>
        <w:trPr>
          <w:trHeight w:val="296"/>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Changes in working capital</w:t>
            </w:r>
            <w:r>
              <w:rPr>
                <w:rFonts w:ascii="Arial" w:cs="Arial" w:eastAsia="Arial" w:hAnsi="Arial"/>
                <w:sz w:val="23"/>
                <w:szCs w:val="23"/>
                <w:color w:val="auto"/>
                <w:vertAlign w:val="superscript"/>
              </w:rPr>
              <w:t>(a)</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(60,727)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(13,404)</w:t>
            </w:r>
          </w:p>
        </w:tc>
      </w:tr>
      <w:tr>
        <w:trPr>
          <w:trHeight w:val="244"/>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Changes in long-term liabilities, deferred taxes and other credits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3,493</w:t>
            </w:r>
          </w:p>
        </w:tc>
      </w:tr>
      <w:tr>
        <w:trPr>
          <w:trHeight w:val="27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Write-off of pension liability adjustment due to settlement/curtailment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Other operating items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21,957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(21,153)</w:t>
            </w:r>
          </w:p>
        </w:tc>
      </w:tr>
      <w:tr>
        <w:trPr>
          <w:trHeight w:val="25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140,253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132,485</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(42,390)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(82,886)</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cash provided used in financing activities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(60,669)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(100,307)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(27,258)</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flows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w:t>
            </w:r>
          </w:p>
        </w:tc>
      </w:tr>
      <w:tr>
        <w:trPr>
          <w:trHeight w:val="25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Increase/(decrease) in cash and cash equivalents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45,776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14,028</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195,540</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183,727</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197,755</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Accounts receivable, net, Contract assets, net, Inventories, Accounts payable and Accrued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7"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Cash provided by operating activities was $140.3 million in 2020, compared to $200.4 million in 2019, and $132.5 million in 2018. The net decrease in cash provided by operating activities in 2020 was due to lower net income and increased levels of working capital for the AEC segment. The net increase in cash provided by operating activities from 2018 to 2019 was principally due to increased profitability in both businesses. Cash flows for Contract assets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and Inventories was a use of $72.8 million in 2020, and was driven by delays in the Boeing 737 MAX return to service and a challenging economic environment in 2020, which caused a slowdown in several key aerospace programs. The Noncurrent receivables held by AEC generated cash of $4.2 million in 2020, compared to a use of cash of $1.3 million in 2019 and $12.2 million in 2018. Changes in long-term liabilities, deferred taxes and other liabilities resulted in an increase to cash flows of $ 8.7 million in 2020, $7.1 million in 2019 and $3.5 million in 2018, principally due to the use of deferred tax assets. Cash paid for income taxes was $25.1 million, $25.9 million, and $28.1 million in 2020, 2019, and 2018, respectively.</w:t>
      </w:r>
    </w:p>
    <w:p>
      <w:pPr>
        <w:spacing w:after="0" w:line="16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At December 31, 2020, the Company had $241.3 million of cash and cash equivalents, of which $201.4 million was held by subsidiaries outside of the United States. No income taxes have been provided on the indefinitely invested foreign earnings. The accumulated undistributed earnings of the Company’s foreign operations not targeted for repatriation to the U.S. were approximately $132.3 million at December 31, 2020, and are intended to remain indefinitely invested in foreign operations. If these earnings were distributed, the Company could be subject to income taxes and additional foreign withholding taxes. Our current plans do not anticipate that we will need funds generated from foreign operations to fund our domestic operations or satisfy debt obligations in the United States. In the event that such funds were repatriated to fund operations in the U.S., and if associated accruals for taxes have not already been provided, we would be required to record additional tax expense.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7"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net cash of $30.8 million. Total company capital expenditures for continuing operations, including purchased software, were $42.4 million in 2020, compared to $68.0 million in 2019 and $82.9 million in 2018. In the AEC segment, capital expenditures were $23.7 million in 2020, compared to $48.8 million in 2019 and $60.1 million in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and Capital Resources</w:t>
      </w:r>
    </w:p>
    <w:p>
      <w:pPr>
        <w:spacing w:after="0" w:line="22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December 31, 2020 was held by non-U.S. subsidiaries. Based on cash on hand and credit facilities, we anticipate that the Company has sufficient capital resources to operate for the foreseeable future. We were in compliance with all debt covenants as of December 31, 2020.</w:t>
      </w:r>
    </w:p>
    <w:p>
      <w:pPr>
        <w:spacing w:after="0" w:line="16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$398 million of borrowings were outstanding as of December 31, 2020. The applicable interest rate for borrowings was LIBOR plus a spread, based on our leverage ratio at the time of borrowing. At the time of the last borrowing on December 30, 2020, the spread was 1.625%. The spread was based on a pricing grid, which ranged from 1.500% to 2.000%, based on our leverage ratio. Based on our maximum leverage ratio and our Consolidated EBITDA, and without modification to any other credit agreements, as of December 31, 2020, we would have been able to borrow an additional $302 million under the Agreement.</w:t>
      </w:r>
    </w:p>
    <w:p>
      <w:pPr>
        <w:spacing w:after="0" w:line="165" w:lineRule="exact"/>
        <w:rPr>
          <w:sz w:val="20"/>
          <w:szCs w:val="20"/>
          <w:color w:val="auto"/>
        </w:rPr>
      </w:pPr>
    </w:p>
    <w:p>
      <w:pPr>
        <w:ind w:right="760" w:firstLine="405"/>
        <w:spacing w:after="0" w:line="261" w:lineRule="auto"/>
        <w:rPr>
          <w:sz w:val="20"/>
          <w:szCs w:val="20"/>
          <w:color w:val="auto"/>
        </w:rPr>
      </w:pPr>
      <w:r>
        <w:rPr>
          <w:rFonts w:ascii="Arial" w:cs="Arial" w:eastAsia="Arial" w:hAnsi="Arial"/>
          <w:sz w:val="18"/>
          <w:szCs w:val="18"/>
          <w:color w:val="auto"/>
        </w:rPr>
        <w:t>For more information, see Note 17 of the Consolidated Financial Statements, included under Item 8 of this Form 10-K, which is incorporated herein.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880" w:firstLine="405"/>
        <w:spacing w:after="0" w:line="261" w:lineRule="auto"/>
        <w:rPr>
          <w:sz w:val="20"/>
          <w:szCs w:val="20"/>
          <w:color w:val="auto"/>
        </w:rPr>
      </w:pPr>
      <w:r>
        <w:rPr>
          <w:rFonts w:ascii="Arial" w:cs="Arial" w:eastAsia="Arial" w:hAnsi="Arial"/>
          <w:sz w:val="18"/>
          <w:szCs w:val="18"/>
          <w:color w:val="auto"/>
        </w:rPr>
        <w:t>As of December 31, 2020, we have no off-balance sheet arrangements required to be disclosed pursuant to Item 303(a)(4) of Regulation 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we have the following cash flow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17780</wp:posOffset>
            </wp:positionV>
            <wp:extent cx="37547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4340" w:val="left"/>
          <w:tab w:leader="none" w:pos="5360" w:val="left"/>
          <w:tab w:leader="none" w:pos="6860" w:val="left"/>
          <w:tab w:leader="none" w:pos="8380" w:val="left"/>
          <w:tab w:leader="none" w:pos="10000" w:val="left"/>
        </w:tabs>
        <w:rPr>
          <w:sz w:val="20"/>
          <w:szCs w:val="20"/>
          <w:color w:val="auto"/>
        </w:rPr>
      </w:pPr>
      <w:r>
        <w:rPr>
          <w:rFonts w:ascii="Arial" w:cs="Arial" w:eastAsia="Arial" w:hAnsi="Arial"/>
          <w:sz w:val="14"/>
          <w:szCs w:val="14"/>
          <w:b w:val="1"/>
          <w:bCs w:val="1"/>
          <w:color w:val="auto"/>
        </w:rPr>
        <w:t>(in millions)</w:t>
      </w:r>
      <w:r>
        <w:rPr>
          <w:sz w:val="20"/>
          <w:szCs w:val="20"/>
          <w:color w:val="auto"/>
        </w:rPr>
        <w:tab/>
      </w: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Less than one year</w:t>
      </w:r>
      <w:r>
        <w:rPr>
          <w:sz w:val="20"/>
          <w:szCs w:val="20"/>
          <w:color w:val="auto"/>
        </w:rPr>
        <w:tab/>
      </w:r>
      <w:r>
        <w:rPr>
          <w:rFonts w:ascii="Arial" w:cs="Arial" w:eastAsia="Arial" w:hAnsi="Arial"/>
          <w:sz w:val="14"/>
          <w:szCs w:val="14"/>
          <w:b w:val="1"/>
          <w:bCs w:val="1"/>
          <w:color w:val="auto"/>
        </w:rPr>
        <w:t>One to three years</w:t>
        <w:tab/>
        <w:t>Three to five years</w:t>
      </w:r>
      <w:r>
        <w:rPr>
          <w:sz w:val="20"/>
          <w:szCs w:val="20"/>
          <w:color w:val="auto"/>
        </w:rPr>
        <w:tab/>
      </w:r>
      <w:r>
        <w:rPr>
          <w:rFonts w:ascii="Arial" w:cs="Arial" w:eastAsia="Arial" w:hAnsi="Arial"/>
          <w:sz w:val="14"/>
          <w:szCs w:val="14"/>
          <w:b w:val="1"/>
          <w:bCs w:val="1"/>
          <w:color w:val="auto"/>
        </w:rPr>
        <w:t>After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debt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payments</w:t>
      </w:r>
      <w:r>
        <w:rPr>
          <w:rFonts w:ascii="Arial" w:cs="Arial" w:eastAsia="Arial" w:hAnsi="Arial"/>
          <w:sz w:val="23"/>
          <w:szCs w:val="23"/>
          <w:color w:val="auto"/>
          <w:vertAlign w:val="superscript"/>
        </w:rPr>
        <w:t>(a)</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Pension plan contributions</w:t>
      </w:r>
      <w:r>
        <w:rPr>
          <w:rFonts w:ascii="Arial" w:cs="Arial" w:eastAsia="Arial" w:hAnsi="Arial"/>
          <w:sz w:val="23"/>
          <w:szCs w:val="23"/>
          <w:color w:val="auto"/>
          <w:vertAlign w:val="superscript"/>
        </w:rPr>
        <w:t>(b)</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postretirement benefits</w:t>
      </w:r>
      <w:r>
        <w:rPr>
          <w:rFonts w:ascii="Arial" w:cs="Arial" w:eastAsia="Arial" w:hAnsi="Arial"/>
          <w:sz w:val="22"/>
          <w:szCs w:val="22"/>
          <w:color w:val="auto"/>
          <w:vertAlign w:val="superscript"/>
        </w:rPr>
        <w:t>(c)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accruals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liabilities</w:t>
      </w:r>
      <w:r>
        <w:rPr>
          <w:rFonts w:ascii="Arial" w:cs="Arial" w:eastAsia="Arial" w:hAnsi="Arial"/>
          <w:sz w:val="23"/>
          <w:szCs w:val="23"/>
          <w:color w:val="auto"/>
          <w:vertAlign w:val="superscript"/>
        </w:rPr>
        <w:t>(d)</w:t>
      </w:r>
    </w:p>
    <w:p>
      <w:pPr>
        <w:ind w:left="2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00" w:space="720"/>
            <w:col w:w="7420"/>
          </w:cols>
          <w:pgMar w:left="320" w:top="301" w:right="339" w:bottom="1440" w:gutter="0" w:footer="0" w:header="0"/>
          <w:type w:val="continuous"/>
        </w:sectPr>
      </w:pPr>
    </w:p>
    <w:p>
      <w:pPr>
        <w:spacing w:after="0" w:line="312" w:lineRule="exact"/>
        <w:rPr>
          <w:sz w:val="20"/>
          <w:szCs w:val="20"/>
          <w:color w:val="auto"/>
        </w:rPr>
      </w:pPr>
    </w:p>
    <w:p>
      <w:pPr>
        <w:ind w:left="660" w:right="20" w:hanging="652"/>
        <w:spacing w:after="0" w:line="250"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17 of the Consolidated Financial Statements, included under Item 8 of this Form 10-K, which is incorporated herein. The interest payments are based on the assumption that we maintain $48 million of variable rate debt until the October 2020 Credit Agreement matures on October 27, 2024, and the rate as of December 31, 2020 (3.50%) continues until October 17, 2022, then continues at 1.78% until maturity. Both rates include the effects of interest rate hedging transactions.</w:t>
      </w:r>
    </w:p>
    <w:p>
      <w:pPr>
        <w:spacing w:after="0" w:line="1" w:lineRule="exact"/>
        <w:rPr>
          <w:rFonts w:ascii="Arial" w:cs="Arial" w:eastAsia="Arial" w:hAnsi="Arial"/>
          <w:sz w:val="18"/>
          <w:szCs w:val="18"/>
          <w:color w:val="auto"/>
        </w:rPr>
      </w:pPr>
    </w:p>
    <w:p>
      <w:pPr>
        <w:ind w:left="660" w:right="40" w:hanging="652"/>
        <w:spacing w:after="0" w:line="250"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estimate the total of pension benefits to be paid directly by the Company and pension contributions to be $2.5 million in 2021. However, that estimate is subject to revision based on many factors. The Company may also make voluntary contributions to pension trusts that exist in certain countries. The amount of contributions after 2021 is subject to many variables, including return of pension plan assets, interest rates, and tax and employee benefit laws. Therefore, contributions beyond 2021 are not included in this schedule.</w:t>
      </w:r>
    </w:p>
    <w:p>
      <w:pPr>
        <w:spacing w:after="0" w:line="1" w:lineRule="exact"/>
        <w:rPr>
          <w:rFonts w:ascii="Arial" w:cs="Arial" w:eastAsia="Arial" w:hAnsi="Arial"/>
          <w:sz w:val="18"/>
          <w:szCs w:val="18"/>
          <w:color w:val="auto"/>
        </w:rPr>
      </w:pPr>
    </w:p>
    <w:p>
      <w:pPr>
        <w:ind w:left="660" w:right="160" w:hanging="652"/>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Estimated cash outflows for other postretirement benefits is consistent with the expected benefit payments presented in Note 4 of Item 8 Financial Statements and Supplementary Data for the next five years. Beyond five years, expected benefit payments are not consistent with those presented in Note 4, due to the many variables associated with this estimate.</w:t>
      </w:r>
    </w:p>
    <w:p>
      <w:pPr>
        <w:spacing w:after="0" w:line="1" w:lineRule="exact"/>
        <w:rPr>
          <w:rFonts w:ascii="Arial" w:cs="Arial" w:eastAsia="Arial" w:hAnsi="Arial"/>
          <w:sz w:val="18"/>
          <w:szCs w:val="18"/>
          <w:color w:val="auto"/>
        </w:rPr>
      </w:pPr>
    </w:p>
    <w:p>
      <w:pPr>
        <w:ind w:left="660" w:right="200" w:hanging="652"/>
        <w:spacing w:after="0" w:line="254"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Estimated payments for deferred compensation, interest rate swap agreements, and other noncurrent liabilities are not included in this table due to the uncertain timing of the ultimate cash settlement. Also, this table does not reflect unrecognized tax benefits, the timing of which is uncertain. Refer to Note 7 of Item 8 Financial Statements and Supplementary Data for additional discussion on unrecognized tax benefits.</w:t>
      </w:r>
    </w:p>
    <w:p>
      <w:pPr>
        <w:spacing w:after="0" w:line="16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21 of Item 8 Financial Statements and Supplementary Data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A discussion of recent accounting pronouncements is set forth in Item 8 Financial Statements and Supplementary Data, Note 1, which is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For the discussion of our accounting policies, see Item 8 Financial Statements and Supplementary Data, Note 1, which is incorporated herein by reference.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which can affect our results of operations. In addition to the accounting policies stated in Item 8, financial statement amounts and disclosures are significantly influenced by market factors, judgments and estimates as described below.</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ind w:right="340" w:firstLine="405"/>
        <w:spacing w:after="0" w:line="266"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replaces numerous requirements in U.S. GAAP, including industry-specific requirements, and provides companies with a single model for recognizing revenue from contracts with customers. See additional information in Item 8.</w:t>
      </w:r>
    </w:p>
    <w:p>
      <w:pPr>
        <w:spacing w:after="0" w:line="153"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Contracts with customers in the Machine Clothing segment have various terms that can affect the point in time when revenue is recognized. The contractual terms are closely monitored in order to ensure revenue is recognized in the proper period.</w:t>
      </w:r>
    </w:p>
    <w:p>
      <w:pPr>
        <w:spacing w:after="0" w:line="171" w:lineRule="exact"/>
        <w:rPr>
          <w:sz w:val="20"/>
          <w:szCs w:val="20"/>
          <w:color w:val="auto"/>
        </w:rPr>
      </w:pPr>
    </w:p>
    <w:p>
      <w:pPr>
        <w:jc w:val="both"/>
        <w:ind w:right="80" w:firstLine="405"/>
        <w:spacing w:after="0" w:line="273" w:lineRule="auto"/>
        <w:rPr>
          <w:sz w:val="20"/>
          <w:szCs w:val="20"/>
          <w:color w:val="auto"/>
        </w:rPr>
      </w:pPr>
      <w:r>
        <w:rPr>
          <w:rFonts w:ascii="Arial" w:cs="Arial" w:eastAsia="Arial" w:hAnsi="Arial"/>
          <w:sz w:val="17"/>
          <w:szCs w:val="17"/>
          <w:color w:val="auto"/>
        </w:rPr>
        <w:t>Products and services provided under long-term contracts represent a significant portion of sales in the Albany Engineered Composites segment. AEC’s largest source of revenue is derived from the LEAP contract under a cost-plus-fee agreement. Beginning in 2018, the fee is variable based on our success in achieving certain cost targets. Revenue is recognized over time as costs are incurred. Under this contract, there is significant judgment involved in determining applicable contract costs and the amount of revenue to be recognized.</w:t>
      </w:r>
    </w:p>
    <w:p>
      <w:pPr>
        <w:spacing w:after="0" w:line="150"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63"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The Albany Engineered Composites segment also has some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which the asset is expected to contribute to future cash flows which includes anticipated renewal periods. Accumulated capitalized costs are written-off when those costs are determined to be unrecoverable.</w:t>
      </w:r>
    </w:p>
    <w:p>
      <w:pPr>
        <w:spacing w:after="0" w:line="180"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 xml:space="preserve">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 allocations, which are treated as period expenses.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In some cases the contract period may result in a loss contract provision at the inception of the contract. Also, refer to information under </w:t>
      </w:r>
      <w:r>
        <w:rPr>
          <w:rFonts w:ascii="Arial" w:cs="Arial" w:eastAsia="Arial" w:hAnsi="Arial"/>
          <w:sz w:val="18"/>
          <w:szCs w:val="18"/>
          <w:i w:val="1"/>
          <w:iCs w:val="1"/>
          <w:color w:val="auto"/>
        </w:rPr>
        <w:t>Long-term Contracts</w:t>
      </w:r>
      <w:r>
        <w:rPr>
          <w:rFonts w:ascii="Arial" w:cs="Arial" w:eastAsia="Arial" w:hAnsi="Arial"/>
          <w:sz w:val="18"/>
          <w:szCs w:val="18"/>
          <w:color w:val="auto"/>
        </w:rPr>
        <w:t xml:space="preserve"> in Item 7,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of this Form 10-K, which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2020, total liabilities under our defined benefit pension plans (including unfunded plans) exceeded plan assets by $6.7 million, of which $2.2 million was for plans outside of the U.S. Additionally, at December 31, 2020, other postretirement liabilities totaled $48.0 million, substantially all of which related to our U.S. plan. As of December 31, 2020, we have unrecognized pretax net losses of $53.4 million for pension plans and $7.8 million for other postretirement benefit plans that may be amortized into earnings in future periods.</w:t>
      </w:r>
    </w:p>
    <w:p>
      <w:pPr>
        <w:spacing w:after="0" w:line="181"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For 2021, we anticipate pension contributions and direct payments to retirees to total $ 2.5 million, and payments for other postretirement benefit plans to be $3.7 million. Changes in the related pension and other postretirement benefit costs or credits may occur in the future due to changes in the assumptions. The amount of annual pension plan funding and annual expense is subject to many variables, including the investment return on pension plan assets and interest rates, and actual contributions could vary significantly. Assumptions used for</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740"/>
        <w:spacing w:after="0" w:line="453" w:lineRule="auto"/>
        <w:rPr>
          <w:sz w:val="20"/>
          <w:szCs w:val="20"/>
          <w:color w:val="auto"/>
        </w:rPr>
      </w:pPr>
      <w:r>
        <w:rPr>
          <w:rFonts w:ascii="Arial" w:cs="Arial" w:eastAsia="Arial" w:hAnsi="Arial"/>
          <w:sz w:val="18"/>
          <w:szCs w:val="18"/>
          <w:color w:val="auto"/>
        </w:rPr>
        <w:t xml:space="preserve">determining pension and other postretirement plan liabilities and expenses are evaluated and updated at least annually. </w:t>
      </w:r>
      <w:r>
        <w:rPr>
          <w:rFonts w:ascii="Arial" w:cs="Arial" w:eastAsia="Arial" w:hAnsi="Arial"/>
          <w:sz w:val="18"/>
          <w:szCs w:val="18"/>
          <w:b w:val="1"/>
          <w:bCs w:val="1"/>
          <w:color w:val="auto"/>
        </w:rPr>
        <w:t>Income Taxes</w:t>
      </w:r>
    </w:p>
    <w:p>
      <w:pPr>
        <w:spacing w:after="0" w:line="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the ordinary course of business, there is inherent uncertainty in determining assets and liabilities related to income tax balances. We exercise significant judgment in order to estimate taxes payable or receivable in future periods. Tax-related balances may also be impacted by organizational changes or changes in the tax laws of any country in which we operate. We assess our income tax positions and record tax assets and liabilities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w:t>
      </w:r>
    </w:p>
    <w:p>
      <w:pPr>
        <w:spacing w:after="0" w:line="180"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Deferred tax assets are expected to be realized through the reversal of existing temporary differences and future taxable income.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7"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Goodwill is not amortized, but is tested for impairment at least annually. Estimating the fair value of reporting units requires the use of estimates and significant judgments that are based on a number of factors including expected future operating results. It is possible that these judgments and estimates could change in future periods.</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determination of the fair value of intangible assets acquired in a business acquisition, including the Company’s acquisition in 2019, is subject to many estimates and assumptions. We review amortizable intangible asset groups for impairment whenever events or changes in circumstances indicate that the related carrying amounts may not be recoverable.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7" w:lineRule="exact"/>
        <w:rPr>
          <w:sz w:val="20"/>
          <w:szCs w:val="20"/>
          <w:color w:val="auto"/>
        </w:rPr>
      </w:pPr>
    </w:p>
    <w:p>
      <w:pPr>
        <w:jc w:val="both"/>
        <w:ind w:right="320" w:firstLine="405"/>
        <w:spacing w:after="0" w:line="250" w:lineRule="auto"/>
        <w:rPr>
          <w:sz w:val="20"/>
          <w:szCs w:val="20"/>
          <w:color w:val="auto"/>
        </w:rPr>
      </w:pPr>
      <w:r>
        <w:rPr>
          <w:rFonts w:ascii="Arial" w:cs="Arial" w:eastAsia="Arial" w:hAnsi="Arial"/>
          <w:sz w:val="18"/>
          <w:szCs w:val="18"/>
          <w:color w:val="auto"/>
        </w:rPr>
        <w:t>This Form 10-K contains certain non-GAAP metrics,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Such items are provided because management believes that they provide additional useful information to investors regarding the Company’s operational performance.</w:t>
      </w:r>
    </w:p>
    <w:p>
      <w:pPr>
        <w:spacing w:after="0" w:line="171"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period of specific restructuring costs, former CEO severance costs, acquisition and integrations expenses,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periods in which such items had a greater or lesser effect, or no effect. Restructuring expenses,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169"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(or adding) gains (or losses) from the sale of buildings or investments; adding acquisition and integration expenses and subtracting (or adding) Income (or loss) attributable to the non-controlling interest in Albany Safran Composites (ASC). Adjusted EBITDA may also be presented as a percentage of net sales by dividing it by sales.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foreign currency revaluation losses (or gains); and acquisition-related expenses.</w:t>
      </w:r>
    </w:p>
    <w:p>
      <w:pPr>
        <w:spacing w:after="0" w:line="171"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Operating income (GAAP)</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166,080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137,408</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Interest, taxes, other income/(expense)</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(68,837)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(54,389)</w:t>
            </w: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color w:val="auto"/>
              </w:rPr>
              <w:t>Net income (GAAP)</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97,243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133,383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83,019</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13,584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18,124</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41,831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32,228</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72,705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70,795</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79,036</w:t>
            </w: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225,363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265,928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212,407</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Restructuring expenses, net</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5,736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15,570</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Foreign currency revaluation (gains)/losses</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15,444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Pension settlement/curtailment expense</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Former CEO termination costs</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2,742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Acquisition/integration costs</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Pre-tax (income)/loss attributable to noncontrolling interest</w:t>
            </w: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251,905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265,434</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228,933</w:t>
            </w:r>
          </w:p>
        </w:tc>
      </w:tr>
      <w:tr>
        <w:trPr>
          <w:trHeight w:val="20"/>
        </w:trPr>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25"/>
        </w:trPr>
        <w:tc>
          <w:tcPr>
            <w:tcW w:w="5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5"/>
        </w:trPr>
        <w:tc>
          <w:tcPr>
            <w:tcW w:w="5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Albany Engineered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Machine Clothing</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Composites</w:t>
            </w:r>
          </w:p>
        </w:tc>
        <w:tc>
          <w:tcPr>
            <w:tcW w:w="20" w:type="dxa"/>
            <w:vAlign w:val="bottom"/>
          </w:tcPr>
          <w:p>
            <w:pPr>
              <w:spacing w:after="0"/>
              <w:rPr>
                <w:sz w:val="17"/>
                <w:szCs w:val="17"/>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expenses and 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b w:val="1"/>
                <w:bCs w:val="1"/>
                <w:color w:val="auto"/>
              </w:rPr>
              <w:t>Total Company</w:t>
            </w:r>
          </w:p>
        </w:tc>
      </w:tr>
      <w:tr>
        <w:trPr>
          <w:trHeight w:val="220"/>
        </w:trPr>
        <w:tc>
          <w:tcPr>
            <w:tcW w:w="5300" w:type="dxa"/>
            <w:vAlign w:val="bottom"/>
          </w:tcPr>
          <w:p>
            <w:pPr>
              <w:ind w:left="20"/>
              <w:spacing w:after="0"/>
              <w:rPr>
                <w:sz w:val="20"/>
                <w:szCs w:val="20"/>
                <w:color w:val="auto"/>
              </w:rPr>
            </w:pPr>
            <w:r>
              <w:rPr>
                <w:rFonts w:ascii="Arial" w:cs="Arial" w:eastAsia="Arial" w:hAnsi="Arial"/>
                <w:sz w:val="18"/>
                <w:szCs w:val="18"/>
                <w:color w:val="auto"/>
              </w:rPr>
              <w:t>Operating income/(loss) (GAAP)</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190,805</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31,536</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$166,080</w:t>
            </w:r>
          </w:p>
        </w:tc>
      </w:tr>
      <w:tr>
        <w:trPr>
          <w:trHeight w:val="239"/>
        </w:trPr>
        <w:tc>
          <w:tcPr>
            <w:tcW w:w="5300" w:type="dxa"/>
            <w:vAlign w:val="bottom"/>
          </w:tcPr>
          <w:p>
            <w:pPr>
              <w:ind w:left="20"/>
              <w:spacing w:after="0"/>
              <w:rPr>
                <w:sz w:val="20"/>
                <w:szCs w:val="20"/>
                <w:color w:val="auto"/>
              </w:rPr>
            </w:pPr>
            <w:r>
              <w:rPr>
                <w:rFonts w:ascii="Arial" w:cs="Arial" w:eastAsia="Arial" w:hAnsi="Arial"/>
                <w:sz w:val="18"/>
                <w:szCs w:val="18"/>
                <w:color w:val="auto"/>
              </w:rPr>
              <w:t>Interest, taxes, other income/(expense)</w:t>
            </w:r>
          </w:p>
        </w:tc>
        <w:tc>
          <w:tcPr>
            <w:tcW w:w="40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(68,837)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(68,837)</w:t>
            </w:r>
          </w:p>
        </w:tc>
      </w:tr>
      <w:tr>
        <w:trPr>
          <w:trHeight w:val="214"/>
        </w:trPr>
        <w:tc>
          <w:tcPr>
            <w:tcW w:w="5300" w:type="dxa"/>
            <w:vAlign w:val="bottom"/>
          </w:tcPr>
          <w:p>
            <w:pPr>
              <w:ind w:left="20"/>
              <w:spacing w:after="0"/>
              <w:rPr>
                <w:sz w:val="20"/>
                <w:szCs w:val="20"/>
                <w:color w:val="auto"/>
              </w:rPr>
            </w:pPr>
            <w:r>
              <w:rPr>
                <w:rFonts w:ascii="Arial" w:cs="Arial" w:eastAsia="Arial" w:hAnsi="Arial"/>
                <w:sz w:val="18"/>
                <w:szCs w:val="18"/>
                <w:color w:val="auto"/>
              </w:rPr>
              <w:t>Net income/(loss) (GAAP)</w:t>
            </w: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190,805</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31,536</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(125,098)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97,243</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13,584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13,584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41,831</w:t>
            </w:r>
          </w:p>
        </w:tc>
      </w:tr>
      <w:tr>
        <w:trPr>
          <w:trHeight w:val="239"/>
        </w:trPr>
        <w:tc>
          <w:tcPr>
            <w:tcW w:w="530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20,304</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48,496</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72,705</w:t>
            </w:r>
          </w:p>
        </w:tc>
      </w:tr>
      <w:tr>
        <w:trPr>
          <w:trHeight w:val="232"/>
        </w:trPr>
        <w:tc>
          <w:tcPr>
            <w:tcW w:w="5300" w:type="dxa"/>
            <w:vAlign w:val="bottom"/>
          </w:tcPr>
          <w:p>
            <w:pPr>
              <w:ind w:left="20"/>
              <w:spacing w:after="0"/>
              <w:rPr>
                <w:sz w:val="20"/>
                <w:szCs w:val="20"/>
                <w:color w:val="auto"/>
              </w:rPr>
            </w:pPr>
            <w:r>
              <w:rPr>
                <w:rFonts w:ascii="Arial" w:cs="Arial" w:eastAsia="Arial" w:hAnsi="Arial"/>
                <w:sz w:val="18"/>
                <w:szCs w:val="18"/>
                <w:color w:val="auto"/>
              </w:rPr>
              <w:t>EBITDA (non-GAAP)</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211,109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80,032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(65,778)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225,363</w:t>
            </w:r>
          </w:p>
        </w:tc>
      </w:tr>
      <w:tr>
        <w:trPr>
          <w:trHeight w:val="261"/>
        </w:trPr>
        <w:tc>
          <w:tcPr>
            <w:tcW w:w="5300" w:type="dxa"/>
            <w:vAlign w:val="bottom"/>
          </w:tcPr>
          <w:p>
            <w:pPr>
              <w:ind w:left="20"/>
              <w:spacing w:after="0"/>
              <w:rPr>
                <w:sz w:val="20"/>
                <w:szCs w:val="20"/>
                <w:color w:val="auto"/>
              </w:rPr>
            </w:pPr>
            <w:r>
              <w:rPr>
                <w:rFonts w:ascii="Arial" w:cs="Arial" w:eastAsia="Arial" w:hAnsi="Arial"/>
                <w:sz w:val="18"/>
                <w:szCs w:val="18"/>
                <w:color w:val="auto"/>
              </w:rPr>
              <w:t>Restructuring expenses, net</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5,736</w:t>
            </w:r>
          </w:p>
        </w:tc>
      </w:tr>
      <w:tr>
        <w:trPr>
          <w:trHeight w:val="261"/>
        </w:trPr>
        <w:tc>
          <w:tcPr>
            <w:tcW w:w="5300" w:type="dxa"/>
            <w:vAlign w:val="bottom"/>
          </w:tcPr>
          <w:p>
            <w:pPr>
              <w:ind w:left="20"/>
              <w:spacing w:after="0"/>
              <w:rPr>
                <w:sz w:val="20"/>
                <w:szCs w:val="20"/>
                <w:color w:val="auto"/>
              </w:rPr>
            </w:pPr>
            <w:r>
              <w:rPr>
                <w:rFonts w:ascii="Arial" w:cs="Arial" w:eastAsia="Arial" w:hAnsi="Arial"/>
                <w:sz w:val="18"/>
                <w:szCs w:val="18"/>
                <w:color w:val="auto"/>
              </w:rPr>
              <w:t>Foreign currency revaluation (gains)/losses</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13,571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15,444</w:t>
            </w:r>
          </w:p>
        </w:tc>
      </w:tr>
      <w:tr>
        <w:trPr>
          <w:trHeight w:val="239"/>
        </w:trPr>
        <w:tc>
          <w:tcPr>
            <w:tcW w:w="5300" w:type="dxa"/>
            <w:vAlign w:val="bottom"/>
          </w:tcPr>
          <w:p>
            <w:pPr>
              <w:ind w:left="20"/>
              <w:spacing w:after="0"/>
              <w:rPr>
                <w:sz w:val="20"/>
                <w:szCs w:val="20"/>
                <w:color w:val="auto"/>
              </w:rPr>
            </w:pPr>
            <w:r>
              <w:rPr>
                <w:rFonts w:ascii="Arial" w:cs="Arial" w:eastAsia="Arial" w:hAnsi="Arial"/>
                <w:sz w:val="18"/>
                <w:szCs w:val="18"/>
                <w:color w:val="auto"/>
              </w:rPr>
              <w:t>Former CEO termination costs</w:t>
            </w:r>
          </w:p>
        </w:tc>
        <w:tc>
          <w:tcPr>
            <w:tcW w:w="40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2,742</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Acquisition/integration costs</w:t>
            </w:r>
          </w:p>
        </w:tc>
        <w:tc>
          <w:tcPr>
            <w:tcW w:w="400" w:type="dxa"/>
            <w:vAlign w:val="bottom"/>
          </w:tcPr>
          <w:p>
            <w:pPr>
              <w:spacing w:after="0"/>
              <w:rPr>
                <w:sz w:val="23"/>
                <w:szCs w:val="23"/>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Pre-tax loss attributable to noncontrolling interest</w:t>
            </w:r>
          </w:p>
        </w:tc>
        <w:tc>
          <w:tcPr>
            <w:tcW w:w="400" w:type="dxa"/>
            <w:vAlign w:val="bottom"/>
          </w:tcPr>
          <w:p>
            <w:pPr>
              <w:spacing w:after="0"/>
              <w:rPr>
                <w:sz w:val="23"/>
                <w:szCs w:val="23"/>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Adjusted EBITDA (non-GAAP)</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215,598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85,603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251,905</w:t>
            </w:r>
          </w:p>
        </w:tc>
      </w:tr>
      <w:tr>
        <w:trPr>
          <w:trHeight w:val="21"/>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Albany Engineered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Machine Clothing</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Composites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expenses and other</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Total Company</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income/(loss) (GAAP)</w:t>
            </w:r>
          </w:p>
        </w:tc>
        <w:tc>
          <w:tcPr>
            <w:tcW w:w="4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191,965</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55,520</w:t>
            </w:r>
          </w:p>
        </w:tc>
        <w:tc>
          <w:tcPr>
            <w:tcW w:w="60" w:type="dxa"/>
            <w:vAlign w:val="bottom"/>
          </w:tcPr>
          <w:p>
            <w:pPr>
              <w:spacing w:after="0"/>
              <w:rPr>
                <w:sz w:val="19"/>
                <w:szCs w:val="19"/>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(53,909)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193,576</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taxes, other income/(expense)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(60,193)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income/(loss) (GAAP)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191,965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55,520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(114,102)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133,383</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16,921</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44,829</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21,876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70,795</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EBITDA (non-GAAP)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213,841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265,928</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Restructuring expenses,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Foreign currency revaluation (gains)/losses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 curtailment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Acquisition/integration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Pre-tax (income) attributable to noncontrolling interest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Adjusted EBITDA (non-GAAP)</w:t>
            </w:r>
          </w:p>
        </w:tc>
        <w:tc>
          <w:tcPr>
            <w:tcW w:w="100" w:type="dxa"/>
            <w:vAlign w:val="bottom"/>
            <w:gridSpan w:val="2"/>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215,600</w:t>
            </w: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101,779</w:t>
            </w:r>
          </w:p>
        </w:tc>
        <w:tc>
          <w:tcPr>
            <w:tcW w:w="6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(51,945)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265,434</w:t>
            </w:r>
          </w:p>
        </w:tc>
      </w:tr>
      <w:tr>
        <w:trPr>
          <w:trHeight w:val="21"/>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2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Albany Engineered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Machine Clothing</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Composites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expenses and other</w:t>
            </w:r>
          </w:p>
        </w:tc>
        <w:tc>
          <w:tcPr>
            <w:tcW w:w="14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Total Company</w:t>
            </w:r>
          </w:p>
        </w:tc>
      </w:tr>
      <w:tr>
        <w:trPr>
          <w:trHeight w:val="26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income/(loss) (GAAP)</w:t>
            </w:r>
          </w:p>
        </w:tc>
        <w:tc>
          <w:tcPr>
            <w:tcW w:w="460" w:type="dxa"/>
            <w:vAlign w:val="bottom"/>
            <w:gridSpan w:val="3"/>
          </w:tcPr>
          <w:p>
            <w:pPr>
              <w:jc w:val="right"/>
              <w:ind w:right="24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169,836</w:t>
            </w:r>
          </w:p>
        </w:tc>
        <w:tc>
          <w:tcPr>
            <w:tcW w:w="80" w:type="dxa"/>
            <w:vAlign w:val="bottom"/>
          </w:tcPr>
          <w:p>
            <w:pPr>
              <w:spacing w:after="0"/>
              <w:rPr>
                <w:sz w:val="23"/>
                <w:szCs w:val="23"/>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16,647</w:t>
            </w:r>
          </w:p>
        </w:tc>
        <w:tc>
          <w:tcPr>
            <w:tcW w:w="60" w:type="dxa"/>
            <w:vAlign w:val="bottom"/>
          </w:tcPr>
          <w:p>
            <w:pPr>
              <w:spacing w:after="0"/>
              <w:rPr>
                <w:sz w:val="23"/>
                <w:szCs w:val="23"/>
                <w:color w:val="auto"/>
              </w:rPr>
            </w:pP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(49,075)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137,408</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taxes, other income/(expense)</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(54,389)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(54,389)</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income/(loss) (GAAP)</w:t>
            </w: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169,836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83,019</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18,124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18,124</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32,228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32,228</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30,813</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79,036</w:t>
            </w:r>
          </w:p>
        </w:tc>
      </w:tr>
      <w:tr>
        <w:trPr>
          <w:trHeight w:val="25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EBITDA (non-GAAP)</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200,649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(48,094)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212,407</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Restructuring expenses, net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12,278</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15,570</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Foreign currency revaluation (gains)/losses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 settlement/curtailment expense</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Pre-tax (income) attributable to noncontrolling interest in ASC</w:t>
            </w: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Adjusted EBITDA (non-GAAP)</w:t>
            </w:r>
          </w:p>
        </w:tc>
        <w:tc>
          <w:tcPr>
            <w:tcW w:w="460" w:type="dxa"/>
            <w:vAlign w:val="bottom"/>
            <w:gridSpan w:val="3"/>
          </w:tcPr>
          <w:p>
            <w:pPr>
              <w:jc w:val="right"/>
              <w:ind w:right="24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212,101</w:t>
            </w:r>
          </w:p>
        </w:tc>
        <w:tc>
          <w:tcPr>
            <w:tcW w:w="80" w:type="dxa"/>
            <w:vAlign w:val="bottom"/>
          </w:tcPr>
          <w:p>
            <w:pPr>
              <w:spacing w:after="0"/>
              <w:rPr>
                <w:sz w:val="19"/>
                <w:szCs w:val="19"/>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63,250</w:t>
            </w:r>
          </w:p>
        </w:tc>
        <w:tc>
          <w:tcPr>
            <w:tcW w:w="60" w:type="dxa"/>
            <w:vAlign w:val="bottom"/>
          </w:tcPr>
          <w:p>
            <w:pPr>
              <w:spacing w:after="0"/>
              <w:rPr>
                <w:sz w:val="19"/>
                <w:szCs w:val="19"/>
                <w:color w:val="auto"/>
              </w:rPr>
            </w:pPr>
          </w:p>
        </w:tc>
        <w:tc>
          <w:tcPr>
            <w:tcW w:w="3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228,933</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17"/>
                <w:szCs w:val="17"/>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Effect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Restructuring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5,736</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3,874</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Foreign currency revaluation (gains)/losses(a)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15,444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Former CEO termination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3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Acquisition/integration costs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 w:right="200" w:firstLine="6"/>
        <w:spacing w:after="0" w:line="232" w:lineRule="auto"/>
        <w:tabs>
          <w:tab w:leader="none" w:pos="2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2020, the company recorded losses of approximately $14 million in jurisdictions where it cannot record a tax benefit from the losses, which results in an unusual relationship between the pre-tax and after-tax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Tax</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15"/>
                <w:szCs w:val="15"/>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Effect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Effect</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Restructuring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577"/>
              <w:spacing w:after="0"/>
              <w:rPr>
                <w:sz w:val="20"/>
                <w:szCs w:val="20"/>
                <w:color w:val="auto"/>
              </w:rPr>
            </w:pPr>
            <w:r>
              <w:rPr>
                <w:rFonts w:ascii="Arial" w:cs="Arial" w:eastAsia="Arial" w:hAnsi="Arial"/>
                <w:sz w:val="18"/>
                <w:szCs w:val="18"/>
                <w:color w:val="auto"/>
                <w:w w:val="96"/>
              </w:rPr>
              <w:t>0.06</w:t>
            </w: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Foreign currency revaluation (gains)/losses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557"/>
              <w:spacing w:after="0"/>
              <w:rPr>
                <w:sz w:val="20"/>
                <w:szCs w:val="20"/>
                <w:color w:val="auto"/>
              </w:rPr>
            </w:pPr>
            <w:r>
              <w:rPr>
                <w:rFonts w:ascii="Arial" w:cs="Arial" w:eastAsia="Arial" w:hAnsi="Arial"/>
                <w:sz w:val="18"/>
                <w:szCs w:val="18"/>
                <w:color w:val="auto"/>
              </w:rPr>
              <w:t>(0.07)</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Pension curtailment charge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577"/>
              <w:spacing w:after="0"/>
              <w:rPr>
                <w:sz w:val="20"/>
                <w:szCs w:val="20"/>
                <w:color w:val="auto"/>
              </w:rPr>
            </w:pPr>
            <w:r>
              <w:rPr>
                <w:rFonts w:ascii="Arial" w:cs="Arial" w:eastAsia="Arial" w:hAnsi="Arial"/>
                <w:sz w:val="18"/>
                <w:szCs w:val="18"/>
                <w:color w:val="auto"/>
                <w:w w:val="96"/>
              </w:rPr>
              <w:t>0.01</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Acquisition/integration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left="577"/>
              <w:spacing w:after="0"/>
              <w:rPr>
                <w:sz w:val="20"/>
                <w:szCs w:val="20"/>
                <w:color w:val="auto"/>
              </w:rPr>
            </w:pPr>
            <w:r>
              <w:rPr>
                <w:rFonts w:ascii="Arial" w:cs="Arial" w:eastAsia="Arial" w:hAnsi="Arial"/>
                <w:sz w:val="18"/>
                <w:szCs w:val="18"/>
                <w:color w:val="auto"/>
                <w:w w:val="96"/>
              </w:rPr>
              <w:t>0.01</w:t>
            </w:r>
          </w:p>
        </w:tc>
      </w:tr>
      <w:tr>
        <w:trPr>
          <w:trHeight w:val="33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75"/>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Tax</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15"/>
                <w:szCs w:val="15"/>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Effect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Effect</w:t>
            </w:r>
          </w:p>
        </w:tc>
      </w:tr>
      <w:tr>
        <w:trPr>
          <w:trHeight w:val="27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Restructuring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15,570</w:t>
            </w:r>
          </w:p>
        </w:tc>
        <w:tc>
          <w:tcPr>
            <w:tcW w:w="12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10,666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577"/>
              <w:spacing w:after="0"/>
              <w:rPr>
                <w:sz w:val="20"/>
                <w:szCs w:val="20"/>
                <w:color w:val="auto"/>
              </w:rPr>
            </w:pPr>
            <w:r>
              <w:rPr>
                <w:rFonts w:ascii="Arial" w:cs="Arial" w:eastAsia="Arial" w:hAnsi="Arial"/>
                <w:sz w:val="18"/>
                <w:szCs w:val="18"/>
                <w:color w:val="auto"/>
                <w:w w:val="96"/>
              </w:rPr>
              <w:t>0.34</w:t>
            </w:r>
          </w:p>
        </w:tc>
      </w:tr>
      <w:tr>
        <w:trPr>
          <w:trHeight w:val="27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Foreign currency revaluation (gains)/losses</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center"/>
              <w:ind w:left="557"/>
              <w:spacing w:after="0"/>
              <w:rPr>
                <w:sz w:val="20"/>
                <w:szCs w:val="20"/>
                <w:color w:val="auto"/>
              </w:rPr>
            </w:pPr>
            <w:r>
              <w:rPr>
                <w:rFonts w:ascii="Arial" w:cs="Arial" w:eastAsia="Arial" w:hAnsi="Arial"/>
                <w:sz w:val="18"/>
                <w:szCs w:val="18"/>
                <w:color w:val="auto"/>
              </w:rPr>
              <w:t>(0.01)</w:t>
            </w:r>
          </w:p>
        </w:tc>
      </w:tr>
      <w:tr>
        <w:trPr>
          <w:trHeight w:val="27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Pension settlement/curtailment charge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center"/>
              <w:ind w:left="577"/>
              <w:spacing w:after="0"/>
              <w:rPr>
                <w:sz w:val="20"/>
                <w:szCs w:val="20"/>
                <w:color w:val="auto"/>
              </w:rPr>
            </w:pPr>
            <w:r>
              <w:rPr>
                <w:rFonts w:ascii="Arial" w:cs="Arial" w:eastAsia="Arial" w:hAnsi="Arial"/>
                <w:sz w:val="18"/>
                <w:szCs w:val="18"/>
                <w:color w:val="auto"/>
                <w:w w:val="96"/>
              </w:rPr>
              <w:t>0.04</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contains the calculation of full-year Adjusted EPS, excluding adjustments:</w:t>
      </w:r>
    </w:p>
    <w:p>
      <w:pPr>
        <w:spacing w:after="0" w:line="14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Per share amounts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26035</wp:posOffset>
            </wp:positionV>
            <wp:extent cx="2811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51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per share (GAAP)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 after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expenses,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revaluation (gains)/losses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Former CEO termination costs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Pension settlement/curtailment charge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Acquisition/integration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earnings per share (non-GAAP)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contains the calculation of net debt:</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25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maturities of long-term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debt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debt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89"/>
        </w:trPr>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64"/>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540"/>
        </w:trPr>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61"/>
        </w:trPr>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9"/>
        </w:trPr>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0"/>
        </w:trPr>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37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63"/>
        </w:trPr>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0"/>
        </w:trPr>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398,000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424,009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523,707</w:t>
            </w:r>
          </w:p>
        </w:tc>
      </w:tr>
      <w:tr>
        <w:trPr>
          <w:trHeight w:val="250"/>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398,009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524,931</w:t>
            </w:r>
          </w:p>
        </w:tc>
      </w:tr>
      <w:tr>
        <w:trPr>
          <w:trHeight w:val="270"/>
        </w:trPr>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241,316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195,540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197,755</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301" w:right="339" w:bottom="1440" w:gutter="0" w:footer="0" w:header="0"/>
          <w:type w:val="continuous"/>
        </w:sectPr>
      </w:pPr>
    </w:p>
    <w:p>
      <w:pPr>
        <w:spacing w:after="0" w:line="1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ectPr>
          <w:pgSz w:w="11900" w:h="16838" w:orient="portrait"/>
          <w:cols w:equalWidth="0" w:num="1">
            <w:col w:w="11240"/>
          </w:cols>
          <w:pgMar w:left="320" w:top="3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$650.1 million. The potential loss in fair value resulting from a hypothetical 10 percent adverse change in quoted foreign currency exchange rates amounts to $65.0 million. Furthermore, related to foreign currency transactions, we have exposure to various nonfunctional currency balances totaling $88.2 million. This amount includes, on an absolute basis, exposures to assets and liabilities held in currencies other than our local entity’s functional currency. On a net basis, we had $55.4 million of foreign currency assets as of December 31, 2020. As currency rates change, these nonfunctional currency balances are revalued, and the corresponding adjustment is recorded in the income statement. A hypothetical change of 10 percent in currency rates could result in an adjustment to the income statement of approximately $5.5 million. Actual results may differ.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December 31, 2020, we had the following variable rate debt: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800" w:type="dxa"/>
            <w:vAlign w:val="bottom"/>
          </w:tcPr>
          <w:p>
            <w:pPr>
              <w:spacing w:after="0"/>
              <w:rPr>
                <w:sz w:val="20"/>
                <w:szCs w:val="20"/>
                <w:color w:val="auto"/>
              </w:rPr>
            </w:pPr>
            <w:r>
              <w:rPr>
                <w:rFonts w:ascii="Arial" w:cs="Arial" w:eastAsia="Arial" w:hAnsi="Arial"/>
                <w:sz w:val="14"/>
                <w:szCs w:val="14"/>
                <w:b w:val="1"/>
                <w:bCs w:val="1"/>
                <w:u w:val="single" w:color="auto"/>
                <w:color w:val="auto"/>
              </w:rPr>
              <w:t>(in thousands, except interest rates)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98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9"/>
        </w:trPr>
        <w:tc>
          <w:tcPr>
            <w:tcW w:w="9800" w:type="dxa"/>
            <w:vAlign w:val="bottom"/>
          </w:tcPr>
          <w:p>
            <w:pPr>
              <w:spacing w:after="0"/>
              <w:rPr>
                <w:sz w:val="20"/>
                <w:szCs w:val="20"/>
                <w:color w:val="auto"/>
              </w:rPr>
            </w:pPr>
            <w:r>
              <w:rPr>
                <w:rFonts w:ascii="Arial" w:cs="Arial" w:eastAsia="Arial" w:hAnsi="Arial"/>
                <w:sz w:val="18"/>
                <w:szCs w:val="18"/>
                <w:color w:val="auto"/>
              </w:rPr>
              <w:t>Credit agreement with borrowings outstanding, net of fixed rate portion, at an end of period interest rate of 1.775% in 2020,</w:t>
            </w: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44"/>
        </w:trPr>
        <w:tc>
          <w:tcPr>
            <w:tcW w:w="9800" w:type="dxa"/>
            <w:vAlign w:val="bottom"/>
          </w:tcPr>
          <w:p>
            <w:pPr>
              <w:spacing w:after="0"/>
              <w:rPr>
                <w:sz w:val="20"/>
                <w:szCs w:val="20"/>
                <w:color w:val="auto"/>
              </w:rPr>
            </w:pPr>
            <w:r>
              <w:rPr>
                <w:rFonts w:ascii="Arial" w:cs="Arial" w:eastAsia="Arial" w:hAnsi="Arial"/>
                <w:sz w:val="18"/>
                <w:szCs w:val="18"/>
                <w:color w:val="auto"/>
              </w:rPr>
              <w:t>due in 2024</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48,000</w:t>
            </w:r>
          </w:p>
        </w:tc>
      </w:tr>
      <w:tr>
        <w:trPr>
          <w:trHeight w:val="270"/>
        </w:trPr>
        <w:tc>
          <w:tcPr>
            <w:tcW w:w="98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0</wp:posOffset>
            </wp:positionV>
            <wp:extent cx="9004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9004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16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$ 0.5 million. To manage interest rate risk, we may periodically enter into interest rate swap agreements to effectively fix the interest rates on variable debt to a specific rate for a period of time. (See Note 18 of the Consolidated Financial Statements, included under Item 8 of this Form 10-K, which is incorporated herein).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78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20" w:type="dxa"/>
            <w:vAlign w:val="bottom"/>
          </w:tcPr>
          <w:p>
            <w:pPr>
              <w:spacing w:after="0"/>
              <w:rPr>
                <w:sz w:val="20"/>
                <w:szCs w:val="20"/>
                <w:color w:val="auto"/>
              </w:rPr>
            </w:pPr>
          </w:p>
        </w:tc>
      </w:tr>
      <w:tr>
        <w:trPr>
          <w:trHeight w:val="392"/>
        </w:trPr>
        <w:tc>
          <w:tcPr>
            <w:tcW w:w="978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220" w:type="dxa"/>
            <w:vAlign w:val="bottom"/>
          </w:tcPr>
          <w:p>
            <w:pPr>
              <w:spacing w:after="0"/>
              <w:rPr>
                <w:sz w:val="24"/>
                <w:szCs w:val="24"/>
                <w:color w:val="auto"/>
              </w:rPr>
            </w:pPr>
          </w:p>
        </w:tc>
      </w:tr>
      <w:tr>
        <w:trPr>
          <w:trHeight w:val="351"/>
        </w:trPr>
        <w:tc>
          <w:tcPr>
            <w:tcW w:w="978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Reports of Independent Registered Public Accounting Firm</w:t>
              </w:r>
            </w:hyperlink>
          </w:p>
        </w:tc>
        <w:tc>
          <w:tcPr>
            <w:tcW w:w="12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46</w:t>
              </w:r>
            </w:hyperlink>
          </w:p>
        </w:tc>
      </w:tr>
      <w:tr>
        <w:trPr>
          <w:trHeight w:val="229"/>
        </w:trPr>
        <w:tc>
          <w:tcPr>
            <w:tcW w:w="978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Statements of Income for the years ended December 31, 2020, 2019, and 2018</w:t>
              </w:r>
            </w:hyperlink>
          </w:p>
        </w:tc>
        <w:tc>
          <w:tcPr>
            <w:tcW w:w="122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230"/>
        </w:trPr>
        <w:tc>
          <w:tcPr>
            <w:tcW w:w="978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Comprehensive Income for the years ended December 31, 2020, 2019, and 2018</w:t>
              </w:r>
            </w:hyperlink>
          </w:p>
        </w:tc>
        <w:tc>
          <w:tcPr>
            <w:tcW w:w="12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r>
      <w:tr>
        <w:trPr>
          <w:trHeight w:val="229"/>
        </w:trPr>
        <w:tc>
          <w:tcPr>
            <w:tcW w:w="978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Balance Sheets as of December 31, 2020 and 2019</w:t>
              </w:r>
            </w:hyperlink>
          </w:p>
        </w:tc>
        <w:tc>
          <w:tcPr>
            <w:tcW w:w="12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30"/>
        </w:trPr>
        <w:tc>
          <w:tcPr>
            <w:tcW w:w="978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Cash Flows for the years ended December 31, 2020, 2019, and 2018</w:t>
              </w:r>
            </w:hyperlink>
          </w:p>
        </w:tc>
        <w:tc>
          <w:tcPr>
            <w:tcW w:w="12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29"/>
        </w:trPr>
        <w:tc>
          <w:tcPr>
            <w:tcW w:w="978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Notes to Consolidated Financial Statements</w:t>
              </w:r>
            </w:hyperlink>
          </w:p>
        </w:tc>
        <w:tc>
          <w:tcPr>
            <w:tcW w:w="122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Albany International 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color w:val="auto"/>
        </w:rPr>
        <w:t>We have audited the accompanying consolidated balance sheets of Albany International Corp. and subsidiaries (the Company) as of December 31, 2020 and 2019, the related consolidated statements of income, comprehensive income, and cash flows for each of the years in the three-year period ended December 31, 2020,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204" w:lineRule="exact"/>
        <w:rPr>
          <w:sz w:val="20"/>
          <w:szCs w:val="20"/>
          <w:color w:val="auto"/>
        </w:rPr>
      </w:pPr>
    </w:p>
    <w:p>
      <w:pPr>
        <w:jc w:val="both"/>
        <w:ind w:right="180"/>
        <w:spacing w:after="0" w:line="21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25,</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effectiveness of the Company’s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43" w:lineRule="exact"/>
        <w:rPr>
          <w:sz w:val="20"/>
          <w:szCs w:val="20"/>
          <w:color w:val="auto"/>
        </w:rPr>
      </w:pPr>
    </w:p>
    <w:p>
      <w:pPr>
        <w:jc w:val="both"/>
        <w:ind w:right="40"/>
        <w:spacing w:after="0" w:line="21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43"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ind w:left="420" w:right="340"/>
        <w:spacing w:after="0" w:line="267" w:lineRule="auto"/>
        <w:rPr>
          <w:sz w:val="20"/>
          <w:szCs w:val="20"/>
          <w:color w:val="auto"/>
        </w:rPr>
      </w:pPr>
      <w:r>
        <w:rPr>
          <w:rFonts w:ascii="Arial" w:cs="Arial" w:eastAsia="Arial" w:hAnsi="Arial"/>
          <w:sz w:val="18"/>
          <w:szCs w:val="18"/>
          <w:i w:val="1"/>
          <w:iCs w:val="1"/>
          <w:color w:val="auto"/>
        </w:rPr>
        <w:t>Evaluation of estimated total contract costs at completion for Albany Engineered Composites revenue recognition for certain firm-fixed-price contracts</w:t>
      </w:r>
    </w:p>
    <w:p>
      <w:pPr>
        <w:spacing w:after="0" w:line="205" w:lineRule="exact"/>
        <w:rPr>
          <w:sz w:val="20"/>
          <w:szCs w:val="20"/>
          <w:color w:val="auto"/>
        </w:rPr>
      </w:pPr>
    </w:p>
    <w:p>
      <w:pPr>
        <w:ind w:left="420" w:right="280"/>
        <w:spacing w:after="0" w:line="238" w:lineRule="auto"/>
        <w:rPr>
          <w:sz w:val="20"/>
          <w:szCs w:val="20"/>
          <w:color w:val="auto"/>
        </w:rPr>
      </w:pPr>
      <w:r>
        <w:rPr>
          <w:rFonts w:ascii="Arial" w:cs="Arial" w:eastAsia="Arial" w:hAnsi="Arial"/>
          <w:sz w:val="18"/>
          <w:szCs w:val="18"/>
          <w:color w:val="auto"/>
        </w:rPr>
        <w:t>As discussed in Note 2 to the consolidated financial statements, a portion of the Albany Engineered Composites (AEC) segment revenue is earned under short duration, firm-fixed-price orders that are placed under definitive agreements, with revenue recognized over time as costs are incurred. Under the cost-to-cost measure of progress, the extent of progress toward completion is measured based on the ratio of costs incurred to date to the total estimated costs at completion of the performance obligation. Revenue is recorded proportionally as costs are incurred.</w:t>
      </w:r>
    </w:p>
    <w:p>
      <w:pPr>
        <w:spacing w:after="0" w:line="229" w:lineRule="exact"/>
        <w:rPr>
          <w:sz w:val="20"/>
          <w:szCs w:val="20"/>
          <w:color w:val="auto"/>
        </w:rPr>
      </w:pPr>
    </w:p>
    <w:p>
      <w:pPr>
        <w:ind w:left="420" w:right="220"/>
        <w:spacing w:after="0"/>
        <w:rPr>
          <w:sz w:val="20"/>
          <w:szCs w:val="20"/>
          <w:color w:val="auto"/>
        </w:rPr>
      </w:pPr>
      <w:r>
        <w:rPr>
          <w:rFonts w:ascii="Arial" w:cs="Arial" w:eastAsia="Arial" w:hAnsi="Arial"/>
          <w:sz w:val="18"/>
          <w:szCs w:val="18"/>
          <w:color w:val="auto"/>
        </w:rPr>
        <w:t>We identified the evaluation of estimated total contract costs at completion for AEC revenue recognition for certain firm-fixed-price contracts as a critical audit matter. A high degree of auditor judgment was required to evaluate the estimates of total contract costs at completion because of the varied nature and inherent complexities of the contractual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right="140"/>
        <w:spacing w:after="0" w:line="23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AEC revenue process. This included controls related to developing forecasted estimated total contract costs. For certain contracts, we compared the Company’s historical estimates of costs to actual costs incurred to assess the Company’s ability to estimate accurately. We read relevant agreements, including amendments, and inquired of financial and operational personnel of the Company to identify factors that should be considered within the cost to complete estimates. We inspected the Company’s analysis of the contracts’ status, including forecasted costs, which we compared against historical costs.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Albany International Corp.: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57"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 xml:space="preserve">We have audited Albany International Corp. 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and cash flows for each of the years in the three-year period ended December 31, 2020, and the related notes and financial statement Schedule II – Valuation and Qualifying Accounts (collectively, the consolidated financial statements), and our report dated February 25, 2021 expressed an unqualified opinion on those consolidated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7"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7"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60" w:type="dxa"/>
            <w:vAlign w:val="bottom"/>
          </w:tcPr>
          <w:p>
            <w:pPr>
              <w:jc w:val="center"/>
              <w:ind w:left="4350"/>
              <w:spacing w:after="0"/>
              <w:rPr>
                <w:sz w:val="20"/>
                <w:szCs w:val="20"/>
                <w:color w:val="auto"/>
              </w:rPr>
            </w:pPr>
            <w:r>
              <w:rPr>
                <w:rFonts w:ascii="Arial" w:cs="Arial" w:eastAsia="Arial" w:hAnsi="Arial"/>
                <w:sz w:val="18"/>
                <w:szCs w:val="18"/>
                <w:b w:val="1"/>
                <w:bCs w:val="1"/>
                <w:color w:val="auto"/>
                <w:w w:val="99"/>
              </w:rPr>
              <w:t>Albany International Corp.</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8280" w:type="dxa"/>
            <w:vAlign w:val="bottom"/>
            <w:gridSpan w:val="4"/>
          </w:tcPr>
          <w:p>
            <w:pPr>
              <w:jc w:val="center"/>
              <w:ind w:left="2850"/>
              <w:spacing w:after="0"/>
              <w:rPr>
                <w:sz w:val="20"/>
                <w:szCs w:val="20"/>
                <w:color w:val="auto"/>
              </w:rPr>
            </w:pPr>
            <w:r>
              <w:rPr>
                <w:rFonts w:ascii="Arial" w:cs="Arial" w:eastAsia="Arial" w:hAnsi="Arial"/>
                <w:sz w:val="18"/>
                <w:szCs w:val="18"/>
                <w:b w:val="1"/>
                <w:bCs w:val="1"/>
                <w:color w:val="auto"/>
                <w:w w:val="98"/>
              </w:rPr>
              <w:t>CONSOLIDATED STATEMENTS OF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jc w:val="center"/>
              <w:ind w:left="3950"/>
              <w:spacing w:after="0"/>
              <w:rPr>
                <w:sz w:val="20"/>
                <w:szCs w:val="20"/>
                <w:color w:val="auto"/>
              </w:rPr>
            </w:pPr>
            <w:r>
              <w:rPr>
                <w:rFonts w:ascii="Arial" w:cs="Arial" w:eastAsia="Arial" w:hAnsi="Arial"/>
                <w:sz w:val="18"/>
                <w:szCs w:val="18"/>
                <w:b w:val="1"/>
                <w:bCs w:val="1"/>
                <w:color w:val="auto"/>
                <w:w w:val="99"/>
              </w:rPr>
              <w:t>For the years ended December 31,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80" w:type="dxa"/>
            <w:vAlign w:val="bottom"/>
            <w:gridSpan w:val="4"/>
          </w:tcPr>
          <w:p>
            <w:pPr>
              <w:jc w:val="center"/>
              <w:ind w:left="283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900,610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1,054,132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982,479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529,538</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656,431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632,730</w:t>
            </w:r>
          </w:p>
        </w:tc>
        <w:tc>
          <w:tcPr>
            <w:tcW w:w="0" w:type="dxa"/>
            <w:vAlign w:val="bottom"/>
          </w:tcPr>
          <w:p>
            <w:pPr>
              <w:spacing w:after="0"/>
              <w:rPr>
                <w:sz w:val="1"/>
                <w:szCs w:val="1"/>
                <w:color w:val="auto"/>
              </w:rPr>
            </w:pPr>
          </w:p>
        </w:tc>
      </w:tr>
      <w:tr>
        <w:trPr>
          <w:trHeight w:val="250"/>
        </w:trPr>
        <w:tc>
          <w:tcPr>
            <w:tcW w:w="67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371,072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349,749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163,909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156,189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Technical and research expenses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35,347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40,582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Restructuring expenses, net</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w:t>
            </w:r>
          </w:p>
        </w:tc>
        <w:tc>
          <w:tcPr>
            <w:tcW w:w="0" w:type="dxa"/>
            <w:vAlign w:val="bottom"/>
          </w:tcPr>
          <w:p>
            <w:pPr>
              <w:spacing w:after="0"/>
              <w:rPr>
                <w:sz w:val="1"/>
                <w:szCs w:val="1"/>
                <w:color w:val="auto"/>
              </w:rPr>
            </w:pPr>
          </w:p>
        </w:tc>
      </w:tr>
      <w:tr>
        <w:trPr>
          <w:trHeight w:val="250"/>
        </w:trPr>
        <w:tc>
          <w:tcPr>
            <w:tcW w:w="676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166,080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137,408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16,332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20,242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50"/>
        </w:trPr>
        <w:tc>
          <w:tcPr>
            <w:tcW w:w="676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178,212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115,247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41,831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83,019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Net income/(loss) attributable to the noncontrolling interest</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Company shareholders — Basic</w:t>
            </w: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760" w:type="dxa"/>
            <w:vAlign w:val="bottom"/>
            <w:vMerge w:val="continue"/>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Earnings per share attributable to Company shareholders — Diluted</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540"/>
        </w:trPr>
        <w:tc>
          <w:tcPr>
            <w:tcW w:w="6760" w:type="dxa"/>
            <w:vAlign w:val="bottom"/>
          </w:tcPr>
          <w:p>
            <w:pPr>
              <w:spacing w:after="0"/>
              <w:rPr>
                <w:sz w:val="20"/>
                <w:szCs w:val="20"/>
                <w:color w:val="auto"/>
              </w:rPr>
            </w:pPr>
            <w:r>
              <w:rPr>
                <w:rFonts w:ascii="Arial" w:cs="Arial" w:eastAsia="Arial" w:hAnsi="Arial"/>
                <w:sz w:val="18"/>
                <w:szCs w:val="18"/>
                <w:color w:val="auto"/>
              </w:rPr>
              <w:t>Dividends declared per share, Class A and Class B</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0.77</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60" w:type="dxa"/>
            <w:vAlign w:val="bottom"/>
          </w:tcPr>
          <w:p>
            <w:pPr>
              <w:jc w:val="center"/>
              <w:ind w:left="4350"/>
              <w:spacing w:after="0"/>
              <w:rPr>
                <w:sz w:val="20"/>
                <w:szCs w:val="20"/>
                <w:color w:val="auto"/>
              </w:rPr>
            </w:pPr>
            <w:r>
              <w:rPr>
                <w:rFonts w:ascii="Arial" w:cs="Arial" w:eastAsia="Arial" w:hAnsi="Arial"/>
                <w:sz w:val="18"/>
                <w:szCs w:val="18"/>
                <w:b w:val="1"/>
                <w:bCs w:val="1"/>
                <w:color w:val="auto"/>
                <w:w w:val="99"/>
              </w:rPr>
              <w:t>Albany International Corp.</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49"/>
        </w:trPr>
        <w:tc>
          <w:tcPr>
            <w:tcW w:w="8300" w:type="dxa"/>
            <w:vAlign w:val="bottom"/>
            <w:gridSpan w:val="5"/>
          </w:tcPr>
          <w:p>
            <w:pPr>
              <w:jc w:val="center"/>
              <w:ind w:left="281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160" w:type="dxa"/>
            <w:vAlign w:val="bottom"/>
            <w:gridSpan w:val="2"/>
          </w:tcPr>
          <w:p>
            <w:pPr>
              <w:jc w:val="center"/>
              <w:ind w:left="3950"/>
              <w:spacing w:after="0"/>
              <w:rPr>
                <w:sz w:val="20"/>
                <w:szCs w:val="20"/>
                <w:color w:val="auto"/>
              </w:rPr>
            </w:pPr>
            <w:r>
              <w:rPr>
                <w:rFonts w:ascii="Arial" w:cs="Arial" w:eastAsia="Arial" w:hAnsi="Arial"/>
                <w:sz w:val="18"/>
                <w:szCs w:val="18"/>
                <w:b w:val="1"/>
                <w:bCs w:val="1"/>
                <w:color w:val="auto"/>
                <w:w w:val="99"/>
              </w:rPr>
              <w:t>For the years ended December 31,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9"/>
        </w:trPr>
        <w:tc>
          <w:tcPr>
            <w:tcW w:w="6760" w:type="dxa"/>
            <w:vAlign w:val="bottom"/>
          </w:tcPr>
          <w:p>
            <w:pPr>
              <w:jc w:val="center"/>
              <w:ind w:left="4350"/>
              <w:spacing w:after="0"/>
              <w:rPr>
                <w:sz w:val="20"/>
                <w:szCs w:val="20"/>
                <w:color w:val="auto"/>
              </w:rPr>
            </w:pPr>
            <w:r>
              <w:rPr>
                <w:rFonts w:ascii="Arial" w:cs="Arial" w:eastAsia="Arial" w:hAnsi="Arial"/>
                <w:sz w:val="18"/>
                <w:szCs w:val="18"/>
                <w:b w:val="1"/>
                <w:bCs w:val="1"/>
                <w:color w:val="auto"/>
                <w:w w:val="99"/>
              </w:rPr>
              <w:t>(in thousands)</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6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50"/>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97,243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133,383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83,019</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income/(loss), before tax:</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97"/>
        </w:trPr>
        <w:tc>
          <w:tcPr>
            <w:tcW w:w="6760" w:type="dxa"/>
            <w:vAlign w:val="bottom"/>
          </w:tcPr>
          <w:p>
            <w:pPr>
              <w:ind w:left="200"/>
              <w:spacing w:after="0"/>
              <w:rPr>
                <w:sz w:val="20"/>
                <w:szCs w:val="20"/>
                <w:color w:val="auto"/>
              </w:rPr>
            </w:pPr>
            <w:r>
              <w:rPr>
                <w:rFonts w:ascii="Arial" w:cs="Arial" w:eastAsia="Arial" w:hAnsi="Arial"/>
                <w:sz w:val="18"/>
                <w:szCs w:val="18"/>
                <w:color w:val="auto"/>
              </w:rPr>
              <w:t>Foreign currency translation and other adjustments</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38,927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(27,383)</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Pension settlements and curtailments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Pension/postretirement plan remeasurement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13,407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43"/>
        </w:trPr>
        <w:tc>
          <w:tcPr>
            <w:tcW w:w="6760" w:type="dxa"/>
            <w:vAlign w:val="bottom"/>
          </w:tcPr>
          <w:p>
            <w:pPr>
              <w:ind w:left="200"/>
              <w:spacing w:after="0"/>
              <w:rPr>
                <w:sz w:val="20"/>
                <w:szCs w:val="20"/>
                <w:color w:val="auto"/>
              </w:rPr>
            </w:pPr>
            <w:r>
              <w:rPr>
                <w:rFonts w:ascii="Arial" w:cs="Arial" w:eastAsia="Arial" w:hAnsi="Arial"/>
                <w:sz w:val="18"/>
                <w:szCs w:val="18"/>
                <w:color w:val="auto"/>
              </w:rPr>
              <w:t>Amortization of pension and postretirement liability adjustments: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97"/>
        </w:trPr>
        <w:tc>
          <w:tcPr>
            <w:tcW w:w="6760" w:type="dxa"/>
            <w:vAlign w:val="bottom"/>
          </w:tcPr>
          <w:p>
            <w:pPr>
              <w:ind w:left="460"/>
              <w:spacing w:after="0"/>
              <w:rPr>
                <w:sz w:val="20"/>
                <w:szCs w:val="20"/>
                <w:color w:val="auto"/>
              </w:rPr>
            </w:pPr>
            <w:r>
              <w:rPr>
                <w:rFonts w:ascii="Arial" w:cs="Arial" w:eastAsia="Arial" w:hAnsi="Arial"/>
                <w:sz w:val="18"/>
                <w:szCs w:val="18"/>
                <w:color w:val="auto"/>
              </w:rPr>
              <w:t>Prior service credit</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(4,474)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(4,454)</w:t>
            </w:r>
          </w:p>
        </w:tc>
      </w:tr>
      <w:tr>
        <w:trPr>
          <w:trHeight w:val="270"/>
        </w:trPr>
        <w:tc>
          <w:tcPr>
            <w:tcW w:w="6760" w:type="dxa"/>
            <w:vAlign w:val="bottom"/>
          </w:tcPr>
          <w:p>
            <w:pPr>
              <w:ind w:left="460"/>
              <w:spacing w:after="0"/>
              <w:rPr>
                <w:sz w:val="20"/>
                <w:szCs w:val="20"/>
                <w:color w:val="auto"/>
              </w:rPr>
            </w:pPr>
            <w:r>
              <w:rPr>
                <w:rFonts w:ascii="Arial" w:cs="Arial" w:eastAsia="Arial" w:hAnsi="Arial"/>
                <w:sz w:val="18"/>
                <w:szCs w:val="18"/>
                <w:color w:val="auto"/>
              </w:rPr>
              <w:t>Net actuarial loss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5,175</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Payments and amortization related to interest rate swaps included in earnings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3,982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Derivative valuation adjustment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(12,622)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3,832</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Income taxes related to items of other comprehensive income/(loss):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97"/>
        </w:trPr>
        <w:tc>
          <w:tcPr>
            <w:tcW w:w="6760" w:type="dxa"/>
            <w:vAlign w:val="bottom"/>
          </w:tcPr>
          <w:p>
            <w:pPr>
              <w:ind w:left="200"/>
              <w:spacing w:after="0"/>
              <w:rPr>
                <w:sz w:val="20"/>
                <w:szCs w:val="20"/>
                <w:color w:val="auto"/>
              </w:rPr>
            </w:pPr>
            <w:r>
              <w:rPr>
                <w:rFonts w:ascii="Arial" w:cs="Arial" w:eastAsia="Arial" w:hAnsi="Arial"/>
                <w:sz w:val="18"/>
                <w:szCs w:val="18"/>
                <w:color w:val="auto"/>
              </w:rPr>
              <w:t>Pension settlements and curtailments</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Pension/postretirement plan remeasurement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(3,017)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Amortization of pension and postretirement liability adjustments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Payments and amortization related to interest rate swaps included in earnings</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760" w:type="dxa"/>
            <w:vAlign w:val="bottom"/>
          </w:tcPr>
          <w:p>
            <w:pPr>
              <w:ind w:left="200"/>
              <w:spacing w:after="0"/>
              <w:rPr>
                <w:sz w:val="20"/>
                <w:szCs w:val="20"/>
                <w:color w:val="auto"/>
              </w:rPr>
            </w:pPr>
            <w:r>
              <w:rPr>
                <w:rFonts w:ascii="Arial" w:cs="Arial" w:eastAsia="Arial" w:hAnsi="Arial"/>
                <w:sz w:val="18"/>
                <w:szCs w:val="18"/>
                <w:color w:val="auto"/>
              </w:rPr>
              <w:t>Derivative valuation adjustment</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3,259</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250"/>
        </w:trPr>
        <w:tc>
          <w:tcPr>
            <w:tcW w:w="676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140,816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60,532</w:t>
            </w: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Comprehensive income/(loss) attributable to the noncontrolling interest</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Comprehensive income attributable to the Company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141,023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60,421</w:t>
            </w:r>
          </w:p>
        </w:tc>
      </w:tr>
      <w:tr>
        <w:trPr>
          <w:trHeight w:val="21"/>
        </w:trPr>
        <w:tc>
          <w:tcPr>
            <w:tcW w:w="6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28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Albany International Corp.</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828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At December 31,</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8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(in thousands, except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241,316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195,540</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188,423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218,271</w:t>
            </w: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Arial" w:cs="Arial" w:eastAsia="Arial" w:hAnsi="Arial"/>
                <w:sz w:val="18"/>
                <w:szCs w:val="18"/>
                <w:color w:val="auto"/>
              </w:rPr>
              <w:t>Contract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139,289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95,149</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Income taxes prepaid and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39"/>
        </w:trPr>
        <w:tc>
          <w:tcPr>
            <w:tcW w:w="82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0" w:type="dxa"/>
            <w:vAlign w:val="bottom"/>
          </w:tcPr>
          <w:p>
            <w:pPr>
              <w:spacing w:after="0"/>
              <w:rPr>
                <w:sz w:val="1"/>
                <w:szCs w:val="1"/>
                <w:color w:val="auto"/>
              </w:rPr>
            </w:pPr>
          </w:p>
        </w:tc>
      </w:tr>
      <w:tr>
        <w:trPr>
          <w:trHeight w:val="232"/>
        </w:trPr>
        <w:tc>
          <w:tcPr>
            <w:tcW w:w="82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717,276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618,334</w:t>
            </w:r>
          </w:p>
        </w:tc>
        <w:tc>
          <w:tcPr>
            <w:tcW w:w="0" w:type="dxa"/>
            <w:vAlign w:val="bottom"/>
          </w:tcPr>
          <w:p>
            <w:pPr>
              <w:spacing w:after="0"/>
              <w:rPr>
                <w:sz w:val="1"/>
                <w:szCs w:val="1"/>
                <w:color w:val="auto"/>
              </w:rPr>
            </w:pPr>
          </w:p>
        </w:tc>
      </w:tr>
      <w:tr>
        <w:trPr>
          <w:trHeight w:val="265"/>
        </w:trPr>
        <w:tc>
          <w:tcPr>
            <w:tcW w:w="82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448,554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466,462</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Intangibles,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52,892</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187,553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180,934</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51,621</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Noncurrent receivables,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41,234</w:t>
            </w:r>
          </w:p>
        </w:tc>
        <w:tc>
          <w:tcPr>
            <w:tcW w:w="0" w:type="dxa"/>
            <w:vAlign w:val="bottom"/>
          </w:tcPr>
          <w:p>
            <w:pPr>
              <w:spacing w:after="0"/>
              <w:rPr>
                <w:sz w:val="1"/>
                <w:szCs w:val="1"/>
                <w:color w:val="auto"/>
              </w:rPr>
            </w:pPr>
          </w:p>
        </w:tc>
      </w:tr>
      <w:tr>
        <w:trPr>
          <w:trHeight w:val="239"/>
        </w:trPr>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74,662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62,891</w:t>
            </w:r>
          </w:p>
        </w:tc>
        <w:tc>
          <w:tcPr>
            <w:tcW w:w="0" w:type="dxa"/>
            <w:vAlign w:val="bottom"/>
          </w:tcPr>
          <w:p>
            <w:pPr>
              <w:spacing w:after="0"/>
              <w:rPr>
                <w:sz w:val="1"/>
                <w:szCs w:val="1"/>
                <w:color w:val="auto"/>
              </w:rPr>
            </w:pPr>
          </w:p>
        </w:tc>
      </w:tr>
      <w:tr>
        <w:trPr>
          <w:trHeight w:val="223"/>
        </w:trPr>
        <w:tc>
          <w:tcPr>
            <w:tcW w:w="82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1,549,936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1,474,368</w:t>
            </w:r>
          </w:p>
        </w:tc>
        <w:tc>
          <w:tcPr>
            <w:tcW w:w="0" w:type="dxa"/>
            <w:vAlign w:val="bottom"/>
          </w:tcPr>
          <w:p>
            <w:pPr>
              <w:spacing w:after="0"/>
              <w:rPr>
                <w:sz w:val="1"/>
                <w:szCs w:val="1"/>
                <w:color w:val="auto"/>
              </w:rPr>
            </w:pPr>
          </w:p>
        </w:tc>
      </w:tr>
      <w:tr>
        <w:trPr>
          <w:trHeight w:val="21"/>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2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49,173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65,203</w:t>
            </w: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125,885</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82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32"/>
        </w:trPr>
        <w:tc>
          <w:tcPr>
            <w:tcW w:w="82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190,863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202,719</w:t>
            </w:r>
          </w:p>
        </w:tc>
        <w:tc>
          <w:tcPr>
            <w:tcW w:w="0" w:type="dxa"/>
            <w:vAlign w:val="bottom"/>
          </w:tcPr>
          <w:p>
            <w:pPr>
              <w:spacing w:after="0"/>
              <w:rPr>
                <w:sz w:val="1"/>
                <w:szCs w:val="1"/>
                <w:color w:val="auto"/>
              </w:rPr>
            </w:pPr>
          </w:p>
        </w:tc>
      </w:tr>
      <w:tr>
        <w:trPr>
          <w:trHeight w:val="265"/>
        </w:trPr>
        <w:tc>
          <w:tcPr>
            <w:tcW w:w="82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398,000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424,009</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130,424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132,725</w:t>
            </w:r>
          </w:p>
        </w:tc>
        <w:tc>
          <w:tcPr>
            <w:tcW w:w="0" w:type="dxa"/>
            <w:vAlign w:val="bottom"/>
          </w:tcPr>
          <w:p>
            <w:pPr>
              <w:spacing w:after="0"/>
              <w:rPr>
                <w:sz w:val="1"/>
                <w:szCs w:val="1"/>
                <w:color w:val="auto"/>
              </w:rPr>
            </w:pPr>
          </w:p>
        </w:tc>
      </w:tr>
      <w:tr>
        <w:trPr>
          <w:trHeight w:val="239"/>
        </w:trPr>
        <w:tc>
          <w:tcPr>
            <w:tcW w:w="8280" w:type="dxa"/>
            <w:vAlign w:val="bottom"/>
          </w:tcPr>
          <w:p>
            <w:pPr>
              <w:spacing w:after="0"/>
              <w:rPr>
                <w:sz w:val="20"/>
                <w:szCs w:val="20"/>
                <w:color w:val="auto"/>
              </w:rPr>
            </w:pPr>
            <w:r>
              <w:rPr>
                <w:rFonts w:ascii="Arial" w:cs="Arial" w:eastAsia="Arial" w:hAnsi="Arial"/>
                <w:sz w:val="18"/>
                <w:szCs w:val="18"/>
                <w:color w:val="auto"/>
              </w:rPr>
              <w:t>Deferred taxes and other liabilities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23"/>
        </w:trPr>
        <w:tc>
          <w:tcPr>
            <w:tcW w:w="82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730,071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771,679</w:t>
            </w:r>
          </w:p>
        </w:tc>
        <w:tc>
          <w:tcPr>
            <w:tcW w:w="0" w:type="dxa"/>
            <w:vAlign w:val="bottom"/>
          </w:tcPr>
          <w:p>
            <w:pPr>
              <w:spacing w:after="0"/>
              <w:rPr>
                <w:sz w:val="1"/>
                <w:szCs w:val="1"/>
                <w:color w:val="auto"/>
              </w:rPr>
            </w:pPr>
          </w:p>
        </w:tc>
      </w:tr>
      <w:tr>
        <w:trPr>
          <w:trHeight w:val="277"/>
        </w:trPr>
        <w:tc>
          <w:tcPr>
            <w:tcW w:w="82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80" w:type="dxa"/>
            <w:vAlign w:val="bottom"/>
          </w:tcPr>
          <w:p>
            <w:pPr>
              <w:spacing w:after="0"/>
              <w:rPr>
                <w:sz w:val="20"/>
                <w:szCs w:val="20"/>
                <w:color w:val="auto"/>
              </w:rPr>
            </w:pPr>
            <w:r>
              <w:rPr>
                <w:rFonts w:ascii="Arial" w:cs="Arial" w:eastAsia="Arial" w:hAnsi="Arial"/>
                <w:sz w:val="18"/>
                <w:szCs w:val="18"/>
                <w:color w:val="auto"/>
              </w:rPr>
              <w:t>Preferred stock, par value $5.00 per share; authorized 2,000,000 shares; none issued</w:t>
            </w:r>
          </w:p>
        </w:tc>
        <w:tc>
          <w:tcPr>
            <w:tcW w:w="3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8280" w:type="dxa"/>
            <w:vAlign w:val="bottom"/>
          </w:tcPr>
          <w:p>
            <w:pPr>
              <w:spacing w:after="0"/>
              <w:rPr>
                <w:sz w:val="20"/>
                <w:szCs w:val="20"/>
                <w:color w:val="auto"/>
              </w:rPr>
            </w:pPr>
            <w:r>
              <w:rPr>
                <w:rFonts w:ascii="Arial" w:cs="Arial" w:eastAsia="Arial" w:hAnsi="Arial"/>
                <w:sz w:val="18"/>
                <w:szCs w:val="18"/>
                <w:color w:val="auto"/>
              </w:rPr>
              <w:t>Class A Common Stock, par value $.001 per share; authorized 100,000,000 shares;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issued 39,115,405 in 2020 and 39,098,792 in 2019</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2"/>
        </w:trPr>
        <w:tc>
          <w:tcPr>
            <w:tcW w:w="8280" w:type="dxa"/>
            <w:vAlign w:val="bottom"/>
          </w:tcPr>
          <w:p>
            <w:pPr>
              <w:spacing w:after="0"/>
              <w:rPr>
                <w:sz w:val="20"/>
                <w:szCs w:val="20"/>
                <w:color w:val="auto"/>
              </w:rPr>
            </w:pPr>
            <w:r>
              <w:rPr>
                <w:rFonts w:ascii="Arial" w:cs="Arial" w:eastAsia="Arial" w:hAnsi="Arial"/>
                <w:sz w:val="18"/>
                <w:szCs w:val="18"/>
                <w:color w:val="auto"/>
              </w:rPr>
              <w:t>Class B Common Stock, par value $.001 per share; authorized 25,000,000 shares; issued and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outstanding 1,617,998 in 2020 and 2019</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433,696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432,518</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770,746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698,496</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Accumulated items of other comprehensive income: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8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(83,203)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(122,852)</w:t>
            </w:r>
          </w:p>
        </w:tc>
        <w:tc>
          <w:tcPr>
            <w:tcW w:w="0" w:type="dxa"/>
            <w:vAlign w:val="bottom"/>
          </w:tcPr>
          <w:p>
            <w:pPr>
              <w:spacing w:after="0"/>
              <w:rPr>
                <w:sz w:val="1"/>
                <w:szCs w:val="1"/>
                <w:color w:val="auto"/>
              </w:rPr>
            </w:pPr>
          </w:p>
        </w:tc>
      </w:tr>
      <w:tr>
        <w:trPr>
          <w:trHeight w:val="270"/>
        </w:trPr>
        <w:tc>
          <w:tcPr>
            <w:tcW w:w="8280" w:type="dxa"/>
            <w:vAlign w:val="bottom"/>
          </w:tcPr>
          <w:p>
            <w:pPr>
              <w:ind w:left="200"/>
              <w:spacing w:after="0"/>
              <w:rPr>
                <w:sz w:val="20"/>
                <w:szCs w:val="20"/>
                <w:color w:val="auto"/>
              </w:rPr>
            </w:pPr>
            <w:r>
              <w:rPr>
                <w:rFonts w:ascii="Arial" w:cs="Arial" w:eastAsia="Arial" w:hAnsi="Arial"/>
                <w:sz w:val="18"/>
                <w:szCs w:val="18"/>
                <w:color w:val="auto"/>
              </w:rPr>
              <w:t>Pension and postretirement liability adjustments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(39,661)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(49,994)</w:t>
            </w:r>
          </w:p>
        </w:tc>
        <w:tc>
          <w:tcPr>
            <w:tcW w:w="0" w:type="dxa"/>
            <w:vAlign w:val="bottom"/>
          </w:tcPr>
          <w:p>
            <w:pPr>
              <w:spacing w:after="0"/>
              <w:rPr>
                <w:sz w:val="1"/>
                <w:szCs w:val="1"/>
                <w:color w:val="auto"/>
              </w:rPr>
            </w:pPr>
          </w:p>
        </w:tc>
      </w:tr>
      <w:tr>
        <w:trPr>
          <w:trHeight w:val="270"/>
        </w:trPr>
        <w:tc>
          <w:tcPr>
            <w:tcW w:w="8280" w:type="dxa"/>
            <w:vAlign w:val="bottom"/>
          </w:tcPr>
          <w:p>
            <w:pPr>
              <w:ind w:left="200"/>
              <w:spacing w:after="0"/>
              <w:rPr>
                <w:sz w:val="20"/>
                <w:szCs w:val="20"/>
                <w:color w:val="auto"/>
              </w:rPr>
            </w:pPr>
            <w:r>
              <w:rPr>
                <w:rFonts w:ascii="Arial" w:cs="Arial" w:eastAsia="Arial" w:hAnsi="Arial"/>
                <w:sz w:val="18"/>
                <w:szCs w:val="18"/>
                <w:color w:val="auto"/>
              </w:rPr>
              <w:t>Derivative valuation adjustment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Arial" w:cs="Arial" w:eastAsia="Arial" w:hAnsi="Arial"/>
                <w:sz w:val="18"/>
                <w:szCs w:val="18"/>
                <w:color w:val="auto"/>
              </w:rPr>
              <w:t>Treasury stock (Class A), at cost; 8,391,011 shares in 2020 and 8,408,770 shares in 2019</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(256,009)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(256,391)</w:t>
            </w:r>
          </w:p>
        </w:tc>
        <w:tc>
          <w:tcPr>
            <w:tcW w:w="0" w:type="dxa"/>
            <w:vAlign w:val="bottom"/>
          </w:tcPr>
          <w:p>
            <w:pPr>
              <w:spacing w:after="0"/>
              <w:rPr>
                <w:sz w:val="1"/>
                <w:szCs w:val="1"/>
                <w:color w:val="auto"/>
              </w:rPr>
            </w:pPr>
          </w:p>
        </w:tc>
      </w:tr>
      <w:tr>
        <w:trPr>
          <w:trHeight w:val="250"/>
        </w:trPr>
        <w:tc>
          <w:tcPr>
            <w:tcW w:w="8280" w:type="dxa"/>
            <w:vAlign w:val="bottom"/>
          </w:tcPr>
          <w:p>
            <w:pPr>
              <w:ind w:left="460"/>
              <w:spacing w:after="0"/>
              <w:rPr>
                <w:sz w:val="20"/>
                <w:szCs w:val="20"/>
                <w:color w:val="auto"/>
              </w:rPr>
            </w:pPr>
            <w:r>
              <w:rPr>
                <w:rFonts w:ascii="Arial" w:cs="Arial" w:eastAsia="Arial" w:hAnsi="Arial"/>
                <w:sz w:val="18"/>
                <w:szCs w:val="18"/>
                <w:color w:val="auto"/>
              </w:rPr>
              <w:t>Total Company shareholders’ equity</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816,066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698,683</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50"/>
        </w:trPr>
        <w:tc>
          <w:tcPr>
            <w:tcW w:w="828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819,865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702,689</w:t>
            </w:r>
          </w:p>
        </w:tc>
        <w:tc>
          <w:tcPr>
            <w:tcW w:w="0" w:type="dxa"/>
            <w:vAlign w:val="bottom"/>
          </w:tcPr>
          <w:p>
            <w:pPr>
              <w:spacing w:after="0"/>
              <w:rPr>
                <w:sz w:val="1"/>
                <w:szCs w:val="1"/>
                <w:color w:val="auto"/>
              </w:rPr>
            </w:pPr>
          </w:p>
        </w:tc>
      </w:tr>
      <w:tr>
        <w:trPr>
          <w:trHeight w:val="223"/>
        </w:trPr>
        <w:tc>
          <w:tcPr>
            <w:tcW w:w="828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1,549,936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1,474,368</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120" w:type="dxa"/>
            <w:vAlign w:val="bottom"/>
          </w:tcPr>
          <w:p>
            <w:pPr>
              <w:jc w:val="center"/>
              <w:ind w:left="3990"/>
              <w:spacing w:after="0"/>
              <w:rPr>
                <w:sz w:val="20"/>
                <w:szCs w:val="20"/>
                <w:color w:val="auto"/>
              </w:rPr>
            </w:pPr>
            <w:r>
              <w:rPr>
                <w:rFonts w:ascii="Arial" w:cs="Arial" w:eastAsia="Arial" w:hAnsi="Arial"/>
                <w:sz w:val="18"/>
                <w:szCs w:val="18"/>
                <w:b w:val="1"/>
                <w:bCs w:val="1"/>
                <w:color w:val="auto"/>
                <w:w w:val="99"/>
              </w:rPr>
              <w:t>Albany International Corp.</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8520" w:type="dxa"/>
            <w:vAlign w:val="bottom"/>
            <w:gridSpan w:val="4"/>
          </w:tcPr>
          <w:p>
            <w:pPr>
              <w:jc w:val="center"/>
              <w:ind w:left="26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jc w:val="center"/>
              <w:ind w:left="3990"/>
              <w:spacing w:after="0"/>
              <w:rPr>
                <w:sz w:val="20"/>
                <w:szCs w:val="20"/>
                <w:color w:val="auto"/>
              </w:rPr>
            </w:pPr>
            <w:r>
              <w:rPr>
                <w:rFonts w:ascii="Arial" w:cs="Arial" w:eastAsia="Arial" w:hAnsi="Arial"/>
                <w:sz w:val="18"/>
                <w:szCs w:val="18"/>
                <w:b w:val="1"/>
                <w:bCs w:val="1"/>
                <w:color w:val="auto"/>
                <w:w w:val="99"/>
              </w:rPr>
              <w:t>For the years ended December 31,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120" w:type="dxa"/>
            <w:vAlign w:val="bottom"/>
          </w:tcPr>
          <w:p>
            <w:pPr>
              <w:jc w:val="center"/>
              <w:ind w:left="399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97,243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133,383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83,019</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63,328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68,800</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Change in deferred taxes and other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Provision for write-off of property, plant and equipment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Non-cash interest (income)/expense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Write-off of pension liability adjustments due to settlement/curtailment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Compensation and benefits paid or payable in Class A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Provision for credit losses from uncollected receivables and contract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9"/>
        </w:trPr>
        <w:tc>
          <w:tcPr>
            <w:tcW w:w="7120" w:type="dxa"/>
            <w:vAlign w:val="bottom"/>
          </w:tcPr>
          <w:p>
            <w:pPr>
              <w:ind w:left="340"/>
              <w:spacing w:after="0"/>
              <w:rPr>
                <w:sz w:val="20"/>
                <w:szCs w:val="20"/>
                <w:color w:val="auto"/>
              </w:rPr>
            </w:pPr>
            <w:r>
              <w:rPr>
                <w:rFonts w:ascii="Arial" w:cs="Arial" w:eastAsia="Arial" w:hAnsi="Arial"/>
                <w:sz w:val="18"/>
                <w:szCs w:val="18"/>
                <w:color w:val="auto"/>
              </w:rPr>
              <w:t>Foreign currency remeasurement (gain)/loss on intercompany loans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14,246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392"/>
        </w:trPr>
        <w:tc>
          <w:tcPr>
            <w:tcW w:w="71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that provided/(used) cash:</w:t>
            </w:r>
          </w:p>
        </w:tc>
        <w:tc>
          <w:tcPr>
            <w:tcW w:w="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31,522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Contract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Income taxes prepaid and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Noncurrent receivables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39"/>
        </w:trPr>
        <w:tc>
          <w:tcPr>
            <w:tcW w:w="71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4"/>
        </w:trPr>
        <w:tc>
          <w:tcPr>
            <w:tcW w:w="71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140,253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132,485</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340"/>
              <w:spacing w:after="0"/>
              <w:rPr>
                <w:sz w:val="20"/>
                <w:szCs w:val="20"/>
                <w:color w:val="auto"/>
              </w:rPr>
            </w:pPr>
            <w:r>
              <w:rPr>
                <w:rFonts w:ascii="Arial" w:cs="Arial" w:eastAsia="Arial" w:hAnsi="Arial"/>
                <w:sz w:val="18"/>
                <w:szCs w:val="18"/>
                <w:color w:val="auto"/>
              </w:rPr>
              <w:t>Purchase of business, net of cash acquired</w:t>
            </w: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(41,463)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(81,579)</w:t>
            </w:r>
          </w:p>
        </w:tc>
        <w:tc>
          <w:tcPr>
            <w:tcW w:w="0" w:type="dxa"/>
            <w:vAlign w:val="bottom"/>
          </w:tcPr>
          <w:p>
            <w:pPr>
              <w:spacing w:after="0"/>
              <w:rPr>
                <w:sz w:val="1"/>
                <w:szCs w:val="1"/>
                <w:color w:val="auto"/>
              </w:rPr>
            </w:pPr>
          </w:p>
        </w:tc>
      </w:tr>
      <w:tr>
        <w:trPr>
          <w:trHeight w:val="239"/>
        </w:trPr>
        <w:tc>
          <w:tcPr>
            <w:tcW w:w="7120" w:type="dxa"/>
            <w:vAlign w:val="bottom"/>
          </w:tcPr>
          <w:p>
            <w:pPr>
              <w:ind w:left="340"/>
              <w:spacing w:after="0"/>
              <w:rPr>
                <w:sz w:val="20"/>
                <w:szCs w:val="20"/>
                <w:color w:val="auto"/>
              </w:rPr>
            </w:pPr>
            <w:r>
              <w:rPr>
                <w:rFonts w:ascii="Arial" w:cs="Arial" w:eastAsia="Arial" w:hAnsi="Arial"/>
                <w:sz w:val="18"/>
                <w:szCs w:val="18"/>
                <w:color w:val="auto"/>
              </w:rPr>
              <w:t>Purchased software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4"/>
        </w:trPr>
        <w:tc>
          <w:tcPr>
            <w:tcW w:w="71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(42,390)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(82,886)</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20" w:type="dxa"/>
            <w:vAlign w:val="bottom"/>
          </w:tcPr>
          <w:p>
            <w:pPr>
              <w:ind w:left="34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26,031</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8"/>
                <w:szCs w:val="18"/>
                <w:color w:val="auto"/>
              </w:rPr>
              <w:t>Principal payments on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(29,913)</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Principal payments on finance lease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Debt acquisition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Taxes paid in lieu of share issuance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8"/>
                <w:szCs w:val="18"/>
                <w:color w:val="auto"/>
              </w:rPr>
              <w:t>Proceeds from options exercised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9"/>
        </w:trPr>
        <w:tc>
          <w:tcPr>
            <w:tcW w:w="712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(24,568)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(21,926)</w:t>
            </w:r>
          </w:p>
        </w:tc>
        <w:tc>
          <w:tcPr>
            <w:tcW w:w="0" w:type="dxa"/>
            <w:vAlign w:val="bottom"/>
          </w:tcPr>
          <w:p>
            <w:pPr>
              <w:spacing w:after="0"/>
              <w:rPr>
                <w:sz w:val="1"/>
                <w:szCs w:val="1"/>
                <w:color w:val="auto"/>
              </w:rPr>
            </w:pPr>
          </w:p>
        </w:tc>
      </w:tr>
      <w:tr>
        <w:trPr>
          <w:trHeight w:val="223"/>
        </w:trPr>
        <w:tc>
          <w:tcPr>
            <w:tcW w:w="712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(100,307)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23"/>
        </w:trPr>
        <w:tc>
          <w:tcPr>
            <w:tcW w:w="7120" w:type="dxa"/>
            <w:vAlign w:val="bottom"/>
          </w:tcPr>
          <w:p>
            <w:pPr>
              <w:ind w:left="3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14"/>
        </w:trPr>
        <w:tc>
          <w:tcPr>
            <w:tcW w:w="712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45,776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195,540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9280" w:firstLine="8"/>
        <w:spacing w:after="0" w:line="466" w:lineRule="auto"/>
        <w:tabs>
          <w:tab w:leader="none" w:pos="2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Basis of Consolidation</w:t>
      </w:r>
    </w:p>
    <w:p>
      <w:pPr>
        <w:spacing w:after="0" w:line="1" w:lineRule="exact"/>
        <w:rPr>
          <w:sz w:val="20"/>
          <w:szCs w:val="20"/>
          <w:color w:val="auto"/>
        </w:rPr>
      </w:pPr>
    </w:p>
    <w:p>
      <w:pPr>
        <w:ind w:right="40" w:firstLine="405"/>
        <w:spacing w:after="0" w:line="278"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 We have a 50 percent interest in an entity in Russia. The consolidated financial statements include our original investment in the entity, plus our share of undistributed earnings or losses, in the account “Other Assets.”</w:t>
      </w:r>
    </w:p>
    <w:p>
      <w:pPr>
        <w:spacing w:after="0" w:line="158"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The Company owns 90 percent of the common equity of Albany Safran Composites, LLC (ASC) which is reported within the Albany Engineered Composites (AEC) segment. Additional information regarding that entity is included in Note 10.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revenue recognition, contract profitability, allowances for doubtful accounts, rebates and sales allowances, inventory allowances, pension benefits, goodwill and intangible assets, contingencies, income tax related balances,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were not restated and the cumulative effect of initially applying the new standard was recorded as an adjustment to Retained earnings at January 1, 2018. The standard replaces numerous requirements in U.S. GAAP, including industry-specific requirements, and provides companies with a single model for recognizing revenue from contracts with customers. We applied the new accounting standard to contracts which were not completed by December 31, 2017.</w:t>
      </w:r>
    </w:p>
    <w:p>
      <w:pPr>
        <w:spacing w:after="0" w:line="165"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auto"/>
        </w:rPr>
        <w:t>In our Machine Clothing (MC) business segment, we recognize revenue when we satisfy our performance obligations related to the manufacture and delivery of products. In our Albany Engineered Composites (AEC) business segment, revenue from most long-term contracts is recognized over time using an input method as the measure of progress. The classification of revenue in excess of progress billings on long-term contracts is included in Contract assets, net, which are rights to consideration that are conditional on something other than the passage of time, such as completion of remaining performance obligations.</w:t>
      </w:r>
    </w:p>
    <w:p>
      <w:pPr>
        <w:spacing w:after="0" w:line="178"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This contract period may result in a loss contract provision at contract inception. Expected losses on projects include losses on contract options that are probable of exercise, excluding profitable options that often follow.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200" w:lineRule="exact"/>
        <w:rPr>
          <w:sz w:val="20"/>
          <w:szCs w:val="20"/>
          <w:color w:val="auto"/>
        </w:rPr>
      </w:pPr>
    </w:p>
    <w:p>
      <w:pPr>
        <w:spacing w:after="0" w:line="37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We have a contract with a major customer for which revenue is recognized under a cost-plus-fee agreement. We also have fixed price long-term contracts, for which we use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increased AEC operating income by $ 9.9 million and $10.8 million in 2020 and 2019, respectively, and decreased AEC operating income by $ 2.0 million in 2018. The favorable effects in 2020 and 2019 were largely attributable to efficiency improvements during the ramp-up of several programs.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accounting policies related to revenue from contracts with customers are set forth in Note 2.</w:t>
      </w:r>
    </w:p>
    <w:p>
      <w:pPr>
        <w:spacing w:after="0" w:line="185" w:lineRule="exact"/>
        <w:rPr>
          <w:sz w:val="20"/>
          <w:szCs w:val="20"/>
          <w:color w:val="auto"/>
        </w:rPr>
      </w:pPr>
    </w:p>
    <w:p>
      <w:pPr>
        <w:ind w:right="440" w:firstLine="405"/>
        <w:spacing w:after="0" w:line="256" w:lineRule="auto"/>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07"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Administrative, Technical, and Research Expenses</w:t>
      </w:r>
    </w:p>
    <w:p>
      <w:pPr>
        <w:spacing w:after="0" w:line="220"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Selling, general, administrative, and technical expenses are primarily comprised of wages, incentive compensation, benefits, travel, professional fees, revaluation of trade foreign currency balances, and other costs, and are expensed as incurred. Selling expense includes costs related to contract acquisition and provisions for expected credit losses on financial assets measured at amortized cost. Research expenses are charged to operations as incurred and consist primarily of compensation, supplies, and professional fees incurred in connection with intellectual property. Total company research expense was $25.8 million in 2020, $26.9 million in 2019, and $29.8 million in 2018.</w:t>
      </w:r>
    </w:p>
    <w:p>
      <w:pPr>
        <w:spacing w:after="0" w:line="167"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auto"/>
        </w:rPr>
        <w:t>The Albany Engineered Composites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sales, while expenses are included in Cost of goods sold.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may incur expenses related to exiting a line of business or restructuring of our operations,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200" w:lineRule="exact"/>
        <w:rPr>
          <w:sz w:val="20"/>
          <w:szCs w:val="20"/>
          <w:color w:val="auto"/>
        </w:rPr>
      </w:pPr>
    </w:p>
    <w:p>
      <w:pPr>
        <w:spacing w:after="0" w:line="37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6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0"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Basic net income or loss per share is computed using the weighted average number of shares of Class A Common Stock and Class B Common Stock outstanding during each year. Diluted net income per share includes the effect of all potentially dilutive securities. If we report a net loss from continuing operations, the diluted loss is equal to the basic earnings per share calculation.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20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Assets and liabilities of non-U.S. operations are translated at year-end rates of exchange, and the income statement accounts are translated at average exchange rates. Gains or losses resulting from translating non-U.S. currency financial statements into U.S. dollars are recorded in other comprehensive income and accumulated in Shareholders’ equity in the caption “Translation adjustments”.</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Losses/(gains) included in:</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375"/>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9"/>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8"/>
              </w:rPr>
              <w:t>(4,471)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transaction losses/(gains)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8"/>
              </w:rPr>
              <w:t>(3,190)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20" w:firstLine="405"/>
        <w:spacing w:after="0" w:line="261" w:lineRule="auto"/>
        <w:rPr>
          <w:sz w:val="20"/>
          <w:szCs w:val="20"/>
          <w:color w:val="auto"/>
        </w:rPr>
      </w:pPr>
      <w:r>
        <w:rPr>
          <w:rFonts w:ascii="Arial" w:cs="Arial" w:eastAsia="Arial" w:hAnsi="Arial"/>
          <w:sz w:val="18"/>
          <w:szCs w:val="18"/>
          <w:color w:val="auto"/>
        </w:rPr>
        <w:t>The following table presents foreign currency gains on long-term intercompany loans that were recognized in Other comprehensive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Gain (before tax) on long-term intercompany loan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200" w:lineRule="exact"/>
        <w:rPr>
          <w:sz w:val="20"/>
          <w:szCs w:val="20"/>
          <w:color w:val="auto"/>
        </w:rPr>
      </w:pPr>
    </w:p>
    <w:p>
      <w:pPr>
        <w:spacing w:after="0" w:line="371" w:lineRule="exact"/>
        <w:rPr>
          <w:sz w:val="20"/>
          <w:szCs w:val="20"/>
          <w:color w:val="auto"/>
        </w:rPr>
      </w:pPr>
    </w:p>
    <w:p>
      <w:pPr>
        <w:ind w:right="440" w:firstLine="405"/>
        <w:spacing w:after="0" w:line="453" w:lineRule="auto"/>
        <w:rPr>
          <w:sz w:val="20"/>
          <w:szCs w:val="20"/>
          <w:color w:val="auto"/>
        </w:rPr>
      </w:pPr>
      <w:r>
        <w:rPr>
          <w:rFonts w:ascii="Arial" w:cs="Arial" w:eastAsia="Arial" w:hAnsi="Arial"/>
          <w:sz w:val="18"/>
          <w:szCs w:val="18"/>
          <w:color w:val="auto"/>
        </w:rPr>
        <w:t xml:space="preserve">Cash and cash equivalents consist of cash and highly liquid short-term investments with original maturities of three months or less. </w:t>
      </w:r>
      <w:r>
        <w:rPr>
          <w:rFonts w:ascii="Arial" w:cs="Arial" w:eastAsia="Arial" w:hAnsi="Arial"/>
          <w:sz w:val="18"/>
          <w:szCs w:val="18"/>
          <w:b w:val="1"/>
          <w:bCs w:val="1"/>
          <w:color w:val="auto"/>
        </w:rPr>
        <w:t>Accounts Receivable</w:t>
      </w:r>
    </w:p>
    <w:p>
      <w:pPr>
        <w:spacing w:after="0" w:line="2"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auto"/>
        </w:rPr>
        <w:t>Accounts receivable includes trade receivables and bank promissory notes. In connection with certain sales in Asia Pacific, the Company accepts a bank promissory note as customer payment. The notes may be presented for payment at maturity, which is less than one year.</w:t>
      </w:r>
    </w:p>
    <w:p>
      <w:pPr>
        <w:spacing w:after="0" w:line="161" w:lineRule="exact"/>
        <w:rPr>
          <w:sz w:val="20"/>
          <w:szCs w:val="20"/>
          <w:color w:val="auto"/>
        </w:rPr>
      </w:pPr>
    </w:p>
    <w:p>
      <w:pPr>
        <w:jc w:val="both"/>
        <w:ind w:firstLine="405"/>
        <w:spacing w:after="0" w:line="213" w:lineRule="auto"/>
        <w:rPr>
          <w:sz w:val="20"/>
          <w:szCs w:val="20"/>
          <w:color w:val="auto"/>
        </w:rPr>
      </w:pPr>
      <w:r>
        <w:rPr>
          <w:rFonts w:ascii="Arial" w:cs="Arial" w:eastAsia="Arial" w:hAnsi="Arial"/>
          <w:sz w:val="18"/>
          <w:szCs w:val="18"/>
          <w:color w:val="auto"/>
        </w:rPr>
        <w:t>Effective January 1, 2020, the Company adopted the provisions of ASC 326, Current Expected Credit Losses (CECL), using the effective date (or modified retrospective) approach for transition. Under this transition method, periods prior to 2020 were not restated. The pre-tax cumulative effect of initially applying the new standard was an increase in credit loss reserves of $1.8 million, primarily for Accounts receivable and Contract assets. Including tax effects, Retained earnings was reduced by $1.4 million as a result of transitioning to the new standard.</w:t>
      </w:r>
    </w:p>
    <w:p>
      <w:pPr>
        <w:spacing w:after="0" w:line="216" w:lineRule="exact"/>
        <w:rPr>
          <w:sz w:val="20"/>
          <w:szCs w:val="20"/>
          <w:color w:val="auto"/>
        </w:rPr>
      </w:pPr>
    </w:p>
    <w:p>
      <w:pPr>
        <w:ind w:right="60" w:firstLine="405"/>
        <w:spacing w:after="0" w:line="236" w:lineRule="auto"/>
        <w:rPr>
          <w:sz w:val="20"/>
          <w:szCs w:val="20"/>
          <w:color w:val="auto"/>
        </w:rPr>
      </w:pPr>
      <w:r>
        <w:rPr>
          <w:rFonts w:ascii="Arial" w:cs="Arial" w:eastAsia="Arial" w:hAnsi="Arial"/>
          <w:sz w:val="18"/>
          <w:szCs w:val="18"/>
          <w:color w:val="auto"/>
        </w:rPr>
        <w:t>The overarching purpose of the new standard is to provide greater transparency and understanding of the Company’s credit risk. The CECL accounting update replaces the incurred loss impairment methodology under current GAAP with a methodology that reflects expected credit losses and requires consideration of a broader range of reasonable and supportable information to inform credit loss estimates. Under the new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66" w:lineRule="exact"/>
        <w:rPr>
          <w:sz w:val="20"/>
          <w:szCs w:val="20"/>
          <w:color w:val="auto"/>
        </w:rPr>
      </w:pPr>
    </w:p>
    <w:p>
      <w:pPr>
        <w:ind w:right="480" w:firstLine="405"/>
        <w:spacing w:after="0" w:line="291" w:lineRule="auto"/>
        <w:rPr>
          <w:sz w:val="20"/>
          <w:szCs w:val="20"/>
          <w:color w:val="auto"/>
        </w:rPr>
      </w:pPr>
      <w:r>
        <w:rPr>
          <w:rFonts w:ascii="Arial" w:cs="Arial" w:eastAsia="Arial" w:hAnsi="Arial"/>
          <w:sz w:val="17"/>
          <w:szCs w:val="17"/>
          <w:color w:val="auto"/>
        </w:rPr>
        <w:t>The Company also has Noncurrent receivables in the AEC segment that represent revenue earned which have extended payment terms. The Noncurrent receivables will be invoiced to the customer, with 2% interest, over a 10-year period that started in 2020.</w:t>
      </w:r>
    </w:p>
    <w:p>
      <w:pPr>
        <w:spacing w:after="0" w:line="133" w:lineRule="exact"/>
        <w:rPr>
          <w:sz w:val="20"/>
          <w:szCs w:val="20"/>
          <w:color w:val="auto"/>
        </w:rPr>
      </w:pPr>
    </w:p>
    <w:p>
      <w:pPr>
        <w:ind w:right="620" w:firstLine="405"/>
        <w:spacing w:after="0" w:line="461" w:lineRule="auto"/>
        <w:rPr>
          <w:sz w:val="20"/>
          <w:szCs w:val="20"/>
          <w:color w:val="auto"/>
        </w:rPr>
      </w:pPr>
      <w:r>
        <w:rPr>
          <w:rFonts w:ascii="Arial" w:cs="Arial" w:eastAsia="Arial" w:hAnsi="Arial"/>
          <w:sz w:val="18"/>
          <w:szCs w:val="18"/>
          <w:color w:val="auto"/>
        </w:rPr>
        <w:t xml:space="preserve">See additional information, including accounting policies related to our adoption of the CECL update, set forth in Notes 2 and 11. </w:t>
      </w:r>
      <w:r>
        <w:rPr>
          <w:rFonts w:ascii="Arial" w:cs="Arial" w:eastAsia="Arial" w:hAnsi="Arial"/>
          <w:sz w:val="18"/>
          <w:szCs w:val="18"/>
          <w:b w:val="1"/>
          <w:bCs w:val="1"/>
          <w:color w:val="auto"/>
        </w:rPr>
        <w:t>Contract Assets and Contract Liabilities</w:t>
      </w:r>
    </w:p>
    <w:p>
      <w:pPr>
        <w:spacing w:after="0" w:line="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63" w:lineRule="exact"/>
        <w:rPr>
          <w:sz w:val="20"/>
          <w:szCs w:val="20"/>
          <w:color w:val="auto"/>
        </w:rPr>
      </w:pPr>
    </w:p>
    <w:p>
      <w:pPr>
        <w:ind w:right="320" w:firstLine="405"/>
        <w:spacing w:after="0" w:line="461" w:lineRule="auto"/>
        <w:rPr>
          <w:sz w:val="20"/>
          <w:szCs w:val="20"/>
          <w:color w:val="auto"/>
        </w:rPr>
      </w:pPr>
      <w:r>
        <w:rPr>
          <w:rFonts w:ascii="Arial" w:cs="Arial" w:eastAsia="Arial" w:hAnsi="Arial"/>
          <w:sz w:val="18"/>
          <w:szCs w:val="18"/>
          <w:color w:val="auto"/>
        </w:rPr>
        <w:t xml:space="preserve">See additional information, including accounting policies related to our adoption of the CECL update, set forth in Notes 2, 11 and 12. </w:t>
      </w:r>
      <w:r>
        <w:rPr>
          <w:rFonts w:ascii="Arial" w:cs="Arial" w:eastAsia="Arial" w:hAnsi="Arial"/>
          <w:sz w:val="18"/>
          <w:szCs w:val="18"/>
          <w:b w:val="1"/>
          <w:bCs w:val="1"/>
          <w:color w:val="auto"/>
        </w:rPr>
        <w:t>Inventories</w:t>
      </w:r>
    </w:p>
    <w:p>
      <w:pPr>
        <w:spacing w:after="0" w:line="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materials inventory is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additional information set forth in Notes 2 and 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200" w:lineRule="exact"/>
        <w:rPr>
          <w:sz w:val="20"/>
          <w:szCs w:val="20"/>
          <w:color w:val="auto"/>
        </w:rPr>
      </w:pPr>
    </w:p>
    <w:p>
      <w:pPr>
        <w:spacing w:after="0" w:line="371"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Effective January 1, 2019, we adopted the provisions of ASC 842, Leases,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16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new standard is intended to increase transparency and comparability among organizations by requiring the recognition of right of use (“ROU”) assets and lease liabilities on the balance sheet. Most prominent among the changes under the new standard is the recognition of ROU assets and lease liabilities by lessees for those leases classified as operating leases. Under the new standard, disclosures are required to meet the objective of enabling users of financial statements to assess the amount, timing, and uncertainty of cash flows arising from leases. We applied the new accounting standard to leases existing at the date of initial application of January 1, 2019.</w:t>
      </w:r>
    </w:p>
    <w:p>
      <w:pPr>
        <w:spacing w:after="0" w:line="165"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We elected the available package of practical expedients, which permitted us to not reassess under the new standard our prior conclusions about lease identification, lease classification and initial direct costs. We implemented processes and internal controls to enable the preparation of financial information related to this standard.</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The most significant impacts resulting from the adoption of the new standard were the recognition of ROU assets and lease liabilities for operating leases on our balance sheet for our real estate and automobile operating leases, as well as to the derecognition and reassessment of assets and liabilities related to our primary manufacturing facility in Salt Lake City, Utah (SLC lease) which, previously, had been accounted for as a build-to -suit lease with a failed sale-leaseback.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16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financing or operating, with classification affecting the pattern and classification of expense recognition in the income statement. Expenses related to operating leases are recognized on a straight-line basis, while those determined to be financing leases are recognized following a front-loaded expense profile, in which interest and amortization are presented separately in the income statement.</w:t>
      </w:r>
    </w:p>
    <w:p>
      <w:pPr>
        <w:spacing w:after="0" w:line="16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Operating lease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additional information set forth in Note 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07"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78"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were immaterial in 2020 and 2019.</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200" w:lineRule="exact"/>
        <w:rPr>
          <w:sz w:val="20"/>
          <w:szCs w:val="20"/>
          <w:color w:val="auto"/>
        </w:rPr>
      </w:pPr>
    </w:p>
    <w:p>
      <w:pPr>
        <w:spacing w:after="0" w:line="371"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additional information set forth in Note 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220"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Our reportable segments are consistent with our operating segments. See additional information set forth in Note 15.</w:t>
      </w:r>
    </w:p>
    <w:p>
      <w:pPr>
        <w:spacing w:after="0" w:line="161" w:lineRule="exact"/>
        <w:rPr>
          <w:sz w:val="20"/>
          <w:szCs w:val="20"/>
          <w:color w:val="auto"/>
        </w:rPr>
      </w:pPr>
    </w:p>
    <w:p>
      <w:pPr>
        <w:jc w:val="both"/>
        <w:ind w:right="620" w:firstLine="405"/>
        <w:spacing w:after="0" w:line="278" w:lineRule="auto"/>
        <w:rPr>
          <w:sz w:val="20"/>
          <w:szCs w:val="20"/>
          <w:color w:val="auto"/>
        </w:rPr>
      </w:pPr>
      <w:r>
        <w:rPr>
          <w:rFonts w:ascii="Arial" w:cs="Arial" w:eastAsia="Arial" w:hAnsi="Arial"/>
          <w:sz w:val="17"/>
          <w:szCs w:val="17"/>
          <w:color w:val="auto"/>
        </w:rPr>
        <w:t>Intangible assets acquired in a business combination are recognized at fair value and amortized to Cost of goods sold or Selling, general and administrative expenses over the estimated useful lives of the assets. We review amortizable intangible asset groups for impairment whenever events or changes in circumstances indicate that the related carrying amounts may not be recoverable.</w:t>
      </w:r>
    </w:p>
    <w:p>
      <w:pPr>
        <w:spacing w:after="0" w:line="144"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have an investment in a company in Russia that is accounted for under the equity method of accounting and is included in Other assets. We perform regular reviews of the financial condition of the investee to determine if our investment is other than temporarily impaired. If the financial condition of the investee were to no longer support their valuation, we would record an impairment provision.</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16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Included in Other assets is $31.1 million in 2020 and $21.3 million in 2019 for defined benefit pension plans where plan assets exceed the projected benefit obligations. Other assets also includes financial assets of $0.7 million in 2020 and $0.8 million in 2019. See additional information set forth in Note 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have stock-based compensation plans for key employees. No options have been granted since 2002. Unexercised options generally terminate twenty years after the date of grant for all plans, and must be exercised within ten years of retirement. We recognized no stock option expense during 2020, 2019, or 2018 and there are currently no remaining unvested options for which stock-option compensation costs will be recognized in future periods. See information for other stock-based compensation plans in Note 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0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may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 (continued)</w:t>
      </w:r>
    </w:p>
    <w:p>
      <w:pPr>
        <w:spacing w:after="0" w:line="200" w:lineRule="exact"/>
        <w:rPr>
          <w:sz w:val="20"/>
          <w:szCs w:val="20"/>
          <w:color w:val="auto"/>
        </w:rPr>
      </w:pPr>
    </w:p>
    <w:p>
      <w:pPr>
        <w:spacing w:after="0" w:line="37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to reduce the risks associated with the hedged item. To the extent these criteria are not met, we do not use hedge accounting for the derivative.</w:t>
      </w:r>
    </w:p>
    <w:p>
      <w:pPr>
        <w:spacing w:after="0" w:line="157"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All derivative contracts are recorded at fair value, as a net asset or a net liability. Changes in the fair value of the hedge are recorded, net of tax, in other comprehensive income. For transactions that are designated as hedges, we perform an evaluation of the effectiveness of the hedge. We measure the effectiveness of hedging relationships both at inception and on an ongoing basis.</w:t>
      </w:r>
    </w:p>
    <w:p>
      <w:pPr>
        <w:spacing w:after="0" w:line="161"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Translation adjustments.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207"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w:t>
      </w:r>
    </w:p>
    <w:p>
      <w:pPr>
        <w:spacing w:after="0" w:line="161"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have liabilities for postretirement benefits in the U.S. and Canada. Substantially all of the liability relates to the U.S. plan. Effective January 2005, our postretirement benefit plan in the U.S. was closed to new participants, except for certain life insurance benefits. In September 2008, we changed the cost sharing arrangement under this program such that increases in health care costs are the responsibility of plan participants and, in August 2013, we reduced the life insurance benefit for retirees and eliminated that benefit for active employees.</w:t>
      </w:r>
    </w:p>
    <w:p>
      <w:pPr>
        <w:spacing w:after="0" w:line="178"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making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60" w:firstLine="405"/>
        <w:spacing w:after="0" w:line="238" w:lineRule="auto"/>
        <w:rPr>
          <w:sz w:val="20"/>
          <w:szCs w:val="20"/>
          <w:color w:val="auto"/>
        </w:rPr>
      </w:pPr>
      <w:r>
        <w:rPr>
          <w:rFonts w:ascii="Arial" w:cs="Arial" w:eastAsia="Arial" w:hAnsi="Arial"/>
          <w:sz w:val="18"/>
          <w:szCs w:val="18"/>
          <w:color w:val="auto"/>
        </w:rPr>
        <w:t>In December, 2019, an accounting update was issued which removes certain exceptions for recognizing deferred taxes for investments and performing intra-period tax allocations. The update also adds guidance to reduce complexity in certain areas, including recognizing deferred taxes for tax goodwill and allocating taxes to members of a consolidated group. We plan to adopt the new standard as of January 1, 2021 and do not expect it will have a material effect on our financial statements.</w:t>
      </w:r>
    </w:p>
    <w:p>
      <w:pPr>
        <w:spacing w:after="0" w:line="164" w:lineRule="exact"/>
        <w:rPr>
          <w:sz w:val="20"/>
          <w:szCs w:val="20"/>
          <w:color w:val="auto"/>
        </w:rPr>
      </w:pPr>
    </w:p>
    <w:p>
      <w:pPr>
        <w:jc w:val="both"/>
        <w:ind w:firstLine="405"/>
        <w:spacing w:after="0" w:line="215" w:lineRule="auto"/>
        <w:rPr>
          <w:sz w:val="20"/>
          <w:szCs w:val="20"/>
          <w:color w:val="auto"/>
        </w:rPr>
      </w:pPr>
      <w:r>
        <w:rPr>
          <w:rFonts w:ascii="Arial" w:cs="Arial" w:eastAsia="Arial" w:hAnsi="Arial"/>
          <w:sz w:val="18"/>
          <w:szCs w:val="18"/>
          <w:color w:val="auto"/>
        </w:rPr>
        <w:t>In March 2020, an accounting update was issued which provides optional guidance for a limited time to ease the potential accounting burden associated with transitioning away from reference rates such as LIBOR. The expedients and exceptions provided by this update will not be available after December 31, 2022, other than for certain hedging relationships entered into prior. We are currently assessing the potential impact on our financial statements.</w:t>
      </w:r>
    </w:p>
    <w:p>
      <w:pPr>
        <w:spacing w:after="0" w:line="136" w:lineRule="exact"/>
        <w:rPr>
          <w:sz w:val="20"/>
          <w:szCs w:val="20"/>
          <w:color w:val="auto"/>
        </w:rPr>
      </w:pPr>
    </w:p>
    <w:p>
      <w:pPr>
        <w:jc w:val="both"/>
        <w:ind w:firstLine="405"/>
        <w:spacing w:after="0" w:line="219" w:lineRule="auto"/>
        <w:rPr>
          <w:sz w:val="20"/>
          <w:szCs w:val="20"/>
          <w:color w:val="auto"/>
        </w:rPr>
      </w:pPr>
      <w:r>
        <w:rPr>
          <w:rFonts w:ascii="Arial" w:cs="Arial" w:eastAsia="Arial" w:hAnsi="Arial"/>
          <w:sz w:val="18"/>
          <w:szCs w:val="18"/>
          <w:color w:val="auto"/>
        </w:rPr>
        <w:t>In October 2020, an accounting update was issued which clarifies various topics in the Codification by providing consistency in codification wording and moving existing disclosure requirements to the relevant disclosure sections. We are required to adopt the new standard for fiscal years beginning after December 15, 2020 and we are assessing the potential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spacing w:after="0"/>
        <w:rPr>
          <w:rFonts w:ascii="Arial" w:cs="Arial" w:eastAsia="Arial" w:hAnsi="Arial"/>
          <w:sz w:val="20"/>
          <w:szCs w:val="20"/>
          <w:i w:val="1"/>
          <w:iCs w:val="1"/>
          <w:u w:val="single" w:color="auto"/>
          <w:color w:val="0000FF"/>
        </w:rPr>
      </w:pPr>
      <w:hyperlink w:anchor="page2">
        <w:r>
          <w:rPr>
            <w:rFonts w:ascii="Arial" w:cs="Arial" w:eastAsia="Arial" w:hAnsi="Arial"/>
            <w:sz w:val="20"/>
            <w:szCs w:val="20"/>
            <w:i w:val="1"/>
            <w:iCs w:val="1"/>
            <w:u w:val="single" w:color="auto"/>
            <w:color w:val="0000FF"/>
          </w:rPr>
          <w:t>Index</w:t>
        </w:r>
      </w:hyperlink>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200" w:lineRule="exact"/>
        <w:rPr>
          <w:sz w:val="20"/>
          <w:szCs w:val="20"/>
          <w:color w:val="auto"/>
        </w:rPr>
      </w:pPr>
    </w:p>
    <w:p>
      <w:pPr>
        <w:spacing w:after="0" w:line="340"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color w:val="auto"/>
        </w:rPr>
        <w:t xml:space="preserve">Effective January 1, 2018, the Company adopted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(or cumulative effect) method for transition. Under this transition method, periods prior to 2018 were not restated and the cumulative effect of initially applying the new standard was recorded as an adjustment to Retained earnings at January 1, 2018.</w:t>
      </w:r>
    </w:p>
    <w:p>
      <w:pPr>
        <w:spacing w:after="0" w:line="153" w:lineRule="exact"/>
        <w:rPr>
          <w:sz w:val="20"/>
          <w:szCs w:val="20"/>
          <w:color w:val="auto"/>
        </w:rPr>
      </w:pPr>
    </w:p>
    <w:p>
      <w:pPr>
        <w:ind w:right="160" w:firstLine="405"/>
        <w:spacing w:after="0" w:line="251"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under ASC 606.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71" w:lineRule="exact"/>
        <w:rPr>
          <w:sz w:val="20"/>
          <w:szCs w:val="20"/>
          <w:color w:val="auto"/>
        </w:rPr>
      </w:pPr>
    </w:p>
    <w:p>
      <w:pPr>
        <w:jc w:val="both"/>
        <w:ind w:right="360" w:firstLine="405"/>
        <w:spacing w:after="0" w:line="250" w:lineRule="auto"/>
        <w:rPr>
          <w:sz w:val="20"/>
          <w:szCs w:val="20"/>
          <w:color w:val="auto"/>
        </w:rPr>
      </w:pPr>
      <w:r>
        <w:rPr>
          <w:rFonts w:ascii="Arial" w:cs="Arial" w:eastAsia="Arial" w:hAnsi="Arial"/>
          <w:sz w:val="18"/>
          <w:szCs w:val="18"/>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Generally, the customer obtains control when the product has been received at the location specified by the customer, at which time the only remaining obligations under the contract may be fulfillment costs, in the form of shipping and handling, which are accrued when control of the product is transferred.</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16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our AEC segment, we primarily enter into contracts to manufacture and deliver highly engineered advanced composite products to our customers. A significant portion of AEC revenue is earned under short duration, firm-fixed-price orders that are placed under a master agreement containing general terms and conditions applicable to all orders placed under the master agreement. To determine the proper revenue recognition method, we evaluate whether two or more orders or contracts should be combined and accounted for as one single contract, and whether the combined or single contract contains single or multiple performance obligations. This evaluation requires significant judgment, and the decision to combine a group of contracts, or to allocate revenue from the combined or single contract among multiple performance obligations, could have a significant impact on the amount of revenue and profit recorded in a given period. For most AEC contracts, the nature of our promise (or our performance obligation) to the customer is to manage the contract and provide a significant service of integrating a complex set of tasks and components into a single project or capability, which will often result in the delivery of multiple highly interdependent and interrelated units.</w:t>
      </w:r>
    </w:p>
    <w:p>
      <w:pPr>
        <w:spacing w:after="0" w:line="171" w:lineRule="exact"/>
        <w:rPr>
          <w:sz w:val="20"/>
          <w:szCs w:val="20"/>
          <w:color w:val="auto"/>
        </w:rPr>
      </w:pPr>
    </w:p>
    <w:p>
      <w:pPr>
        <w:jc w:val="both"/>
        <w:ind w:right="20" w:firstLine="405"/>
        <w:spacing w:after="0" w:line="250" w:lineRule="auto"/>
        <w:rPr>
          <w:sz w:val="20"/>
          <w:szCs w:val="20"/>
          <w:color w:val="auto"/>
        </w:rPr>
      </w:pPr>
      <w:r>
        <w:rPr>
          <w:rFonts w:ascii="Arial" w:cs="Arial" w:eastAsia="Arial" w:hAnsi="Arial"/>
          <w:sz w:val="18"/>
          <w:szCs w:val="18"/>
          <w:color w:val="auto"/>
        </w:rPr>
        <w:t>At the inception of a contract, 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0" w:name="page61"/>
    <w:bookmarkEnd w:id="60"/>
    <w:p>
      <w:pPr>
        <w:spacing w:after="0"/>
        <w:rPr>
          <w:rFonts w:ascii="Arial" w:cs="Arial" w:eastAsia="Arial" w:hAnsi="Arial"/>
          <w:sz w:val="20"/>
          <w:szCs w:val="20"/>
          <w:i w:val="1"/>
          <w:iCs w:val="1"/>
          <w:u w:val="single" w:color="auto"/>
          <w:color w:val="0000FF"/>
        </w:rPr>
      </w:pPr>
      <w:hyperlink w:anchor="page2">
        <w:r>
          <w:rPr>
            <w:rFonts w:ascii="Arial" w:cs="Arial" w:eastAsia="Arial" w:hAnsi="Arial"/>
            <w:sz w:val="20"/>
            <w:szCs w:val="20"/>
            <w:i w:val="1"/>
            <w:iCs w:val="1"/>
            <w:u w:val="single" w:color="auto"/>
            <w:color w:val="0000FF"/>
          </w:rPr>
          <w:t>Index</w:t>
        </w:r>
      </w:hyperlink>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200" w:lineRule="exact"/>
        <w:rPr>
          <w:sz w:val="20"/>
          <w:szCs w:val="20"/>
          <w:color w:val="auto"/>
        </w:rPr>
      </w:pPr>
    </w:p>
    <w:p>
      <w:pPr>
        <w:spacing w:after="0" w:line="358"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Revenue is recognized over time for a large portion of our contracts in AEC as most of our contracts have provisions that, under the guidance in ASC 606,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171"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In other AEC contracts, revenue is recognized at a point in time because the products are offered to multiple customers, or we do not have an enforceable right to payment until the product is shipped or delivered to the location specified by the customer in the contract.</w:t>
      </w:r>
    </w:p>
    <w:p>
      <w:pPr>
        <w:spacing w:after="0" w:line="157"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AEC’s largest source of revenue is derived from the LEAP contract (see Note 10) under a cost-plus-fee agreement. Beginning in 2018, the fee is variable based on our success in achieving certain cost targets. Revenue is recognized over time as costs are incurred. Under this contract, there is judgment involved in determining applicable contract costs and expected margin, and therefore, in determining the amount of revenue to be recognized.</w:t>
      </w:r>
    </w:p>
    <w:p>
      <w:pPr>
        <w:spacing w:after="0" w:line="177" w:lineRule="exact"/>
        <w:rPr>
          <w:sz w:val="20"/>
          <w:szCs w:val="20"/>
          <w:color w:val="auto"/>
        </w:rPr>
      </w:pPr>
    </w:p>
    <w:p>
      <w:pPr>
        <w:ind w:right="840" w:firstLine="405"/>
        <w:spacing w:after="0" w:line="261" w:lineRule="auto"/>
        <w:rPr>
          <w:sz w:val="20"/>
          <w:szCs w:val="20"/>
          <w:color w:val="auto"/>
        </w:rPr>
      </w:pPr>
      <w:r>
        <w:rPr>
          <w:rFonts w:ascii="Arial" w:cs="Arial" w:eastAsia="Arial" w:hAnsi="Arial"/>
          <w:sz w:val="18"/>
          <w:szCs w:val="18"/>
          <w:color w:val="auto"/>
        </w:rPr>
        <w:t>Payment terms granted to MC and AEC customers reflect general competitive practices. Terms vary with product, competitive conditions, and the country of operation.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the composition of each business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6"/>
                <w:szCs w:val="16"/>
                <w:color w:val="auto"/>
              </w:rPr>
            </w:pPr>
          </w:p>
        </w:tc>
        <w:tc>
          <w:tcPr>
            <w:tcW w:w="23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Product Group</w:t>
            </w:r>
          </w:p>
        </w:tc>
        <w:tc>
          <w:tcPr>
            <w:tcW w:w="120" w:type="dxa"/>
            <w:vAlign w:val="bottom"/>
          </w:tcPr>
          <w:p>
            <w:pPr>
              <w:spacing w:after="0"/>
              <w:rPr>
                <w:sz w:val="16"/>
                <w:szCs w:val="16"/>
                <w:color w:val="auto"/>
              </w:rPr>
            </w:pPr>
          </w:p>
        </w:tc>
        <w:tc>
          <w:tcPr>
            <w:tcW w:w="36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Principal Product or Service</w:t>
            </w:r>
          </w:p>
        </w:tc>
        <w:tc>
          <w:tcPr>
            <w:tcW w:w="100" w:type="dxa"/>
            <w:vAlign w:val="bottom"/>
          </w:tcPr>
          <w:p>
            <w:pPr>
              <w:spacing w:after="0"/>
              <w:rPr>
                <w:sz w:val="16"/>
                <w:szCs w:val="16"/>
                <w:color w:val="auto"/>
              </w:rPr>
            </w:pPr>
          </w:p>
        </w:tc>
        <w:tc>
          <w:tcPr>
            <w:tcW w:w="2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Principal Locations</w:t>
            </w:r>
          </w:p>
        </w:tc>
        <w:tc>
          <w:tcPr>
            <w:tcW w:w="0" w:type="dxa"/>
            <w:vAlign w:val="bottom"/>
          </w:tcPr>
          <w:p>
            <w:pPr>
              <w:spacing w:after="0"/>
              <w:rPr>
                <w:sz w:val="1"/>
                <w:szCs w:val="1"/>
                <w:color w:val="auto"/>
              </w:rPr>
            </w:pPr>
          </w:p>
        </w:tc>
      </w:tr>
      <w:tr>
        <w:trPr>
          <w:trHeight w:val="357"/>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Paper machine clothing: Permeable and</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impermeable belts used in the manufacture</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gridSpan w:val="2"/>
            <w:vMerge w:val="restart"/>
          </w:tcPr>
          <w:p>
            <w:pPr>
              <w:ind w:left="20"/>
              <w:spacing w:after="0"/>
              <w:rPr>
                <w:sz w:val="20"/>
                <w:szCs w:val="20"/>
                <w:color w:val="auto"/>
              </w:rPr>
            </w:pPr>
            <w:r>
              <w:rPr>
                <w:rFonts w:ascii="Arial" w:cs="Arial" w:eastAsia="Arial" w:hAnsi="Arial"/>
                <w:sz w:val="18"/>
                <w:szCs w:val="18"/>
                <w:color w:val="auto"/>
              </w:rPr>
              <w:t>Machine Clothing (MC)</w:t>
            </w:r>
          </w:p>
        </w:tc>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Machine Clothing</w:t>
            </w:r>
          </w:p>
        </w:tc>
        <w:tc>
          <w:tcPr>
            <w:tcW w:w="3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 paper, paperboard, tissue and towel, and</w:t>
            </w:r>
          </w:p>
        </w:tc>
        <w:tc>
          <w:tcPr>
            <w:tcW w:w="2600" w:type="dxa"/>
            <w:vAlign w:val="bottom"/>
            <w:vMerge w:val="restart"/>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122"/>
        </w:trPr>
        <w:tc>
          <w:tcPr>
            <w:tcW w:w="2460" w:type="dxa"/>
            <w:vAlign w:val="bottom"/>
            <w:gridSpan w:val="2"/>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370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pulp</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gridSpan w:val="2"/>
            <w:vMerge w:val="continue"/>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Engineered fabrics: Belts used in the</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manufacture of nonwovens, fiber cement</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several other industrial applications</w:t>
            </w: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ectPr>
          <w:pgSz w:w="11900" w:h="16838" w:orient="portrait"/>
          <w:cols w:equalWidth="0" w:num="1">
            <w:col w:w="11240"/>
          </w:cols>
          <w:pgMar w:left="320" w:top="298"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Albany Safran Composites</w:t>
            </w: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Albany Engineered</w:t>
            </w:r>
          </w:p>
        </w:tc>
        <w:tc>
          <w:tcPr>
            <w:tcW w:w="2360" w:type="dxa"/>
            <w:vAlign w:val="bottom"/>
          </w:tcPr>
          <w:p>
            <w:pPr>
              <w:spacing w:after="0" w:line="189" w:lineRule="exact"/>
              <w:rPr>
                <w:sz w:val="20"/>
                <w:szCs w:val="20"/>
                <w:color w:val="auto"/>
              </w:rPr>
            </w:pPr>
            <w:r>
              <w:rPr>
                <w:rFonts w:ascii="Arial" w:cs="Arial" w:eastAsia="Arial" w:hAnsi="Arial"/>
                <w:sz w:val="18"/>
                <w:szCs w:val="18"/>
                <w:color w:val="auto"/>
              </w:rPr>
              <w:t>(ASC)</w:t>
            </w:r>
          </w:p>
        </w:tc>
        <w:tc>
          <w:tcPr>
            <w:tcW w:w="0" w:type="dxa"/>
            <w:vAlign w:val="bottom"/>
          </w:tcPr>
          <w:p>
            <w:pPr>
              <w:spacing w:after="0"/>
              <w:rPr>
                <w:sz w:val="1"/>
                <w:szCs w:val="1"/>
                <w:color w:val="auto"/>
              </w:rPr>
            </w:pPr>
          </w:p>
        </w:tc>
      </w:tr>
      <w:tr>
        <w:trPr>
          <w:trHeight w:val="21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Composites (AEC)</w:t>
            </w:r>
          </w:p>
        </w:tc>
        <w:tc>
          <w:tcPr>
            <w:tcW w:w="2360" w:type="dxa"/>
            <w:vAlign w:val="bottom"/>
            <w:vMerge w:val="restart"/>
          </w:tcPr>
          <w:p>
            <w:pPr>
              <w:spacing w:after="0"/>
              <w:rPr>
                <w:sz w:val="20"/>
                <w:szCs w:val="20"/>
                <w:color w:val="auto"/>
              </w:rPr>
            </w:pPr>
            <w:r>
              <w:rPr>
                <w:rFonts w:ascii="Arial" w:cs="Arial" w:eastAsia="Arial" w:hAnsi="Arial"/>
                <w:sz w:val="18"/>
                <w:szCs w:val="18"/>
                <w:color w:val="auto"/>
              </w:rPr>
              <w:t>Airframe and engine</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Components (Other AEC)</w:t>
            </w:r>
          </w:p>
        </w:tc>
        <w:tc>
          <w:tcPr>
            <w:tcW w:w="0" w:type="dxa"/>
            <w:vAlign w:val="bottom"/>
          </w:tcPr>
          <w:p>
            <w:pPr>
              <w:spacing w:after="0"/>
              <w:rPr>
                <w:sz w:val="1"/>
                <w:szCs w:val="1"/>
                <w:color w:val="auto"/>
              </w:rPr>
            </w:pPr>
          </w:p>
        </w:tc>
      </w:tr>
      <w:tr>
        <w:trPr>
          <w:trHeight w:val="95"/>
        </w:trPr>
        <w:tc>
          <w:tcPr>
            <w:tcW w:w="2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20"/>
        <w:spacing w:after="0" w:line="203" w:lineRule="auto"/>
        <w:rPr>
          <w:sz w:val="20"/>
          <w:szCs w:val="20"/>
          <w:color w:val="auto"/>
        </w:rPr>
      </w:pPr>
      <w:r>
        <w:rPr>
          <w:rFonts w:ascii="Arial" w:cs="Arial" w:eastAsia="Arial" w:hAnsi="Arial"/>
          <w:sz w:val="18"/>
          <w:szCs w:val="18"/>
          <w:color w:val="auto"/>
        </w:rPr>
        <w:t>3D-woven, injected composite components for aircraft engines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59690</wp:posOffset>
            </wp:positionV>
            <wp:extent cx="22885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80"/>
        <w:spacing w:after="0" w:line="213" w:lineRule="auto"/>
        <w:rPr>
          <w:sz w:val="20"/>
          <w:szCs w:val="20"/>
          <w:color w:val="auto"/>
        </w:rPr>
      </w:pPr>
      <w:r>
        <w:rPr>
          <w:rFonts w:ascii="Arial" w:cs="Arial" w:eastAsia="Arial" w:hAnsi="Arial"/>
          <w:sz w:val="18"/>
          <w:szCs w:val="18"/>
          <w:color w:val="auto"/>
        </w:rPr>
        <w:t>Rochester, NH Commercy, France Queretaro, Mexico Salt Lake City, UT Boerne, TX Queretaro, Mexico 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16459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3">
            <w:col w:w="4820" w:space="140"/>
            <w:col w:w="3540" w:space="160"/>
            <w:col w:w="2580"/>
          </w:cols>
          <w:pgMar w:left="320" w:top="298" w:right="339" w:bottom="1440" w:gutter="0" w:footer="0" w:header="0"/>
          <w:type w:val="continuous"/>
        </w:sectPr>
      </w:pPr>
    </w:p>
    <w:p>
      <w:pPr>
        <w:ind w:right="220" w:firstLine="405"/>
        <w:spacing w:after="0" w:line="261"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disaggregated revenue for each product group by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type w:val="continuous"/>
        </w:sectPr>
      </w:pPr>
    </w:p>
    <w:bookmarkStart w:id="61" w:name="page62"/>
    <w:bookmarkEnd w:id="61"/>
    <w:p>
      <w:pPr>
        <w:spacing w:after="0"/>
        <w:rPr>
          <w:rFonts w:ascii="Arial" w:cs="Arial" w:eastAsia="Arial" w:hAnsi="Arial"/>
          <w:sz w:val="20"/>
          <w:szCs w:val="20"/>
          <w:i w:val="1"/>
          <w:iCs w:val="1"/>
          <w:u w:val="single" w:color="auto"/>
          <w:color w:val="0000FF"/>
        </w:rPr>
      </w:pPr>
      <w:hyperlink w:anchor="page2">
        <w:r>
          <w:rPr>
            <w:rFonts w:ascii="Arial" w:cs="Arial" w:eastAsia="Arial" w:hAnsi="Arial"/>
            <w:sz w:val="20"/>
            <w:szCs w:val="20"/>
            <w:i w:val="1"/>
            <w:iCs w:val="1"/>
            <w:u w:val="single" w:color="auto"/>
            <w:color w:val="0000FF"/>
          </w:rPr>
          <w:t>Index</w:t>
        </w:r>
      </w:hyperlink>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5"/>
          </w:tcPr>
          <w:p>
            <w:pPr>
              <w:ind w:left="1800"/>
              <w:spacing w:after="0"/>
              <w:rPr>
                <w:sz w:val="20"/>
                <w:szCs w:val="20"/>
                <w:color w:val="auto"/>
              </w:rPr>
            </w:pPr>
            <w:r>
              <w:rPr>
                <w:rFonts w:ascii="Arial" w:cs="Arial" w:eastAsia="Arial" w:hAnsi="Arial"/>
                <w:sz w:val="14"/>
                <w:szCs w:val="14"/>
                <w:b w:val="1"/>
                <w:bCs w:val="1"/>
                <w:color w:val="auto"/>
              </w:rPr>
              <w:t>For the year ended December 31, 2020</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Point in Time</w:t>
            </w:r>
          </w:p>
        </w:tc>
        <w:tc>
          <w:tcPr>
            <w:tcW w:w="260" w:type="dxa"/>
            <w:vAlign w:val="bottom"/>
          </w:tcPr>
          <w:p>
            <w:pPr>
              <w:spacing w:after="0"/>
              <w:rPr>
                <w:sz w:val="12"/>
                <w:szCs w:val="12"/>
                <w:color w:val="auto"/>
              </w:rPr>
            </w:pPr>
          </w:p>
        </w:tc>
        <w:tc>
          <w:tcPr>
            <w:tcW w:w="21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Over Time</w:t>
            </w:r>
          </w:p>
        </w:tc>
        <w:tc>
          <w:tcPr>
            <w:tcW w:w="440" w:type="dxa"/>
            <w:vAlign w:val="bottom"/>
          </w:tcPr>
          <w:p>
            <w:pPr>
              <w:spacing w:after="0"/>
              <w:rPr>
                <w:sz w:val="12"/>
                <w:szCs w:val="12"/>
                <w:color w:val="auto"/>
              </w:rPr>
            </w:pPr>
          </w:p>
        </w:tc>
        <w:tc>
          <w:tcPr>
            <w:tcW w:w="144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 Recognition</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Revenue Recognition</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569,563</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3,392</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572,955</w:t>
            </w:r>
          </w:p>
        </w:tc>
        <w:tc>
          <w:tcPr>
            <w:tcW w:w="0" w:type="dxa"/>
            <w:vAlign w:val="bottom"/>
          </w:tcPr>
          <w:p>
            <w:pPr>
              <w:spacing w:after="0"/>
              <w:rPr>
                <w:sz w:val="1"/>
                <w:szCs w:val="1"/>
                <w:color w:val="auto"/>
              </w:rPr>
            </w:pPr>
          </w:p>
        </w:tc>
      </w:tr>
      <w:tr>
        <w:trPr>
          <w:trHeight w:val="20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280" w:type="dxa"/>
            <w:vAlign w:val="bottom"/>
          </w:tcPr>
          <w:p>
            <w:pPr>
              <w:spacing w:after="0"/>
              <w:rPr>
                <w:sz w:val="18"/>
                <w:szCs w:val="18"/>
                <w:color w:val="auto"/>
              </w:rPr>
            </w:pPr>
          </w:p>
        </w:tc>
        <w:tc>
          <w:tcPr>
            <w:tcW w:w="22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98,411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98,411</w:t>
            </w:r>
          </w:p>
        </w:tc>
        <w:tc>
          <w:tcPr>
            <w:tcW w:w="0" w:type="dxa"/>
            <w:vAlign w:val="bottom"/>
          </w:tcPr>
          <w:p>
            <w:pPr>
              <w:spacing w:after="0"/>
              <w:rPr>
                <w:sz w:val="1"/>
                <w:szCs w:val="1"/>
                <w:color w:val="auto"/>
              </w:rPr>
            </w:pPr>
          </w:p>
        </w:tc>
      </w:tr>
      <w:tr>
        <w:trPr>
          <w:trHeight w:val="220"/>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ASC</w:t>
            </w:r>
          </w:p>
        </w:tc>
        <w:tc>
          <w:tcPr>
            <w:tcW w:w="280" w:type="dxa"/>
            <w:vAlign w:val="bottom"/>
          </w:tcPr>
          <w:p>
            <w:pPr>
              <w:spacing w:after="0"/>
              <w:rPr>
                <w:sz w:val="19"/>
                <w:szCs w:val="19"/>
                <w:color w:val="auto"/>
              </w:rPr>
            </w:pPr>
          </w:p>
        </w:tc>
        <w:tc>
          <w:tcPr>
            <w:tcW w:w="2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Other AEC</w:t>
            </w: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210,901</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229,244</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Albany Engineered Composites</w:t>
            </w: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309,312</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327,655</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587,906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312,704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900,610</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5"/>
          </w:tcPr>
          <w:p>
            <w:pPr>
              <w:ind w:left="1800"/>
              <w:spacing w:after="0"/>
              <w:rPr>
                <w:sz w:val="20"/>
                <w:szCs w:val="20"/>
                <w:color w:val="auto"/>
              </w:rPr>
            </w:pPr>
            <w:r>
              <w:rPr>
                <w:rFonts w:ascii="Arial" w:cs="Arial" w:eastAsia="Arial" w:hAnsi="Arial"/>
                <w:sz w:val="14"/>
                <w:szCs w:val="14"/>
                <w:b w:val="1"/>
                <w:bCs w:val="1"/>
                <w:color w:val="auto"/>
              </w:rPr>
              <w:t>For the year ended December 31, 2019</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Point in Time</w:t>
            </w:r>
          </w:p>
        </w:tc>
        <w:tc>
          <w:tcPr>
            <w:tcW w:w="260" w:type="dxa"/>
            <w:vAlign w:val="bottom"/>
          </w:tcPr>
          <w:p>
            <w:pPr>
              <w:spacing w:after="0"/>
              <w:rPr>
                <w:sz w:val="12"/>
                <w:szCs w:val="12"/>
                <w:color w:val="auto"/>
              </w:rPr>
            </w:pPr>
          </w:p>
        </w:tc>
        <w:tc>
          <w:tcPr>
            <w:tcW w:w="21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Over Time</w:t>
            </w:r>
          </w:p>
        </w:tc>
        <w:tc>
          <w:tcPr>
            <w:tcW w:w="440" w:type="dxa"/>
            <w:vAlign w:val="bottom"/>
          </w:tcPr>
          <w:p>
            <w:pPr>
              <w:spacing w:after="0"/>
              <w:rPr>
                <w:sz w:val="12"/>
                <w:szCs w:val="12"/>
                <w:color w:val="auto"/>
              </w:rPr>
            </w:pPr>
          </w:p>
        </w:tc>
        <w:tc>
          <w:tcPr>
            <w:tcW w:w="144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 Recognition</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Revenue Recognition</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598,054</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601,254</w:t>
            </w:r>
          </w:p>
        </w:tc>
        <w:tc>
          <w:tcPr>
            <w:tcW w:w="0" w:type="dxa"/>
            <w:vAlign w:val="bottom"/>
          </w:tcPr>
          <w:p>
            <w:pPr>
              <w:spacing w:after="0"/>
              <w:rPr>
                <w:sz w:val="1"/>
                <w:szCs w:val="1"/>
                <w:color w:val="auto"/>
              </w:rPr>
            </w:pPr>
          </w:p>
        </w:tc>
      </w:tr>
      <w:tr>
        <w:trPr>
          <w:trHeight w:val="20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ASC</w:t>
            </w:r>
          </w:p>
        </w:tc>
        <w:tc>
          <w:tcPr>
            <w:tcW w:w="280" w:type="dxa"/>
            <w:vAlign w:val="bottom"/>
          </w:tcPr>
          <w:p>
            <w:pPr>
              <w:spacing w:after="0"/>
              <w:rPr>
                <w:sz w:val="19"/>
                <w:szCs w:val="19"/>
                <w:color w:val="auto"/>
              </w:rPr>
            </w:pPr>
          </w:p>
        </w:tc>
        <w:tc>
          <w:tcPr>
            <w:tcW w:w="2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220,188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220,188</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Other AEC</w:t>
            </w: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204,106</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232,690</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Albany Engineered Composites</w:t>
            </w: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424,294</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452,878</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626,638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427,494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1,054,132</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5"/>
          </w:tcPr>
          <w:p>
            <w:pPr>
              <w:ind w:left="1800"/>
              <w:spacing w:after="0"/>
              <w:rPr>
                <w:sz w:val="20"/>
                <w:szCs w:val="20"/>
                <w:color w:val="auto"/>
              </w:rPr>
            </w:pPr>
            <w:r>
              <w:rPr>
                <w:rFonts w:ascii="Arial" w:cs="Arial" w:eastAsia="Arial" w:hAnsi="Arial"/>
                <w:sz w:val="14"/>
                <w:szCs w:val="14"/>
                <w:b w:val="1"/>
                <w:bCs w:val="1"/>
                <w:color w:val="auto"/>
              </w:rPr>
              <w:t>For the year ended December 31, 2018</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Point in Time</w:t>
            </w:r>
          </w:p>
        </w:tc>
        <w:tc>
          <w:tcPr>
            <w:tcW w:w="260" w:type="dxa"/>
            <w:vAlign w:val="bottom"/>
          </w:tcPr>
          <w:p>
            <w:pPr>
              <w:spacing w:after="0"/>
              <w:rPr>
                <w:sz w:val="12"/>
                <w:szCs w:val="12"/>
                <w:color w:val="auto"/>
              </w:rPr>
            </w:pPr>
          </w:p>
        </w:tc>
        <w:tc>
          <w:tcPr>
            <w:tcW w:w="21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Over Time</w:t>
            </w:r>
          </w:p>
        </w:tc>
        <w:tc>
          <w:tcPr>
            <w:tcW w:w="440" w:type="dxa"/>
            <w:vAlign w:val="bottom"/>
          </w:tcPr>
          <w:p>
            <w:pPr>
              <w:spacing w:after="0"/>
              <w:rPr>
                <w:sz w:val="12"/>
                <w:szCs w:val="12"/>
                <w:color w:val="auto"/>
              </w:rPr>
            </w:pPr>
          </w:p>
        </w:tc>
        <w:tc>
          <w:tcPr>
            <w:tcW w:w="144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 Recognition</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Revenue Recognition</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608,658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611,858</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ASC</w:t>
            </w:r>
          </w:p>
        </w:tc>
        <w:tc>
          <w:tcPr>
            <w:tcW w:w="280" w:type="dxa"/>
            <w:vAlign w:val="bottom"/>
          </w:tcPr>
          <w:p>
            <w:pPr>
              <w:spacing w:after="0"/>
              <w:rPr>
                <w:sz w:val="19"/>
                <w:szCs w:val="19"/>
                <w:color w:val="auto"/>
              </w:rPr>
            </w:pPr>
          </w:p>
        </w:tc>
        <w:tc>
          <w:tcPr>
            <w:tcW w:w="2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182,699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182,699</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Other AEC</w:t>
            </w: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166,308</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187,922</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Albany Engineered Composites</w:t>
            </w: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349,007</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370,621</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630,272</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352,207</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982,479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900" w:firstLine="405"/>
        <w:spacing w:after="0" w:line="261"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60" w:type="dxa"/>
            <w:vAlign w:val="bottom"/>
            <w:gridSpan w:val="5"/>
          </w:tcPr>
          <w:p>
            <w:pPr>
              <w:ind w:left="1580"/>
              <w:spacing w:after="0"/>
              <w:rPr>
                <w:sz w:val="20"/>
                <w:szCs w:val="20"/>
                <w:color w:val="auto"/>
              </w:rPr>
            </w:pPr>
            <w:r>
              <w:rPr>
                <w:rFonts w:ascii="Arial" w:cs="Arial" w:eastAsia="Arial" w:hAnsi="Arial"/>
                <w:sz w:val="14"/>
                <w:szCs w:val="14"/>
                <w:b w:val="1"/>
                <w:bCs w:val="1"/>
                <w:color w:val="auto"/>
              </w:rPr>
              <w:t>For the year ended December 31,</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r>
      <w:tr>
        <w:trPr>
          <w:trHeight w:val="214"/>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Americas PMC</w:t>
            </w: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297,490</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316,355</w:t>
            </w:r>
          </w:p>
        </w:tc>
        <w:tc>
          <w:tcPr>
            <w:tcW w:w="1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303,768</w:t>
            </w: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Eurasia PMC</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202,181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210,961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227,493</w:t>
            </w:r>
          </w:p>
        </w:tc>
      </w:tr>
      <w:tr>
        <w:trPr>
          <w:trHeight w:val="23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Engineered Fabrics</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73,284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80,597</w:t>
            </w: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Machine Clothing Net sales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572,955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611,858</w:t>
            </w:r>
          </w:p>
        </w:tc>
      </w:tr>
      <w:tr>
        <w:trPr>
          <w:trHeight w:val="21"/>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2" w:name="page63"/>
    <w:bookmarkEnd w:id="62"/>
    <w:p>
      <w:pPr>
        <w:spacing w:after="0"/>
        <w:rPr>
          <w:rFonts w:ascii="Arial" w:cs="Arial" w:eastAsia="Arial" w:hAnsi="Arial"/>
          <w:sz w:val="20"/>
          <w:szCs w:val="20"/>
          <w:i w:val="1"/>
          <w:iCs w:val="1"/>
          <w:u w:val="single" w:color="auto"/>
          <w:color w:val="0000FF"/>
        </w:rPr>
      </w:pPr>
      <w:hyperlink w:anchor="page2">
        <w:r>
          <w:rPr>
            <w:rFonts w:ascii="Arial" w:cs="Arial" w:eastAsia="Arial" w:hAnsi="Arial"/>
            <w:sz w:val="20"/>
            <w:szCs w:val="20"/>
            <w:i w:val="1"/>
            <w:iCs w:val="1"/>
            <w:u w:val="single" w:color="auto"/>
            <w:color w:val="0000FF"/>
          </w:rPr>
          <w:t>Index</w:t>
        </w:r>
      </w:hyperlink>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 (continued)</w:t>
      </w:r>
    </w:p>
    <w:p>
      <w:pPr>
        <w:spacing w:after="0" w:line="200" w:lineRule="exact"/>
        <w:rPr>
          <w:sz w:val="20"/>
          <w:szCs w:val="20"/>
          <w:color w:val="auto"/>
        </w:rPr>
      </w:pPr>
    </w:p>
    <w:p>
      <w:pPr>
        <w:spacing w:after="0" w:line="35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accordance with ASC 606-10-50-14,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$86 million as of December 31, 2020, $82 million as of December 31, 2019, and $82 million as of December 31, 2018, and related primarily to firm contracts in the AEC segment. Of the remaining performance obligations as of December 31, 2020 we expect to recognize as revenue approximately $64 million during 2021, with the remainder to be recognized in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w:t>
      </w:r>
    </w:p>
    <w:p>
      <w:pPr>
        <w:spacing w:after="0" w:line="22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57"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accounting policies of the segments are the same as those described in Note 1.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22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pulp,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163"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r>
        <w:rPr>
          <w:rFonts w:ascii="Arial" w:cs="Arial" w:eastAsia="Arial" w:hAnsi="Arial"/>
          <w:sz w:val="18"/>
          <w:szCs w:val="18"/>
          <w:color w:val="auto"/>
        </w:rPr>
        <w:t>:</w:t>
      </w:r>
    </w:p>
    <w:p>
      <w:pPr>
        <w:spacing w:after="0" w:line="220"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In 2020, Safran leased manufacturing space from AEC for the GE9X program. Rent paid by Safran under this lease amount to $0.9 million in 2020. AEC Net sales to Safran were $99.0 million in 2020, $226.8 million in 2019, and $186.3 million in 2018. The total of Accounts receivable, Contract assets and Noncurrent receivable due from Safran amounted to $127.1 million and $114.5 million as of December 31, 2020 and 2019, respectively. Other significant programs served by AEC include the F-35, Boeing 787, Sikorsky CH-53K and JASSM, as well as the fan case for the GE9X engine. In 2020, approximately 46 percent of AEC sales were related to U.S. government contracts or programs.</w:t>
      </w:r>
    </w:p>
    <w:p>
      <w:pPr>
        <w:spacing w:after="0" w:line="200" w:lineRule="exact"/>
        <w:rPr>
          <w:sz w:val="20"/>
          <w:szCs w:val="20"/>
          <w:color w:val="auto"/>
        </w:rPr>
      </w:pPr>
    </w:p>
    <w:p>
      <w:pPr>
        <w:spacing w:after="0" w:line="38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 — (continued)</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37"/>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7"/>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Machine Clothing</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572,955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601,254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611,858</w:t>
            </w:r>
          </w:p>
        </w:tc>
      </w:tr>
      <w:tr>
        <w:trPr>
          <w:trHeight w:val="27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Albany Engineered Composites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327,655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452,878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370,621</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900,610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982,479</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7"/>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Machine Clothing</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20,304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30,813</w:t>
            </w:r>
          </w:p>
        </w:tc>
      </w:tr>
      <w:tr>
        <w:trPr>
          <w:trHeight w:val="27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Albany Engineered Composites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48,496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43,205</w:t>
            </w:r>
          </w:p>
        </w:tc>
      </w:tr>
      <w:tr>
        <w:trPr>
          <w:trHeight w:val="27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72,705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79,036</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7"/>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Machine Clothing</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190,805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191,965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169,836</w:t>
            </w:r>
          </w:p>
        </w:tc>
      </w:tr>
      <w:tr>
        <w:trPr>
          <w:trHeight w:val="27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Albany Engineered Composites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31,536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16,647</w:t>
            </w:r>
          </w:p>
        </w:tc>
      </w:tr>
      <w:tr>
        <w:trPr>
          <w:trHeight w:val="27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(56,261)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(49,075)</w:t>
            </w:r>
          </w:p>
        </w:tc>
      </w:tr>
      <w:tr>
        <w:trPr>
          <w:trHeight w:val="25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166,080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137,408</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Reconciling items: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7"/>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7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16,332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20,242</w:t>
            </w:r>
          </w:p>
        </w:tc>
      </w:tr>
      <w:tr>
        <w:trPr>
          <w:trHeight w:val="27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139,074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115,247</w:t>
            </w: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37"/>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Restructuring expenses, net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12,278</w:t>
            </w:r>
          </w:p>
        </w:tc>
      </w:tr>
      <w:tr>
        <w:trPr>
          <w:trHeight w:val="27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7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w:t>
            </w: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the measurement of assets utilized by each reportable segment, we include Inventories, Accounts receivable, net, Contract assets, net, Noncurrent receivables, net, Property, plant and equipment, net, Intangibles, net and Goodwill. On November 20, 2019, the Company acquired CirComp GmbH, resulting in a $35.3 million increase in AEC assets.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01" w:right="559" w:bottom="1440" w:gutter="0" w:footer="0" w:header="0"/>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 — (continued)</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assets and capital expenditures by reportable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assets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443,476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441,072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453,836</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713,955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693,799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633,394</w:t>
            </w:r>
          </w:p>
        </w:tc>
        <w:tc>
          <w:tcPr>
            <w:tcW w:w="0" w:type="dxa"/>
            <w:vAlign w:val="bottom"/>
          </w:tcPr>
          <w:p>
            <w:pPr>
              <w:spacing w:after="0"/>
              <w:rPr>
                <w:sz w:val="1"/>
                <w:szCs w:val="1"/>
                <w:color w:val="auto"/>
              </w:rPr>
            </w:pP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Reconciling items: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241,316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Income taxes prepaid, receivable and deferred</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44,697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70,095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Prepaid and Other assets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106,492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62,912</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Consolidated 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1,549,936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1,417,992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Capital expenditures and purchased software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15,792</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16,707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23,718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60,121</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82,886</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At the January 1, 2018 date of adoption of ASC 606, MC assets increased by $22.5 million, and AEC assets decreased by $14.1 million. Excluded from segment assets are cash, tax related assets, prepaid and other current assets, and certain other assets not directly associated with segment operations.</w:t>
      </w:r>
    </w:p>
    <w:p>
      <w:pPr>
        <w:spacing w:after="0" w:line="161"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 2018, AEC finalized a modification to the lease of its primary manufacturing facility in Salt Lake City, Utah, which increased the manufacturing space and extended the minimum lease period until December 31, 2029. The lease modification resulted in a non-cash increase of $12.7 million to both Property, plant and equipment, net, and to Long-term debt in the Consolidated Balance Sheets in 2018. Effective January 1, 2019, we adopted the provisions of ASC 842, Leases, which resulted in changes to the amount and classification of the associated assets and liabilities, as depicted in Note 20. Due to the non-cash nature of the modification and subsequent adoption of the new Lease accounting standard, changes during both 2018 and 2019 are excluded from amounts reported in the Consolidated Statements of Cash Flows.</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Geographic Data — (continued)</w:t>
      </w:r>
    </w:p>
    <w:p>
      <w:pPr>
        <w:spacing w:after="0" w:line="200" w:lineRule="exact"/>
        <w:rPr>
          <w:sz w:val="20"/>
          <w:szCs w:val="20"/>
          <w:color w:val="auto"/>
        </w:rPr>
      </w:pPr>
    </w:p>
    <w:p>
      <w:pPr>
        <w:spacing w:after="0" w:line="371"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The following table shows data by geographic area. Net sales are based on the location of the operation recording the final sale to the customer. Net sales recorded by our entity in Switzerland are derived from products sold throughout Europe and Asia, and are invoiced in various currencies.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503,473</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574,063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519,349</w:t>
            </w:r>
          </w:p>
        </w:tc>
        <w:tc>
          <w:tcPr>
            <w:tcW w:w="0" w:type="dxa"/>
            <w:vAlign w:val="bottom"/>
          </w:tcPr>
          <w:p>
            <w:pPr>
              <w:spacing w:after="0"/>
              <w:rPr>
                <w:sz w:val="1"/>
                <w:szCs w:val="1"/>
                <w:color w:val="auto"/>
              </w:rPr>
            </w:pPr>
          </w:p>
        </w:tc>
      </w:tr>
      <w:tr>
        <w:trPr>
          <w:trHeight w:val="261"/>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128,328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146,571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157,339</w:t>
            </w:r>
          </w:p>
        </w:tc>
        <w:tc>
          <w:tcPr>
            <w:tcW w:w="0" w:type="dxa"/>
            <w:vAlign w:val="bottom"/>
          </w:tcPr>
          <w:p>
            <w:pPr>
              <w:spacing w:after="0"/>
              <w:rPr>
                <w:sz w:val="1"/>
                <w:szCs w:val="1"/>
                <w:color w:val="auto"/>
              </w:rPr>
            </w:pP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60,259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62,093</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57,007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50,923</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55,914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91,783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85,386</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39,859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48,534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Other countries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55,770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58,855</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900,610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982,479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 plant and equipment, at cost, net</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263,201</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275,965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272,584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41,738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41,107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50,245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40,898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48,686</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Sweden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12,109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Germany (a)</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10,808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South Korea</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10,550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Other countries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17,338</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462,055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2019, the Company acquired CirComp GmbH, which resulted in an increase in Property, plant and equipment of $10.6 million.</w:t>
      </w:r>
    </w:p>
    <w:p>
      <w:pPr>
        <w:spacing w:after="0" w:line="163" w:lineRule="exact"/>
        <w:rPr>
          <w:sz w:val="20"/>
          <w:szCs w:val="20"/>
          <w:color w:val="auto"/>
        </w:rPr>
      </w:pPr>
    </w:p>
    <w:p>
      <w:pPr>
        <w:ind w:right="6820" w:firstLine="8"/>
        <w:spacing w:after="0" w:line="474" w:lineRule="auto"/>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Benefit Plans Pension Plans</w:t>
      </w:r>
    </w:p>
    <w:p>
      <w:pPr>
        <w:spacing w:after="0" w:line="1"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accrued through February 2009, but no benefits accrue after that date. Benefit accruals under the U.S. Supplemental Executive Retirement Plan (“SERP”), which is an unfunded plan, were similarly frozen. The U.S. pension plan accounts for 44 percent of consolidated pension plan assets, and 45 percent of consolidated pension plan obligations. The eligibility, benefit formulas, and contribution requirements for plans outside of the U.S. vary by location.</w:t>
      </w:r>
    </w:p>
    <w:p>
      <w:pPr>
        <w:spacing w:after="0" w:line="166"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The December 31, 2020 benefit obligations for the U.S. pension and postretirement plans were calculated using the Pri-2012 mortality table with MP-2020 generational projection. For U.S. pension funding purposes, the Company uses the plan’s IRS-basis current liability as its funding target, which is determined based on mandated assumptions.</w:t>
      </w:r>
    </w:p>
    <w:p>
      <w:pPr>
        <w:spacing w:after="0" w:line="161"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Benefits under the Company's pension plan in Switzerland utilize a cash balance interest crediting rate for determination of plan liabilities. As of December 31, 2020, the benefit obligation for that plan amounted to $6.0 million.</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200" w:lineRule="exact"/>
        <w:rPr>
          <w:sz w:val="20"/>
          <w:szCs w:val="20"/>
          <w:color w:val="auto"/>
        </w:rPr>
      </w:pPr>
    </w:p>
    <w:p>
      <w:pPr>
        <w:spacing w:after="0" w:line="371" w:lineRule="exact"/>
        <w:rPr>
          <w:sz w:val="20"/>
          <w:szCs w:val="20"/>
          <w:color w:val="auto"/>
        </w:rPr>
      </w:pPr>
    </w:p>
    <w:p>
      <w:pPr>
        <w:ind w:right="260" w:firstLine="405"/>
        <w:spacing w:after="0" w:line="252"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Any new employees hired after January 2005 who wish to be covered under this plan will be responsible for the full cost of such benefits. In September 2008, we changed the cost-sharing arrangement under this program such that increases in health care costs are the responsibility of plan participants. In August 2013, we reduced the life insurance benefit for retirees and eliminated the benefit for active employees.</w:t>
      </w:r>
    </w:p>
    <w:p>
      <w:pPr>
        <w:spacing w:after="0" w:line="166"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2020, the accrued postretirement liability was $ 46.7 million in the U.S. and $1.3 million in Canada. The Company accrues the cost of providing postretirement benefits during the active service period of the employees. The Company currently funds the plans as claims are paid.</w:t>
      </w:r>
    </w:p>
    <w:p>
      <w:pPr>
        <w:spacing w:after="0" w:line="161"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2020 and 2019, except where indicated below.</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6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 determining the absolute difference between the actual and the expected return on the plan assets. The absolute difference in excess of 5 percent of the expected return is added to the market-related value over two years; the remainder is added to the market-related value immediately.</w:t>
      </w:r>
    </w:p>
    <w:p>
      <w:pPr>
        <w:spacing w:after="0" w:line="16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plan benefit obligations: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9"/>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Benefit obligation, beginning of year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227,211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53"/>
              <w:spacing w:after="0"/>
              <w:rPr>
                <w:sz w:val="20"/>
                <w:szCs w:val="20"/>
                <w:color w:val="auto"/>
              </w:rPr>
            </w:pPr>
            <w:r>
              <w:rPr>
                <w:rFonts w:ascii="Arial" w:cs="Arial" w:eastAsia="Arial" w:hAnsi="Arial"/>
                <w:sz w:val="18"/>
                <w:szCs w:val="18"/>
                <w:b w:val="1"/>
                <w:bCs w:val="1"/>
                <w:color w:val="auto"/>
              </w:rPr>
              <w:t>54,384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201,450</w:t>
            </w:r>
          </w:p>
        </w:tc>
        <w:tc>
          <w:tcPr>
            <w:tcW w:w="100" w:type="dxa"/>
            <w:vAlign w:val="bottom"/>
          </w:tcPr>
          <w:p>
            <w:pPr>
              <w:spacing w:after="0"/>
              <w:rPr>
                <w:sz w:val="23"/>
                <w:szCs w:val="23"/>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51,127</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3"/>
                <w:szCs w:val="23"/>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2,279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3"/>
                <w:szCs w:val="23"/>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6,172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b w:val="1"/>
                <w:bCs w:val="1"/>
                <w:color w:val="auto"/>
              </w:rPr>
              <w:t>1,712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Plan participants' contributions</w:t>
            </w:r>
          </w:p>
        </w:tc>
        <w:tc>
          <w:tcPr>
            <w:tcW w:w="200" w:type="dxa"/>
            <w:vAlign w:val="bottom"/>
          </w:tcPr>
          <w:p>
            <w:pPr>
              <w:spacing w:after="0"/>
              <w:rPr>
                <w:sz w:val="23"/>
                <w:szCs w:val="23"/>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Actuarial (gain)/loss</w:t>
            </w:r>
          </w:p>
        </w:tc>
        <w:tc>
          <w:tcPr>
            <w:tcW w:w="200" w:type="dxa"/>
            <w:vAlign w:val="bottom"/>
          </w:tcPr>
          <w:p>
            <w:pPr>
              <w:spacing w:after="0"/>
              <w:rPr>
                <w:sz w:val="23"/>
                <w:szCs w:val="23"/>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13,309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b w:val="1"/>
                <w:bCs w:val="1"/>
                <w:color w:val="auto"/>
              </w:rPr>
              <w:t>(4,794)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22,645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rPr>
              <w:t>(8,123)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b w:val="1"/>
                <w:bCs w:val="1"/>
                <w:color w:val="auto"/>
              </w:rPr>
              <w:t>(3,555)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Settlements and curtailments</w:t>
            </w: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rPr>
              <w:t>(474)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Plan amendments and other</w:t>
            </w:r>
          </w:p>
        </w:tc>
        <w:tc>
          <w:tcPr>
            <w:tcW w:w="2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Foreign currency changes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5,432</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Benefit obligation,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245,800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47,977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227,211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54,384</w:t>
            </w:r>
          </w:p>
        </w:tc>
        <w:tc>
          <w:tcPr>
            <w:tcW w:w="0" w:type="dxa"/>
            <w:vAlign w:val="bottom"/>
          </w:tcPr>
          <w:p>
            <w:pPr>
              <w:spacing w:after="0"/>
              <w:rPr>
                <w:sz w:val="1"/>
                <w:szCs w:val="1"/>
                <w:color w:val="auto"/>
              </w:rPr>
            </w:pPr>
          </w:p>
        </w:tc>
      </w:tr>
      <w:tr>
        <w:trPr>
          <w:trHeight w:val="25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Accumulated benefit obligation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236,321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218,006</w:t>
            </w:r>
          </w:p>
        </w:tc>
        <w:tc>
          <w:tcPr>
            <w:tcW w:w="100" w:type="dxa"/>
            <w:vAlign w:val="bottom"/>
          </w:tcPr>
          <w:p>
            <w:pPr>
              <w:spacing w:after="0"/>
              <w:rPr>
                <w:sz w:val="21"/>
                <w:szCs w:val="21"/>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Weighted average assumptions used to</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determine benefit obligations, end of year:</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Discount rate — U.S. plan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2.65 %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2.38 %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Discount rate — non-U.S. plans</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2.75 %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Cash balance interest crediting rate - Switzerland</w:t>
            </w: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pension plan</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Compensation increase — U.S. plan</w:t>
            </w:r>
          </w:p>
        </w:tc>
        <w:tc>
          <w:tcPr>
            <w:tcW w:w="200" w:type="dxa"/>
            <w:vAlign w:val="bottom"/>
          </w:tcPr>
          <w:p>
            <w:pPr>
              <w:spacing w:after="0"/>
              <w:rPr>
                <w:sz w:val="23"/>
                <w:szCs w:val="2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3"/>
                <w:szCs w:val="23"/>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7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Compensation increase — non-U.S. plans</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2.71 %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2.75 %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During 2020, pension benefit obligations increased by $18.6 million, $13.3 million of which was driven by net actuarial losses, principally resulting from a lower discount rate. Other postretirement benefit obligations decreased by $6.4 million in 2020, as changes in demographic data assumptions which resulted from a 2020 experience study, were partially offset by lower discount rates. During 2019, lower average discount rates had the effect of significantly increasing both pension and other postretirement benefit obligations.</w:t>
      </w: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sets forth information about plan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As of December 31, 2019</w:t>
            </w:r>
          </w:p>
        </w:tc>
      </w:tr>
      <w:tr>
        <w:trPr>
          <w:trHeight w:val="169"/>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5"/>
              <w:spacing w:after="0"/>
              <w:rPr>
                <w:sz w:val="20"/>
                <w:szCs w:val="20"/>
                <w:color w:val="auto"/>
              </w:rPr>
            </w:pPr>
            <w:r>
              <w:rPr>
                <w:rFonts w:ascii="Arial" w:cs="Arial" w:eastAsia="Arial" w:hAnsi="Arial"/>
                <w:sz w:val="14"/>
                <w:szCs w:val="14"/>
                <w:b w:val="1"/>
                <w:bCs w:val="1"/>
                <w:color w:val="auto"/>
              </w:rPr>
              <w:t>Other</w:t>
            </w: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5"/>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benefits</w:t>
            </w: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211,755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178,942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Actual return on plan assets, net of expenses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28,477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7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(8,123)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7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Foreign currency changes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239,051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211,755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420" w:right="5560" w:hanging="412"/>
        <w:spacing w:after="0" w:line="639" w:lineRule="auto"/>
        <w:tabs>
          <w:tab w:leader="none" w:pos="21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 Plans — (continued) </w:t>
      </w:r>
      <w:r>
        <w:rPr>
          <w:rFonts w:ascii="Arial" w:cs="Arial" w:eastAsia="Arial" w:hAnsi="Arial"/>
          <w:sz w:val="18"/>
          <w:szCs w:val="18"/>
          <w:color w:val="auto"/>
        </w:rPr>
        <w:t>The funded status of the plans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As of December 31, 2019</w:t>
            </w:r>
          </w:p>
        </w:tc>
      </w:tr>
      <w:tr>
        <w:trPr>
          <w:trHeight w:val="169"/>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Other</w:t>
            </w: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postretirement</w:t>
            </w:r>
          </w:p>
        </w:tc>
      </w:tr>
      <w:tr>
        <w:trPr>
          <w:trHeight w:val="19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benefits</w:t>
            </w: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239,051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211,755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Benefit obligation</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245,800</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47,977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227,211</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54,384</w:t>
            </w: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Funded status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(47,977)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(54,384)</w:t>
            </w: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Accrued benefit cost,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(47,977)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(54,384)</w:t>
            </w:r>
          </w:p>
        </w:tc>
      </w:tr>
      <w:tr>
        <w:trPr>
          <w:trHeight w:val="222"/>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Amounts recognized in the consolidated balance sheet consist</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of the following: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7"/>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Noncurrent asset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31,139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Current liability</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(3,808)</w:t>
            </w: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Noncurrent liability</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(35,607)</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(44,317)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(34,638)</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(50,576)</w:t>
            </w: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amount recognized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(47,977)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(54,384)</w:t>
            </w:r>
          </w:p>
        </w:tc>
      </w:tr>
      <w:tr>
        <w:trPr>
          <w:trHeight w:val="222"/>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Amounts recognized in accumulated other comprehensive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income consist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7"/>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actuarial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53,065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20,736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63,240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28,119</w:t>
            </w: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Prior service cost/(credit)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(12,946)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r>
      <w:tr>
        <w:trPr>
          <w:trHeight w:val="25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amount recognized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53,458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10,685</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net pension plan funded status as of December 31, 2020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U.S. plan</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Pension plans with pension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475"/>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26,711</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Pension plans without pension assets</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8"/>
              </w:rPr>
              <w:t>(6,022)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(33,460)</w:t>
            </w:r>
          </w:p>
        </w:tc>
      </w:tr>
      <w:tr>
        <w:trPr>
          <w:trHeight w:val="25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8"/>
              </w:rPr>
              <w:t>(4,471)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underfunded balance in the U.S. principally relates to the 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net periodic benefit plan cost for the years ended December 31, 2020, 2019, and 2018,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Other postretirement benefits</w:t>
            </w:r>
          </w:p>
        </w:tc>
        <w:tc>
          <w:tcPr>
            <w:tcW w:w="900" w:type="dxa"/>
            <w:vAlign w:val="bottom"/>
            <w:tcBorders>
              <w:bottom w:val="single" w:sz="8" w:color="auto"/>
            </w:tcBorders>
          </w:tcPr>
          <w:p>
            <w:pPr>
              <w:spacing w:after="0"/>
              <w:rPr>
                <w:sz w:val="17"/>
                <w:szCs w:val="17"/>
                <w:color w:val="auto"/>
              </w:rPr>
            </w:pPr>
          </w:p>
        </w:tc>
      </w:tr>
      <w:tr>
        <w:trPr>
          <w:trHeight w:val="20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3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Components of net periodic benefit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7"/>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97"/>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2,279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232</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6,172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7,217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1,712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2,024</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(6,853)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2"/>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cost/(credit)</w:t>
            </w:r>
          </w:p>
        </w:tc>
        <w:tc>
          <w:tcPr>
            <w:tcW w:w="300" w:type="dxa"/>
            <w:vAlign w:val="bottom"/>
          </w:tcPr>
          <w:p>
            <w:pPr>
              <w:spacing w:after="0"/>
              <w:rPr>
                <w:sz w:val="21"/>
                <w:szCs w:val="21"/>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(4,488)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(4,488)</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2,412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2,592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2,956</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Settlement</w:t>
            </w:r>
          </w:p>
        </w:tc>
        <w:tc>
          <w:tcPr>
            <w:tcW w:w="30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Curtailment (gain)/loss</w:t>
            </w:r>
          </w:p>
        </w:tc>
        <w:tc>
          <w:tcPr>
            <w:tcW w:w="30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4,435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4,814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724</w:t>
            </w:r>
          </w:p>
        </w:tc>
      </w:tr>
      <w:tr>
        <w:trPr>
          <w:trHeight w:val="47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Weighted average assumptions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used to determine net cost: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97"/>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Discount rate — U.S. plan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3.27 %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3.59 %</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Discount rate — non-U.S. plans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2.31 %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3.05 %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3.40 %</w:t>
            </w:r>
          </w:p>
        </w:tc>
      </w:tr>
      <w:tr>
        <w:trPr>
          <w:trHeight w:val="242"/>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Cash balance interest crediting rate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 Switzerland pension plan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0.25 %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2"/>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 —</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U.S. plan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2"/>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 —</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non-U.S. plans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3.45 %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2"/>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 —</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U.S. plan</w:t>
            </w:r>
          </w:p>
        </w:tc>
        <w:tc>
          <w:tcPr>
            <w:tcW w:w="3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42"/>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 —</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non-U.S. plans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3.00 %</w:t>
            </w: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Pretax (gains)/losses on plan assets and benefit obligations recognized in other comprehensive income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Other postretirement benefits</w:t>
            </w:r>
          </w:p>
        </w:tc>
        <w:tc>
          <w:tcPr>
            <w:tcW w:w="900" w:type="dxa"/>
            <w:vAlign w:val="bottom"/>
            <w:tcBorders>
              <w:bottom w:val="single" w:sz="8" w:color="auto"/>
            </w:tcBorders>
          </w:tcPr>
          <w:p>
            <w:pPr>
              <w:spacing w:after="0"/>
              <w:rPr>
                <w:sz w:val="17"/>
                <w:szCs w:val="17"/>
                <w:color w:val="auto"/>
              </w:rPr>
            </w:pPr>
          </w:p>
        </w:tc>
      </w:tr>
      <w:tr>
        <w:trPr>
          <w:trHeight w:val="20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4"/>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Settlements/curtailments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Asset/liability loss/(gain)</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Amortization of actuarial (loss)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(2,956)</w:t>
            </w:r>
          </w:p>
        </w:tc>
      </w:tr>
      <w:tr>
        <w:trPr>
          <w:trHeight w:val="242"/>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4"/>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cost/(credit)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3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Currency impact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Cost/(benefit) in Other</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44"/>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r>
    </w:tbl>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Strategy</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200" w:lineRule="exact"/>
        <w:rPr>
          <w:sz w:val="20"/>
          <w:szCs w:val="20"/>
          <w:color w:val="auto"/>
        </w:rPr>
      </w:pPr>
    </w:p>
    <w:p>
      <w:pPr>
        <w:spacing w:after="0" w:line="3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plan:</w:t>
      </w:r>
    </w:p>
    <w:p>
      <w:pPr>
        <w:spacing w:after="0" w:line="185"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Non-United States plans:</w:t>
      </w:r>
    </w:p>
    <w:p>
      <w:pPr>
        <w:spacing w:after="0" w:line="18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216"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 following tables present plan assets as of December 31, 2020, and 2019, using the fair-value hierarchy, which has three levels based on the reliability of inputs used, as described in Note 18.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2020 and 2019, there were no investments expected to be sold at a value materially different than NAV.</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7"/>
          </w:tcPr>
          <w:p>
            <w:pPr>
              <w:jc w:val="center"/>
              <w:ind w:right="36"/>
              <w:spacing w:after="0"/>
              <w:rPr>
                <w:sz w:val="20"/>
                <w:szCs w:val="20"/>
                <w:color w:val="auto"/>
              </w:rPr>
            </w:pPr>
            <w:r>
              <w:rPr>
                <w:rFonts w:ascii="Arial" w:cs="Arial" w:eastAsia="Arial" w:hAnsi="Arial"/>
                <w:sz w:val="14"/>
                <w:szCs w:val="14"/>
                <w:b w:val="1"/>
                <w:bCs w:val="1"/>
                <w:color w:val="auto"/>
              </w:rPr>
              <w:t>Assets at Fair Value as of December 31, 2020</w:t>
            </w:r>
          </w:p>
        </w:tc>
        <w:tc>
          <w:tcPr>
            <w:tcW w:w="4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Significant other</w:t>
            </w:r>
          </w:p>
        </w:tc>
        <w:tc>
          <w:tcPr>
            <w:tcW w:w="160" w:type="dxa"/>
            <w:vAlign w:val="bottom"/>
          </w:tcPr>
          <w:p>
            <w:pPr>
              <w:spacing w:after="0"/>
              <w:rPr>
                <w:sz w:val="12"/>
                <w:szCs w:val="12"/>
                <w:color w:val="auto"/>
              </w:rPr>
            </w:pPr>
          </w:p>
        </w:tc>
        <w:tc>
          <w:tcPr>
            <w:tcW w:w="1680" w:type="dxa"/>
            <w:vAlign w:val="bottom"/>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15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observable inputs</w:t>
            </w:r>
          </w:p>
        </w:tc>
        <w:tc>
          <w:tcPr>
            <w:tcW w:w="160" w:type="dxa"/>
            <w:vAlign w:val="bottom"/>
          </w:tcPr>
          <w:p>
            <w:pPr>
              <w:spacing w:after="0"/>
              <w:rPr>
                <w:sz w:val="11"/>
                <w:szCs w:val="11"/>
                <w:color w:val="auto"/>
              </w:rPr>
            </w:pPr>
          </w:p>
        </w:tc>
        <w:tc>
          <w:tcPr>
            <w:tcW w:w="168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rPr>
              <w:t>unobservable</w:t>
            </w: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 Level 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Common Stocks and equity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104,642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104,642</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Insurance contracts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Cash and 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109,556</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Investments at net asset value: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Common Stocks and equity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20,213</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Fixed income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107,012</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Limited partnerships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 plan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239,051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46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Stocks and equity funds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Insurance contracts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short-term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investments in the fair value hierarchy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Investments at net asset value: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Common Stocks and equity funds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Fixed income funds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Limited partnerships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plan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jc w:val="center"/>
              <w:ind w:right="36"/>
              <w:spacing w:after="0"/>
              <w:rPr>
                <w:sz w:val="20"/>
                <w:szCs w:val="20"/>
                <w:color w:val="auto"/>
              </w:rPr>
            </w:pPr>
            <w:r>
              <w:rPr>
                <w:rFonts w:ascii="Arial" w:cs="Arial" w:eastAsia="Arial" w:hAnsi="Arial"/>
                <w:sz w:val="14"/>
                <w:szCs w:val="14"/>
                <w:b w:val="1"/>
                <w:bCs w:val="1"/>
                <w:color w:val="auto"/>
              </w:rPr>
              <w:t>Assets at Fair Value as of December 31, 2019</w:t>
            </w:r>
          </w:p>
        </w:tc>
        <w:tc>
          <w:tcPr>
            <w:tcW w:w="4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 other</w:t>
            </w:r>
          </w:p>
        </w:tc>
        <w:tc>
          <w:tcPr>
            <w:tcW w:w="16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Significant</w:t>
            </w:r>
          </w:p>
        </w:tc>
        <w:tc>
          <w:tcPr>
            <w:tcW w:w="108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unobservable</w:t>
            </w:r>
          </w:p>
        </w:tc>
        <w:tc>
          <w:tcPr>
            <w:tcW w:w="1080" w:type="dxa"/>
            <w:vAlign w:val="bottom"/>
          </w:tcPr>
          <w:p>
            <w:pPr>
              <w:spacing w:after="0"/>
              <w:rPr>
                <w:sz w:val="14"/>
                <w:szCs w:val="14"/>
                <w:color w:val="auto"/>
              </w:rPr>
            </w:pPr>
          </w:p>
        </w:tc>
      </w:tr>
      <w:tr>
        <w:trPr>
          <w:trHeight w:val="196"/>
        </w:trPr>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inputs Level 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 Level 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7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12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92,721</w:t>
            </w:r>
          </w:p>
        </w:tc>
      </w:tr>
      <w:tr>
        <w:trPr>
          <w:trHeight w:val="270"/>
        </w:trPr>
        <w:tc>
          <w:tcPr>
            <w:tcW w:w="12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70"/>
        </w:trPr>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98,974</w:t>
            </w:r>
          </w:p>
        </w:tc>
      </w:tr>
      <w:tr>
        <w:trPr>
          <w:trHeight w:val="520"/>
        </w:trPr>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56,846</w:t>
            </w:r>
          </w:p>
        </w:tc>
      </w:tr>
      <w:tr>
        <w:trPr>
          <w:trHeight w:val="270"/>
        </w:trPr>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52,751</w:t>
            </w:r>
          </w:p>
        </w:tc>
      </w:tr>
      <w:tr>
        <w:trPr>
          <w:trHeight w:val="270"/>
        </w:trPr>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r>
      <w:tr>
        <w:trPr>
          <w:trHeight w:val="223"/>
        </w:trPr>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211,755</w:t>
            </w:r>
          </w:p>
        </w:tc>
      </w:tr>
      <w:tr>
        <w:trPr>
          <w:trHeight w:val="21"/>
        </w:trPr>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720"/>
            <w:col w:w="5960"/>
          </w:cols>
          <w:pgMar w:left="320" w:top="301"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Net unrealized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rPr>
              <w:t>Net purchases,issuances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Net transfers (out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realized gains</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gains</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and settlements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of) Level 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37"/>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Insurance contracts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total level 3 assets</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3,819</w:t>
            </w: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purchases,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Net unrealized</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Net transfers (out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Net realized gains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gains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and settlements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of) Level 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37"/>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Insurance contracts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total level 3 assets</w:t>
            </w:r>
          </w:p>
        </w:tc>
        <w:tc>
          <w:tcPr>
            <w:tcW w:w="54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280" w:type="dxa"/>
            <w:vAlign w:val="bottom"/>
            <w:gridSpan w:val="3"/>
          </w:tcPr>
          <w:p>
            <w:pPr>
              <w:jc w:val="right"/>
              <w:ind w:right="88"/>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740" w:firstLine="405"/>
        <w:spacing w:after="0" w:line="261" w:lineRule="auto"/>
        <w:rPr>
          <w:sz w:val="20"/>
          <w:szCs w:val="20"/>
          <w:color w:val="auto"/>
        </w:rPr>
      </w:pPr>
      <w:r>
        <w:rPr>
          <w:rFonts w:ascii="Arial" w:cs="Arial" w:eastAsia="Arial" w:hAnsi="Arial"/>
          <w:sz w:val="18"/>
          <w:szCs w:val="18"/>
          <w:color w:val="auto"/>
        </w:rPr>
        <w:t>The asset allocation for the Company’s U.S. and non-U.S. pension plans for 2020 and 2019, and the target allocation, by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United States Plan</w:t>
            </w:r>
          </w:p>
        </w:tc>
        <w:tc>
          <w:tcPr>
            <w:tcW w:w="1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Non-U.S. Plans</w:t>
            </w:r>
          </w:p>
        </w:tc>
        <w:tc>
          <w:tcPr>
            <w:tcW w:w="1380" w:type="dxa"/>
            <w:vAlign w:val="bottom"/>
            <w:tcBorders>
              <w:bottom w:val="single" w:sz="8" w:color="auto"/>
            </w:tcBorders>
          </w:tcPr>
          <w:p>
            <w:pPr>
              <w:spacing w:after="0"/>
              <w:rPr>
                <w:sz w:val="17"/>
                <w:szCs w:val="17"/>
                <w:color w:val="auto"/>
              </w:rPr>
            </w:pPr>
          </w:p>
        </w:tc>
      </w:tr>
      <w:tr>
        <w:trPr>
          <w:trHeight w:val="202"/>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Percentage of plan assets at plan</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Percentage of plan assets at plan</w:t>
            </w:r>
          </w:p>
        </w:tc>
      </w:tr>
      <w:tr>
        <w:trPr>
          <w:trHeight w:val="202"/>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Target</w:t>
            </w:r>
          </w:p>
        </w:tc>
        <w:tc>
          <w:tcPr>
            <w:tcW w:w="2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measurement date</w:t>
            </w: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Target</w:t>
            </w:r>
          </w:p>
        </w:tc>
        <w:tc>
          <w:tcPr>
            <w:tcW w:w="286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measurement date</w:t>
            </w:r>
          </w:p>
        </w:tc>
      </w:tr>
      <w:tr>
        <w:trPr>
          <w:trHeight w:val="196"/>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Allocation</w:t>
            </w: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Allocation</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6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82 %</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40" w:hanging="652"/>
        <w:spacing w:after="0" w:line="261"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Pensions and Other Postretirement Benefit Plans — (continued)</w:t>
      </w:r>
    </w:p>
    <w:p>
      <w:pPr>
        <w:spacing w:after="0" w:line="200" w:lineRule="exact"/>
        <w:rPr>
          <w:sz w:val="20"/>
          <w:szCs w:val="20"/>
          <w:color w:val="auto"/>
        </w:rPr>
      </w:pPr>
    </w:p>
    <w:p>
      <w:pPr>
        <w:spacing w:after="0" w:line="371"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57"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At the end of 2020 and 2019, the projected benefit obligation, accumulated benefit obligation, and fair value of plan assets for pension plans with projected benefit obligation and an accumulated benefit obligation in excess of plan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613"/>
              <w:spacing w:after="0"/>
              <w:rPr>
                <w:sz w:val="20"/>
                <w:szCs w:val="20"/>
                <w:color w:val="auto"/>
              </w:rPr>
            </w:pPr>
            <w:r>
              <w:rPr>
                <w:rFonts w:ascii="Arial" w:cs="Arial" w:eastAsia="Arial" w:hAnsi="Arial"/>
                <w:sz w:val="14"/>
                <w:szCs w:val="14"/>
                <w:b w:val="1"/>
                <w:bCs w:val="1"/>
                <w:color w:val="auto"/>
              </w:rPr>
              <w:t>Plans with projected</w:t>
            </w:r>
          </w:p>
        </w:tc>
      </w:tr>
      <w:tr>
        <w:trPr>
          <w:trHeight w:val="162"/>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593"/>
              <w:spacing w:after="0"/>
              <w:rPr>
                <w:sz w:val="20"/>
                <w:szCs w:val="20"/>
                <w:color w:val="auto"/>
              </w:rPr>
            </w:pPr>
            <w:r>
              <w:rPr>
                <w:rFonts w:ascii="Arial" w:cs="Arial" w:eastAsia="Arial" w:hAnsi="Arial"/>
                <w:sz w:val="14"/>
                <w:szCs w:val="14"/>
                <w:b w:val="1"/>
                <w:bCs w:val="1"/>
                <w:color w:val="auto"/>
              </w:rPr>
              <w:t>benefit obligation in</w:t>
            </w:r>
          </w:p>
        </w:tc>
      </w:tr>
      <w:tr>
        <w:trPr>
          <w:trHeight w:val="196"/>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center"/>
              <w:ind w:right="613"/>
              <w:spacing w:after="0"/>
              <w:rPr>
                <w:sz w:val="20"/>
                <w:szCs w:val="20"/>
                <w:color w:val="auto"/>
              </w:rPr>
            </w:pPr>
            <w:r>
              <w:rPr>
                <w:rFonts w:ascii="Arial" w:cs="Arial" w:eastAsia="Arial" w:hAnsi="Arial"/>
                <w:sz w:val="14"/>
                <w:szCs w:val="14"/>
                <w:b w:val="1"/>
                <w:bCs w:val="1"/>
                <w:color w:val="auto"/>
              </w:rPr>
              <w:t>excess of plan assets</w:t>
            </w:r>
          </w:p>
        </w:tc>
      </w:tr>
      <w:tr>
        <w:trPr>
          <w:trHeight w:val="203"/>
        </w:trPr>
        <w:tc>
          <w:tcPr>
            <w:tcW w:w="7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6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Projected benefit obligation</w:t>
            </w:r>
          </w:p>
        </w:tc>
        <w:tc>
          <w:tcPr>
            <w:tcW w:w="180" w:type="dxa"/>
            <w:vAlign w:val="bottom"/>
          </w:tcPr>
          <w:p>
            <w:pPr>
              <w:spacing w:after="0"/>
              <w:rPr>
                <w:sz w:val="22"/>
                <w:szCs w:val="22"/>
                <w:color w:val="auto"/>
              </w:rPr>
            </w:pPr>
          </w:p>
        </w:tc>
        <w:tc>
          <w:tcPr>
            <w:tcW w:w="12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42,703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137,123</w:t>
            </w: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4,815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100,330</w:t>
            </w:r>
          </w:p>
        </w:tc>
      </w:tr>
      <w:tr>
        <w:trPr>
          <w:trHeight w:val="621"/>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5"/>
          </w:tcPr>
          <w:p>
            <w:pPr>
              <w:jc w:val="center"/>
              <w:ind w:right="473"/>
              <w:spacing w:after="0"/>
              <w:rPr>
                <w:sz w:val="20"/>
                <w:szCs w:val="20"/>
                <w:color w:val="auto"/>
              </w:rPr>
            </w:pPr>
            <w:r>
              <w:rPr>
                <w:rFonts w:ascii="Arial" w:cs="Arial" w:eastAsia="Arial" w:hAnsi="Arial"/>
                <w:sz w:val="14"/>
                <w:szCs w:val="14"/>
                <w:b w:val="1"/>
                <w:bCs w:val="1"/>
                <w:color w:val="auto"/>
              </w:rPr>
              <w:t>Plans with accumulated</w:t>
            </w:r>
          </w:p>
        </w:tc>
      </w:tr>
      <w:tr>
        <w:trPr>
          <w:trHeight w:val="162"/>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center"/>
              <w:ind w:right="593"/>
              <w:spacing w:after="0"/>
              <w:rPr>
                <w:sz w:val="20"/>
                <w:szCs w:val="20"/>
                <w:color w:val="auto"/>
              </w:rPr>
            </w:pPr>
            <w:r>
              <w:rPr>
                <w:rFonts w:ascii="Arial" w:cs="Arial" w:eastAsia="Arial" w:hAnsi="Arial"/>
                <w:sz w:val="14"/>
                <w:szCs w:val="14"/>
                <w:b w:val="1"/>
                <w:bCs w:val="1"/>
                <w:color w:val="auto"/>
              </w:rPr>
              <w:t>benefit obligation in</w:t>
            </w:r>
          </w:p>
        </w:tc>
      </w:tr>
      <w:tr>
        <w:trPr>
          <w:trHeight w:val="196"/>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center"/>
              <w:ind w:right="613"/>
              <w:spacing w:after="0"/>
              <w:rPr>
                <w:sz w:val="20"/>
                <w:szCs w:val="20"/>
                <w:color w:val="auto"/>
              </w:rPr>
            </w:pPr>
            <w:r>
              <w:rPr>
                <w:rFonts w:ascii="Arial" w:cs="Arial" w:eastAsia="Arial" w:hAnsi="Arial"/>
                <w:sz w:val="14"/>
                <w:szCs w:val="14"/>
                <w:b w:val="1"/>
                <w:bCs w:val="1"/>
                <w:color w:val="auto"/>
              </w:rPr>
              <w:t>excess of plan assets</w:t>
            </w:r>
          </w:p>
        </w:tc>
      </w:tr>
      <w:tr>
        <w:trPr>
          <w:trHeight w:val="189"/>
        </w:trPr>
        <w:tc>
          <w:tcPr>
            <w:tcW w:w="7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4"/>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Accumulated benefit obligation</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40,133</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134,737</w:t>
            </w:r>
          </w:p>
        </w:tc>
      </w:tr>
      <w:tr>
        <w:trPr>
          <w:trHeight w:val="23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4,815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100,330</w:t>
            </w:r>
          </w:p>
        </w:tc>
      </w:tr>
      <w:tr>
        <w:trPr>
          <w:trHeight w:val="391"/>
        </w:trPr>
        <w:tc>
          <w:tcPr>
            <w:tcW w:w="8820" w:type="dxa"/>
            <w:vAlign w:val="bottom"/>
            <w:gridSpan w:val="6"/>
          </w:tcPr>
          <w:p>
            <w:pPr>
              <w:ind w:left="420"/>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2"/>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Pension plans</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Other postretirement benefits</w:t>
            </w:r>
          </w:p>
        </w:tc>
      </w:tr>
      <w:tr>
        <w:trPr>
          <w:trHeight w:val="26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Expected employer contributions and direct employer payments in the next fiscal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2,527</w:t>
            </w:r>
          </w:p>
        </w:tc>
        <w:tc>
          <w:tcPr>
            <w:tcW w:w="900" w:type="dxa"/>
            <w:vAlign w:val="bottom"/>
            <w:gridSpan w:val="3"/>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3,660</w:t>
            </w:r>
          </w:p>
        </w:tc>
      </w:tr>
      <w:tr>
        <w:trPr>
          <w:trHeight w:val="22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Expected benefit payments</w:t>
            </w: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7"/>
        </w:trPr>
        <w:tc>
          <w:tcPr>
            <w:tcW w:w="7340" w:type="dxa"/>
            <w:vAlign w:val="bottom"/>
          </w:tcPr>
          <w:p>
            <w:pPr>
              <w:ind w:left="686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8,134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3,660</w:t>
            </w:r>
          </w:p>
        </w:tc>
      </w:tr>
      <w:tr>
        <w:trPr>
          <w:trHeight w:val="229"/>
        </w:trPr>
        <w:tc>
          <w:tcPr>
            <w:tcW w:w="7340" w:type="dxa"/>
            <w:vAlign w:val="bottom"/>
          </w:tcPr>
          <w:p>
            <w:pPr>
              <w:ind w:left="686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8,585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3,530</w:t>
            </w:r>
          </w:p>
        </w:tc>
      </w:tr>
      <w:tr>
        <w:trPr>
          <w:trHeight w:val="230"/>
        </w:trPr>
        <w:tc>
          <w:tcPr>
            <w:tcW w:w="7340" w:type="dxa"/>
            <w:vAlign w:val="bottom"/>
          </w:tcPr>
          <w:p>
            <w:pPr>
              <w:ind w:left="68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8,794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3,418</w:t>
            </w:r>
          </w:p>
        </w:tc>
      </w:tr>
      <w:tr>
        <w:trPr>
          <w:trHeight w:val="230"/>
        </w:trPr>
        <w:tc>
          <w:tcPr>
            <w:tcW w:w="7340" w:type="dxa"/>
            <w:vAlign w:val="bottom"/>
          </w:tcPr>
          <w:p>
            <w:pPr>
              <w:ind w:left="686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9,286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3,279</w:t>
            </w:r>
          </w:p>
        </w:tc>
      </w:tr>
      <w:tr>
        <w:trPr>
          <w:trHeight w:val="230"/>
        </w:trPr>
        <w:tc>
          <w:tcPr>
            <w:tcW w:w="7340" w:type="dxa"/>
            <w:vAlign w:val="bottom"/>
          </w:tcPr>
          <w:p>
            <w:pPr>
              <w:ind w:left="686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70"/>
        </w:trPr>
        <w:tc>
          <w:tcPr>
            <w:tcW w:w="7340" w:type="dxa"/>
            <w:vAlign w:val="bottom"/>
          </w:tcPr>
          <w:p>
            <w:pPr>
              <w:ind w:left="6460"/>
              <w:spacing w:after="0"/>
              <w:rPr>
                <w:sz w:val="20"/>
                <w:szCs w:val="20"/>
                <w:color w:val="auto"/>
              </w:rPr>
            </w:pPr>
            <w:r>
              <w:rPr>
                <w:rFonts w:ascii="Arial" w:cs="Arial" w:eastAsia="Arial" w:hAnsi="Arial"/>
                <w:sz w:val="18"/>
                <w:szCs w:val="18"/>
                <w:color w:val="auto"/>
                <w:w w:val="99"/>
              </w:rPr>
              <w:t>2026-2030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54,403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14,027</w:t>
            </w:r>
          </w:p>
        </w:tc>
      </w:tr>
      <w:tr>
        <w:trPr>
          <w:trHeight w:val="904"/>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15"/>
        </w:trPr>
        <w:tc>
          <w:tcPr>
            <w:tcW w:w="7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AEC reduced its workforce at various locations, principally in the United States, leading to restructuring charges of $2.8 million.</w:t>
      </w:r>
    </w:p>
    <w:p>
      <w:pPr>
        <w:spacing w:after="0" w:line="171"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In 2017, the Company announced a proposal to discontinue operations at its MC production facility in Sélestat, France. The restructuring program was driven by the Company’s need to balance manufacturing capacity with demand. During 2017, we incurred $1.1 million of restructuring expense associated with this proposal but were unable to reasonably estimate the total costs for severance and other charges associated with the proposal as there was no assurance, at that time, that approval for the proposal would be obtained. In 2018, the plan was approved by the French Labor Ministry which led to restructuring expense of $10.7 million in 2018, which included severance and outplacement costs for the approximately 50 positions that were terminated under this plan. In 2019, restructuring charges were $0.9 million. In 2020, restructuring charges were $1.2 million. Since 2017, we have recorded $13.9 million of restructuring charges related to this action.</w:t>
      </w:r>
    </w:p>
    <w:p>
      <w:pPr>
        <w:spacing w:after="0" w:line="176"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2018, the Company discontinued certain manufacturing processes at its AEC facility in Salt Lake City, Utah, which resulted in $1.9 million of restructuring in 2018, which included a non-cash restructuring charge of $ 1.7 million, and an additional $ 0.2 million for severance. The non-cash restructuring charge resulted from writing down manufacturing equipment used in that line of business to its estimated value. In 2019, the Company wrote off the remaining $1.2 million book value of that equipment as the Company was unable to sell it. To date, we have recorded $3.1 million of restructuring charges related to these actions.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Year ended December 31, 2020 (In thousands)</w:t>
            </w:r>
          </w:p>
        </w:tc>
        <w:tc>
          <w:tcPr>
            <w:tcW w:w="120" w:type="dxa"/>
            <w:vAlign w:val="bottom"/>
            <w:vMerge w:val="restart"/>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Total restructuring</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Termination and</w:t>
            </w:r>
          </w:p>
        </w:tc>
        <w:tc>
          <w:tcPr>
            <w:tcW w:w="180" w:type="dxa"/>
            <w:vAlign w:val="bottom"/>
          </w:tcPr>
          <w:p>
            <w:pPr>
              <w:spacing w:after="0"/>
              <w:rPr>
                <w:sz w:val="14"/>
                <w:szCs w:val="14"/>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202"/>
        </w:trPr>
        <w:tc>
          <w:tcPr>
            <w:tcW w:w="6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costs incurred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6660" w:type="dxa"/>
            <w:vAlign w:val="bottom"/>
            <w:vMerge w:val="restart"/>
          </w:tcPr>
          <w:p>
            <w:pPr>
              <w:jc w:val="right"/>
              <w:spacing w:after="0"/>
              <w:rPr>
                <w:sz w:val="20"/>
                <w:szCs w:val="20"/>
                <w:color w:val="auto"/>
              </w:rPr>
            </w:pPr>
            <w:r>
              <w:rPr>
                <w:rFonts w:ascii="Arial" w:cs="Arial" w:eastAsia="Arial" w:hAnsi="Arial"/>
                <w:sz w:val="18"/>
                <w:szCs w:val="18"/>
                <w:color w:val="auto"/>
              </w:rPr>
              <w:t>Year ended December 31, 2019 (In thousands)</w:t>
            </w:r>
          </w:p>
        </w:tc>
        <w:tc>
          <w:tcPr>
            <w:tcW w:w="120" w:type="dxa"/>
            <w:vAlign w:val="bottom"/>
            <w:vMerge w:val="restart"/>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Total restructuring</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Termination and</w:t>
            </w:r>
          </w:p>
        </w:tc>
        <w:tc>
          <w:tcPr>
            <w:tcW w:w="180" w:type="dxa"/>
            <w:vAlign w:val="bottom"/>
          </w:tcPr>
          <w:p>
            <w:pPr>
              <w:spacing w:after="0"/>
              <w:rPr>
                <w:sz w:val="24"/>
                <w:szCs w:val="24"/>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202"/>
        </w:trPr>
        <w:tc>
          <w:tcPr>
            <w:tcW w:w="6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costs incurred</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 costs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660" w:type="dxa"/>
            <w:vAlign w:val="bottom"/>
            <w:vMerge w:val="restart"/>
          </w:tcPr>
          <w:p>
            <w:pPr>
              <w:jc w:val="right"/>
              <w:spacing w:after="0"/>
              <w:rPr>
                <w:sz w:val="20"/>
                <w:szCs w:val="20"/>
                <w:color w:val="auto"/>
              </w:rPr>
            </w:pPr>
            <w:r>
              <w:rPr>
                <w:rFonts w:ascii="Arial" w:cs="Arial" w:eastAsia="Arial" w:hAnsi="Arial"/>
                <w:sz w:val="18"/>
                <w:szCs w:val="18"/>
                <w:color w:val="auto"/>
              </w:rPr>
              <w:t>Year ended December 31, 2018 (In thousands)</w:t>
            </w:r>
          </w:p>
        </w:tc>
        <w:tc>
          <w:tcPr>
            <w:tcW w:w="120" w:type="dxa"/>
            <w:vAlign w:val="bottom"/>
            <w:vMerge w:val="restart"/>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Total restructuring</w:t>
            </w: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Termination and</w:t>
            </w:r>
          </w:p>
        </w:tc>
        <w:tc>
          <w:tcPr>
            <w:tcW w:w="180" w:type="dxa"/>
            <w:vAlign w:val="bottom"/>
          </w:tcPr>
          <w:p>
            <w:pPr>
              <w:spacing w:after="0"/>
              <w:rPr>
                <w:sz w:val="24"/>
                <w:szCs w:val="24"/>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202"/>
        </w:trPr>
        <w:tc>
          <w:tcPr>
            <w:tcW w:w="6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costs incurred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Machine Clothing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Albany Engineered Composites</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Corporate expenses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We expect that approximately $1.9 million of Accrued liabilities for restructuring at December 31, 2020 will be paid within one year and approximately $0.3 million will be paid the following year.</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 (continued)</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changes in restructuring liabilities for 2020 and 2019, all of which related to termination costs: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Restructuring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charges accrued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translation/other</w:t>
            </w:r>
          </w:p>
        </w:tc>
        <w:tc>
          <w:tcPr>
            <w:tcW w:w="120" w:type="dxa"/>
            <w:vAlign w:val="bottom"/>
            <w:gridSpan w:val="2"/>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 termination and other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5,736</w:t>
            </w:r>
          </w:p>
        </w:tc>
        <w:tc>
          <w:tcPr>
            <w:tcW w:w="4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Restructuring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2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3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charges accrued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translation/other</w:t>
            </w:r>
          </w:p>
        </w:tc>
        <w:tc>
          <w:tcPr>
            <w:tcW w:w="120" w:type="dxa"/>
            <w:vAlign w:val="bottom"/>
            <w:gridSpan w:val="2"/>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 termination and other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w:t>
            </w:r>
          </w:p>
        </w:tc>
        <w:tc>
          <w:tcPr>
            <w:tcW w:w="4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(income)/expense,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00" w:type="dxa"/>
            <w:vAlign w:val="bottom"/>
            <w:gridSpan w:val="5"/>
          </w:tcPr>
          <w:p>
            <w:pPr>
              <w:ind w:left="420"/>
              <w:spacing w:after="0"/>
              <w:rPr>
                <w:sz w:val="20"/>
                <w:szCs w:val="20"/>
                <w:color w:val="auto"/>
              </w:rPr>
            </w:pPr>
            <w:r>
              <w:rPr>
                <w:rFonts w:ascii="Arial" w:cs="Arial" w:eastAsia="Arial" w:hAnsi="Arial"/>
                <w:sz w:val="18"/>
                <w:szCs w:val="18"/>
                <w:color w:val="auto"/>
              </w:rPr>
              <w:t>The components of Other (income)/expense, net, are: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Currency transactions</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13,569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5300" w:type="dxa"/>
            <w:vAlign w:val="bottom"/>
            <w:gridSpan w:val="5"/>
          </w:tcPr>
          <w:p>
            <w:pPr>
              <w:ind w:left="20"/>
              <w:spacing w:after="0"/>
              <w:rPr>
                <w:sz w:val="20"/>
                <w:szCs w:val="20"/>
                <w:color w:val="auto"/>
              </w:rPr>
            </w:pPr>
            <w:r>
              <w:rPr>
                <w:rFonts w:ascii="Arial" w:cs="Arial" w:eastAsia="Arial" w:hAnsi="Arial"/>
                <w:sz w:val="18"/>
                <w:szCs w:val="18"/>
                <w:color w:val="auto"/>
              </w:rPr>
              <w:t>Bank fees and amortization of debt issuance costs</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Pension settlements and curtailments</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0"/>
        </w:trPr>
        <w:tc>
          <w:tcPr>
            <w:tcW w:w="6700" w:type="dxa"/>
            <w:vAlign w:val="bottom"/>
            <w:gridSpan w:val="8"/>
          </w:tcPr>
          <w:p>
            <w:pPr>
              <w:ind w:left="20"/>
              <w:spacing w:after="0"/>
              <w:rPr>
                <w:sz w:val="20"/>
                <w:szCs w:val="20"/>
                <w:color w:val="auto"/>
              </w:rPr>
            </w:pPr>
            <w:r>
              <w:rPr>
                <w:rFonts w:ascii="Arial" w:cs="Arial" w:eastAsia="Arial" w:hAnsi="Arial"/>
                <w:sz w:val="18"/>
                <w:szCs w:val="18"/>
                <w:color w:val="auto"/>
              </w:rPr>
              <w:t>Components of net periodic pension and postretirement cost other than service</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In 2020, Other (income)/expense, net included losses related to the revaluation of nonfunctional-currency balances of $13.6 million, which principally resulted from intercompany demand loans payable by Mexican subsidiaries combined with the effects of a much weaker peso in 2020. As a result of changes in business conditions that occurred in the first quarter of 2020, certain loan repayments are no longer expected in the foreseeable future and, beginning April 1, 2020, the revaluation effects for those loans are being recorded in Other comprehensive income, which resulted in a pre-tax gain of $5.0 million being recorded in Other comprehensive income in 2020.</w:t>
      </w:r>
    </w:p>
    <w:p>
      <w:pPr>
        <w:spacing w:after="0" w:line="165" w:lineRule="exact"/>
        <w:rPr>
          <w:sz w:val="20"/>
          <w:szCs w:val="20"/>
          <w:color w:val="auto"/>
        </w:rPr>
      </w:pPr>
    </w:p>
    <w:p>
      <w:pPr>
        <w:ind w:right="620" w:firstLine="405"/>
        <w:spacing w:after="0" w:line="261" w:lineRule="auto"/>
        <w:rPr>
          <w:sz w:val="20"/>
          <w:szCs w:val="20"/>
          <w:color w:val="auto"/>
        </w:rPr>
      </w:pPr>
      <w:r>
        <w:rPr>
          <w:rFonts w:ascii="Arial" w:cs="Arial" w:eastAsia="Arial" w:hAnsi="Arial"/>
          <w:sz w:val="18"/>
          <w:szCs w:val="18"/>
          <w:color w:val="auto"/>
        </w:rPr>
        <w:t>In 2020, the Company recorded other income of $2.6 million related to a successful claim for a rebate of foreign sales tax paid in previous years.</w:t>
      </w:r>
    </w:p>
    <w:p>
      <w:pPr>
        <w:spacing w:after="0" w:line="157"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In 2019, the Company took actions to freeze accrued benefits under the United Kingdom defined benefit pension plan, which resulted in a curtailment charge of $0.5 million.</w:t>
      </w:r>
    </w:p>
    <w:p>
      <w:pPr>
        <w:spacing w:after="0" w:line="171"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In 2018, the Company took actions to settle a portion of its non-U.S. defined benefit pension plan liabilities, which resulted in a settlement charge of $2.2 million. Also in 2018, the Company recorded a pension curtailment gain of $0.7 million related to the restructuring in Sélestat, France.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components of income tax expense/(benefit) and income before income taxes on continuing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2"/>
        </w:trPr>
        <w:tc>
          <w:tcPr>
            <w:tcW w:w="67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Income tax based on income from continuing operations, at estimated tax rates</w:t>
            </w:r>
          </w:p>
        </w:tc>
        <w:tc>
          <w:tcPr>
            <w:tcW w:w="480" w:type="dxa"/>
            <w:vAlign w:val="bottom"/>
          </w:tcPr>
          <w:p>
            <w:pPr>
              <w:spacing w:after="0"/>
              <w:rPr>
                <w:sz w:val="15"/>
                <w:szCs w:val="15"/>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39,544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of 28%, 28%, and 31%, respectively</w:t>
            </w:r>
          </w:p>
        </w:tc>
        <w:tc>
          <w:tcPr>
            <w:tcW w:w="4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49,977</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36,044</w:t>
            </w:r>
          </w:p>
        </w:tc>
        <w:tc>
          <w:tcPr>
            <w:tcW w:w="0" w:type="dxa"/>
            <w:vAlign w:val="bottom"/>
          </w:tcPr>
          <w:p>
            <w:pPr>
              <w:spacing w:after="0"/>
              <w:rPr>
                <w:sz w:val="1"/>
                <w:szCs w:val="1"/>
                <w:color w:val="auto"/>
              </w:rPr>
            </w:pPr>
          </w:p>
        </w:tc>
      </w:tr>
      <w:tr>
        <w:trPr>
          <w:trHeight w:val="232"/>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Income tax before discrete items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39,544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49,977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36,044</w:t>
            </w:r>
          </w:p>
        </w:tc>
        <w:tc>
          <w:tcPr>
            <w:tcW w:w="0" w:type="dxa"/>
            <w:vAlign w:val="bottom"/>
          </w:tcPr>
          <w:p>
            <w:pPr>
              <w:spacing w:after="0"/>
              <w:rPr>
                <w:sz w:val="1"/>
                <w:szCs w:val="1"/>
                <w:color w:val="auto"/>
              </w:rPr>
            </w:pP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Discrete tax expense/(benefit):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Net impact of mandatory deemed repatriation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Provision for/resolution of tax audits and contingencies, net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Adjustments to prior period tax liabilities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Provision for/adjustment to beginning of year valuation allowances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Enacted tax legislation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Tax effect of non-deductible foreign exchange loss on intercompany loan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3,801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41,831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1"/>
        </w:trPr>
        <w:tc>
          <w:tcPr>
            <w:tcW w:w="6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660" w:type="dxa"/>
            <w:vAlign w:val="bottom"/>
            <w:tcBorders>
              <w:bottom w:val="single" w:sz="8" w:color="auto"/>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Income/(loss) before income taxes: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63,375</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76,024</w:t>
            </w: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Non-U.S.</w:t>
            </w: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75,699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102,188</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73,372</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139,074</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178,212</w:t>
            </w: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115,247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8"/>
                <w:szCs w:val="18"/>
                <w:color w:val="auto"/>
              </w:rPr>
              <w:t>Income tax provision</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1,415</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State</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Non-U.S.</w:t>
            </w: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26,916</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25,255</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21,557</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30,359</w:t>
            </w: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32,392</w:t>
            </w:r>
          </w:p>
        </w:tc>
        <w:tc>
          <w:tcPr>
            <w:tcW w:w="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26,857</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11,211</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10,583</w:t>
            </w: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State</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0"/>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Non-U.S.</w:t>
            </w: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41,831</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44,829</w:t>
            </w: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components of deferred income tax expense/(benefit)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6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effect of temporary differences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5,262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372"/>
              <w:spacing w:after="0"/>
              <w:rPr>
                <w:sz w:val="20"/>
                <w:szCs w:val="20"/>
                <w:color w:val="auto"/>
              </w:rPr>
            </w:pPr>
            <w:r>
              <w:rPr>
                <w:rFonts w:ascii="Arial" w:cs="Arial" w:eastAsia="Arial" w:hAnsi="Arial"/>
                <w:sz w:val="18"/>
                <w:szCs w:val="18"/>
                <w:color w:val="auto"/>
              </w:rPr>
              <w:t>(4,657)</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Foreign tax credits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7,173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center"/>
              <w:ind w:left="392"/>
              <w:spacing w:after="0"/>
              <w:rPr>
                <w:sz w:val="20"/>
                <w:szCs w:val="20"/>
                <w:color w:val="auto"/>
              </w:rPr>
            </w:pPr>
            <w:r>
              <w:rPr>
                <w:rFonts w:ascii="Arial" w:cs="Arial" w:eastAsia="Arial" w:hAnsi="Arial"/>
                <w:sz w:val="18"/>
                <w:szCs w:val="18"/>
                <w:color w:val="auto"/>
                <w:w w:val="97"/>
              </w:rPr>
              <w:t>9,437</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Retirement benefits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center"/>
              <w:ind w:left="392"/>
              <w:spacing w:after="0"/>
              <w:rPr>
                <w:sz w:val="20"/>
                <w:szCs w:val="20"/>
                <w:color w:val="auto"/>
              </w:rPr>
            </w:pPr>
            <w:r>
              <w:rPr>
                <w:rFonts w:ascii="Arial" w:cs="Arial" w:eastAsia="Arial" w:hAnsi="Arial"/>
                <w:sz w:val="18"/>
                <w:szCs w:val="18"/>
                <w:color w:val="auto"/>
                <w:w w:val="97"/>
              </w:rPr>
              <w:t>2,360</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impact to operating loss carryforwards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center"/>
              <w:ind w:left="392"/>
              <w:spacing w:after="0"/>
              <w:rPr>
                <w:sz w:val="20"/>
                <w:szCs w:val="20"/>
                <w:color w:val="auto"/>
              </w:rPr>
            </w:pPr>
            <w:r>
              <w:rPr>
                <w:rFonts w:ascii="Arial" w:cs="Arial" w:eastAsia="Arial" w:hAnsi="Arial"/>
                <w:sz w:val="18"/>
                <w:szCs w:val="18"/>
                <w:color w:val="auto"/>
                <w:w w:val="97"/>
              </w:rPr>
              <w:t>1,046</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Enacted changes in tax laws and rates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center"/>
              <w:ind w:left="392"/>
              <w:spacing w:after="0"/>
              <w:rPr>
                <w:sz w:val="20"/>
                <w:szCs w:val="20"/>
                <w:color w:val="auto"/>
              </w:rPr>
            </w:pPr>
            <w:r>
              <w:rPr>
                <w:rFonts w:ascii="Arial" w:cs="Arial" w:eastAsia="Arial" w:hAnsi="Arial"/>
                <w:sz w:val="18"/>
                <w:szCs w:val="18"/>
                <w:color w:val="auto"/>
                <w:w w:val="97"/>
              </w:rPr>
              <w:t>2,067</w:t>
            </w:r>
          </w:p>
        </w:tc>
      </w:tr>
      <w:tr>
        <w:trPr>
          <w:trHeight w:val="242"/>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Adjustment to beginning-of-the-year valuation allowance balance for changes in</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circumstances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rPr>
              <w:t>(4,882)</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7"/>
              </w:rPr>
              <w:t>5,371</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6" w:name="page77"/>
    <w:bookmarkEnd w:id="7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of the U.S. federal statutory tax rate to the Company’s effective income tax rate is as follows:</w:t>
      </w:r>
    </w:p>
    <w:p>
      <w:pPr>
        <w:sectPr>
          <w:pgSz w:w="11900" w:h="16838" w:orient="portrait"/>
          <w:cols w:equalWidth="0" w:num="1">
            <w:col w:w="11240"/>
          </w:cols>
          <w:pgMar w:left="320" w:top="301" w:right="339" w:bottom="1440" w:gutter="0" w:footer="0" w:header="0"/>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federal statutory tax rate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taxes, net of federal benefit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Non-U.S. local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permanent adjustments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permanent adjustments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rate differential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U.S. tax on non-U.S. earnings and foreign withholdings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for/resolution of tax audits and contingencies,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and other tax credits</w:t>
      </w:r>
    </w:p>
    <w:p>
      <w:pPr>
        <w:spacing w:after="0" w:line="63" w:lineRule="exact"/>
        <w:rPr>
          <w:sz w:val="20"/>
          <w:szCs w:val="20"/>
          <w:color w:val="auto"/>
        </w:rPr>
      </w:pPr>
    </w:p>
    <w:p>
      <w:pPr>
        <w:ind w:left="20" w:right="100"/>
        <w:spacing w:after="0" w:line="305" w:lineRule="auto"/>
        <w:rPr>
          <w:sz w:val="20"/>
          <w:szCs w:val="20"/>
          <w:color w:val="auto"/>
        </w:rPr>
      </w:pPr>
      <w:r>
        <w:rPr>
          <w:rFonts w:ascii="Arial" w:cs="Arial" w:eastAsia="Arial" w:hAnsi="Arial"/>
          <w:sz w:val="18"/>
          <w:szCs w:val="18"/>
          <w:color w:val="auto"/>
        </w:rPr>
        <w:t>Provision for/adjustment to beginning of year valuation allowances Enacted tax legislation and rate change</w:t>
      </w:r>
    </w:p>
    <w:p>
      <w:pPr>
        <w:ind w:left="20"/>
        <w:spacing w:after="0" w:line="227" w:lineRule="auto"/>
        <w:rPr>
          <w:sz w:val="20"/>
          <w:szCs w:val="20"/>
          <w:color w:val="auto"/>
        </w:rPr>
      </w:pPr>
      <w:r>
        <w:rPr>
          <w:rFonts w:ascii="Arial" w:cs="Arial" w:eastAsia="Arial" w:hAnsi="Arial"/>
          <w:sz w:val="18"/>
          <w:szCs w:val="18"/>
          <w:color w:val="auto"/>
        </w:rPr>
        <w:t>Tax effect of non-deductible foreign exchange loss on intercompany loan</w:t>
      </w:r>
    </w:p>
    <w:p>
      <w:pPr>
        <w:spacing w:after="0" w:line="27" w:lineRule="exact"/>
        <w:rPr>
          <w:sz w:val="20"/>
          <w:szCs w:val="20"/>
          <w:color w:val="auto"/>
        </w:rPr>
      </w:pPr>
    </w:p>
    <w:p>
      <w:pPr>
        <w:ind w:left="20" w:right="2040"/>
        <w:spacing w:after="0" w:line="324" w:lineRule="auto"/>
        <w:rPr>
          <w:sz w:val="20"/>
          <w:szCs w:val="20"/>
          <w:color w:val="auto"/>
        </w:rPr>
      </w:pPr>
      <w:r>
        <w:rPr>
          <w:rFonts w:ascii="Arial" w:cs="Arial" w:eastAsia="Arial" w:hAnsi="Arial"/>
          <w:sz w:val="18"/>
          <w:szCs w:val="18"/>
          <w:color w:val="auto"/>
        </w:rPr>
        <w:t>Return to provision and other adjustments Effective income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5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23"/>
                <w:szCs w:val="23"/>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3"/>
                <w:szCs w:val="23"/>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(0.3)</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23"/>
                <w:szCs w:val="23"/>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(0.4)</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0.6</w:t>
            </w:r>
          </w:p>
        </w:tc>
        <w:tc>
          <w:tcPr>
            <w:tcW w:w="80" w:type="dxa"/>
            <w:vAlign w:val="bottom"/>
          </w:tcPr>
          <w:p>
            <w:pPr>
              <w:spacing w:after="0"/>
              <w:rPr>
                <w:sz w:val="23"/>
                <w:szCs w:val="23"/>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3"/>
                <w:szCs w:val="23"/>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5.7</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1.1</w:t>
            </w:r>
          </w:p>
        </w:tc>
      </w:tr>
      <w:tr>
        <w:trPr>
          <w:trHeight w:val="270"/>
        </w:trPr>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(0.1)</w:t>
            </w:r>
          </w:p>
        </w:tc>
      </w:tr>
      <w:tr>
        <w:trPr>
          <w:trHeight w:val="270"/>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(4.2)</w:t>
            </w:r>
          </w:p>
        </w:tc>
      </w:tr>
      <w:tr>
        <w:trPr>
          <w:trHeight w:val="270"/>
        </w:trPr>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1.8</w:t>
            </w:r>
          </w:p>
        </w:tc>
      </w:tr>
      <w:tr>
        <w:trPr>
          <w:trHeight w:val="405"/>
        </w:trPr>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30.1 %</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28.0 %</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ectPr>
          <w:pgSz w:w="11900" w:h="16838" w:orient="portrait"/>
          <w:cols w:equalWidth="0" w:num="2">
            <w:col w:w="5400" w:space="260"/>
            <w:col w:w="5580"/>
          </w:cols>
          <w:pgMar w:left="320" w:top="301" w:right="339" w:bottom="1440" w:gutter="0" w:footer="0" w:header="0"/>
          <w:type w:val="continuous"/>
        </w:sectPr>
      </w:pPr>
    </w:p>
    <w:p>
      <w:pPr>
        <w:spacing w:after="0" w:line="119" w:lineRule="exact"/>
        <w:rPr>
          <w:sz w:val="20"/>
          <w:szCs w:val="20"/>
          <w:color w:val="auto"/>
        </w:rPr>
      </w:pPr>
    </w:p>
    <w:p>
      <w:pPr>
        <w:jc w:val="both"/>
        <w:ind w:right="300" w:firstLine="405"/>
        <w:spacing w:after="0" w:line="246" w:lineRule="auto"/>
        <w:rPr>
          <w:sz w:val="20"/>
          <w:szCs w:val="20"/>
          <w:color w:val="auto"/>
        </w:rPr>
      </w:pPr>
      <w:r>
        <w:rPr>
          <w:rFonts w:ascii="Arial" w:cs="Arial" w:eastAsia="Arial" w:hAnsi="Arial"/>
          <w:sz w:val="18"/>
          <w:szCs w:val="18"/>
          <w:color w:val="auto"/>
        </w:rPr>
        <w:t>The Company's subsidiary in Mexico has an intercompany loan payable in U.S. dollars. As a result of the weaker Mexican peso, the Company recorded a revaluation loss in 2020 which is not deductible under Mexican tax law, leading to a $3.8 million discrete tax charge.</w:t>
      </w:r>
    </w:p>
    <w:p>
      <w:pPr>
        <w:spacing w:after="0" w:line="15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2020. The jurisdictional location of earnings is a significant component of the Company’s effective tax rate each year. The rate impact of this component is influenced by the specific location of non-U.S. earnings and the level of the Company’s total earnings. From period to period, the jurisdictional mix of earnings can vary as a result of operating 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 calculated at the U.S. federal statutory tax rate of 21% and the expense accrued based on the different statutory tax rates that apply in the jurisdictions where the income or loss is earned.</w:t>
      </w:r>
    </w:p>
    <w:p>
      <w:pPr>
        <w:spacing w:after="0" w:line="178"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During the periods reported, income outside of the U.S. was heavily concentrated within Brazil (blended 34% tax rate), China (25% tax rate), and Mexico (30% tax rate). The foreign rate differential of these jurisdictions was partially offset by Switzerland (7.8% tax rate). As a result, the foreign income tax rate differential was primarily attributable to these tax rate differences.</w:t>
      </w:r>
    </w:p>
    <w:p>
      <w:pPr>
        <w:spacing w:after="0" w:line="229" w:lineRule="exact"/>
        <w:rPr>
          <w:sz w:val="20"/>
          <w:szCs w:val="20"/>
          <w:color w:val="auto"/>
        </w:rPr>
      </w:pPr>
    </w:p>
    <w:p>
      <w:pPr>
        <w:ind w:firstLine="405"/>
        <w:spacing w:after="0" w:line="248" w:lineRule="auto"/>
        <w:rPr>
          <w:sz w:val="20"/>
          <w:szCs w:val="20"/>
          <w:color w:val="auto"/>
        </w:rPr>
      </w:pPr>
      <w:r>
        <w:rPr>
          <w:rFonts w:ascii="Arial" w:cs="Arial" w:eastAsia="Arial" w:hAnsi="Arial"/>
          <w:sz w:val="17"/>
          <w:szCs w:val="17"/>
          <w:color w:val="auto"/>
        </w:rPr>
        <w:t>On July 20, 2020, The Treasury Department and the IRS released final regulations and proposed regulations under Section 951A and Section 954, relating to the treatment of income that is subject to a high rate of foreign tax under the global intangible low-taxed income (GILTI) and subpart F income regimes. The final regulations adopted a high-tax exclusion for GILTI purposes, which can be elected on an annual basis. These final regulations may be applied retroactively to tax years beginning after December 31, 2017. The Company expects to elect the GILTI high-tax exclusion for the 2020 tax year. By making the election, the Company will reduce its taxable income by approximately $15 million. After taking the GILTI foreign tax credits into consideration, the net impact of making the election is a tax reduction of</w:t>
      </w:r>
    </w:p>
    <w:p>
      <w:pPr>
        <w:spacing w:after="0" w:line="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$0.7 million, or 0.5%. The Company will also use $0.7 million less carryover foreign tax credits, which can be utilized in a future year. The Company will review the impact of making the high-tax election retroactively for the 2018 and 2019 tax years to determine the potential benefits of making the election. The primary benefit of making the election retroactively would be the preservation of foreign tax credits that could then be utilized in future years. Making the election retroactively isn't expected to have a significant impact on the Company's financial reporting.</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05"/>
        <w:spacing w:after="0" w:line="237" w:lineRule="auto"/>
        <w:rPr>
          <w:sz w:val="20"/>
          <w:szCs w:val="20"/>
          <w:color w:val="auto"/>
        </w:rPr>
      </w:pPr>
      <w:r>
        <w:rPr>
          <w:rFonts w:ascii="Arial" w:cs="Arial" w:eastAsia="Arial" w:hAnsi="Arial"/>
          <w:sz w:val="18"/>
          <w:szCs w:val="18"/>
          <w:color w:val="auto"/>
        </w:rPr>
        <w:t>The Proposed Regulations generally conform the high-tax exception under the subpart F regime with the high-tax exclusion under the GILTI regime, and adopt a single election under Section 954(b)(4) applicable for purposes of both subpart F income and tested income. The proposed regulations adopt a unified election for subpart F and tested income that applies the rules of the GILTI high-tax exclusion for both tested income and subpart F income. The proposed regulations generally apply to tax years beginning after the date of publication of the Treasury decision adopting such rules as final regulations in the Federal Register. Once the final regulations are published, the Company will determine annually whether making the election is beneficial. This election isn't expected to have a material impact on the Company's financial reporting.</w:t>
      </w:r>
    </w:p>
    <w:p>
      <w:pPr>
        <w:spacing w:after="0" w:line="230" w:lineRule="exact"/>
        <w:rPr>
          <w:sz w:val="20"/>
          <w:szCs w:val="20"/>
          <w:color w:val="auto"/>
        </w:rPr>
      </w:pPr>
    </w:p>
    <w:p>
      <w:pPr>
        <w:jc w:val="both"/>
        <w:ind w:right="120" w:firstLine="405"/>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purposes and income tax return purposes. Significant components of the Company’s deferred tax assets and liabilities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U.S.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Non-U.S.</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Noncurrent deferred tax assets: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1,453</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1,995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Accrued liabilities, deferred compensation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Property, plant, equipment and intangibles, net</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Tax loss carryforwards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24,509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21,467</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Tax credit carryforwards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9,236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954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Other noncurrent liabilities, reserves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Noncurrent deferred tax assets before valuation allowance</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35,633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33,077</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32,010</w:t>
            </w:r>
          </w:p>
        </w:tc>
        <w:tc>
          <w:tcPr>
            <w:tcW w:w="0" w:type="dxa"/>
            <w:vAlign w:val="bottom"/>
          </w:tcPr>
          <w:p>
            <w:pPr>
              <w:spacing w:after="0"/>
              <w:rPr>
                <w:sz w:val="1"/>
                <w:szCs w:val="1"/>
                <w:color w:val="auto"/>
              </w:rPr>
            </w:pPr>
          </w:p>
        </w:tc>
      </w:tr>
      <w:tr>
        <w:trPr>
          <w:trHeight w:val="27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7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Total noncurrent deferred tax assets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35,624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22,816</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2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20"/>
              <w:spacing w:after="0"/>
              <w:rPr>
                <w:sz w:val="20"/>
                <w:szCs w:val="20"/>
                <w:color w:val="auto"/>
              </w:rPr>
            </w:pPr>
            <w:r>
              <w:rPr>
                <w:rFonts w:ascii="Arial" w:cs="Arial" w:eastAsia="Arial" w:hAnsi="Arial"/>
                <w:sz w:val="18"/>
                <w:szCs w:val="18"/>
                <w:color w:val="auto"/>
              </w:rPr>
              <w:t>Noncurrent deferred tax liabilities: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Unrepatriated foreign earnings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3,779</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Property, plant, equipment and intangibles,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Deferred gain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Flow-through deferred tax liabilities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6,881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7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5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Total noncurrent deferred tax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5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11,989</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2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2020, the Company recorded the following movements in its valuation allowance: $0.1 million increase due to the net recording of valuation allowances, $0.3 million increase in a valuation allowance due to a net increase in the related deferred tax assets, and $0.7 million increase due to the effect of the changes in currency translation rates.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At December 31, 2020, the Company had available approximately $90.6 million of net operating loss carryforwards, for which the Company has a deferred tax asset of $24.6 million, with expiration dates ranging from one year to indefinite that may be applied against future taxable income. The Company believes that it is more likely than not that certain benefits from these net operating loss carryforwards will not be realized and, accordingly, the Company has recorded a valuation allowance of $ 10.3 million as of December 31, 2020. Additionally, management has evaluated its ability to utilize its other non-U.S. tax attributes during the various carryforward periods and has concluded that the Company will more likely than not be able to utilize the remaining non-U.S. tax attributes. Included in the net operating loss carryforward is approximately $8.5 million of state net operating loss carryforwards that are subject to various business apportionment factors and multiple jurisdictional requirements when utilized. In addition, the Company had available a foreign tax credit carryforward of $0.2 million that will begin to expire in 2025, U.S. and non-U.S. research and development credit carryforwards of $9.0 million and $0.9 million, respectively, that will begin to expire in 2025.</w:t>
      </w:r>
    </w:p>
    <w:p>
      <w:pPr>
        <w:spacing w:after="0" w:line="17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The Company reported a U.S. net deferred tax asset of $18.4 million at December 31, 2020, which contained $9.8 million of tax attributes with limited lives. Although the Company is in a cumulative book income position for the three-year period ending December 31, 2020, management has evaluated its ability to utilize these tax attributes during the carryforward period. The Company’s future profits from operations, available tax elections and tax planning opportunities more likely than not will generate income of sufficient character to utilize the remaining tax attributes except for a small amount of state net operating losses for which we recorded a valuation allowance of less than $0.1 million.</w:t>
      </w:r>
    </w:p>
    <w:p>
      <w:pPr>
        <w:spacing w:after="0" w:line="168"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$131.7 million of current year and prior year earnings of the Company’s foreign operations. If these earnings were distributed, the Company would be subject to foreign withholding taxes of $1.3 million and U.S. income taxes of $2.0 million which have already been recorded.</w:t>
      </w:r>
    </w:p>
    <w:p>
      <w:pPr>
        <w:spacing w:after="0" w:line="178" w:lineRule="exact"/>
        <w:rPr>
          <w:sz w:val="20"/>
          <w:szCs w:val="20"/>
          <w:color w:val="auto"/>
        </w:rPr>
      </w:pPr>
    </w:p>
    <w:p>
      <w:pPr>
        <w:ind w:right="1120" w:firstLine="405"/>
        <w:spacing w:after="0" w:line="261" w:lineRule="auto"/>
        <w:rPr>
          <w:sz w:val="20"/>
          <w:szCs w:val="20"/>
          <w:color w:val="auto"/>
        </w:rPr>
      </w:pPr>
      <w:r>
        <w:rPr>
          <w:rFonts w:ascii="Arial" w:cs="Arial" w:eastAsia="Arial" w:hAnsi="Arial"/>
          <w:sz w:val="18"/>
          <w:szCs w:val="18"/>
          <w:color w:val="auto"/>
        </w:rPr>
        <w:t>The accumulated undistributed earnings of the Company’s foreign operations not targeted for repatriation to the U.S. were approximately $132.3 million, and are intended to remain indefinitely invested in foreign operations.</w:t>
      </w:r>
    </w:p>
    <w:p>
      <w:pPr>
        <w:spacing w:after="0" w:line="157"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No additional income taxes have been provided on the indefinitely invested foreign earnings at December 31, 2020. If these earnings were distributed, the Company could be subject to income taxes and additional foreign withholding taxes. Determining the amount of unrecognized deferred tax liability related to any additional outside basis difference in these entities is not practical.</w:t>
      </w:r>
    </w:p>
    <w:p>
      <w:pPr>
        <w:spacing w:after="0" w:line="161"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$1.3 million of which, if recognized, would impact the effective tax rate: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6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 balance at January 1st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5,834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4,509</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Increase in gross amounts of tax positions related to prior years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Decrease in gross amounts of tax positions related to prior years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Increase in gross amounts of tax positions related to current years</w:t>
            </w: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Decrease due to settlements with tax authorities</w:t>
            </w: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Decrease due to lapse in statute of limitations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Currency translation</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 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interest and penalties related to the unrecognized tax benefits noted above of $0.2 million or less in each of 2020, 2019 and 2018. As of December 31, 2020, 2019 and 2018, the Company had approximately $0.1 million, $0.1 million, and $0.4 million respectively, of accrued interest and penalties related to unrecognized tax benefits.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2008 to 2020. The Company is currently under audit in non-U.S. tax jurisdictions, including but not limited to Canada, Italy and Switzerland. In the first quarter of 2020, the Company recorded a $1.8 million out-of-period immaterial charge related to developments in an ongoing U.S. state tax audit, which resulted in a corresponding decrease in deferred tax assets. In the second quarter of 2020, the U.S. state tax audit was settled. As a result of the audit settlement, the Company recorded a net tax benefit of $1.5 million.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and 2019, current income taxes prepaid and receivable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6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Prepaid taxes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5,234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4,399</w:t>
            </w: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Taxes receivable</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r>
      <w:tr>
        <w:trPr>
          <w:trHeight w:val="22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 current income taxes prepaid and receivable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r>
      <w:tr>
        <w:trPr>
          <w:trHeight w:val="21"/>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and 2019, non-current deferred taxes and other liabilities consisted of the following:</w:t>
      </w:r>
    </w:p>
    <w:p>
      <w:pPr>
        <w:sectPr>
          <w:pgSz w:w="11900" w:h="16838" w:orient="portrait"/>
          <w:cols w:equalWidth="0" w:num="1">
            <w:col w:w="11240"/>
          </w:cols>
          <w:pgMar w:left="320" w:top="301" w:right="339" w:bottom="1440" w:gutter="0" w:footer="0" w:header="0"/>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14"/>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9,518</w:t>
            </w:r>
          </w:p>
        </w:tc>
      </w:tr>
      <w:tr>
        <w:trPr>
          <w:trHeight w:val="239"/>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1,266</w:t>
            </w:r>
          </w:p>
        </w:tc>
      </w:tr>
      <w:tr>
        <w:trPr>
          <w:trHeight w:val="22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 noncurrent deferred taxes and other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10,784</w:t>
            </w: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Taxes paid, net of refunds, amounted to $25.1 million in 2020, $25.9 million in 2019 and $28.1 million in 2018.</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004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4" w:lineRule="exact"/>
        <w:rPr>
          <w:sz w:val="20"/>
          <w:szCs w:val="20"/>
          <w:color w:val="auto"/>
        </w:rPr>
      </w:pPr>
    </w:p>
    <w:p>
      <w:pPr>
        <w:ind w:left="780" w:hanging="780"/>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11,002</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7"/>
          <w:szCs w:val="17"/>
          <w:color w:val="auto"/>
        </w:rPr>
        <w:t>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0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8" w:lineRule="exact"/>
        <w:rPr>
          <w:sz w:val="20"/>
          <w:szCs w:val="20"/>
          <w:color w:val="auto"/>
        </w:rPr>
      </w:pPr>
    </w:p>
    <w:p>
      <w:pPr>
        <w:ind w:left="780" w:hanging="780"/>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12,226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0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900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657" w:lineRule="exact"/>
        <w:rPr>
          <w:sz w:val="20"/>
          <w:szCs w:val="20"/>
          <w:color w:val="auto"/>
        </w:rPr>
      </w:pPr>
    </w:p>
    <w:p>
      <w:pPr>
        <w:sectPr>
          <w:pgSz w:w="11900" w:h="16838" w:orient="portrait"/>
          <w:cols w:equalWidth="0" w:num="2">
            <w:col w:w="9720" w:space="120"/>
            <w:col w:w="1400"/>
          </w:cols>
          <w:pgMar w:left="320" w:top="301" w:right="339" w:bottom="1440" w:gutter="0" w:footer="0" w:header="0"/>
          <w:type w:val="continuous"/>
        </w:sect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0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6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the Company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98,589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132,398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82,891</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number of shares: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9"/>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Weighted average number of shares used in calculating basic net income per</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4"/>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32,329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32,252</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7"/>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Long-term incentive plan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2"/>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Weighted average number of shares used in calculating diluted net income per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32,356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32,295</w:t>
            </w:r>
          </w:p>
        </w:tc>
      </w:tr>
      <w:tr>
        <w:trPr>
          <w:trHeight w:val="25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Average market price of common stock used for calculation of dilutive shares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97"/>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0"/>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Shares outstanding, net of treasury shares, were 32.3 million as of December 31, 2020, 2019 and 2018.</w:t>
      </w:r>
    </w:p>
    <w:p>
      <w:pPr>
        <w:sectPr>
          <w:pgSz w:w="11900" w:h="16838" w:orient="portrait"/>
          <w:cols w:equalWidth="0" w:num="1">
            <w:col w:w="11240"/>
          </w:cols>
          <w:pgMar w:left="320" w:top="3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(AOCI)</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changes in the components of AOCI from January 1, 2018 to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and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2"/>
              <w:spacing w:after="0"/>
              <w:rPr>
                <w:sz w:val="20"/>
                <w:szCs w:val="20"/>
                <w:color w:val="auto"/>
              </w:rPr>
            </w:pPr>
            <w:r>
              <w:rPr>
                <w:rFonts w:ascii="Arial" w:cs="Arial" w:eastAsia="Arial" w:hAnsi="Arial"/>
                <w:sz w:val="14"/>
                <w:szCs w:val="14"/>
                <w:b w:val="1"/>
                <w:bCs w:val="1"/>
                <w:color w:val="auto"/>
                <w:w w:val="99"/>
              </w:rPr>
              <w:t>Total Other</w:t>
            </w: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valuation</w:t>
            </w:r>
          </w:p>
        </w:tc>
        <w:tc>
          <w:tcPr>
            <w:tcW w:w="160" w:type="dxa"/>
            <w:vAlign w:val="bottom"/>
          </w:tcPr>
          <w:p>
            <w:pPr>
              <w:spacing w:after="0"/>
              <w:rPr>
                <w:sz w:val="14"/>
                <w:szCs w:val="14"/>
                <w:color w:val="auto"/>
              </w:rPr>
            </w:pPr>
          </w:p>
        </w:tc>
        <w:tc>
          <w:tcPr>
            <w:tcW w:w="1340" w:type="dxa"/>
            <w:vAlign w:val="bottom"/>
          </w:tcPr>
          <w:p>
            <w:pPr>
              <w:jc w:val="center"/>
              <w:ind w:right="5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7"/>
                <w:szCs w:val="17"/>
                <w:color w:val="auto"/>
              </w:rPr>
            </w:pPr>
          </w:p>
        </w:tc>
        <w:tc>
          <w:tcPr>
            <w:tcW w:w="1340" w:type="dxa"/>
            <w:vAlign w:val="bottom"/>
          </w:tcPr>
          <w:p>
            <w:pPr>
              <w:jc w:val="center"/>
              <w:ind w:right="72"/>
              <w:spacing w:after="0"/>
              <w:rPr>
                <w:sz w:val="20"/>
                <w:szCs w:val="20"/>
                <w:color w:val="auto"/>
              </w:rPr>
            </w:pPr>
            <w:r>
              <w:rPr>
                <w:rFonts w:ascii="Arial" w:cs="Arial" w:eastAsia="Arial" w:hAnsi="Arial"/>
                <w:sz w:val="14"/>
                <w:szCs w:val="14"/>
                <w:b w:val="1"/>
                <w:bCs w:val="1"/>
                <w:color w:val="auto"/>
              </w:rPr>
              <w:t>Income</w:t>
            </w:r>
          </w:p>
        </w:tc>
      </w:tr>
      <w:tr>
        <w:trPr>
          <w:trHeight w:val="229"/>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January 1, 2018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(135,901)</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(24,530)</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Pension/postretirement settlements and curtailments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Pension/postretirement plan remeasurement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Interest expense related to swaps reclassified to the</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Pension and postretirement liability adjustments reclassified to</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(22,487)</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(47,109)</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(158,388)</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(17,924)</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Pension/postretirement settlements and curtailments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Pension/postretirement plan remeasurement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Interest expense related to swaps reclassified to the</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Pension and postretirement liability adjustments reclassified to</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Adjustment related to prior period change in opening valuation</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allowance</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(17,593)</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(49,994)</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(175,981)</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29,564</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Pension/postretirement settlements and curtailments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Pension/postretirement plan remeasurement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10,390</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Interest expense related to swaps reclassified to the</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Pension and postretirement liability adjustments reclassified to</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Statements of Income, net of tax</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43,573</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(39,661)</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(132,408)</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0" w:firstLine="405"/>
        <w:spacing w:after="0" w:line="261"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(AOCI) — (continued)</w:t>
      </w:r>
    </w:p>
    <w:p>
      <w:pPr>
        <w:spacing w:after="0" w:line="200" w:lineRule="exact"/>
        <w:rPr>
          <w:sz w:val="20"/>
          <w:szCs w:val="20"/>
          <w:color w:val="auto"/>
        </w:rPr>
      </w:pPr>
    </w:p>
    <w:p>
      <w:pPr>
        <w:spacing w:after="0" w:line="37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years ended December 31, 2020, 2019, and 2018.</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55"/>
        </w:trPr>
        <w:tc>
          <w:tcPr>
            <w:tcW w:w="6780" w:type="dxa"/>
            <w:vAlign w:val="bottom"/>
          </w:tcPr>
          <w:p>
            <w:pPr>
              <w:spacing w:after="0" w:line="156"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9"/>
        </w:trPr>
        <w:tc>
          <w:tcPr>
            <w:tcW w:w="678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7"/>
        </w:trPr>
        <w:tc>
          <w:tcPr>
            <w:tcW w:w="6780" w:type="dxa"/>
            <w:vAlign w:val="bottom"/>
          </w:tcPr>
          <w:p>
            <w:pPr>
              <w:ind w:left="200"/>
              <w:spacing w:after="0"/>
              <w:rPr>
                <w:sz w:val="20"/>
                <w:szCs w:val="20"/>
                <w:color w:val="auto"/>
              </w:rPr>
            </w:pPr>
            <w:r>
              <w:rPr>
                <w:rFonts w:ascii="Arial" w:cs="Arial" w:eastAsia="Arial" w:hAnsi="Arial"/>
                <w:sz w:val="18"/>
                <w:szCs w:val="18"/>
                <w:color w:val="auto"/>
              </w:rPr>
              <w:t>Expense related to interest rate swaps included in Income before taxes</w:t>
            </w:r>
            <w:r>
              <w:rPr>
                <w:rFonts w:ascii="Arial" w:cs="Arial" w:eastAsia="Arial" w:hAnsi="Arial"/>
                <w:sz w:val="23"/>
                <w:szCs w:val="23"/>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3,982</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44"/>
        </w:trPr>
        <w:tc>
          <w:tcPr>
            <w:tcW w:w="6780" w:type="dxa"/>
            <w:vAlign w:val="bottom"/>
          </w:tcPr>
          <w:p>
            <w:pPr>
              <w:ind w:left="200"/>
              <w:spacing w:after="0"/>
              <w:rPr>
                <w:sz w:val="20"/>
                <w:szCs w:val="20"/>
                <w:color w:val="auto"/>
              </w:rPr>
            </w:pPr>
            <w:r>
              <w:rPr>
                <w:rFonts w:ascii="Arial" w:cs="Arial" w:eastAsia="Arial" w:hAnsi="Arial"/>
                <w:sz w:val="18"/>
                <w:szCs w:val="18"/>
                <w:color w:val="auto"/>
              </w:rPr>
              <w:t>Income tax effect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Effect on net income due to items reclassified from Accumulated Other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4"/>
        </w:trPr>
        <w:tc>
          <w:tcPr>
            <w:tcW w:w="67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2,954</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156"/>
        </w:trPr>
        <w:tc>
          <w:tcPr>
            <w:tcW w:w="6780" w:type="dxa"/>
            <w:vAlign w:val="bottom"/>
          </w:tcPr>
          <w:p>
            <w:pPr>
              <w:spacing w:after="0" w:line="156" w:lineRule="exact"/>
              <w:rPr>
                <w:sz w:val="20"/>
                <w:szCs w:val="20"/>
                <w:color w:val="auto"/>
              </w:rPr>
            </w:pPr>
            <w:r>
              <w:rPr>
                <w:rFonts w:ascii="Arial" w:cs="Arial" w:eastAsia="Arial" w:hAnsi="Arial"/>
                <w:sz w:val="18"/>
                <w:szCs w:val="18"/>
                <w:b w:val="1"/>
                <w:bCs w:val="1"/>
                <w:color w:val="auto"/>
              </w:rPr>
              <w:t>Pretax pension and postretirement liabilities reclassified from Accumulated</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9"/>
        </w:trPr>
        <w:tc>
          <w:tcPr>
            <w:tcW w:w="678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1"/>
        </w:trPr>
        <w:tc>
          <w:tcPr>
            <w:tcW w:w="6780" w:type="dxa"/>
            <w:vAlign w:val="bottom"/>
          </w:tcPr>
          <w:p>
            <w:pPr>
              <w:ind w:left="200"/>
              <w:spacing w:after="0"/>
              <w:rPr>
                <w:sz w:val="20"/>
                <w:szCs w:val="20"/>
                <w:color w:val="auto"/>
              </w:rPr>
            </w:pPr>
            <w:r>
              <w:rPr>
                <w:rFonts w:ascii="Arial" w:cs="Arial" w:eastAsia="Arial" w:hAnsi="Arial"/>
                <w:sz w:val="18"/>
                <w:szCs w:val="18"/>
                <w:color w:val="auto"/>
              </w:rPr>
              <w:t>Pension/postretirement settlements and curtailments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0"/>
        </w:trPr>
        <w:tc>
          <w:tcPr>
            <w:tcW w:w="6780" w:type="dxa"/>
            <w:vAlign w:val="bottom"/>
          </w:tcPr>
          <w:p>
            <w:pPr>
              <w:ind w:left="20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(4,454)</w:t>
            </w:r>
          </w:p>
        </w:tc>
      </w:tr>
      <w:tr>
        <w:trPr>
          <w:trHeight w:val="270"/>
        </w:trPr>
        <w:tc>
          <w:tcPr>
            <w:tcW w:w="6780" w:type="dxa"/>
            <w:vAlign w:val="bottom"/>
          </w:tcPr>
          <w:p>
            <w:pPr>
              <w:ind w:left="20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w:t>
            </w:r>
          </w:p>
        </w:tc>
      </w:tr>
      <w:tr>
        <w:trPr>
          <w:trHeight w:val="276"/>
        </w:trPr>
        <w:tc>
          <w:tcPr>
            <w:tcW w:w="6780" w:type="dxa"/>
            <w:vAlign w:val="bottom"/>
          </w:tcPr>
          <w:p>
            <w:pPr>
              <w:spacing w:after="0"/>
              <w:rPr>
                <w:sz w:val="20"/>
                <w:szCs w:val="20"/>
                <w:color w:val="auto"/>
              </w:rPr>
            </w:pPr>
            <w:r>
              <w:rPr>
                <w:rFonts w:ascii="Arial" w:cs="Arial" w:eastAsia="Arial" w:hAnsi="Arial"/>
                <w:sz w:val="18"/>
                <w:szCs w:val="18"/>
                <w:color w:val="auto"/>
              </w:rPr>
              <w:t>Total pretax amount reclassified</w:t>
            </w:r>
            <w:r>
              <w:rPr>
                <w:rFonts w:ascii="Arial" w:cs="Arial" w:eastAsia="Arial" w:hAnsi="Arial"/>
                <w:sz w:val="23"/>
                <w:szCs w:val="23"/>
                <w:color w:val="auto"/>
                <w:vertAlign w:val="superscript"/>
              </w:rPr>
              <w:t>(b)</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941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44"/>
        </w:trPr>
        <w:tc>
          <w:tcPr>
            <w:tcW w:w="6780" w:type="dxa"/>
            <w:vAlign w:val="bottom"/>
          </w:tcPr>
          <w:p>
            <w:pPr>
              <w:spacing w:after="0"/>
              <w:rPr>
                <w:sz w:val="20"/>
                <w:szCs w:val="20"/>
                <w:color w:val="auto"/>
              </w:rPr>
            </w:pPr>
            <w:r>
              <w:rPr>
                <w:rFonts w:ascii="Arial" w:cs="Arial" w:eastAsia="Arial" w:hAnsi="Arial"/>
                <w:sz w:val="18"/>
                <w:szCs w:val="18"/>
                <w:color w:val="auto"/>
              </w:rPr>
              <w:t>Income tax effect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Effect on net income due to items reclassified from Accumulated Other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4"/>
        </w:trPr>
        <w:tc>
          <w:tcPr>
            <w:tcW w:w="67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98" w:lineRule="exact"/>
        <w:rPr>
          <w:sz w:val="20"/>
          <w:szCs w:val="20"/>
          <w:color w:val="auto"/>
        </w:rPr>
      </w:pPr>
    </w:p>
    <w:p>
      <w:pPr>
        <w:ind w:left="660" w:right="160" w:hanging="652"/>
        <w:spacing w:after="0" w:line="250"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interest expense, net are payments related to the interest rate swap agreements and amortization of swap buyouts (see Notes 17 and 18).</w:t>
      </w:r>
    </w:p>
    <w:p>
      <w:pPr>
        <w:ind w:left="660" w:right="20" w:hanging="652"/>
        <w:spacing w:after="0" w:line="261"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w:t>
      </w:r>
    </w:p>
    <w:p>
      <w:pPr>
        <w:spacing w:after="0" w:line="20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6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17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subsidiary Albany Safran Composites, LLC:</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income/(loss) of Albany Safran Composites (ASC)</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b w:val="1"/>
                <w:bCs w:val="1"/>
                <w:color w:val="auto"/>
              </w:rPr>
              <w:t>(12,261)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2"/>
                <w:szCs w:val="22"/>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11,140</w:t>
            </w:r>
          </w:p>
        </w:tc>
        <w:tc>
          <w:tcPr>
            <w:tcW w:w="0" w:type="dxa"/>
            <w:vAlign w:val="bottom"/>
          </w:tcPr>
          <w:p>
            <w:pPr>
              <w:spacing w:after="0"/>
              <w:rPr>
                <w:sz w:val="1"/>
                <w:szCs w:val="1"/>
                <w:color w:val="auto"/>
              </w:rPr>
            </w:pPr>
          </w:p>
        </w:tc>
      </w:tr>
      <w:tr>
        <w:trPr>
          <w:trHeight w:val="27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Less: Return attributable to the Company's preferred holding</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1,202</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5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income/(loss) of ASC available for common ownership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b w:val="1"/>
                <w:bCs w:val="1"/>
                <w:color w:val="auto"/>
              </w:rPr>
              <w:t>(13,463)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7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Ownership percentage of noncontrolling shareholder</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noncontrolling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(1,346)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507"/>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Noncontrolling interest,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b w:val="1"/>
                <w:bCs w:val="1"/>
                <w:color w:val="auto"/>
              </w:rPr>
              <w:t>4,006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noncontrolling interest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b w:val="1"/>
                <w:bCs w:val="1"/>
                <w:color w:val="auto"/>
              </w:rPr>
              <w:t>(1,346)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1,139</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Noncontrolling interest,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3,799</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7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11. Accounts Receivable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As of December 31, 2020 and 2019, Accounts receivable consisted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0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Trade and other accounts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167,370</w:t>
            </w:r>
          </w:p>
        </w:tc>
        <w:tc>
          <w:tcPr>
            <w:tcW w:w="2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201,427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Bank promissory notes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18,563</w:t>
            </w:r>
          </w:p>
        </w:tc>
        <w:tc>
          <w:tcPr>
            <w:tcW w:w="0" w:type="dxa"/>
            <w:vAlign w:val="bottom"/>
          </w:tcPr>
          <w:p>
            <w:pPr>
              <w:spacing w:after="0"/>
              <w:rPr>
                <w:sz w:val="1"/>
                <w:szCs w:val="1"/>
                <w:color w:val="auto"/>
              </w:rPr>
            </w:pPr>
          </w:p>
        </w:tc>
      </w:tr>
      <w:tr>
        <w:trPr>
          <w:trHeight w:val="23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Allowance for expected credit losses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(3,807)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188,423</w:t>
            </w:r>
          </w:p>
        </w:tc>
        <w:tc>
          <w:tcPr>
            <w:tcW w:w="20" w:type="dxa"/>
            <w:vAlign w:val="bottom"/>
          </w:tcPr>
          <w:p>
            <w:pPr>
              <w:spacing w:after="0"/>
              <w:rPr>
                <w:sz w:val="19"/>
                <w:szCs w:val="19"/>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218,271</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405"/>
        <w:spacing w:after="0"/>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December 31, 2020 and December 31, 2019, Noncurrent receivables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5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4"/>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Noncurrent receivables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36,539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41,234</w:t>
            </w:r>
          </w:p>
        </w:tc>
        <w:tc>
          <w:tcPr>
            <w:tcW w:w="0" w:type="dxa"/>
            <w:vAlign w:val="bottom"/>
          </w:tcPr>
          <w:p>
            <w:pPr>
              <w:spacing w:after="0"/>
              <w:rPr>
                <w:sz w:val="1"/>
                <w:szCs w:val="1"/>
                <w:color w:val="auto"/>
              </w:rPr>
            </w:pPr>
          </w:p>
        </w:tc>
      </w:tr>
      <w:tr>
        <w:trPr>
          <w:trHeight w:val="23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Allowance for expected credit losses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Noncurrent receivables,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36,265</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41,234</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As described in Note 1, effective January 1, 2020, the Company adopted the provisions of ASC 326, Current Expected Credit Losses (CECL). This accounting update replaces the incurred loss impairment methodology under current GAAP with a methodology that reflects expected credit losses and requires consideration of a broader range of reasonable and supportable information to inform credit loss estimates. Under the new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3" w:name="page84"/>
    <w:bookmarkEnd w:id="83"/>
    <w:p>
      <w:pPr>
        <w:spacing w:after="0" w:line="200" w:lineRule="exact"/>
        <w:rPr>
          <w:sz w:val="20"/>
          <w:szCs w:val="20"/>
          <w:color w:val="auto"/>
        </w:rPr>
      </w:pPr>
    </w:p>
    <w:p>
      <w:pPr>
        <w:spacing w:after="0" w:line="295" w:lineRule="exact"/>
        <w:rPr>
          <w:sz w:val="20"/>
          <w:szCs w:val="20"/>
          <w:color w:val="auto"/>
        </w:rPr>
      </w:pPr>
    </w:p>
    <w:p>
      <w:pPr>
        <w:ind w:right="260" w:firstLine="405"/>
        <w:spacing w:after="0" w:line="252" w:lineRule="auto"/>
        <w:rPr>
          <w:sz w:val="20"/>
          <w:szCs w:val="20"/>
          <w:color w:val="auto"/>
        </w:rPr>
      </w:pPr>
      <w:r>
        <w:rPr>
          <w:rFonts w:ascii="Arial" w:cs="Arial" w:eastAsia="Arial" w:hAnsi="Arial"/>
          <w:sz w:val="18"/>
          <w:szCs w:val="18"/>
          <w:color w:val="auto"/>
        </w:rPr>
        <w:t>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includes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that may cause an increase in risk of loss.</w:t>
      </w:r>
    </w:p>
    <w:p>
      <w:pPr>
        <w:spacing w:after="0" w:line="18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probability of default is driven by the relative financial health of our customer base and that of the industries in which we operate, as well as the broader macro-economic environment. A changing economic environment or forecasted economic scenario can lead to a different probability of default and can suggest that credit risk has changed. Such is the case with the global COVID-19 pandemic, which has increased uncertainty and poses a significant challenge to the macro-economic environment. Management believes this has increased the probability of credit default, causing the Company to increase the allowance for expected credit losses during 2020.</w:t>
      </w:r>
    </w:p>
    <w:p>
      <w:pPr>
        <w:spacing w:after="0" w:line="165"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At each reporting period, the Company will recognize the amount of change in current expected credit losses as an allowance gain or loss in Selling, general, and administrative expenses in the Consolidated Statements of Income.</w:t>
      </w:r>
    </w:p>
    <w:p>
      <w:pPr>
        <w:spacing w:after="0" w:line="157" w:lineRule="exact"/>
        <w:rPr>
          <w:sz w:val="20"/>
          <w:szCs w:val="20"/>
          <w:color w:val="auto"/>
        </w:rPr>
      </w:pPr>
    </w:p>
    <w:p>
      <w:pPr>
        <w:jc w:val="both"/>
        <w:ind w:right="60" w:firstLine="405"/>
        <w:spacing w:after="0" w:line="256" w:lineRule="auto"/>
        <w:rPr>
          <w:sz w:val="20"/>
          <w:szCs w:val="20"/>
          <w:color w:val="auto"/>
        </w:rPr>
      </w:pPr>
      <w:r>
        <w:rPr>
          <w:rFonts w:ascii="Arial" w:cs="Arial" w:eastAsia="Arial" w:hAnsi="Arial"/>
          <w:sz w:val="18"/>
          <w:szCs w:val="18"/>
          <w:color w:val="auto"/>
        </w:rPr>
        <w:t>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(increases)/decreases in the allowance for credit losses for Accounts receivable in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CECL</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Currency</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transition</w:t>
            </w:r>
          </w:p>
        </w:tc>
        <w:tc>
          <w:tcPr>
            <w:tcW w:w="180" w:type="dxa"/>
            <w:vAlign w:val="bottom"/>
          </w:tcPr>
          <w:p>
            <w:pPr>
              <w:spacing w:after="0"/>
              <w:rPr>
                <w:sz w:val="15"/>
                <w:szCs w:val="15"/>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adjustment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translation</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Specific customer reserves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Incremental expected credit losses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line="182" w:lineRule="exact"/>
              <w:rPr>
                <w:sz w:val="20"/>
                <w:szCs w:val="20"/>
                <w:color w:val="auto"/>
              </w:rPr>
            </w:pPr>
            <w:r>
              <w:rPr>
                <w:rFonts w:ascii="Arial" w:cs="Arial" w:eastAsia="Arial" w:hAnsi="Arial"/>
                <w:sz w:val="18"/>
                <w:szCs w:val="18"/>
                <w:color w:val="auto"/>
              </w:rPr>
              <w:t>Accounts receivable expected credit</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(increases)/decreases in the allowance for credit losses for Noncurrent receivables in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164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rPr>
              <w:t>CECL</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Currency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326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(in thousands)</w:t>
            </w:r>
          </w:p>
        </w:tc>
        <w:tc>
          <w:tcPr>
            <w:tcW w:w="1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transition</w:t>
            </w:r>
          </w:p>
        </w:tc>
        <w:tc>
          <w:tcPr>
            <w:tcW w:w="140" w:type="dxa"/>
            <w:vAlign w:val="bottom"/>
          </w:tcPr>
          <w:p>
            <w:pPr>
              <w:spacing w:after="0"/>
              <w:rPr>
                <w:sz w:val="15"/>
                <w:szCs w:val="15"/>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Charges</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adjustment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translation</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3260" w:type="dxa"/>
            <w:vAlign w:val="bottom"/>
          </w:tcPr>
          <w:p>
            <w:pPr>
              <w:ind w:left="20"/>
              <w:spacing w:after="0" w:line="182" w:lineRule="exact"/>
              <w:rPr>
                <w:sz w:val="20"/>
                <w:szCs w:val="20"/>
                <w:color w:val="auto"/>
              </w:rPr>
            </w:pPr>
            <w:r>
              <w:rPr>
                <w:rFonts w:ascii="Arial" w:cs="Arial" w:eastAsia="Arial" w:hAnsi="Arial"/>
                <w:sz w:val="18"/>
                <w:szCs w:val="18"/>
                <w:color w:val="auto"/>
              </w:rPr>
              <w:t>Noncurrent receivables expected credit</w:t>
            </w: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losses</w:t>
            </w:r>
          </w:p>
        </w:tc>
        <w:tc>
          <w:tcPr>
            <w:tcW w:w="16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Assets and Liabilities</w:t>
      </w:r>
    </w:p>
    <w:p>
      <w:pPr>
        <w:spacing w:after="0" w:line="20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Contract assets and Contract liabilities (included in Accrued liabilities) are reported in the Consolidated Balance Sheets in a net position, on a contract-by-contract basis at the end of each reporting period. Contract assets and contract liabilities are summarized as follows: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Contract Assets and Liabilities — (continued)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4"/>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140,348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39"/>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Allowance for expected credit losses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Contract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Contract assets increased $ 60.2 million during the year ended December 31, 2020. Contract assets increase when there is an increase in unbilled revenue related to the satisfaction of performance obligations in excess of the amounts billed to customers for contracts that are in a contract asset position. The 2020 increase in Contract assets, approximately half of which was related to the LEAP program, was driven by delays in the Boeing 737 MAX return to service and a challenging economic environment in 2020, which caused a slowdown in several key aerospace programs. Other than the allowance for expected credit losses, there were no other provisions for losses related to our Contract assets during the years ended December 31, 2020 and 2019.</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2020 (increases)/ decreases in the allowance for credit losses for Contract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58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rPr>
              <w:t>CECL</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8"/>
              </w:rPr>
              <w:t>Currency</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175"/>
        </w:trPr>
        <w:tc>
          <w:tcPr>
            <w:tcW w:w="21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vMerge w:val="continue"/>
          </w:tcPr>
          <w:p>
            <w:pPr>
              <w:spacing w:after="0"/>
              <w:rPr>
                <w:sz w:val="15"/>
                <w:szCs w:val="15"/>
                <w:color w:val="auto"/>
              </w:rPr>
            </w:pPr>
          </w:p>
        </w:tc>
        <w:tc>
          <w:tcPr>
            <w:tcW w:w="13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transition</w:t>
            </w:r>
          </w:p>
        </w:tc>
        <w:tc>
          <w:tcPr>
            <w:tcW w:w="260" w:type="dxa"/>
            <w:vAlign w:val="bottom"/>
          </w:tcPr>
          <w:p>
            <w:pPr>
              <w:spacing w:after="0"/>
              <w:rPr>
                <w:sz w:val="15"/>
                <w:szCs w:val="15"/>
                <w:color w:val="auto"/>
              </w:rPr>
            </w:pPr>
          </w:p>
        </w:tc>
        <w:tc>
          <w:tcPr>
            <w:tcW w:w="12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Charges</w:t>
            </w: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adjustment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translation</w:t>
            </w:r>
          </w:p>
        </w:tc>
        <w:tc>
          <w:tcPr>
            <w:tcW w:w="12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2140" w:type="dxa"/>
            <w:vAlign w:val="bottom"/>
          </w:tcPr>
          <w:p>
            <w:pPr>
              <w:ind w:left="20"/>
              <w:spacing w:after="0" w:line="182" w:lineRule="exact"/>
              <w:rPr>
                <w:sz w:val="20"/>
                <w:szCs w:val="20"/>
                <w:color w:val="auto"/>
              </w:rPr>
            </w:pPr>
            <w:r>
              <w:rPr>
                <w:rFonts w:ascii="Arial" w:cs="Arial" w:eastAsia="Arial" w:hAnsi="Arial"/>
                <w:sz w:val="18"/>
                <w:szCs w:val="18"/>
                <w:color w:val="auto"/>
              </w:rPr>
              <w:t>Contract assets</w:t>
            </w: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credit losses  $</w:t>
            </w:r>
          </w:p>
        </w:tc>
        <w:tc>
          <w:tcPr>
            <w:tcW w:w="15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18"/>
          <w:szCs w:val="18"/>
          <w:color w:val="auto"/>
        </w:rPr>
        <w:t>Contract liabilities increased $2.6 million during the year ended December 31, 2020, primarily due to increased billings in excess of revenue recognized from satisfied performance obligations for contracts that were in a contract liability position. Revenue recognized for the years ended December 31, 2020 and 2019 that was included in the Contract liability balance at the beginning of the year was $3.8 million and $6.0 million,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Inventories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and 2019, inventories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57,789</w:t>
            </w:r>
          </w:p>
        </w:tc>
        <w:tc>
          <w:tcPr>
            <w:tcW w:w="100" w:type="dxa"/>
            <w:vAlign w:val="bottom"/>
          </w:tcPr>
          <w:p>
            <w:pPr>
              <w:spacing w:after="0"/>
              <w:rPr>
                <w:sz w:val="22"/>
                <w:szCs w:val="22"/>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52,960</w:t>
            </w: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40,416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31,744</w:t>
            </w: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12,273</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w:t>
            </w:r>
          </w:p>
        </w:tc>
      </w:tr>
      <w:tr>
        <w:trPr>
          <w:trHeight w:val="22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110,478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95,149</w:t>
            </w: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Plant and Equipment</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the components of property, plant and equipment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Plant and Equipment —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7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Estimated useful life</w:t>
            </w:r>
          </w:p>
        </w:tc>
      </w:tr>
      <w:tr>
        <w:trPr>
          <w:trHeight w:val="26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15,611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14,168</w:t>
            </w:r>
          </w:p>
        </w:tc>
        <w:tc>
          <w:tcPr>
            <w:tcW w:w="10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25 years for improvements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246,137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227,875</w:t>
            </w:r>
          </w:p>
        </w:tc>
        <w:tc>
          <w:tcPr>
            <w:tcW w:w="10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15 to 40 years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Right of use assets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16,686</w:t>
            </w:r>
          </w:p>
        </w:tc>
        <w:tc>
          <w:tcPr>
            <w:tcW w:w="10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10 to 15 years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1,076,092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1,020,348</w:t>
            </w:r>
          </w:p>
        </w:tc>
        <w:tc>
          <w:tcPr>
            <w:tcW w:w="10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5 to 15 years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5 years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Computer and other equipment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19,294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18,808</w:t>
            </w:r>
          </w:p>
        </w:tc>
        <w:tc>
          <w:tcPr>
            <w:tcW w:w="10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3 to 10 years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62,400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60,995</w:t>
            </w:r>
          </w:p>
        </w:tc>
        <w:tc>
          <w:tcPr>
            <w:tcW w:w="10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5 to 8 years</w:t>
            </w: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Capital expenditures in progress</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46,228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45,588</w:t>
            </w:r>
          </w:p>
        </w:tc>
        <w:tc>
          <w:tcPr>
            <w:tcW w:w="1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5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gross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1,485,371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1,412,594</w:t>
            </w: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7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(1,036,817)</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(946,132)</w:t>
            </w:r>
          </w:p>
        </w:tc>
        <w:tc>
          <w:tcPr>
            <w:tcW w:w="10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466,462</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Depreciation expense was $63.3 million in 2020, $62.1 million in 2019, and $68.8 million in 2018. Software amortization is recorded in Selling, general, and administrative expense and was $2.1 million in 2020, $2.4 million in 2019, and $3.2 million in 2018.</w:t>
      </w:r>
    </w:p>
    <w:p>
      <w:pPr>
        <w:spacing w:after="0" w:line="171"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Capital expenditures, including purchased software, were $ 42.4 million in 2020, $ 68.0 million in 2019, and $82.9 million in 2018. Unamortized software cost was $4.8 million in 2020, $5.3 million and $6.9 million as of December 31, 2019 and 2018, respectively. Expenditures for maintenance and repairs are charged to income as incurred and amounted to $17.7 million in 2020, $19.8 million in 2019, and $19.4 million in 2018.</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w:t>
      </w:r>
    </w:p>
    <w:p>
      <w:pPr>
        <w:spacing w:after="0" w:line="274" w:lineRule="exact"/>
        <w:rPr>
          <w:sz w:val="20"/>
          <w:szCs w:val="20"/>
          <w:color w:val="auto"/>
        </w:rPr>
      </w:pPr>
    </w:p>
    <w:p>
      <w:pPr>
        <w:ind w:right="60" w:firstLine="405"/>
        <w:spacing w:after="0" w:line="23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at the reporting unit level, using either a qualitative or quantitative approach. Impairment is the condition that exists when the carrying amount of a reporting unit, including goodwill, exceeds its fair value. Our reportable segments are consistent with our operating segments.</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6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6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the second quarter of 2020, management applied the quantitative assessment approach in performing its annual evaluation of goodwill and concluded that no impairment provision was required. As part of this evaluation, the Company considered projected cash flows and market multiples for the Company’s Machine Clothing reporting unit and three AEC reporting units. Management performed these quantitative assessments and concluded that each reporting unit’s fair value continued to exceed its carrying value. In addition, there were no amounts at risk due to the estimated spread between the fair and carrying values. Accordingly, no impairment charges were recorded.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rFonts w:ascii="Arial" w:cs="Arial" w:eastAsia="Arial" w:hAnsi="Arial"/>
          <w:sz w:val="20"/>
          <w:szCs w:val="20"/>
          <w:i w:val="1"/>
          <w:iCs w:val="1"/>
          <w:u w:val="single" w:color="auto"/>
          <w:color w:val="0000FF"/>
        </w:rPr>
      </w:pPr>
      <w:hyperlink w:anchor="page2">
        <w:r>
          <w:rPr>
            <w:rFonts w:ascii="Arial" w:cs="Arial" w:eastAsia="Arial" w:hAnsi="Arial"/>
            <w:sz w:val="20"/>
            <w:szCs w:val="20"/>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 — (continued)</w:t>
      </w:r>
    </w:p>
    <w:p>
      <w:pPr>
        <w:spacing w:after="0" w:line="200" w:lineRule="exact"/>
        <w:rPr>
          <w:sz w:val="20"/>
          <w:szCs w:val="20"/>
          <w:color w:val="auto"/>
        </w:rPr>
      </w:pPr>
    </w:p>
    <w:p>
      <w:pPr>
        <w:spacing w:after="0" w:line="358"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The assets acquired include goodwill of $17.7 million and amortizable intangible assets of $10.3 million, including measurement period adjustments recorded in 2020.</w:t>
      </w:r>
    </w:p>
    <w:p>
      <w:pPr>
        <w:spacing w:after="0" w:line="16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are continuing to amortize certain patents, trademarks and names, customer contracts, relationships and technology assets that have finite lives. The changes in intangible assets and goodwill from December 31, 2018 to December 31, 2020,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00" w:type="dxa"/>
            <w:vAlign w:val="bottom"/>
            <w:vMerge w:val="restart"/>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life in</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 at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Changes</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6"/>
                <w:szCs w:val="16"/>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7"/>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Trademarks and trade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names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6-15</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10-15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70"/>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Intellectual property</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0"/>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Customer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0"/>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8-15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39,147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70"/>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Other intangibles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52,892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46,869</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Unamortized intangible</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80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MC Goodwill</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67,672</w:t>
            </w:r>
          </w:p>
        </w:tc>
        <w:tc>
          <w:tcPr>
            <w:tcW w:w="100" w:type="dxa"/>
            <w:vAlign w:val="bottom"/>
          </w:tcPr>
          <w:p>
            <w:pPr>
              <w:spacing w:after="0"/>
              <w:rPr>
                <w:sz w:val="24"/>
                <w:szCs w:val="24"/>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4"/>
                <w:szCs w:val="24"/>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72,290</w:t>
            </w:r>
          </w:p>
        </w:tc>
        <w:tc>
          <w:tcPr>
            <w:tcW w:w="0" w:type="dxa"/>
            <w:vAlign w:val="bottom"/>
          </w:tcPr>
          <w:p>
            <w:pPr>
              <w:spacing w:after="0"/>
              <w:rPr>
                <w:sz w:val="1"/>
                <w:szCs w:val="1"/>
                <w:color w:val="auto"/>
              </w:rPr>
            </w:pPr>
          </w:p>
        </w:tc>
      </w:tr>
      <w:tr>
        <w:trPr>
          <w:trHeight w:val="270"/>
        </w:trPr>
        <w:tc>
          <w:tcPr>
            <w:tcW w:w="2800" w:type="dxa"/>
            <w:vAlign w:val="bottom"/>
            <w:gridSpan w:val="2"/>
          </w:tcPr>
          <w:p>
            <w:pPr>
              <w:ind w:left="220"/>
              <w:spacing w:after="0"/>
              <w:rPr>
                <w:sz w:val="20"/>
                <w:szCs w:val="20"/>
                <w:color w:val="auto"/>
              </w:rPr>
            </w:pPr>
            <w:r>
              <w:rPr>
                <w:rFonts w:ascii="Arial" w:cs="Arial" w:eastAsia="Arial" w:hAnsi="Arial"/>
                <w:sz w:val="18"/>
                <w:szCs w:val="18"/>
                <w:color w:val="auto"/>
              </w:rPr>
              <w:t>AEC Goodwill</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115,263</w:t>
            </w:r>
          </w:p>
        </w:tc>
        <w:tc>
          <w:tcPr>
            <w:tcW w:w="0" w:type="dxa"/>
            <w:vAlign w:val="bottom"/>
          </w:tcPr>
          <w:p>
            <w:pPr>
              <w:spacing w:after="0"/>
              <w:rPr>
                <w:sz w:val="1"/>
                <w:szCs w:val="1"/>
                <w:color w:val="auto"/>
              </w:rPr>
            </w:pPr>
          </w:p>
        </w:tc>
      </w:tr>
      <w:tr>
        <w:trPr>
          <w:trHeight w:val="222"/>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Total unamortized intangible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180,934</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187,553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sectPr>
      </w:pPr>
    </w:p>
    <w:bookmarkStart w:id="87" w:name="page88"/>
    <w:bookmarkEnd w:id="87"/>
    <w:p>
      <w:pPr>
        <w:spacing w:after="0"/>
        <w:rPr>
          <w:rFonts w:ascii="Arial" w:cs="Arial" w:eastAsia="Arial" w:hAnsi="Arial"/>
          <w:sz w:val="20"/>
          <w:szCs w:val="20"/>
          <w:i w:val="1"/>
          <w:iCs w:val="1"/>
          <w:u w:val="single" w:color="auto"/>
          <w:color w:val="0000FF"/>
        </w:rPr>
      </w:pPr>
      <w:hyperlink w:anchor="page2">
        <w:r>
          <w:rPr>
            <w:rFonts w:ascii="Arial" w:cs="Arial" w:eastAsia="Arial" w:hAnsi="Arial"/>
            <w:sz w:val="20"/>
            <w:szCs w:val="20"/>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Other Intangible Assets — (continued)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Amortization life</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Acquisition</w:t>
            </w: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3000" w:type="dxa"/>
            <w:vAlign w:val="bottom"/>
            <w:gridSpan w:val="2"/>
            <w:vMerge w:val="continue"/>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5"/>
                <w:szCs w:val="15"/>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2"/>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000" w:type="dxa"/>
            <w:vAlign w:val="bottom"/>
            <w:gridSpan w:val="2"/>
          </w:tcPr>
          <w:p>
            <w:pPr>
              <w:ind w:left="140"/>
              <w:spacing w:after="0" w:line="179" w:lineRule="exact"/>
              <w:rPr>
                <w:sz w:val="20"/>
                <w:szCs w:val="20"/>
                <w:color w:val="auto"/>
              </w:rPr>
            </w:pPr>
            <w:r>
              <w:rPr>
                <w:rFonts w:ascii="Arial" w:cs="Arial" w:eastAsia="Arial" w:hAnsi="Arial"/>
                <w:sz w:val="18"/>
                <w:szCs w:val="18"/>
                <w:color w:val="auto"/>
              </w:rPr>
              <w:t>AEC Trademarks and trade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names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AEC 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AEC Intellectual property</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AEC Customer contracts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AEC Customer relationships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39,147</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AEC Other intangibles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Total amortized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52,892</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MC Goodwill</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67,672</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AEC Goodwill</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113,262</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Total unamortized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164,382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180,934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As of December 31, 2020, the gross carrying amount and accumulated amortization of amortized intangible assets was $78.0 million and $31.1 million, respectively.</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Amortization expense related to intangible assets was reported in the Consolidated Statement of Income as follows: $ 3.0 million in Cost of goods sold and $ 4.3 million in Selling, general and administrative expenses in 2020; $3.0 million in Cost of goods sold and $3.3 million in Selling, general and administrative expenses in 2019; and $2.9 million in Cost of goods sold and $3.3 million in Selling, general and administrative expenses in 2018. Estimated amortization expense of intangibles for the years ending December 31, 2021 through 2025,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rPr>
              <w:t>Annual</w:t>
            </w:r>
          </w:p>
        </w:tc>
      </w:tr>
      <w:tr>
        <w:trPr>
          <w:trHeight w:val="162"/>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rPr>
              <w:t>amortization</w:t>
            </w:r>
          </w:p>
        </w:tc>
      </w:tr>
      <w:tr>
        <w:trPr>
          <w:trHeight w:val="196"/>
        </w:trPr>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7"/>
                <w:szCs w:val="17"/>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4,200</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Accrued Liabilities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liabilities consist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1" w:right="339" w:bottom="1440" w:gutter="0" w:footer="0" w:header="0"/>
        </w:sectPr>
      </w:pPr>
    </w:p>
    <w:bookmarkStart w:id="88" w:name="page89"/>
    <w:bookmarkEnd w:id="88"/>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Salaries and wages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23,571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22,878</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Contract loss reserve</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Employee benefits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12,952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Returns and allowances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10,560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Accrual for compensated absences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10,655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6,469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8,206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Lease liability - Operating lease</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Lease liability - Financing lease</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Postretirement medical benefits – current portion</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Pension liability – current portion</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Workers' compensation</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20,954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18,642</w:t>
            </w:r>
          </w:p>
        </w:tc>
        <w:tc>
          <w:tcPr>
            <w:tcW w:w="0" w:type="dxa"/>
            <w:vAlign w:val="bottom"/>
          </w:tcPr>
          <w:p>
            <w:pPr>
              <w:spacing w:after="0"/>
              <w:rPr>
                <w:sz w:val="1"/>
                <w:szCs w:val="1"/>
                <w:color w:val="auto"/>
              </w:rPr>
            </w:pPr>
          </w:p>
        </w:tc>
      </w:tr>
      <w:tr>
        <w:trPr>
          <w:trHeight w:val="22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125,885</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17. Financial Instruments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8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gridSpan w:val="2"/>
          </w:tcPr>
          <w:p>
            <w:pPr>
              <w:ind w:left="420"/>
              <w:spacing w:after="0"/>
              <w:rPr>
                <w:sz w:val="20"/>
                <w:szCs w:val="20"/>
                <w:color w:val="auto"/>
              </w:rPr>
            </w:pPr>
            <w:r>
              <w:rPr>
                <w:rFonts w:ascii="Arial" w:cs="Arial" w:eastAsia="Arial" w:hAnsi="Arial"/>
                <w:sz w:val="18"/>
                <w:szCs w:val="18"/>
                <w:color w:val="auto"/>
              </w:rPr>
              <w:t>Long-term debt, principally to banks and noteholders, consists of:</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Revolving credit agreement with borrowings outstanding at an end of period interest rate of 3.50% in</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360"/>
              <w:spacing w:after="0"/>
              <w:rPr>
                <w:sz w:val="20"/>
                <w:szCs w:val="20"/>
                <w:color w:val="auto"/>
              </w:rPr>
            </w:pPr>
            <w:r>
              <w:rPr>
                <w:rFonts w:ascii="Arial" w:cs="Arial" w:eastAsia="Arial" w:hAnsi="Arial"/>
                <w:sz w:val="18"/>
                <w:szCs w:val="18"/>
                <w:color w:val="auto"/>
              </w:rPr>
              <w:t>2020 and 3.43% in 2019 (including the effect of interest rate hedging transactions, as described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00" w:type="dxa"/>
            <w:vAlign w:val="bottom"/>
            <w:gridSpan w:val="2"/>
          </w:tcPr>
          <w:p>
            <w:pPr>
              <w:ind w:left="360"/>
              <w:spacing w:after="0"/>
              <w:rPr>
                <w:sz w:val="20"/>
                <w:szCs w:val="20"/>
                <w:color w:val="auto"/>
              </w:rPr>
            </w:pPr>
            <w:r>
              <w:rPr>
                <w:rFonts w:ascii="Arial" w:cs="Arial" w:eastAsia="Arial" w:hAnsi="Arial"/>
                <w:sz w:val="18"/>
                <w:szCs w:val="18"/>
                <w:color w:val="auto"/>
              </w:rPr>
              <w:t>below), due in 2024</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398,000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424,000</w:t>
            </w:r>
          </w:p>
        </w:tc>
        <w:tc>
          <w:tcPr>
            <w:tcW w:w="0" w:type="dxa"/>
            <w:vAlign w:val="bottom"/>
          </w:tcPr>
          <w:p>
            <w:pPr>
              <w:spacing w:after="0"/>
              <w:rPr>
                <w:sz w:val="1"/>
                <w:szCs w:val="1"/>
                <w:color w:val="auto"/>
              </w:rPr>
            </w:pPr>
          </w:p>
        </w:tc>
      </w:tr>
      <w:tr>
        <w:trPr>
          <w:trHeight w:val="242"/>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Other debt, at an average end of period rate of 5.50% in both 2020 and 2019, due in varying amounts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through 2021</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398,009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424,029</w:t>
            </w:r>
          </w:p>
        </w:tc>
        <w:tc>
          <w:tcPr>
            <w:tcW w:w="0" w:type="dxa"/>
            <w:vAlign w:val="bottom"/>
          </w:tcPr>
          <w:p>
            <w:pPr>
              <w:spacing w:after="0"/>
              <w:rPr>
                <w:sz w:val="1"/>
                <w:szCs w:val="1"/>
                <w:color w:val="auto"/>
              </w:rPr>
            </w:pPr>
          </w:p>
        </w:tc>
      </w:tr>
      <w:tr>
        <w:trPr>
          <w:trHeight w:val="27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424,009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Principal payments of $398 million are due on long-term debt in 2024. Cash payments of interest amounted to $15.1 million in 2020, $17.4 million in 2019 and $18.8 million in 2018.</w:t>
      </w:r>
    </w:p>
    <w:p>
      <w:pPr>
        <w:spacing w:after="0" w:line="15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$398 million of borrowings were outstanding as of December 31, 2020. The applicable interest rate for borrowings was LIBOR plus a spread, based on our leverage ratio at the time of borrowing. At the time of the last borrowing on December 30, 2020, the spread was 1.625%. The spread was based on a pricing grid, which ranged from 1.500% to 2.000%, based on our leverage ratio. Based on our maximum leverage ratio and our Consolidated EBITDA, and without modification to any other credit agreements, as of December 31, 2020, we would have been able to borrow an additional $302 million under the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 (continued)</w:t>
      </w:r>
    </w:p>
    <w:p>
      <w:pPr>
        <w:spacing w:after="0" w:line="200" w:lineRule="exact"/>
        <w:rPr>
          <w:sz w:val="20"/>
          <w:szCs w:val="20"/>
          <w:color w:val="auto"/>
        </w:rPr>
      </w:pPr>
    </w:p>
    <w:p>
      <w:pPr>
        <w:spacing w:after="0" w:line="371"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157"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57"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177"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On May 6, 2016, we terminated other interest rate swap agreements that had effectively fixed the interest rate on $ 120 million of revolving credit borrowings, in order to enter into a new interest rate swap with a greater notional amount, and the same maturity as the Credit Agreement. We paid $5.2 million to terminate the swap agreements, which were fully amortized into interest expense through June 2020.</w:t>
      </w:r>
    </w:p>
    <w:p>
      <w:pPr>
        <w:spacing w:after="0" w:line="16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December 16, 2020 was 0.16%, during the swap period. On December 16, 2020, the all-in-rate on the $350 million of debt was 3.735%.</w:t>
      </w:r>
    </w:p>
    <w:p>
      <w:pPr>
        <w:spacing w:after="0" w:line="165"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18. No cash collateral was received or pledged in relation to the swap agreements.</w:t>
      </w:r>
    </w:p>
    <w:p>
      <w:pPr>
        <w:spacing w:after="0" w:line="171" w:lineRule="exact"/>
        <w:rPr>
          <w:sz w:val="20"/>
          <w:szCs w:val="20"/>
          <w:color w:val="auto"/>
        </w:rPr>
      </w:pPr>
    </w:p>
    <w:p>
      <w:pPr>
        <w:ind w:right="720" w:firstLine="405"/>
        <w:spacing w:after="0" w:line="261"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157"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As of December 31, 2020, our leverage ratio was 1.34 to 1.00 and our interest coverage ratio was 14.39 to 1.00. We may purchase our Common Stock or pay dividends to the extent our leverage ratio remains at or below 3.50 to 1.00, and may make acquisitions with cash provided our leverage ratio does not exceed the limits noted above.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were in compliance with all debt covenants as of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Fair-Value Measurements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December 31, 2020, or at December 31, 2019.</w:t>
      </w:r>
    </w:p>
    <w:p>
      <w:pPr>
        <w:spacing w:after="0" w:line="181"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Fair-Value Measurements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17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Quoted prices in</w:t>
            </w:r>
          </w:p>
        </w:tc>
        <w:tc>
          <w:tcPr>
            <w:tcW w:w="168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Significant other</w:t>
            </w: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active markets</w:t>
            </w: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active markets</w:t>
            </w: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observable inputs</w:t>
            </w:r>
          </w:p>
        </w:tc>
      </w:tr>
      <w:tr>
        <w:trPr>
          <w:trHeight w:val="19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(Level 2)</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8"/>
                <w:szCs w:val="18"/>
                <w:i w:val="1"/>
                <w:iCs w:val="1"/>
                <w:color w:val="auto"/>
              </w:rPr>
              <w:t>Assets:</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97"/>
        </w:trPr>
        <w:tc>
          <w:tcPr>
            <w:tcW w:w="4820" w:type="dxa"/>
            <w:vAlign w:val="bottom"/>
            <w:gridSpan w:val="2"/>
          </w:tcPr>
          <w:p>
            <w:pPr>
              <w:ind w:left="22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17,508</w:t>
            </w:r>
          </w:p>
        </w:tc>
        <w:tc>
          <w:tcPr>
            <w:tcW w:w="1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5"/>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9"/>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Common stock of unaffiliated foreign public</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2"/>
        </w:trPr>
        <w:tc>
          <w:tcPr>
            <w:tcW w:w="4820" w:type="dxa"/>
            <w:vAlign w:val="bottom"/>
            <w:gridSpan w:val="2"/>
          </w:tcPr>
          <w:p>
            <w:pPr>
              <w:ind w:left="360"/>
              <w:spacing w:after="0" w:line="263" w:lineRule="exact"/>
              <w:rPr>
                <w:sz w:val="20"/>
                <w:szCs w:val="20"/>
                <w:color w:val="auto"/>
              </w:rPr>
            </w:pPr>
            <w:r>
              <w:rPr>
                <w:rFonts w:ascii="Arial" w:cs="Arial" w:eastAsia="Arial" w:hAnsi="Arial"/>
                <w:sz w:val="18"/>
                <w:szCs w:val="18"/>
                <w:color w:val="auto"/>
              </w:rPr>
              <w:t xml:space="preserve">company </w:t>
            </w:r>
            <w:r>
              <w:rPr>
                <w:rFonts w:ascii="Arial" w:cs="Arial" w:eastAsia="Arial" w:hAnsi="Arial"/>
                <w:sz w:val="23"/>
                <w:szCs w:val="23"/>
                <w:color w:val="auto"/>
                <w:vertAlign w:val="superscript"/>
              </w:rPr>
              <w:t>(a)</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375"/>
              <w:spacing w:after="0"/>
              <w:rPr>
                <w:sz w:val="20"/>
                <w:szCs w:val="20"/>
                <w:color w:val="auto"/>
              </w:rPr>
            </w:pPr>
            <w:r>
              <w:rPr>
                <w:rFonts w:ascii="Arial" w:cs="Arial" w:eastAsia="Arial" w:hAnsi="Arial"/>
                <w:sz w:val="18"/>
                <w:szCs w:val="18"/>
                <w:color w:val="auto"/>
              </w:rPr>
              <w:t>—</w:t>
            </w:r>
          </w:p>
        </w:tc>
      </w:tr>
      <w:tr>
        <w:trPr>
          <w:trHeight w:val="235"/>
        </w:trPr>
        <w:tc>
          <w:tcPr>
            <w:tcW w:w="482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97"/>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(12,714) (b)</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(5,518) (c)</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98"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of $1.0 million receivable floating leg and $13.7 million liability fixed leg.</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of $15.2 million receivable floating leg and $20.7 million liability fixed leg.</w:t>
      </w:r>
    </w:p>
    <w:p>
      <w:pPr>
        <w:spacing w:after="0" w:line="185"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71"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16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165"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17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16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Fair-Value Measurements — (continued)</w:t>
      </w:r>
    </w:p>
    <w:p>
      <w:pPr>
        <w:spacing w:after="0" w:line="200" w:lineRule="exact"/>
        <w:rPr>
          <w:sz w:val="20"/>
          <w:szCs w:val="20"/>
          <w:color w:val="auto"/>
        </w:rPr>
      </w:pPr>
    </w:p>
    <w:p>
      <w:pPr>
        <w:spacing w:after="0" w:line="37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December 31, 2020,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$5.4 million in 2020, $(0.6) million in 2019 and $0.5 million in 2018. Additionally, non-cash interest income related to the amortization of swap buyouts totaled $1.4 million in 2020, $0.5 million in 2019, and $0.6 million in 2018, and is expected to reduce interest expense by $0.4 million in 2021.</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r>
      <w:tr>
        <w:trPr>
          <w:trHeight w:val="19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37"/>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Foreign currency options gains/(losses)</w:t>
            </w:r>
          </w:p>
        </w:tc>
        <w:tc>
          <w:tcPr>
            <w:tcW w:w="960" w:type="dxa"/>
            <w:vAlign w:val="bottom"/>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729"/>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19. Other Noncurrent Liabilities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2"/>
        </w:trPr>
        <w:tc>
          <w:tcPr>
            <w:tcW w:w="7780" w:type="dxa"/>
            <w:vAlign w:val="bottom"/>
            <w:gridSpan w:val="3"/>
          </w:tcPr>
          <w:p>
            <w:pPr>
              <w:ind w:left="420"/>
              <w:spacing w:after="0"/>
              <w:rPr>
                <w:sz w:val="20"/>
                <w:szCs w:val="20"/>
                <w:color w:val="auto"/>
              </w:rPr>
            </w:pPr>
            <w:r>
              <w:rPr>
                <w:rFonts w:ascii="Arial" w:cs="Arial" w:eastAsia="Arial" w:hAnsi="Arial"/>
                <w:sz w:val="18"/>
                <w:szCs w:val="18"/>
                <w:color w:val="auto"/>
              </w:rPr>
              <w:t>As of December 31, 2020 and 2019, Other Noncurrent Liabilities consisted of the following:</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7"/>
        </w:trPr>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14"/>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44,317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50,576</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Pension liabilities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35,607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34,638</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Finance leases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22,700</w:t>
            </w:r>
          </w:p>
        </w:tc>
      </w:tr>
      <w:tr>
        <w:trPr>
          <w:trHeight w:val="22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13,589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14,386</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Interest rate swap agreements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12,714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5,518</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payroll taxes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Incentive and deferred compensation</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2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Restructuring</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2,910</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r>
      <w:tr>
        <w:trPr>
          <w:trHeight w:val="22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130,424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132,725</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220"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Effective January 1, 2019, we adopted the provisions of ASC 842, Leases, using the effective date (or modified retrospective) approach for transition. Under this transition method, periods prior to 2019 were not been restated and the cumulative effect of initially applying the new standard was recorded as an adjustment to Retained earnings at January 1, 2019.</w:t>
      </w:r>
    </w:p>
    <w:p>
      <w:pPr>
        <w:spacing w:after="0" w:line="16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most significant impact resulting from the adoption of the new standard was the recognition of right of use assets and lease liabilities for operating leases on our balance sheet for our real estate and automobile operating leases, in addition to the derecognition and reassessment of assets and liabilities related to our primary manufacturing facility in Salt Lake City, Utah (SLC lease), which had been accounted for as a build-to -suit lease with a failed sale leaseback. For that lease, transitional guidance required the derecognition of existing assets and liabilities and a reassessment of lease classification. We determined that the lease met the criteria for recording as a finance lease</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2" w:name="page93"/>
    <w:bookmarkEnd w:id="9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200" w:lineRule="exact"/>
        <w:rPr>
          <w:sz w:val="20"/>
          <w:szCs w:val="20"/>
          <w:color w:val="auto"/>
        </w:rPr>
      </w:pPr>
    </w:p>
    <w:p>
      <w:pPr>
        <w:spacing w:after="0" w:line="3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85"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175" w:lineRule="exact"/>
        <w:rPr>
          <w:sz w:val="20"/>
          <w:szCs w:val="20"/>
          <w:color w:val="auto"/>
        </w:rPr>
      </w:pPr>
    </w:p>
    <w:p>
      <w:pPr>
        <w:ind w:left="340" w:right="500" w:hanging="332"/>
        <w:spacing w:after="0" w:line="261"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 This may be specified explicitly or implicitly, and should be physically distinct or represent substantially all of the capacity of a physically distinct asset,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lessee has the right to obtain substantially all of the economic benefits from use of the asset throughout the period of use, and</w:t>
      </w:r>
    </w:p>
    <w:p>
      <w:pPr>
        <w:spacing w:after="0" w:line="184"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lessee has the right to direct the use of the asset, which is demonstrated when the lessee has decision-making rights that are most relevant to changing how and for what purpose the asset is used.</w:t>
      </w:r>
    </w:p>
    <w:p>
      <w:pPr>
        <w:spacing w:after="0" w:line="17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Judgment is required in the application of ASC 842, including the determination of whether a contract contains a lease, the appropriate classification, allocation of consideration, and the determination of the discount rate for the lease. Key estimates and judgments include how the Company determines (1)the discount rate it uses to discount the unpaid lease payments to present value, (2) lease term and (3) lease payments.</w:t>
      </w:r>
    </w:p>
    <w:p>
      <w:pPr>
        <w:spacing w:after="0" w:line="16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are generally the lessee in our lease transactions. For periods ending after December 31, 2018, lessees are required to recognize a lease liability and a right of use asset for leases with terms greater than 12 months, in accordance with the practical expedient that is available for ongoing accounting.</w:t>
      </w:r>
    </w:p>
    <w:p>
      <w:pPr>
        <w:spacing w:after="0" w:line="16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78"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We have operating and finance leases for offices, manufacturing facilities, warehouses, vehicles, and certain equipment. Our leases have remaining lease terms of 1 year to 9 years, some of which include options to extend the leases for up to 10 years, and some of which include options to terminate the leases within 1 year.</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expense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For the years ended</w:t>
            </w:r>
          </w:p>
        </w:tc>
        <w:tc>
          <w:tcPr>
            <w:tcW w:w="2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28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Pr>
          <w:p>
            <w:pPr>
              <w:spacing w:after="0"/>
              <w:rPr>
                <w:sz w:val="15"/>
                <w:szCs w:val="15"/>
                <w:color w:val="auto"/>
              </w:rPr>
            </w:pPr>
          </w:p>
        </w:tc>
        <w:tc>
          <w:tcPr>
            <w:tcW w:w="2100" w:type="dxa"/>
            <w:vAlign w:val="bottom"/>
          </w:tcPr>
          <w:p>
            <w:pPr>
              <w:jc w:val="right"/>
              <w:ind w:right="53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Finance lease</w:t>
            </w:r>
          </w:p>
        </w:tc>
        <w:tc>
          <w:tcPr>
            <w:tcW w:w="56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2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1,056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40"/>
              <w:spacing w:after="0"/>
              <w:rPr>
                <w:sz w:val="20"/>
                <w:szCs w:val="20"/>
                <w:color w:val="auto"/>
              </w:rPr>
            </w:pPr>
            <w:r>
              <w:rPr>
                <w:rFonts w:ascii="Arial" w:cs="Arial" w:eastAsia="Arial" w:hAnsi="Arial"/>
                <w:sz w:val="18"/>
                <w:szCs w:val="18"/>
                <w:color w:val="auto"/>
              </w:rPr>
              <w:t>Amortization of right-of-use asset</w:t>
            </w:r>
          </w:p>
        </w:tc>
        <w:tc>
          <w:tcPr>
            <w:tcW w:w="56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56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560" w:type="dxa"/>
            <w:vAlign w:val="bottom"/>
          </w:tcPr>
          <w:p>
            <w:pPr>
              <w:spacing w:after="0"/>
              <w:rPr>
                <w:sz w:val="19"/>
                <w:szCs w:val="19"/>
                <w:color w:val="auto"/>
              </w:rPr>
            </w:pPr>
          </w:p>
        </w:tc>
        <w:tc>
          <w:tcPr>
            <w:tcW w:w="2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40"/>
              <w:spacing w:after="0"/>
              <w:rPr>
                <w:sz w:val="20"/>
                <w:szCs w:val="20"/>
                <w:color w:val="auto"/>
              </w:rPr>
            </w:pPr>
            <w:r>
              <w:rPr>
                <w:rFonts w:ascii="Arial" w:cs="Arial" w:eastAsia="Arial" w:hAnsi="Arial"/>
                <w:sz w:val="18"/>
                <w:szCs w:val="18"/>
                <w:color w:val="auto"/>
              </w:rPr>
              <w:t>Fixed lease cost</w:t>
            </w:r>
          </w:p>
        </w:tc>
        <w:tc>
          <w:tcPr>
            <w:tcW w:w="560" w:type="dxa"/>
            <w:vAlign w:val="bottom"/>
          </w:tcPr>
          <w:p>
            <w:pPr>
              <w:spacing w:after="0"/>
              <w:rPr>
                <w:sz w:val="19"/>
                <w:szCs w:val="19"/>
                <w:color w:val="auto"/>
              </w:rPr>
            </w:pPr>
          </w:p>
        </w:tc>
        <w:tc>
          <w:tcPr>
            <w:tcW w:w="2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Variable lease cost</w:t>
            </w:r>
          </w:p>
        </w:tc>
        <w:tc>
          <w:tcPr>
            <w:tcW w:w="5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9"/>
        </w:trPr>
        <w:tc>
          <w:tcPr>
            <w:tcW w:w="508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5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lease expense</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expense for the year ended December 31, 2018 was $8.4 million.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For the years ended</w:t>
            </w:r>
          </w:p>
        </w:tc>
        <w:tc>
          <w:tcPr>
            <w:tcW w:w="2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28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Pr>
          <w:p>
            <w:pPr>
              <w:spacing w:after="0"/>
              <w:rPr>
                <w:sz w:val="15"/>
                <w:szCs w:val="15"/>
                <w:color w:val="auto"/>
              </w:rPr>
            </w:pPr>
          </w:p>
        </w:tc>
        <w:tc>
          <w:tcPr>
            <w:tcW w:w="2100" w:type="dxa"/>
            <w:vAlign w:val="bottom"/>
          </w:tcPr>
          <w:p>
            <w:pPr>
              <w:jc w:val="right"/>
              <w:ind w:right="53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2"/>
        </w:trPr>
        <w:tc>
          <w:tcPr>
            <w:tcW w:w="5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Cash paid for amounts included in the measurement of lease</w:t>
            </w:r>
          </w:p>
        </w:tc>
        <w:tc>
          <w:tcPr>
            <w:tcW w:w="56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5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2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56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5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9"/>
        </w:trPr>
        <w:tc>
          <w:tcPr>
            <w:tcW w:w="5080" w:type="dxa"/>
            <w:vAlign w:val="bottom"/>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56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7,214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5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2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6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39"/>
        </w:trPr>
        <w:tc>
          <w:tcPr>
            <w:tcW w:w="50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560" w:type="dxa"/>
            <w:vAlign w:val="bottom"/>
          </w:tcPr>
          <w:p>
            <w:pPr>
              <w:spacing w:after="0"/>
              <w:rPr>
                <w:sz w:val="20"/>
                <w:szCs w:val="20"/>
                <w:color w:val="auto"/>
              </w:rPr>
            </w:pPr>
          </w:p>
        </w:tc>
        <w:tc>
          <w:tcPr>
            <w:tcW w:w="2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405"/>
        <w:spacing w:after="0" w:line="235" w:lineRule="auto"/>
        <w:rPr>
          <w:sz w:val="20"/>
          <w:szCs w:val="20"/>
          <w:color w:val="auto"/>
        </w:rPr>
      </w:pPr>
      <w:r>
        <w:rPr>
          <w:rFonts w:ascii="Arial" w:cs="Arial" w:eastAsia="Arial" w:hAnsi="Arial"/>
          <w:sz w:val="18"/>
          <w:szCs w:val="18"/>
          <w:color w:val="auto"/>
        </w:rPr>
        <w:t>The initial recognition of each ROU asset and lease liability at lease commencement is a noncash transaction that is excluded from amounts reported in the Consolidated Statements of Cash Flows.</w:t>
      </w:r>
    </w:p>
    <w:p>
      <w:pPr>
        <w:spacing w:after="0" w:line="216" w:lineRule="exact"/>
        <w:rPr>
          <w:sz w:val="20"/>
          <w:szCs w:val="20"/>
          <w:color w:val="auto"/>
        </w:rPr>
      </w:pPr>
    </w:p>
    <w:p>
      <w:pPr>
        <w:ind w:firstLine="405"/>
        <w:spacing w:after="0" w:line="229" w:lineRule="auto"/>
        <w:rPr>
          <w:sz w:val="20"/>
          <w:szCs w:val="20"/>
          <w:color w:val="auto"/>
        </w:rPr>
      </w:pPr>
      <w:r>
        <w:rPr>
          <w:rFonts w:ascii="Arial" w:cs="Arial" w:eastAsia="Arial" w:hAnsi="Arial"/>
          <w:sz w:val="18"/>
          <w:szCs w:val="18"/>
          <w:color w:val="auto"/>
        </w:rPr>
        <w:t>In March 2020, the Company purchased, in cash, the primary CirComp GmbH operating facility in Germany for $5.8 million. This resulted in the recording of land and building assets, and the removal of the finance lease right of use assets and associated lease liabilities. The purchase in included with Principal payments on finance lease liabilities in the Consolidated Statements of Cash Flows.</w:t>
      </w:r>
    </w:p>
    <w:p>
      <w:pPr>
        <w:sectPr>
          <w:pgSz w:w="11900" w:h="16838" w:orient="portrait"/>
          <w:cols w:equalWidth="0" w:num="1">
            <w:col w:w="11160"/>
          </w:cols>
          <w:pgMar w:left="320" w:top="30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6"/>
                <w:szCs w:val="16"/>
                <w:color w:val="auto"/>
              </w:rPr>
            </w:pP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2"/>
        </w:trPr>
        <w:tc>
          <w:tcPr>
            <w:tcW w:w="68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17,712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20"/>
              <w:spacing w:after="0"/>
              <w:rPr>
                <w:sz w:val="20"/>
                <w:szCs w:val="20"/>
                <w:color w:val="auto"/>
              </w:rPr>
            </w:pPr>
            <w:r>
              <w:rPr>
                <w:rFonts w:ascii="Arial" w:cs="Arial" w:eastAsia="Arial" w:hAnsi="Arial"/>
                <w:sz w:val="18"/>
                <w:szCs w:val="18"/>
                <w:color w:val="auto"/>
              </w:rPr>
              <w:t>Right of use assets included in Other assets</w:t>
            </w:r>
          </w:p>
        </w:tc>
        <w:tc>
          <w:tcPr>
            <w:tcW w:w="18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18,223</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Lease liabilities included in</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39"/>
        </w:trPr>
        <w:tc>
          <w:tcPr>
            <w:tcW w:w="682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Finance leases</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Right-of-use assets included in Property, plant and equipment, net</w:t>
            </w:r>
          </w:p>
        </w:tc>
        <w:tc>
          <w:tcPr>
            <w:tcW w:w="18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Lease liabilities included in</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39"/>
        </w:trPr>
        <w:tc>
          <w:tcPr>
            <w:tcW w:w="682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16,121</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for leases existing at December 31, 2020 and 2019 was as follows: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5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December 31, 2020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6 years</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940" w:type="dxa"/>
            <w:vAlign w:val="bottom"/>
            <w:gridSpan w:val="2"/>
            <w:vMerge w:val="continue"/>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39"/>
        </w:trPr>
        <w:tc>
          <w:tcPr>
            <w:tcW w:w="74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 years</w:t>
            </w:r>
          </w:p>
        </w:tc>
        <w:tc>
          <w:tcPr>
            <w:tcW w:w="262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9"/>
        </w:trPr>
        <w:tc>
          <w:tcPr>
            <w:tcW w:w="490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4.5 %</w:t>
            </w:r>
          </w:p>
        </w:tc>
        <w:tc>
          <w:tcPr>
            <w:tcW w:w="100" w:type="dxa"/>
            <w:vAlign w:val="bottom"/>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9"/>
        </w:trPr>
        <w:tc>
          <w:tcPr>
            <w:tcW w:w="746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8.0 %</w:t>
            </w:r>
          </w:p>
        </w:tc>
        <w:tc>
          <w:tcPr>
            <w:tcW w:w="10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c>
          <w:tcPr>
            <w:tcW w:w="2840" w:type="dxa"/>
            <w:vAlign w:val="bottom"/>
            <w:gridSpan w:val="2"/>
          </w:tcPr>
          <w:p>
            <w:pPr>
              <w:ind w:left="48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Pr>
          <w:p>
            <w:pPr>
              <w:spacing w:after="0"/>
              <w:rPr>
                <w:sz w:val="16"/>
                <w:szCs w:val="16"/>
                <w:color w:val="auto"/>
              </w:rPr>
            </w:pPr>
          </w:p>
        </w:tc>
        <w:tc>
          <w:tcPr>
            <w:tcW w:w="2100" w:type="dxa"/>
            <w:vAlign w:val="bottom"/>
          </w:tcPr>
          <w:p>
            <w:pPr>
              <w:jc w:val="right"/>
              <w:ind w:right="672"/>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0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2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5,135</w:t>
            </w:r>
          </w:p>
        </w:tc>
        <w:tc>
          <w:tcPr>
            <w:tcW w:w="10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2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2,790</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vMerge w:val="continue"/>
          </w:tcPr>
          <w:p>
            <w:pPr>
              <w:spacing w:after="0"/>
              <w:rPr>
                <w:sz w:val="19"/>
                <w:szCs w:val="19"/>
                <w:color w:val="auto"/>
              </w:rPr>
            </w:pPr>
          </w:p>
        </w:tc>
        <w:tc>
          <w:tcPr>
            <w:tcW w:w="2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4,202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2,838</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2,829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3,004</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3,004</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2025</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1,788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3,004</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9,505</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8"/>
                <w:szCs w:val="18"/>
                <w:color w:val="auto"/>
              </w:rPr>
              <w:t>Total lease payments</w:t>
            </w:r>
          </w:p>
        </w:tc>
        <w:tc>
          <w:tcPr>
            <w:tcW w:w="60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20,527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24,145</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(6,586)</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5" w:name="page96"/>
    <w:bookmarkEnd w:id="9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lease liabilities as of December 31, 2019 were as follows: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c>
          <w:tcPr>
            <w:tcW w:w="2840" w:type="dxa"/>
            <w:vAlign w:val="bottom"/>
            <w:gridSpan w:val="2"/>
          </w:tcPr>
          <w:p>
            <w:pPr>
              <w:ind w:left="48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Pr>
          <w:p>
            <w:pPr>
              <w:spacing w:after="0"/>
              <w:rPr>
                <w:sz w:val="16"/>
                <w:szCs w:val="16"/>
                <w:color w:val="auto"/>
              </w:rPr>
            </w:pPr>
          </w:p>
        </w:tc>
        <w:tc>
          <w:tcPr>
            <w:tcW w:w="2100" w:type="dxa"/>
            <w:vAlign w:val="bottom"/>
          </w:tcPr>
          <w:p>
            <w:pPr>
              <w:jc w:val="right"/>
              <w:ind w:right="672"/>
              <w:spacing w:after="0"/>
              <w:rPr>
                <w:sz w:val="20"/>
                <w:szCs w:val="20"/>
                <w:color w:val="auto"/>
              </w:rPr>
            </w:pPr>
            <w:r>
              <w:rPr>
                <w:rFonts w:ascii="Arial" w:cs="Arial" w:eastAsia="Arial" w:hAnsi="Arial"/>
                <w:sz w:val="14"/>
                <w:szCs w:val="14"/>
                <w:b w:val="1"/>
                <w:bCs w:val="1"/>
                <w:color w:val="auto"/>
              </w:rPr>
              <w:t>Finance leases</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3,347</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3,347</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3,394</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 lease payments</w:t>
            </w:r>
          </w:p>
        </w:tc>
        <w:tc>
          <w:tcPr>
            <w:tcW w:w="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21,338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32,900</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24,535</w:t>
            </w:r>
          </w:p>
        </w:tc>
      </w:tr>
      <w:tr>
        <w:trPr>
          <w:trHeight w:val="20"/>
        </w:trPr>
        <w:tc>
          <w:tcPr>
            <w:tcW w:w="5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01" w:right="5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8080" w:firstLine="8"/>
        <w:spacing w:after="0" w:line="466" w:lineRule="auto"/>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Asbestos Litigation</w:t>
      </w:r>
    </w:p>
    <w:p>
      <w:pPr>
        <w:spacing w:after="0" w:line="1"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were defending 3,615 claims as of December 31, 2020.</w:t>
      </w:r>
    </w:p>
    <w:p>
      <w:pPr>
        <w:spacing w:after="0" w:line="185" w:lineRule="exact"/>
        <w:rPr>
          <w:sz w:val="20"/>
          <w:szCs w:val="20"/>
          <w:color w:val="auto"/>
        </w:rPr>
      </w:pPr>
    </w:p>
    <w:p>
      <w:pPr>
        <w:ind w:right="720" w:firstLine="405"/>
        <w:spacing w:after="0" w:line="261"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Opening Number of</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Claims Dismissed,</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Closing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Amounts Paid</w:t>
            </w:r>
          </w:p>
        </w:tc>
        <w:tc>
          <w:tcPr>
            <w:tcW w:w="0" w:type="dxa"/>
            <w:vAlign w:val="bottom"/>
          </w:tcPr>
          <w:p>
            <w:pPr>
              <w:spacing w:after="0"/>
              <w:rPr>
                <w:sz w:val="1"/>
                <w:szCs w:val="1"/>
                <w:color w:val="auto"/>
              </w:rPr>
            </w:pPr>
          </w:p>
        </w:tc>
      </w:tr>
      <w:tr>
        <w:trPr>
          <w:trHeight w:val="135"/>
        </w:trPr>
        <w:tc>
          <w:tcPr>
            <w:tcW w:w="3800" w:type="dxa"/>
            <w:vAlign w:val="bottom"/>
            <w:vMerge w:val="restart"/>
          </w:tcPr>
          <w:p>
            <w:pPr>
              <w:jc w:val="right"/>
              <w:ind w:right="993"/>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2"/>
            <w:vMerge w:val="continue"/>
          </w:tcPr>
          <w:p>
            <w:pPr>
              <w:spacing w:after="0"/>
              <w:rPr>
                <w:sz w:val="11"/>
                <w:szCs w:val="11"/>
                <w:color w:val="auto"/>
              </w:rPr>
            </w:pPr>
          </w:p>
        </w:tc>
        <w:tc>
          <w:tcPr>
            <w:tcW w:w="15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Settled, or</w:t>
            </w:r>
          </w:p>
        </w:tc>
        <w:tc>
          <w:tcPr>
            <w:tcW w:w="15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New Claims</w:t>
            </w:r>
          </w:p>
        </w:tc>
        <w:tc>
          <w:tcPr>
            <w:tcW w:w="1500" w:type="dxa"/>
            <w:vAlign w:val="bottom"/>
            <w:gridSpan w:val="2"/>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(thousands) to</w:t>
            </w:r>
          </w:p>
        </w:tc>
        <w:tc>
          <w:tcPr>
            <w:tcW w:w="0" w:type="dxa"/>
            <w:vAlign w:val="bottom"/>
          </w:tcPr>
          <w:p>
            <w:pPr>
              <w:spacing w:after="0"/>
              <w:rPr>
                <w:sz w:val="1"/>
                <w:szCs w:val="1"/>
                <w:color w:val="auto"/>
              </w:rPr>
            </w:pPr>
          </w:p>
        </w:tc>
      </w:tr>
      <w:tr>
        <w:trPr>
          <w:trHeight w:val="176"/>
        </w:trPr>
        <w:tc>
          <w:tcPr>
            <w:tcW w:w="3800" w:type="dxa"/>
            <w:vAlign w:val="bottom"/>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Claims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Resolved</w:t>
            </w:r>
          </w:p>
        </w:tc>
        <w:tc>
          <w:tcPr>
            <w:tcW w:w="1520" w:type="dxa"/>
            <w:vAlign w:val="bottom"/>
            <w:gridSpan w:val="2"/>
            <w:vMerge w:val="continue"/>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Claims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Settle or Resolve</w:t>
            </w:r>
          </w:p>
        </w:tc>
        <w:tc>
          <w:tcPr>
            <w:tcW w:w="0" w:type="dxa"/>
            <w:vAlign w:val="bottom"/>
          </w:tcPr>
          <w:p>
            <w:pPr>
              <w:spacing w:after="0"/>
              <w:rPr>
                <w:sz w:val="1"/>
                <w:szCs w:val="1"/>
                <w:color w:val="auto"/>
              </w:rPr>
            </w:pPr>
          </w:p>
        </w:tc>
      </w:tr>
      <w:tr>
        <w:trPr>
          <w:trHeight w:val="223"/>
        </w:trPr>
        <w:tc>
          <w:tcPr>
            <w:tcW w:w="3800" w:type="dxa"/>
            <w:vAlign w:val="bottom"/>
          </w:tcPr>
          <w:p>
            <w:pPr>
              <w:jc w:val="right"/>
              <w:ind w:right="3313"/>
              <w:spacing w:after="0"/>
              <w:rPr>
                <w:sz w:val="20"/>
                <w:szCs w:val="20"/>
                <w:color w:val="auto"/>
              </w:rPr>
            </w:pPr>
            <w:r>
              <w:rPr>
                <w:rFonts w:ascii="Arial" w:cs="Arial" w:eastAsia="Arial" w:hAnsi="Arial"/>
                <w:sz w:val="18"/>
                <w:szCs w:val="18"/>
                <w:color w:val="auto"/>
                <w:w w:val="94"/>
              </w:rPr>
              <w:t>2015</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3,821</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116</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86</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29"/>
        </w:trPr>
        <w:tc>
          <w:tcPr>
            <w:tcW w:w="3800" w:type="dxa"/>
            <w:vAlign w:val="bottom"/>
          </w:tcPr>
          <w:p>
            <w:pPr>
              <w:jc w:val="right"/>
              <w:ind w:right="3313"/>
              <w:spacing w:after="0"/>
              <w:rPr>
                <w:sz w:val="20"/>
                <w:szCs w:val="20"/>
                <w:color w:val="auto"/>
              </w:rPr>
            </w:pPr>
            <w:r>
              <w:rPr>
                <w:rFonts w:ascii="Arial" w:cs="Arial" w:eastAsia="Arial" w:hAnsi="Arial"/>
                <w:sz w:val="18"/>
                <w:szCs w:val="18"/>
                <w:color w:val="auto"/>
                <w:w w:val="94"/>
              </w:rPr>
              <w:t>2016</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3,791</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148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758</w:t>
            </w:r>
          </w:p>
        </w:tc>
        <w:tc>
          <w:tcPr>
            <w:tcW w:w="0" w:type="dxa"/>
            <w:vAlign w:val="bottom"/>
          </w:tcPr>
          <w:p>
            <w:pPr>
              <w:spacing w:after="0"/>
              <w:rPr>
                <w:sz w:val="1"/>
                <w:szCs w:val="1"/>
                <w:color w:val="auto"/>
              </w:rPr>
            </w:pPr>
          </w:p>
        </w:tc>
      </w:tr>
      <w:tr>
        <w:trPr>
          <w:trHeight w:val="229"/>
        </w:trPr>
        <w:tc>
          <w:tcPr>
            <w:tcW w:w="3800" w:type="dxa"/>
            <w:vAlign w:val="bottom"/>
          </w:tcPr>
          <w:p>
            <w:pPr>
              <w:jc w:val="right"/>
              <w:ind w:right="3313"/>
              <w:spacing w:after="0"/>
              <w:rPr>
                <w:sz w:val="20"/>
                <w:szCs w:val="20"/>
                <w:color w:val="auto"/>
              </w:rPr>
            </w:pPr>
            <w:r>
              <w:rPr>
                <w:rFonts w:ascii="Arial" w:cs="Arial" w:eastAsia="Arial" w:hAnsi="Arial"/>
                <w:sz w:val="18"/>
                <w:szCs w:val="18"/>
                <w:color w:val="auto"/>
                <w:w w:val="94"/>
              </w:rPr>
              <w:t>2017</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3,745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90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30"/>
        </w:trPr>
        <w:tc>
          <w:tcPr>
            <w:tcW w:w="3800" w:type="dxa"/>
            <w:vAlign w:val="bottom"/>
          </w:tcPr>
          <w:p>
            <w:pPr>
              <w:jc w:val="right"/>
              <w:ind w:right="3313"/>
              <w:spacing w:after="0"/>
              <w:rPr>
                <w:sz w:val="20"/>
                <w:szCs w:val="20"/>
                <w:color w:val="auto"/>
              </w:rPr>
            </w:pPr>
            <w:r>
              <w:rPr>
                <w:rFonts w:ascii="Arial" w:cs="Arial" w:eastAsia="Arial" w:hAnsi="Arial"/>
                <w:sz w:val="18"/>
                <w:szCs w:val="18"/>
                <w:color w:val="auto"/>
                <w:w w:val="94"/>
              </w:rPr>
              <w:t>2018</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3,730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152</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0"/>
        </w:trPr>
        <w:tc>
          <w:tcPr>
            <w:tcW w:w="3800" w:type="dxa"/>
            <w:vAlign w:val="bottom"/>
          </w:tcPr>
          <w:p>
            <w:pPr>
              <w:jc w:val="right"/>
              <w:ind w:right="3313"/>
              <w:spacing w:after="0"/>
              <w:rPr>
                <w:sz w:val="20"/>
                <w:szCs w:val="20"/>
                <w:color w:val="auto"/>
              </w:rPr>
            </w:pPr>
            <w:r>
              <w:rPr>
                <w:rFonts w:ascii="Arial" w:cs="Arial" w:eastAsia="Arial" w:hAnsi="Arial"/>
                <w:sz w:val="18"/>
                <w:szCs w:val="18"/>
                <w:color w:val="auto"/>
                <w:w w:val="94"/>
              </w:rPr>
              <w:t>2019</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3,684</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3,708</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39"/>
        </w:trPr>
        <w:tc>
          <w:tcPr>
            <w:tcW w:w="3800" w:type="dxa"/>
            <w:vAlign w:val="bottom"/>
          </w:tcPr>
          <w:p>
            <w:pPr>
              <w:jc w:val="right"/>
              <w:ind w:right="3313"/>
              <w:spacing w:after="0"/>
              <w:rPr>
                <w:sz w:val="20"/>
                <w:szCs w:val="20"/>
                <w:color w:val="auto"/>
              </w:rPr>
            </w:pPr>
            <w:r>
              <w:rPr>
                <w:rFonts w:ascii="Arial" w:cs="Arial" w:eastAsia="Arial" w:hAnsi="Arial"/>
                <w:sz w:val="18"/>
                <w:szCs w:val="18"/>
                <w:b w:val="1"/>
                <w:bCs w:val="1"/>
                <w:color w:val="auto"/>
                <w:w w:val="94"/>
              </w:rPr>
              <w:t>2020</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7"/>
              </w:rPr>
              <w:t>3,708</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152</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59</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3,615</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$57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65" w:lineRule="exact"/>
        <w:rPr>
          <w:sz w:val="20"/>
          <w:szCs w:val="20"/>
          <w:color w:val="auto"/>
        </w:rPr>
      </w:pPr>
    </w:p>
    <w:p>
      <w:pPr>
        <w:ind w:right="320" w:firstLine="405"/>
        <w:spacing w:after="0" w:line="252"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2020 we had resolved, by means of settlement or dismissal, 37,949 claims. The total cost of resolving all claims was $10.4 million. Of this amount, almost 100% was paid by our insurance carrier, who has confirmed that we have approximately $ 140 million of remaining coverage under primary and excess policies that should be available with respect to current and future asbestos claims.</w:t>
      </w:r>
    </w:p>
    <w:p>
      <w:pPr>
        <w:spacing w:after="0" w:line="18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December 31, 2020,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6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200" w:lineRule="exact"/>
        <w:rPr>
          <w:sz w:val="20"/>
          <w:szCs w:val="20"/>
          <w:color w:val="auto"/>
        </w:rPr>
      </w:pPr>
    </w:p>
    <w:p>
      <w:pPr>
        <w:spacing w:after="0" w:line="38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 — (continued)</w:t>
      </w:r>
    </w:p>
    <w:p>
      <w:pPr>
        <w:spacing w:after="0" w:line="200" w:lineRule="exact"/>
        <w:rPr>
          <w:sz w:val="20"/>
          <w:szCs w:val="20"/>
          <w:color w:val="auto"/>
        </w:rPr>
      </w:pPr>
    </w:p>
    <w:p>
      <w:pPr>
        <w:spacing w:after="0" w:line="37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Incentive Plans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Management share-based compensation:</w:t>
      </w:r>
    </w:p>
    <w:p>
      <w:pPr>
        <w:spacing w:after="0" w:line="220"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auto"/>
        </w:rPr>
        <w:t>In 2017, shareholders approved the Albany International 2017 Incentive Plan. This plan provides key members of management with incentive compensation based on achieving certain performance or service measures. Awards can be paid in cash, shares of Class A Common Stock, Options, or other stock-based or incentive compensation awards pursuant to the Plan. Participants may elect to receive shares net of applicable income taxes.</w:t>
      </w:r>
    </w:p>
    <w:p>
      <w:pPr>
        <w:spacing w:after="0" w:line="163" w:lineRule="exact"/>
        <w:rPr>
          <w:sz w:val="20"/>
          <w:szCs w:val="20"/>
          <w:color w:val="auto"/>
        </w:rPr>
      </w:pPr>
    </w:p>
    <w:p>
      <w:pPr>
        <w:ind w:right="720" w:firstLine="405"/>
        <w:spacing w:after="0" w:line="261" w:lineRule="auto"/>
        <w:rPr>
          <w:sz w:val="20"/>
          <w:szCs w:val="20"/>
          <w:color w:val="auto"/>
        </w:rPr>
      </w:pPr>
      <w:r>
        <w:rPr>
          <w:rFonts w:ascii="Arial" w:cs="Arial" w:eastAsia="Arial" w:hAnsi="Arial"/>
          <w:sz w:val="18"/>
          <w:szCs w:val="18"/>
          <w:color w:val="auto"/>
        </w:rPr>
        <w:t>Annual awards granted under this plan resulted in cash payments of $1.5 million in 2019, and $2.4 million in 2020 as a result of performance in in the preceding year.</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Awards that were granted in 2018, 2019 and 2020, with a performance period of three years, have payments scheduled for March 2021,</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2022 and 2023. If a participant terminates employment prior to the award becoming fully vested, the person may forfeit all or a portion of the incentive compensation award. The grant date share price is determined when the awards are approved each year and that price is used for measuring the cost for the share-based portion of an award. Expense associated with these awards is recognized over the vesting period of the performance period which is generally one to three years. In connection with these awards, we recognized expense of $4.8 million in 2020, $4.9 million in 2019 and $3.4 million in 2018. For share-based awards that are dependent on performance after 2020, we expect to record additional compensation expense of approximately $1.1 million in 2021 and $0.4 million in 2022. Shares payable under these plans generally vest immediately prior to payment.</w:t>
      </w:r>
    </w:p>
    <w:p>
      <w:pPr>
        <w:spacing w:after="0" w:line="180"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auto"/>
        </w:rPr>
        <w:t>Prior to the 2017 Incentive Plan, multi-year awards were granted under a plan approved in 2011. That plan provided key members of management with incentive compensation based on achieving certain performance targets over a three year period. Such awards were paid out partly in cash and partly in shares of Class A Common Stock. In March 2020, we issued 12,930 shares and made cash payments totaling $0.7 million. In March 2019, we issued 25,473 shares and made cash payments totaling $1.0 million. In March 2018, we</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issued 33,425 shares and made cash payments totaling $1.3 million. Expense associated with these awards was recognized over the three year vesting period. In connection with this plan, we recognized expense of $0.8 million in 2018 and an insignificant amount of expense thereafter. There are no unvested share-based awards in this Plan that are dependent on performance after 2020. Therefore, we do not expect to record additional compensation expense in future periods.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there were 1,102,542 shares of Company stock authorized for the payment of awards under these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these plans is presented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Incentive Plans — (continued)</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35"/>
        </w:trPr>
        <w:tc>
          <w:tcPr>
            <w:tcW w:w="6760" w:type="dxa"/>
            <w:vAlign w:val="bottom"/>
          </w:tcPr>
          <w:p>
            <w:pPr>
              <w:spacing w:after="0"/>
              <w:rPr>
                <w:sz w:val="11"/>
                <w:szCs w:val="11"/>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grant date value</w:t>
            </w:r>
          </w:p>
        </w:tc>
        <w:tc>
          <w:tcPr>
            <w:tcW w:w="180" w:type="dxa"/>
            <w:vAlign w:val="bottom"/>
          </w:tcPr>
          <w:p>
            <w:pPr>
              <w:spacing w:after="0"/>
              <w:rPr>
                <w:sz w:val="11"/>
                <w:szCs w:val="11"/>
                <w:color w:val="auto"/>
              </w:rPr>
            </w:pPr>
          </w:p>
        </w:tc>
        <w:tc>
          <w:tcPr>
            <w:tcW w:w="124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Shares potentially payable at January 1, 2018</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157,405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(79,762)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Shares accrued based on 2018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Shares potentially payable at December 31, 2018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(45,689)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Shares accrued based on 2019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Shares potentially payable at December 31, 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Forfeitures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(20,680)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Shares accrued based on 2020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Shares potentially payable at 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Management share-based compensation:</w:t>
      </w:r>
    </w:p>
    <w:p>
      <w:pPr>
        <w:spacing w:after="0" w:line="220"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In 2012, the Company adopted a Phantom Stock plan whereby awards under this program vest over a 5 year period and are paid annually in cash based on current market prices of the Company’s stock. Under this program, employees may earn more or less than the target award based on the Company’s results in the year of the award. Expense recognized for this plan amounted to $5.4 million in 2020, $6.3 million in 2019, and $4.8 million in 2018. Based on awards outstanding at December 31, 2020, we expect to record approximately $11 million of compensation cost from 2021 to 2024. The weighted average period for recognition of that cost is approximately 2 years.</w:t>
      </w:r>
    </w:p>
    <w:p>
      <w:pPr>
        <w:spacing w:after="0" w:line="165"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auto"/>
        </w:rPr>
        <w:t>The determination of compensation expense for other management share-based compensation plans is based on the number of outstanding share units, the end-of-period share price, and Company performance. Information with respect to these plans is presented below:</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Incentive Plans — (continued)</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paid for share</w:t>
            </w:r>
          </w:p>
        </w:tc>
        <w:tc>
          <w:tcPr>
            <w:tcW w:w="0" w:type="dxa"/>
            <w:vAlign w:val="bottom"/>
          </w:tcPr>
          <w:p>
            <w:pPr>
              <w:spacing w:after="0"/>
              <w:rPr>
                <w:sz w:val="1"/>
                <w:szCs w:val="1"/>
                <w:color w:val="auto"/>
              </w:rPr>
            </w:pPr>
          </w:p>
        </w:tc>
      </w:tr>
      <w:tr>
        <w:trPr>
          <w:trHeight w:val="135"/>
        </w:trPr>
        <w:tc>
          <w:tcPr>
            <w:tcW w:w="676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value per</w:t>
            </w:r>
          </w:p>
        </w:tc>
        <w:tc>
          <w:tcPr>
            <w:tcW w:w="140" w:type="dxa"/>
            <w:vAlign w:val="bottom"/>
          </w:tcPr>
          <w:p>
            <w:pPr>
              <w:spacing w:after="0"/>
              <w:rPr>
                <w:sz w:val="11"/>
                <w:szCs w:val="11"/>
                <w:color w:val="auto"/>
              </w:rPr>
            </w:pPr>
          </w:p>
        </w:tc>
        <w:tc>
          <w:tcPr>
            <w:tcW w:w="1280" w:type="dxa"/>
            <w:vAlign w:val="bottom"/>
          </w:tcPr>
          <w:p>
            <w:pPr>
              <w:jc w:val="right"/>
              <w:ind w:right="417"/>
              <w:spacing w:after="0" w:line="135" w:lineRule="exact"/>
              <w:rPr>
                <w:sz w:val="20"/>
                <w:szCs w:val="20"/>
                <w:color w:val="auto"/>
              </w:rPr>
            </w:pPr>
            <w:r>
              <w:rPr>
                <w:rFonts w:ascii="Arial" w:cs="Arial" w:eastAsia="Arial" w:hAnsi="Arial"/>
                <w:sz w:val="14"/>
                <w:szCs w:val="14"/>
                <w:b w:val="1"/>
                <w:bCs w:val="1"/>
                <w:color w:val="auto"/>
              </w:rPr>
              <w:t>based</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5"/>
                <w:szCs w:val="15"/>
                <w:color w:val="auto"/>
              </w:rPr>
            </w:pPr>
          </w:p>
        </w:tc>
        <w:tc>
          <w:tcPr>
            <w:tcW w:w="1280" w:type="dxa"/>
            <w:vAlign w:val="bottom"/>
          </w:tcPr>
          <w:p>
            <w:pPr>
              <w:jc w:val="right"/>
              <w:ind w:right="77"/>
              <w:spacing w:after="0"/>
              <w:rPr>
                <w:sz w:val="20"/>
                <w:szCs w:val="20"/>
                <w:color w:val="auto"/>
              </w:rPr>
            </w:pPr>
            <w:r>
              <w:rPr>
                <w:rFonts w:ascii="Arial" w:cs="Arial" w:eastAsia="Arial" w:hAnsi="Arial"/>
                <w:sz w:val="14"/>
                <w:szCs w:val="14"/>
                <w:b w:val="1"/>
                <w:bCs w:val="1"/>
                <w:color w:val="auto"/>
              </w:rPr>
              <w:t>liabilities (000's)</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 units potentially payable at January 1, 2018</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236,096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6760" w:type="dxa"/>
            <w:vAlign w:val="bottom"/>
          </w:tcPr>
          <w:p>
            <w:pPr>
              <w:spacing w:after="0"/>
              <w:rPr>
                <w:sz w:val="20"/>
                <w:szCs w:val="20"/>
                <w:color w:val="auto"/>
              </w:rPr>
            </w:pPr>
            <w:r>
              <w:rPr>
                <w:rFonts w:ascii="Arial" w:cs="Arial" w:eastAsia="Arial" w:hAnsi="Arial"/>
                <w:sz w:val="18"/>
                <w:szCs w:val="18"/>
                <w:color w:val="auto"/>
              </w:rPr>
              <w:t>Grants</w:t>
            </w:r>
          </w:p>
        </w:tc>
        <w:tc>
          <w:tcPr>
            <w:tcW w:w="1400" w:type="dxa"/>
            <w:vAlign w:val="bottom"/>
          </w:tcPr>
          <w:p>
            <w:pPr>
              <w:jc w:val="right"/>
              <w:spacing w:after="0"/>
              <w:rPr>
                <w:sz w:val="20"/>
                <w:szCs w:val="20"/>
                <w:color w:val="auto"/>
              </w:rPr>
            </w:pPr>
            <w:r>
              <w:rPr>
                <w:rFonts w:ascii="Arial" w:cs="Arial" w:eastAsia="Arial" w:hAnsi="Arial"/>
                <w:sz w:val="18"/>
                <w:szCs w:val="18"/>
                <w:color w:val="auto"/>
              </w:rPr>
              <w:t>65,370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Changes due to performance</w:t>
            </w:r>
          </w:p>
        </w:tc>
        <w:tc>
          <w:tcPr>
            <w:tcW w:w="1400" w:type="dxa"/>
            <w:vAlign w:val="bottom"/>
          </w:tcPr>
          <w:p>
            <w:pPr>
              <w:jc w:val="right"/>
              <w:spacing w:after="0"/>
              <w:rPr>
                <w:sz w:val="20"/>
                <w:szCs w:val="20"/>
                <w:color w:val="auto"/>
              </w:rPr>
            </w:pPr>
            <w:r>
              <w:rPr>
                <w:rFonts w:ascii="Arial" w:cs="Arial" w:eastAsia="Arial" w:hAnsi="Arial"/>
                <w:sz w:val="18"/>
                <w:szCs w:val="18"/>
                <w:color w:val="auto"/>
              </w:rPr>
              <w:t>14,343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(75,545)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Forfeitures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 units potentially payable at December 31, 2018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6760" w:type="dxa"/>
            <w:vAlign w:val="bottom"/>
          </w:tcPr>
          <w:p>
            <w:pPr>
              <w:spacing w:after="0"/>
              <w:rPr>
                <w:sz w:val="20"/>
                <w:szCs w:val="20"/>
                <w:color w:val="auto"/>
              </w:rPr>
            </w:pPr>
            <w:r>
              <w:rPr>
                <w:rFonts w:ascii="Arial" w:cs="Arial" w:eastAsia="Arial" w:hAnsi="Arial"/>
                <w:sz w:val="18"/>
                <w:szCs w:val="18"/>
                <w:color w:val="auto"/>
              </w:rPr>
              <w:t>Grants</w:t>
            </w:r>
          </w:p>
        </w:tc>
        <w:tc>
          <w:tcPr>
            <w:tcW w:w="1400" w:type="dxa"/>
            <w:vAlign w:val="bottom"/>
          </w:tcPr>
          <w:p>
            <w:pPr>
              <w:jc w:val="right"/>
              <w:spacing w:after="0"/>
              <w:rPr>
                <w:sz w:val="20"/>
                <w:szCs w:val="20"/>
                <w:color w:val="auto"/>
              </w:rPr>
            </w:pPr>
            <w:r>
              <w:rPr>
                <w:rFonts w:ascii="Arial" w:cs="Arial" w:eastAsia="Arial" w:hAnsi="Arial"/>
                <w:sz w:val="18"/>
                <w:szCs w:val="18"/>
                <w:color w:val="auto"/>
              </w:rPr>
              <w:t>58,878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Changes due to performance</w:t>
            </w:r>
          </w:p>
        </w:tc>
        <w:tc>
          <w:tcPr>
            <w:tcW w:w="1400" w:type="dxa"/>
            <w:vAlign w:val="bottom"/>
          </w:tcPr>
          <w:p>
            <w:pPr>
              <w:jc w:val="right"/>
              <w:spacing w:after="0"/>
              <w:rPr>
                <w:sz w:val="20"/>
                <w:szCs w:val="20"/>
                <w:color w:val="auto"/>
              </w:rPr>
            </w:pPr>
            <w:r>
              <w:rPr>
                <w:rFonts w:ascii="Arial" w:cs="Arial" w:eastAsia="Arial" w:hAnsi="Arial"/>
                <w:sz w:val="18"/>
                <w:szCs w:val="18"/>
                <w:color w:val="auto"/>
              </w:rPr>
              <w:t>21,740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(69,912)</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Forfeitures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 units potentially payable at December 31, 2019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6760" w:type="dxa"/>
            <w:vAlign w:val="bottom"/>
          </w:tcPr>
          <w:p>
            <w:pPr>
              <w:spacing w:after="0"/>
              <w:rPr>
                <w:sz w:val="20"/>
                <w:szCs w:val="20"/>
                <w:color w:val="auto"/>
              </w:rPr>
            </w:pPr>
            <w:r>
              <w:rPr>
                <w:rFonts w:ascii="Arial" w:cs="Arial" w:eastAsia="Arial" w:hAnsi="Arial"/>
                <w:sz w:val="18"/>
                <w:szCs w:val="18"/>
                <w:color w:val="auto"/>
              </w:rPr>
              <w:t>Grants</w:t>
            </w:r>
          </w:p>
        </w:tc>
        <w:tc>
          <w:tcPr>
            <w:tcW w:w="1400" w:type="dxa"/>
            <w:vAlign w:val="bottom"/>
          </w:tcPr>
          <w:p>
            <w:pPr>
              <w:jc w:val="right"/>
              <w:spacing w:after="0"/>
              <w:rPr>
                <w:sz w:val="20"/>
                <w:szCs w:val="20"/>
                <w:color w:val="auto"/>
              </w:rPr>
            </w:pPr>
            <w:r>
              <w:rPr>
                <w:rFonts w:ascii="Arial" w:cs="Arial" w:eastAsia="Arial" w:hAnsi="Arial"/>
                <w:sz w:val="18"/>
                <w:szCs w:val="18"/>
                <w:color w:val="auto"/>
              </w:rPr>
              <w:t>63,104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Changes due to performance</w:t>
            </w:r>
          </w:p>
        </w:tc>
        <w:tc>
          <w:tcPr>
            <w:tcW w:w="1400" w:type="dxa"/>
            <w:vAlign w:val="bottom"/>
          </w:tcPr>
          <w:p>
            <w:pPr>
              <w:jc w:val="right"/>
              <w:spacing w:after="0"/>
              <w:rPr>
                <w:sz w:val="20"/>
                <w:szCs w:val="20"/>
                <w:color w:val="auto"/>
              </w:rPr>
            </w:pPr>
            <w:r>
              <w:rPr>
                <w:rFonts w:ascii="Arial" w:cs="Arial" w:eastAsia="Arial" w:hAnsi="Arial"/>
                <w:sz w:val="18"/>
                <w:szCs w:val="18"/>
                <w:color w:val="auto"/>
              </w:rPr>
              <w:t>27,921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1400" w:type="dxa"/>
            <w:vAlign w:val="bottom"/>
          </w:tcPr>
          <w:p>
            <w:pPr>
              <w:jc w:val="right"/>
              <w:spacing w:after="0"/>
              <w:rPr>
                <w:sz w:val="20"/>
                <w:szCs w:val="20"/>
                <w:color w:val="auto"/>
              </w:rPr>
            </w:pPr>
            <w:r>
              <w:rPr>
                <w:rFonts w:ascii="Arial" w:cs="Arial" w:eastAsia="Arial" w:hAnsi="Arial"/>
                <w:sz w:val="18"/>
                <w:szCs w:val="18"/>
                <w:color w:val="auto"/>
              </w:rPr>
              <w:t>(80,808)</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73.04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Forfeitures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Share units potentially payable at 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During 2018, 2019 and 2020, the Company granted restricted stock units to four executives. The amount of compensation expense is subject to change in the market price of the Company’s stock and was recorded in Selling, general, and administrative expenses. The vesting and payments due under these grants will occur in various periods from 2019 to 2022. Expense recognized for these grants was $0.4 million in 2020, $1.1 million in 2019, and $0.5 million in 2018. Based on awards outstanding at December 31, 2020, we expect to record approximately $1.5 million of compensation cost from 2021 to 2022.</w:t>
      </w:r>
    </w:p>
    <w:p>
      <w:pPr>
        <w:spacing w:after="0" w:line="17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 Plus Savings Plan, is a qualified plan under section 401(k) of the U.S. Internal Revenue Code. The Company matches, in the form of cash, between 50 percent and 100 percent of employee contributions up to a defined maximum. The investment of employee contributions to the plan is self-directed. The Company’s cost of the plan amounted to $6.5 million in 2020, $6.8 million in 2019, and $6.3 million in 2018.</w:t>
      </w:r>
    </w:p>
    <w:p>
      <w:pPr>
        <w:spacing w:after="0" w:line="163" w:lineRule="exact"/>
        <w:rPr>
          <w:sz w:val="20"/>
          <w:szCs w:val="20"/>
          <w:color w:val="auto"/>
        </w:rPr>
      </w:pPr>
    </w:p>
    <w:p>
      <w:pPr>
        <w:jc w:val="both"/>
        <w:ind w:right="240" w:firstLine="405"/>
        <w:spacing w:after="0" w:line="256" w:lineRule="auto"/>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Company contributions to the plan are in the form of cash. The expense recorded for this plan was $3.6 million in 2020, $3.7 million in 2019, and $3.2 million in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w:t>
      </w:r>
    </w:p>
    <w:p>
      <w:pPr>
        <w:spacing w:after="0" w:line="220"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10 votes. Class A and Class B Common Stock will receive equal dividends as the Board of Directors may determine from time to time. The Class B Common Stock is convertible into an equal number of shares of Class A Common Stock at any time.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 — (continued)</w:t>
      </w:r>
    </w:p>
    <w:p>
      <w:pPr>
        <w:spacing w:after="0" w:line="200" w:lineRule="exact"/>
        <w:rPr>
          <w:sz w:val="20"/>
          <w:szCs w:val="20"/>
          <w:color w:val="auto"/>
        </w:rPr>
      </w:pPr>
    </w:p>
    <w:p>
      <w:pPr>
        <w:spacing w:after="0" w:line="371" w:lineRule="exact"/>
        <w:rPr>
          <w:sz w:val="20"/>
          <w:szCs w:val="20"/>
          <w:color w:val="auto"/>
        </w:rPr>
      </w:pPr>
    </w:p>
    <w:p>
      <w:pPr>
        <w:jc w:val="both"/>
        <w:ind w:right="360" w:firstLine="405"/>
        <w:spacing w:after="0" w:line="256" w:lineRule="auto"/>
        <w:rPr>
          <w:sz w:val="20"/>
          <w:szCs w:val="20"/>
          <w:color w:val="auto"/>
        </w:rPr>
      </w:pPr>
      <w:r>
        <w:rPr>
          <w:rFonts w:ascii="Arial" w:cs="Arial" w:eastAsia="Arial" w:hAnsi="Arial"/>
          <w:sz w:val="18"/>
          <w:szCs w:val="18"/>
          <w:color w:val="auto"/>
        </w:rPr>
        <w:t>In 2019, a public offering of a portion of the Standish Family shares reduced the number of Class A Common Stock reserved for the conversion of Class B shares, by 1.6 million. At December 31, 2020, 1.6 million shares of Class A Common Stock were reserved for the conversion of Class B Common Stock and the exercise of stock options.</w:t>
      </w:r>
    </w:p>
    <w:p>
      <w:pPr>
        <w:spacing w:after="0" w:line="1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August 2006, we announced that the Board of Directors authorized management to purchase up to 2 million additional shares of our Class A Common Stock. The Board’s action authorizes management to purchase shares from time to time, in the open market or otherwise, whenever it believes such purchase to be advantageous to our shareholders, and it is otherwise legally permitted to do so. We have made no share purchases under the August 2006 authorization. Activity in Shareholders’ equity for 2018, 2019, and 2020 is presented below:</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(in thousands)</w:t>
            </w:r>
          </w:p>
        </w:tc>
        <w:tc>
          <w:tcPr>
            <w:tcW w:w="148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9"/>
              </w:rPr>
              <w:t>Class A</w:t>
            </w:r>
          </w:p>
        </w:tc>
        <w:tc>
          <w:tcPr>
            <w:tcW w:w="15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9"/>
              </w:rPr>
              <w:t>Class B</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9"/>
              </w:rPr>
              <w:t>Accumulated items</w:t>
            </w:r>
          </w:p>
        </w:tc>
        <w:tc>
          <w:tcPr>
            <w:tcW w:w="600" w:type="dxa"/>
            <w:vAlign w:val="bottom"/>
          </w:tcPr>
          <w:p>
            <w:pPr>
              <w:spacing w:after="0"/>
              <w:rPr>
                <w:sz w:val="10"/>
                <w:szCs w:val="10"/>
                <w:color w:val="auto"/>
              </w:rPr>
            </w:pPr>
          </w:p>
        </w:tc>
        <w:tc>
          <w:tcPr>
            <w:tcW w:w="1140" w:type="dxa"/>
            <w:vAlign w:val="bottom"/>
            <w:gridSpan w:val="5"/>
          </w:tcPr>
          <w:p>
            <w:pPr>
              <w:jc w:val="center"/>
              <w:ind w:right="720"/>
              <w:spacing w:after="0"/>
              <w:rPr>
                <w:sz w:val="20"/>
                <w:szCs w:val="20"/>
                <w:color w:val="auto"/>
              </w:rPr>
            </w:pPr>
            <w:r>
              <w:rPr>
                <w:rFonts w:ascii="Arial" w:cs="Arial" w:eastAsia="Arial" w:hAnsi="Arial"/>
                <w:sz w:val="11"/>
                <w:szCs w:val="11"/>
                <w:b w:val="1"/>
                <w:bCs w:val="1"/>
                <w:color w:val="auto"/>
                <w:w w:val="94"/>
              </w:rPr>
              <w:t>Class A</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480" w:type="dxa"/>
            <w:vAlign w:val="bottom"/>
            <w:gridSpan w:val="5"/>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Common Stock</w:t>
            </w:r>
          </w:p>
        </w:tc>
        <w:tc>
          <w:tcPr>
            <w:tcW w:w="1500" w:type="dxa"/>
            <w:vAlign w:val="bottom"/>
            <w:gridSpan w:val="5"/>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Common Stock</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7"/>
              </w:rPr>
              <w:t>of other</w:t>
            </w:r>
          </w:p>
        </w:tc>
        <w:tc>
          <w:tcPr>
            <w:tcW w:w="1740" w:type="dxa"/>
            <w:vAlign w:val="bottom"/>
            <w:gridSpan w:val="6"/>
          </w:tcPr>
          <w:p>
            <w:pPr>
              <w:jc w:val="center"/>
              <w:ind w:right="120"/>
              <w:spacing w:after="0" w:line="108" w:lineRule="exact"/>
              <w:rPr>
                <w:sz w:val="20"/>
                <w:szCs w:val="20"/>
                <w:color w:val="auto"/>
              </w:rPr>
            </w:pPr>
            <w:r>
              <w:rPr>
                <w:rFonts w:ascii="Arial" w:cs="Arial" w:eastAsia="Arial" w:hAnsi="Arial"/>
                <w:sz w:val="11"/>
                <w:szCs w:val="11"/>
                <w:b w:val="1"/>
                <w:bCs w:val="1"/>
                <w:color w:val="auto"/>
                <w:w w:val="98"/>
              </w:rPr>
              <w:t>Treasury Stock</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ind w:left="40"/>
              <w:spacing w:after="0" w:line="108" w:lineRule="exact"/>
              <w:rPr>
                <w:sz w:val="20"/>
                <w:szCs w:val="20"/>
                <w:color w:val="auto"/>
              </w:rPr>
            </w:pPr>
            <w:r>
              <w:rPr>
                <w:rFonts w:ascii="Arial" w:cs="Arial" w:eastAsia="Arial" w:hAnsi="Arial"/>
                <w:sz w:val="11"/>
                <w:szCs w:val="11"/>
                <w:b w:val="1"/>
                <w:bCs w:val="1"/>
                <w:color w:val="auto"/>
              </w:rPr>
              <w:t>Additional paid-</w:t>
            </w:r>
          </w:p>
        </w:tc>
        <w:tc>
          <w:tcPr>
            <w:tcW w:w="120" w:type="dxa"/>
            <w:vAlign w:val="bottom"/>
          </w:tcPr>
          <w:p>
            <w:pPr>
              <w:spacing w:after="0"/>
              <w:rPr>
                <w:sz w:val="4"/>
                <w:szCs w:val="4"/>
                <w:color w:val="auto"/>
              </w:rPr>
            </w:pPr>
          </w:p>
        </w:tc>
        <w:tc>
          <w:tcPr>
            <w:tcW w:w="760" w:type="dxa"/>
            <w:vAlign w:val="bottom"/>
            <w:gridSpan w:val="2"/>
            <w:vMerge w:val="restart"/>
          </w:tcPr>
          <w:p>
            <w:pPr>
              <w:ind w:left="40"/>
              <w:spacing w:after="0" w:line="108"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 capital</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Interest</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3"/>
                <w:szCs w:val="13"/>
                <w:color w:val="auto"/>
              </w:rPr>
              <w:t>January 1, 2018</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28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37,396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3,234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428,423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534,082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(135,901)</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8,431</w:t>
            </w:r>
          </w:p>
        </w:tc>
        <w:tc>
          <w:tcPr>
            <w:tcW w:w="300" w:type="dxa"/>
            <w:vAlign w:val="bottom"/>
            <w:gridSpan w:val="3"/>
          </w:tcPr>
          <w:p>
            <w:pPr>
              <w:jc w:val="cente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(256,876)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3,247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573,015</w:t>
            </w:r>
          </w:p>
        </w:tc>
        <w:tc>
          <w:tcPr>
            <w:tcW w:w="0" w:type="dxa"/>
            <w:vAlign w:val="bottom"/>
          </w:tcPr>
          <w:p>
            <w:pPr>
              <w:spacing w:after="0"/>
              <w:rPr>
                <w:sz w:val="1"/>
                <w:szCs w:val="1"/>
                <w:color w:val="auto"/>
              </w:rPr>
            </w:pPr>
          </w:p>
        </w:tc>
      </w:tr>
      <w:tr>
        <w:trPr>
          <w:trHeight w:val="116"/>
        </w:trPr>
        <w:tc>
          <w:tcPr>
            <w:tcW w:w="1280" w:type="dxa"/>
            <w:vAlign w:val="bottom"/>
          </w:tcPr>
          <w:p>
            <w:pPr>
              <w:spacing w:after="0" w:line="116" w:lineRule="exact"/>
              <w:rPr>
                <w:sz w:val="20"/>
                <w:szCs w:val="20"/>
                <w:color w:val="auto"/>
              </w:rPr>
            </w:pPr>
            <w:r>
              <w:rPr>
                <w:rFonts w:ascii="Arial" w:cs="Arial" w:eastAsia="Arial" w:hAnsi="Arial"/>
                <w:sz w:val="13"/>
                <w:szCs w:val="13"/>
                <w:color w:val="auto"/>
              </w:rPr>
              <w:t>Net income</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3"/>
                <w:szCs w:val="13"/>
                <w:color w:val="auto"/>
              </w:rPr>
              <w:t>attributable to the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82,891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83,019</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Company</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Adoption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line="122" w:lineRule="exact"/>
              <w:rPr>
                <w:sz w:val="20"/>
                <w:szCs w:val="20"/>
                <w:color w:val="auto"/>
              </w:rPr>
            </w:pPr>
            <w:r>
              <w:rPr>
                <w:rFonts w:ascii="Arial" w:cs="Arial" w:eastAsia="Arial" w:hAnsi="Arial"/>
                <w:sz w:val="13"/>
                <w:szCs w:val="13"/>
                <w:color w:val="auto"/>
              </w:rPr>
              <w:t>accounting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(5,068)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(5,395)</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standards (a),(b)</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Compensation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line="122" w:lineRule="exact"/>
              <w:rPr>
                <w:sz w:val="20"/>
                <w:szCs w:val="20"/>
                <w:color w:val="auto"/>
              </w:rPr>
            </w:pPr>
            <w:r>
              <w:rPr>
                <w:rFonts w:ascii="Arial" w:cs="Arial" w:eastAsia="Arial" w:hAnsi="Arial"/>
                <w:sz w:val="13"/>
                <w:szCs w:val="13"/>
                <w:color w:val="auto"/>
              </w:rPr>
              <w:t>benefits paid or</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1,437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1,437</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payable in shares</w:t>
            </w: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3"/>
                <w:szCs w:val="13"/>
                <w:color w:val="auto"/>
              </w:rPr>
              <w:t>Options exercised</w:t>
            </w: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Shares issued to</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767</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Directors'</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20"/>
                <w:szCs w:val="20"/>
                <w:color w:val="auto"/>
              </w:rPr>
            </w:pPr>
            <w:r>
              <w:rPr>
                <w:rFonts w:ascii="Arial" w:cs="Arial" w:eastAsia="Arial" w:hAnsi="Arial"/>
                <w:sz w:val="13"/>
                <w:szCs w:val="13"/>
                <w:color w:val="auto"/>
              </w:rPr>
              <w:t>Dividends declared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280" w:type="dxa"/>
            <w:vAlign w:val="bottom"/>
          </w:tcPr>
          <w:p>
            <w:pPr>
              <w:ind w:left="340"/>
              <w:spacing w:after="0" w:line="145" w:lineRule="exact"/>
              <w:rPr>
                <w:sz w:val="20"/>
                <w:szCs w:val="20"/>
                <w:color w:val="auto"/>
              </w:rPr>
            </w:pPr>
            <w:r>
              <w:rPr>
                <w:rFonts w:ascii="Arial" w:cs="Arial" w:eastAsia="Arial" w:hAnsi="Arial"/>
                <w:sz w:val="13"/>
                <w:szCs w:val="13"/>
                <w:color w:val="auto"/>
              </w:rPr>
              <w:t>Class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80" w:type="dxa"/>
            <w:vAlign w:val="bottom"/>
          </w:tcPr>
          <w:p>
            <w:pPr>
              <w:ind w:left="340"/>
              <w:spacing w:after="0" w:line="122" w:lineRule="exact"/>
              <w:rPr>
                <w:sz w:val="20"/>
                <w:szCs w:val="20"/>
                <w:color w:val="auto"/>
              </w:rPr>
            </w:pPr>
            <w:r>
              <w:rPr>
                <w:rFonts w:ascii="Arial" w:cs="Arial" w:eastAsia="Arial" w:hAnsi="Arial"/>
                <w:sz w:val="13"/>
                <w:szCs w:val="13"/>
                <w:color w:val="auto"/>
                <w:w w:val="99"/>
              </w:rPr>
              <w:t>Common Stock,</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(20,029)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(20,029)</w:t>
            </w:r>
          </w:p>
        </w:tc>
        <w:tc>
          <w:tcPr>
            <w:tcW w:w="0" w:type="dxa"/>
            <w:vAlign w:val="bottom"/>
          </w:tcPr>
          <w:p>
            <w:pPr>
              <w:spacing w:after="0"/>
              <w:rPr>
                <w:sz w:val="1"/>
                <w:szCs w:val="1"/>
                <w:color w:val="auto"/>
              </w:rPr>
            </w:pPr>
          </w:p>
        </w:tc>
      </w:tr>
      <w:tr>
        <w:trPr>
          <w:trHeight w:val="152"/>
        </w:trPr>
        <w:tc>
          <w:tcPr>
            <w:tcW w:w="1280" w:type="dxa"/>
            <w:vAlign w:val="bottom"/>
          </w:tcPr>
          <w:p>
            <w:pPr>
              <w:ind w:left="340"/>
              <w:spacing w:after="0"/>
              <w:rPr>
                <w:sz w:val="20"/>
                <w:szCs w:val="20"/>
                <w:color w:val="auto"/>
              </w:rPr>
            </w:pPr>
            <w:r>
              <w:rPr>
                <w:rFonts w:ascii="Arial" w:cs="Arial" w:eastAsia="Arial" w:hAnsi="Arial"/>
                <w:sz w:val="13"/>
                <w:szCs w:val="13"/>
                <w:color w:val="auto"/>
              </w:rPr>
              <w:t>$0.69 per share</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ind w:left="340"/>
              <w:spacing w:after="0" w:line="145" w:lineRule="exact"/>
              <w:rPr>
                <w:sz w:val="20"/>
                <w:szCs w:val="20"/>
                <w:color w:val="auto"/>
              </w:rPr>
            </w:pPr>
            <w:r>
              <w:rPr>
                <w:rFonts w:ascii="Arial" w:cs="Arial" w:eastAsia="Arial" w:hAnsi="Arial"/>
                <w:sz w:val="13"/>
                <w:szCs w:val="13"/>
                <w:color w:val="auto"/>
              </w:rPr>
              <w:t>Class B</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ind w:left="340"/>
              <w:spacing w:after="0" w:line="122" w:lineRule="exact"/>
              <w:rPr>
                <w:sz w:val="20"/>
                <w:szCs w:val="20"/>
                <w:color w:val="auto"/>
              </w:rPr>
            </w:pPr>
            <w:r>
              <w:rPr>
                <w:rFonts w:ascii="Arial" w:cs="Arial" w:eastAsia="Arial" w:hAnsi="Arial"/>
                <w:sz w:val="13"/>
                <w:szCs w:val="13"/>
                <w:color w:val="auto"/>
                <w:w w:val="99"/>
              </w:rPr>
              <w:t>Common Stock,</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(2,231)</w:t>
            </w:r>
          </w:p>
        </w:tc>
        <w:tc>
          <w:tcPr>
            <w:tcW w:w="0" w:type="dxa"/>
            <w:vAlign w:val="bottom"/>
          </w:tcPr>
          <w:p>
            <w:pPr>
              <w:spacing w:after="0"/>
              <w:rPr>
                <w:sz w:val="1"/>
                <w:szCs w:val="1"/>
                <w:color w:val="auto"/>
              </w:rPr>
            </w:pPr>
          </w:p>
        </w:tc>
      </w:tr>
      <w:tr>
        <w:trPr>
          <w:trHeight w:val="152"/>
        </w:trPr>
        <w:tc>
          <w:tcPr>
            <w:tcW w:w="1280" w:type="dxa"/>
            <w:vAlign w:val="bottom"/>
          </w:tcPr>
          <w:p>
            <w:pPr>
              <w:ind w:left="340"/>
              <w:spacing w:after="0"/>
              <w:rPr>
                <w:sz w:val="20"/>
                <w:szCs w:val="20"/>
                <w:color w:val="auto"/>
              </w:rPr>
            </w:pPr>
            <w:r>
              <w:rPr>
                <w:rFonts w:ascii="Arial" w:cs="Arial" w:eastAsia="Arial" w:hAnsi="Arial"/>
                <w:sz w:val="13"/>
                <w:szCs w:val="13"/>
                <w:color w:val="auto"/>
              </w:rPr>
              <w:t>$0.69 per share</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w w:val="97"/>
              </w:rPr>
              <w:t>Cumulative translation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(28,658)</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(28,675)</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adjustments</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Pension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3"/>
                <w:szCs w:val="13"/>
                <w:color w:val="auto"/>
              </w:rPr>
              <w:t>postretirement liability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3,427</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3,427</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adjustments</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Derivative valuation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2,744</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2,744</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20"/>
                <w:szCs w:val="20"/>
                <w:color w:val="auto"/>
              </w:rPr>
            </w:pPr>
            <w:r>
              <w:rPr>
                <w:rFonts w:ascii="Arial" w:cs="Arial" w:eastAsia="Arial" w:hAnsi="Arial"/>
                <w:sz w:val="13"/>
                <w:szCs w:val="13"/>
                <w:color w:val="auto"/>
              </w:rPr>
              <w:t>adjustment</w:t>
            </w:r>
          </w:p>
        </w:tc>
        <w:tc>
          <w:tcPr>
            <w:tcW w:w="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20"/>
                <w:szCs w:val="20"/>
                <w:color w:val="auto"/>
              </w:rPr>
            </w:pPr>
            <w:r>
              <w:rPr>
                <w:rFonts w:ascii="Arial" w:cs="Arial" w:eastAsia="Arial" w:hAnsi="Arial"/>
                <w:sz w:val="13"/>
                <w:szCs w:val="13"/>
                <w:color w:val="auto"/>
              </w:rPr>
              <w:t>December 31, 2018</w:t>
            </w:r>
          </w:p>
        </w:tc>
        <w:tc>
          <w:tcPr>
            <w:tcW w:w="640" w:type="dxa"/>
            <w:vAlign w:val="bottom"/>
          </w:tcPr>
          <w:p>
            <w:pPr>
              <w:jc w:val="right"/>
              <w:spacing w:after="0"/>
              <w:rPr>
                <w:sz w:val="20"/>
                <w:szCs w:val="20"/>
                <w:color w:val="auto"/>
              </w:rPr>
            </w:pPr>
            <w:r>
              <w:rPr>
                <w:rFonts w:ascii="Arial" w:cs="Arial" w:eastAsia="Arial" w:hAnsi="Arial"/>
                <w:sz w:val="13"/>
                <w:szCs w:val="13"/>
                <w:color w:val="auto"/>
              </w:rPr>
              <w:t>37,450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3,234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430,555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589,645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(158,388)</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8,419</w:t>
            </w:r>
          </w:p>
        </w:tc>
        <w:tc>
          <w:tcPr>
            <w:tcW w:w="300" w:type="dxa"/>
            <w:vAlign w:val="bottom"/>
            <w:gridSpan w:val="3"/>
          </w:tcPr>
          <w:p>
            <w:pPr>
              <w:jc w:val="cente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(256,603)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608,280</w:t>
            </w:r>
          </w:p>
        </w:tc>
        <w:tc>
          <w:tcPr>
            <w:tcW w:w="0" w:type="dxa"/>
            <w:vAlign w:val="bottom"/>
          </w:tcPr>
          <w:p>
            <w:pPr>
              <w:spacing w:after="0"/>
              <w:rPr>
                <w:sz w:val="1"/>
                <w:szCs w:val="1"/>
                <w:color w:val="auto"/>
              </w:rPr>
            </w:pPr>
          </w:p>
        </w:tc>
      </w:tr>
      <w:tr>
        <w:trPr>
          <w:trHeight w:val="116"/>
        </w:trPr>
        <w:tc>
          <w:tcPr>
            <w:tcW w:w="1280" w:type="dxa"/>
            <w:vAlign w:val="bottom"/>
          </w:tcPr>
          <w:p>
            <w:pPr>
              <w:spacing w:after="0" w:line="116" w:lineRule="exact"/>
              <w:rPr>
                <w:sz w:val="20"/>
                <w:szCs w:val="20"/>
                <w:color w:val="auto"/>
              </w:rPr>
            </w:pPr>
            <w:r>
              <w:rPr>
                <w:rFonts w:ascii="Arial" w:cs="Arial" w:eastAsia="Arial" w:hAnsi="Arial"/>
                <w:sz w:val="13"/>
                <w:szCs w:val="13"/>
                <w:color w:val="auto"/>
              </w:rPr>
              <w:t>Net income</w:t>
            </w: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line="122" w:lineRule="exact"/>
              <w:rPr>
                <w:sz w:val="20"/>
                <w:szCs w:val="20"/>
                <w:color w:val="auto"/>
              </w:rPr>
            </w:pPr>
            <w:r>
              <w:rPr>
                <w:rFonts w:ascii="Arial" w:cs="Arial" w:eastAsia="Arial" w:hAnsi="Arial"/>
                <w:sz w:val="13"/>
                <w:szCs w:val="13"/>
                <w:color w:val="auto"/>
              </w:rPr>
              <w:t>attributable to the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132,398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133,383</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Company</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Adoption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3"/>
                <w:szCs w:val="13"/>
                <w:color w:val="auto"/>
              </w:rPr>
              <w:t>accounting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standards (c)</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Compensation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3"/>
                <w:szCs w:val="13"/>
                <w:color w:val="auto"/>
              </w:rPr>
              <w:t>benefits paid or</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1,311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payable in shares</w:t>
            </w: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3"/>
                <w:szCs w:val="13"/>
                <w:color w:val="auto"/>
              </w:rPr>
              <w:t>Options exercised</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3"/>
                <w:szCs w:val="13"/>
                <w:color w:val="auto"/>
              </w:rPr>
              <w:t>Shares issued to</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752</w:t>
            </w:r>
          </w:p>
        </w:tc>
        <w:tc>
          <w:tcPr>
            <w:tcW w:w="0" w:type="dxa"/>
            <w:vAlign w:val="bottom"/>
          </w:tcPr>
          <w:p>
            <w:pPr>
              <w:spacing w:after="0"/>
              <w:rPr>
                <w:sz w:val="1"/>
                <w:szCs w:val="1"/>
                <w:color w:val="auto"/>
              </w:rPr>
            </w:pPr>
          </w:p>
        </w:tc>
      </w:tr>
      <w:tr>
        <w:trPr>
          <w:trHeight w:val="152"/>
        </w:trPr>
        <w:tc>
          <w:tcPr>
            <w:tcW w:w="1280" w:type="dxa"/>
            <w:vAlign w:val="bottom"/>
          </w:tcPr>
          <w:p>
            <w:pPr>
              <w:spacing w:after="0"/>
              <w:rPr>
                <w:sz w:val="20"/>
                <w:szCs w:val="20"/>
                <w:color w:val="auto"/>
              </w:rPr>
            </w:pPr>
            <w:r>
              <w:rPr>
                <w:rFonts w:ascii="Arial" w:cs="Arial" w:eastAsia="Arial" w:hAnsi="Arial"/>
                <w:sz w:val="13"/>
                <w:szCs w:val="13"/>
                <w:color w:val="auto"/>
              </w:rPr>
              <w:t>Directors'</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3"/>
                <w:szCs w:val="13"/>
                <w:color w:val="auto"/>
              </w:rPr>
              <w:t>Dividends declared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280" w:type="dxa"/>
            <w:vAlign w:val="bottom"/>
          </w:tcPr>
          <w:p>
            <w:pPr>
              <w:ind w:left="340"/>
              <w:spacing w:after="0" w:line="145" w:lineRule="exact"/>
              <w:rPr>
                <w:sz w:val="20"/>
                <w:szCs w:val="20"/>
                <w:color w:val="auto"/>
              </w:rPr>
            </w:pPr>
            <w:r>
              <w:rPr>
                <w:rFonts w:ascii="Arial" w:cs="Arial" w:eastAsia="Arial" w:hAnsi="Arial"/>
                <w:sz w:val="13"/>
                <w:szCs w:val="13"/>
                <w:color w:val="auto"/>
              </w:rPr>
              <w:t>Class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80" w:type="dxa"/>
            <w:vAlign w:val="bottom"/>
          </w:tcPr>
          <w:p>
            <w:pPr>
              <w:ind w:left="340"/>
              <w:spacing w:after="0" w:line="122" w:lineRule="exact"/>
              <w:rPr>
                <w:sz w:val="20"/>
                <w:szCs w:val="20"/>
                <w:color w:val="auto"/>
              </w:rPr>
            </w:pPr>
            <w:r>
              <w:rPr>
                <w:rFonts w:ascii="Arial" w:cs="Arial" w:eastAsia="Arial" w:hAnsi="Arial"/>
                <w:sz w:val="13"/>
                <w:szCs w:val="13"/>
                <w:color w:val="auto"/>
                <w:w w:val="99"/>
              </w:rPr>
              <w:t>Common Stock,</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(21,818)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(21,818)</w:t>
            </w:r>
          </w:p>
        </w:tc>
        <w:tc>
          <w:tcPr>
            <w:tcW w:w="0" w:type="dxa"/>
            <w:vAlign w:val="bottom"/>
          </w:tcPr>
          <w:p>
            <w:pPr>
              <w:spacing w:after="0"/>
              <w:rPr>
                <w:sz w:val="1"/>
                <w:szCs w:val="1"/>
                <w:color w:val="auto"/>
              </w:rPr>
            </w:pPr>
          </w:p>
        </w:tc>
      </w:tr>
      <w:tr>
        <w:trPr>
          <w:trHeight w:val="152"/>
        </w:trPr>
        <w:tc>
          <w:tcPr>
            <w:tcW w:w="1280" w:type="dxa"/>
            <w:vAlign w:val="bottom"/>
          </w:tcPr>
          <w:p>
            <w:pPr>
              <w:ind w:left="340"/>
              <w:spacing w:after="0"/>
              <w:rPr>
                <w:sz w:val="20"/>
                <w:szCs w:val="20"/>
                <w:color w:val="auto"/>
              </w:rPr>
            </w:pPr>
            <w:r>
              <w:rPr>
                <w:rFonts w:ascii="Arial" w:cs="Arial" w:eastAsia="Arial" w:hAnsi="Arial"/>
                <w:sz w:val="13"/>
                <w:szCs w:val="13"/>
                <w:color w:val="auto"/>
              </w:rPr>
              <w:t>$0.73 per share</w:t>
            </w: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Shareholders’ Equity — (continued)</w:t>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320" w:type="dxa"/>
            <w:vAlign w:val="bottom"/>
          </w:tcPr>
          <w:p>
            <w:pPr>
              <w:ind w:left="340"/>
              <w:spacing w:after="0"/>
              <w:rPr>
                <w:sz w:val="20"/>
                <w:szCs w:val="20"/>
                <w:color w:val="auto"/>
              </w:rPr>
            </w:pPr>
            <w:r>
              <w:rPr>
                <w:rFonts w:ascii="Arial" w:cs="Arial" w:eastAsia="Arial" w:hAnsi="Arial"/>
                <w:sz w:val="13"/>
                <w:szCs w:val="13"/>
                <w:color w:val="auto"/>
              </w:rPr>
              <w:t>Class B</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20" w:type="dxa"/>
            <w:vAlign w:val="bottom"/>
          </w:tcPr>
          <w:p>
            <w:pPr>
              <w:ind w:left="340"/>
              <w:spacing w:after="0" w:line="122" w:lineRule="exact"/>
              <w:rPr>
                <w:sz w:val="20"/>
                <w:szCs w:val="20"/>
                <w:color w:val="auto"/>
              </w:rPr>
            </w:pPr>
            <w:r>
              <w:rPr>
                <w:rFonts w:ascii="Arial" w:cs="Arial" w:eastAsia="Arial" w:hAnsi="Arial"/>
                <w:sz w:val="13"/>
                <w:szCs w:val="13"/>
                <w:color w:val="auto"/>
              </w:rPr>
              <w:t>Common Stock,</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(1,763)</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(1,763)</w:t>
            </w:r>
          </w:p>
        </w:tc>
        <w:tc>
          <w:tcPr>
            <w:tcW w:w="0" w:type="dxa"/>
            <w:vAlign w:val="bottom"/>
          </w:tcPr>
          <w:p>
            <w:pPr>
              <w:spacing w:after="0"/>
              <w:rPr>
                <w:sz w:val="1"/>
                <w:szCs w:val="1"/>
                <w:color w:val="auto"/>
              </w:rPr>
            </w:pPr>
          </w:p>
        </w:tc>
      </w:tr>
      <w:tr>
        <w:trPr>
          <w:trHeight w:val="152"/>
        </w:trPr>
        <w:tc>
          <w:tcPr>
            <w:tcW w:w="1320" w:type="dxa"/>
            <w:vAlign w:val="bottom"/>
          </w:tcPr>
          <w:p>
            <w:pPr>
              <w:ind w:left="340"/>
              <w:spacing w:after="0"/>
              <w:rPr>
                <w:sz w:val="20"/>
                <w:szCs w:val="20"/>
                <w:color w:val="auto"/>
              </w:rPr>
            </w:pPr>
            <w:r>
              <w:rPr>
                <w:rFonts w:ascii="Arial" w:cs="Arial" w:eastAsia="Arial" w:hAnsi="Arial"/>
                <w:sz w:val="13"/>
                <w:szCs w:val="13"/>
                <w:color w:val="auto"/>
              </w:rPr>
              <w:t>$0.73 per share</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Conversion of Class B</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Arial" w:cs="Arial" w:eastAsia="Arial" w:hAnsi="Arial"/>
                <w:sz w:val="13"/>
                <w:szCs w:val="13"/>
                <w:color w:val="auto"/>
              </w:rPr>
              <w:t>shares to Class A</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(1,616)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shares (d)</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Cumulative translation</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(6,876)</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(6,886)</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adjustments</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Pension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Arial" w:cs="Arial" w:eastAsia="Arial" w:hAnsi="Arial"/>
                <w:sz w:val="13"/>
                <w:szCs w:val="13"/>
                <w:color w:val="auto"/>
              </w:rPr>
              <w:t>postretirement liability</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(2,885)</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(2,885)</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adjustments</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Derivative valuation</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(7,832)</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(7,832)</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3"/>
                <w:szCs w:val="13"/>
                <w:color w:val="auto"/>
              </w:rPr>
              <w:t>adjustment</w:t>
            </w: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Arial" w:cs="Arial" w:eastAsia="Arial" w:hAnsi="Arial"/>
                <w:sz w:val="13"/>
                <w:szCs w:val="13"/>
                <w:color w:val="auto"/>
              </w:rPr>
              <w:t>December 31, 2019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39,099</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1,618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432,518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698,496</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(175,981)</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8,409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(256,391)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4,006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702,689</w:t>
            </w:r>
          </w:p>
        </w:tc>
        <w:tc>
          <w:tcPr>
            <w:tcW w:w="0" w:type="dxa"/>
            <w:vAlign w:val="bottom"/>
          </w:tcPr>
          <w:p>
            <w:pPr>
              <w:spacing w:after="0"/>
              <w:rPr>
                <w:sz w:val="1"/>
                <w:szCs w:val="1"/>
                <w:color w:val="auto"/>
              </w:rPr>
            </w:pPr>
          </w:p>
        </w:tc>
      </w:tr>
      <w:tr>
        <w:trPr>
          <w:trHeight w:val="116"/>
        </w:trPr>
        <w:tc>
          <w:tcPr>
            <w:tcW w:w="1320" w:type="dxa"/>
            <w:vAlign w:val="bottom"/>
          </w:tcPr>
          <w:p>
            <w:pPr>
              <w:spacing w:after="0" w:line="116" w:lineRule="exact"/>
              <w:rPr>
                <w:sz w:val="20"/>
                <w:szCs w:val="20"/>
                <w:color w:val="auto"/>
              </w:rPr>
            </w:pPr>
            <w:r>
              <w:rPr>
                <w:rFonts w:ascii="Arial" w:cs="Arial" w:eastAsia="Arial" w:hAnsi="Arial"/>
                <w:sz w:val="13"/>
                <w:szCs w:val="13"/>
                <w:color w:val="auto"/>
              </w:rPr>
              <w:t>Net income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Arial" w:cs="Arial" w:eastAsia="Arial" w:hAnsi="Arial"/>
                <w:sz w:val="13"/>
                <w:szCs w:val="13"/>
                <w:color w:val="auto"/>
              </w:rPr>
              <w:t>attributable to the</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98,589</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97,243</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Company</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w w:val="98"/>
              </w:rPr>
              <w:t>Adoption of accounting</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standards (e)</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Compensation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2" w:lineRule="exact"/>
              <w:rPr>
                <w:sz w:val="20"/>
                <w:szCs w:val="20"/>
                <w:color w:val="auto"/>
              </w:rPr>
            </w:pPr>
            <w:r>
              <w:rPr>
                <w:rFonts w:ascii="Arial" w:cs="Arial" w:eastAsia="Arial" w:hAnsi="Arial"/>
                <w:sz w:val="13"/>
                <w:szCs w:val="13"/>
                <w:color w:val="auto"/>
              </w:rPr>
              <w:t>benefits paid or</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payable in shares</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3"/>
                <w:szCs w:val="13"/>
                <w:color w:val="auto"/>
              </w:rPr>
              <w:t>Options exercised</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Shares issued to</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Directors'</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3"/>
                <w:szCs w:val="13"/>
                <w:color w:val="auto"/>
              </w:rPr>
              <w:t>Dividends declared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20" w:type="dxa"/>
            <w:vAlign w:val="bottom"/>
          </w:tcPr>
          <w:p>
            <w:pPr>
              <w:ind w:left="340"/>
              <w:spacing w:after="0" w:line="145" w:lineRule="exact"/>
              <w:rPr>
                <w:sz w:val="20"/>
                <w:szCs w:val="20"/>
                <w:color w:val="auto"/>
              </w:rPr>
            </w:pPr>
            <w:r>
              <w:rPr>
                <w:rFonts w:ascii="Arial" w:cs="Arial" w:eastAsia="Arial" w:hAnsi="Arial"/>
                <w:sz w:val="13"/>
                <w:szCs w:val="13"/>
                <w:color w:val="auto"/>
              </w:rPr>
              <w:t>Class A</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Pr>
          <w:p>
            <w:pPr>
              <w:ind w:left="340"/>
              <w:spacing w:after="0" w:line="122" w:lineRule="exact"/>
              <w:rPr>
                <w:sz w:val="20"/>
                <w:szCs w:val="20"/>
                <w:color w:val="auto"/>
              </w:rPr>
            </w:pPr>
            <w:r>
              <w:rPr>
                <w:rFonts w:ascii="Arial" w:cs="Arial" w:eastAsia="Arial" w:hAnsi="Arial"/>
                <w:sz w:val="13"/>
                <w:szCs w:val="13"/>
                <w:color w:val="auto"/>
              </w:rPr>
              <w:t>Common Stock,</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(23,651)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(23,651)</w:t>
            </w:r>
          </w:p>
        </w:tc>
        <w:tc>
          <w:tcPr>
            <w:tcW w:w="0" w:type="dxa"/>
            <w:vAlign w:val="bottom"/>
          </w:tcPr>
          <w:p>
            <w:pPr>
              <w:spacing w:after="0"/>
              <w:rPr>
                <w:sz w:val="1"/>
                <w:szCs w:val="1"/>
                <w:color w:val="auto"/>
              </w:rPr>
            </w:pPr>
          </w:p>
        </w:tc>
      </w:tr>
      <w:tr>
        <w:trPr>
          <w:trHeight w:val="152"/>
        </w:trPr>
        <w:tc>
          <w:tcPr>
            <w:tcW w:w="1320" w:type="dxa"/>
            <w:vAlign w:val="bottom"/>
          </w:tcPr>
          <w:p>
            <w:pPr>
              <w:ind w:left="340"/>
              <w:spacing w:after="0"/>
              <w:rPr>
                <w:sz w:val="20"/>
                <w:szCs w:val="20"/>
                <w:color w:val="auto"/>
              </w:rPr>
            </w:pPr>
            <w:r>
              <w:rPr>
                <w:rFonts w:ascii="Arial" w:cs="Arial" w:eastAsia="Arial" w:hAnsi="Arial"/>
                <w:sz w:val="13"/>
                <w:szCs w:val="13"/>
                <w:color w:val="auto"/>
              </w:rPr>
              <w:t>$0.77 per share</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ind w:left="340"/>
              <w:spacing w:after="0" w:line="145" w:lineRule="exact"/>
              <w:rPr>
                <w:sz w:val="20"/>
                <w:szCs w:val="20"/>
                <w:color w:val="auto"/>
              </w:rPr>
            </w:pPr>
            <w:r>
              <w:rPr>
                <w:rFonts w:ascii="Arial" w:cs="Arial" w:eastAsia="Arial" w:hAnsi="Arial"/>
                <w:sz w:val="13"/>
                <w:szCs w:val="13"/>
                <w:color w:val="auto"/>
              </w:rPr>
              <w:t>Class B</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Pr>
          <w:p>
            <w:pPr>
              <w:ind w:left="340"/>
              <w:spacing w:after="0" w:line="122" w:lineRule="exact"/>
              <w:rPr>
                <w:sz w:val="20"/>
                <w:szCs w:val="20"/>
                <w:color w:val="auto"/>
              </w:rPr>
            </w:pPr>
            <w:r>
              <w:rPr>
                <w:rFonts w:ascii="Arial" w:cs="Arial" w:eastAsia="Arial" w:hAnsi="Arial"/>
                <w:sz w:val="13"/>
                <w:szCs w:val="13"/>
                <w:color w:val="auto"/>
              </w:rPr>
              <w:t>Common Stock,</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(1,245)</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152"/>
        </w:trPr>
        <w:tc>
          <w:tcPr>
            <w:tcW w:w="1320" w:type="dxa"/>
            <w:vAlign w:val="bottom"/>
          </w:tcPr>
          <w:p>
            <w:pPr>
              <w:ind w:left="340"/>
              <w:spacing w:after="0"/>
              <w:rPr>
                <w:sz w:val="20"/>
                <w:szCs w:val="20"/>
                <w:color w:val="auto"/>
              </w:rPr>
            </w:pPr>
            <w:r>
              <w:rPr>
                <w:rFonts w:ascii="Arial" w:cs="Arial" w:eastAsia="Arial" w:hAnsi="Arial"/>
                <w:sz w:val="13"/>
                <w:szCs w:val="13"/>
                <w:color w:val="auto"/>
              </w:rPr>
              <w:t>$0.77 per share</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Cumulative translation</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39,649</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40,788</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adjustments</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Pension and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line="122" w:lineRule="exact"/>
              <w:rPr>
                <w:sz w:val="20"/>
                <w:szCs w:val="20"/>
                <w:color w:val="auto"/>
              </w:rPr>
            </w:pPr>
            <w:r>
              <w:rPr>
                <w:rFonts w:ascii="Arial" w:cs="Arial" w:eastAsia="Arial" w:hAnsi="Arial"/>
                <w:sz w:val="13"/>
                <w:szCs w:val="13"/>
                <w:color w:val="auto"/>
              </w:rPr>
              <w:t>postretirement liability</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10,333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10,333</w:t>
            </w:r>
          </w:p>
        </w:tc>
        <w:tc>
          <w:tcPr>
            <w:tcW w:w="0" w:type="dxa"/>
            <w:vAlign w:val="bottom"/>
          </w:tcPr>
          <w:p>
            <w:pPr>
              <w:spacing w:after="0"/>
              <w:rPr>
                <w:sz w:val="1"/>
                <w:szCs w:val="1"/>
                <w:color w:val="auto"/>
              </w:rPr>
            </w:pPr>
          </w:p>
        </w:tc>
      </w:tr>
      <w:tr>
        <w:trPr>
          <w:trHeight w:val="152"/>
        </w:trPr>
        <w:tc>
          <w:tcPr>
            <w:tcW w:w="1320" w:type="dxa"/>
            <w:vAlign w:val="bottom"/>
          </w:tcPr>
          <w:p>
            <w:pPr>
              <w:spacing w:after="0"/>
              <w:rPr>
                <w:sz w:val="20"/>
                <w:szCs w:val="20"/>
                <w:color w:val="auto"/>
              </w:rPr>
            </w:pPr>
            <w:r>
              <w:rPr>
                <w:rFonts w:ascii="Arial" w:cs="Arial" w:eastAsia="Arial" w:hAnsi="Arial"/>
                <w:sz w:val="13"/>
                <w:szCs w:val="13"/>
                <w:color w:val="auto"/>
              </w:rPr>
              <w:t>adjustments</w:t>
            </w: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Arial" w:cs="Arial" w:eastAsia="Arial" w:hAnsi="Arial"/>
                <w:sz w:val="13"/>
                <w:szCs w:val="13"/>
                <w:color w:val="auto"/>
              </w:rPr>
              <w:t>Derivative valuation</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(6,409)</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(6,409)</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3"/>
                <w:szCs w:val="13"/>
                <w:color w:val="auto"/>
              </w:rPr>
              <w:t>adjustment</w:t>
            </w: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20"/>
                <w:szCs w:val="20"/>
                <w:color w:val="auto"/>
              </w:rPr>
            </w:pPr>
            <w:r>
              <w:rPr>
                <w:rFonts w:ascii="Arial" w:cs="Arial" w:eastAsia="Arial" w:hAnsi="Arial"/>
                <w:sz w:val="13"/>
                <w:szCs w:val="13"/>
                <w:color w:val="auto"/>
              </w:rPr>
              <w:t>December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39,115</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1,618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433,696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770,746</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(132,408)</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8,391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(256,009)</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3,799</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819,865</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right="720" w:hanging="652"/>
        <w:spacing w:after="0" w:line="250"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described in Note 2, the Company adopted ASC 606 effective January 1, 2018, which resulted in a decrease to Retained earnings of $5.6 million and a $0.3 million decrease to Noncontrolling interest.</w:t>
      </w: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adopted ASU 2016-16 effective January 1, 2018, which resulted in a $0.5 million increase to Retained earnings.</w:t>
      </w:r>
    </w:p>
    <w:p>
      <w:pPr>
        <w:spacing w:after="0" w:line="9" w:lineRule="exact"/>
        <w:rPr>
          <w:rFonts w:ascii="Arial" w:cs="Arial" w:eastAsia="Arial" w:hAnsi="Arial"/>
          <w:sz w:val="18"/>
          <w:szCs w:val="18"/>
          <w:color w:val="auto"/>
        </w:rPr>
      </w:pPr>
    </w:p>
    <w:p>
      <w:pPr>
        <w:ind w:left="660" w:right="660" w:hanging="652"/>
        <w:spacing w:after="0" w:line="25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described in Note 20, the Company adopted ASC 842, Leases effective January 1, 2019, which resulted in an increase to Retained earnings of less than $0.1 million.</w:t>
      </w:r>
    </w:p>
    <w:p>
      <w:pPr>
        <w:ind w:left="660" w:right="140" w:hanging="652"/>
        <w:spacing w:after="0" w:line="250"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second quarter of 2019, Standish Family Holdings, LLC executed a secondary offering of Albany shares. As a result of the offering,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1" w:lineRule="exact"/>
        <w:rPr>
          <w:rFonts w:ascii="Arial" w:cs="Arial" w:eastAsia="Arial" w:hAnsi="Arial"/>
          <w:sz w:val="18"/>
          <w:szCs w:val="18"/>
          <w:color w:val="auto"/>
        </w:rPr>
      </w:pPr>
    </w:p>
    <w:p>
      <w:pPr>
        <w:ind w:left="660" w:right="180" w:hanging="652"/>
        <w:spacing w:after="0" w:line="261"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described in Note 1, the Company adopted the provisions of ASC 326, Current expected credit losses (CECL) effective January 1, 2020, which resulted in a decrease to Retained earnings of $1.4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Business Acquisition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Business Acquisition — (continued)</w:t>
      </w:r>
    </w:p>
    <w:p>
      <w:pPr>
        <w:spacing w:after="0" w:line="369" w:lineRule="exact"/>
        <w:rPr>
          <w:sz w:val="20"/>
          <w:szCs w:val="20"/>
          <w:color w:val="auto"/>
        </w:rPr>
      </w:pPr>
    </w:p>
    <w:p>
      <w:pPr>
        <w:jc w:val="both"/>
        <w:ind w:firstLine="405"/>
        <w:spacing w:after="0" w:line="210"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$32.4 million. The Company also agreed to pay approximately $5.5 million that will become due, as certain post-closing obligations are performed. Expense related to that agreement will be recognized over the five-year performance period. The Company funded the acquisition using a combination of cash on hand and funds drawn on its revolving credit facility (see Note 17). In March 2020, the Company purchased, in cash, the primary operating facility in Germany for $5.8 million, which resulted in the recording of land and building assets, and the removal of the Right of use assets and associated lease liabilities included in the acquisition-date balance sheet.</w:t>
      </w:r>
    </w:p>
    <w:p>
      <w:pPr>
        <w:spacing w:after="0" w:line="163"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The seller provided representations, warranties and indemnities customary for acquisition transactions, including indemnities for certain customer claims identified, before closing. The acquired entity is part of the AEC segment. CirComp specializes in designing and manufacturing customized engineered composite components for aerospace and other demanding industrial applications.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allocation of the purchase price to the fair value of the assets and liabilities acquired:</w:t>
      </w:r>
    </w:p>
    <w:p>
      <w:pPr>
        <w:spacing w:after="0" w:line="51" w:lineRule="exact"/>
        <w:rPr>
          <w:sz w:val="20"/>
          <w:szCs w:val="20"/>
          <w:color w:val="auto"/>
        </w:rPr>
      </w:pPr>
    </w:p>
    <w:p>
      <w:pPr>
        <w:ind w:left="20"/>
        <w:spacing w:after="0"/>
        <w:tabs>
          <w:tab w:leader="none" w:pos="986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4"/>
          <w:szCs w:val="14"/>
          <w:b w:val="1"/>
          <w:bCs w:val="1"/>
          <w:color w:val="auto"/>
        </w:rPr>
        <w:t>November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acquired</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 and other current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 of use assets related to finance lease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Amortizable intangible assets (see Note 15)</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880" w:hanging="880"/>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1,607</w:t>
      </w:r>
    </w:p>
    <w:p>
      <w:pPr>
        <w:spacing w:after="0" w:line="7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986</w:t>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1,992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525</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452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5,686</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4,884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10,302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004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43" w:lineRule="exact"/>
        <w:rPr>
          <w:sz w:val="20"/>
          <w:szCs w:val="20"/>
          <w:color w:val="auto"/>
        </w:rPr>
      </w:pPr>
    </w:p>
    <w:p>
      <w:pPr>
        <w:ind w:left="780" w:hanging="780"/>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44,110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0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400"/>
          </w:cols>
          <w:pgMar w:left="320" w:top="301" w:right="339" w:bottom="1440" w:gutter="0" w:footer="0" w:header="0"/>
          <w:type w:val="continuous"/>
        </w:sectPr>
      </w:pP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7"/>
        </w:trPr>
        <w:tc>
          <w:tcPr>
            <w:tcW w:w="9800" w:type="dxa"/>
            <w:vAlign w:val="bottom"/>
          </w:tcPr>
          <w:p>
            <w:pPr>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9800" w:type="dxa"/>
            <w:vAlign w:val="bottom"/>
          </w:tcPr>
          <w:p>
            <w:pPr>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2,777</w:t>
            </w:r>
          </w:p>
        </w:tc>
      </w:tr>
      <w:tr>
        <w:trPr>
          <w:trHeight w:val="270"/>
        </w:trPr>
        <w:tc>
          <w:tcPr>
            <w:tcW w:w="9800" w:type="dxa"/>
            <w:vAlign w:val="bottom"/>
          </w:tcPr>
          <w:p>
            <w:pPr>
              <w:spacing w:after="0"/>
              <w:rPr>
                <w:sz w:val="20"/>
                <w:szCs w:val="20"/>
                <w:color w:val="auto"/>
              </w:rPr>
            </w:pPr>
            <w:r>
              <w:rPr>
                <w:rFonts w:ascii="Arial" w:cs="Arial" w:eastAsia="Arial" w:hAnsi="Arial"/>
                <w:sz w:val="18"/>
                <w:szCs w:val="18"/>
                <w:color w:val="auto"/>
              </w:rPr>
              <w:t>Lease liabilities</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0"/>
        </w:trPr>
        <w:tc>
          <w:tcPr>
            <w:tcW w:w="9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70"/>
        </w:trPr>
        <w:tc>
          <w:tcPr>
            <w:tcW w:w="98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w:t>
            </w:r>
          </w:p>
        </w:tc>
      </w:tr>
      <w:tr>
        <w:trPr>
          <w:trHeight w:val="250"/>
        </w:trPr>
        <w:tc>
          <w:tcPr>
            <w:tcW w:w="980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11,710</w:t>
            </w:r>
          </w:p>
        </w:tc>
      </w:tr>
      <w:tr>
        <w:trPr>
          <w:trHeight w:val="250"/>
        </w:trPr>
        <w:tc>
          <w:tcPr>
            <w:tcW w:w="9800" w:type="dxa"/>
            <w:vAlign w:val="bottom"/>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32,400</w:t>
            </w:r>
          </w:p>
        </w:tc>
      </w:tr>
      <w:tr>
        <w:trPr>
          <w:trHeight w:val="250"/>
        </w:trPr>
        <w:tc>
          <w:tcPr>
            <w:tcW w:w="9800" w:type="dxa"/>
            <w:vAlign w:val="bottom"/>
          </w:tcPr>
          <w:p>
            <w:pPr>
              <w:spacing w:after="0"/>
              <w:rPr>
                <w:sz w:val="20"/>
                <w:szCs w:val="20"/>
                <w:color w:val="auto"/>
              </w:rPr>
            </w:pPr>
            <w:r>
              <w:rPr>
                <w:rFonts w:ascii="Arial" w:cs="Arial" w:eastAsia="Arial" w:hAnsi="Arial"/>
                <w:sz w:val="18"/>
                <w:szCs w:val="18"/>
                <w:color w:val="auto"/>
              </w:rPr>
              <w:t>Purchase of business, net of cash acquired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30,793</w:t>
            </w:r>
          </w:p>
        </w:tc>
      </w:tr>
    </w:tbl>
    <w:p>
      <w:pPr>
        <w:spacing w:after="0" w:line="323" w:lineRule="exact"/>
        <w:rPr>
          <w:sz w:val="20"/>
          <w:szCs w:val="20"/>
          <w:color w:val="auto"/>
        </w:rPr>
      </w:pPr>
    </w:p>
    <w:p>
      <w:pPr>
        <w:jc w:val="both"/>
        <w:ind w:firstLine="405"/>
        <w:spacing w:after="0" w:line="213" w:lineRule="auto"/>
        <w:rPr>
          <w:sz w:val="20"/>
          <w:szCs w:val="20"/>
          <w:color w:val="auto"/>
        </w:rPr>
      </w:pPr>
      <w:r>
        <w:rPr>
          <w:rFonts w:ascii="Arial" w:cs="Arial" w:eastAsia="Arial" w:hAnsi="Arial"/>
          <w:sz w:val="18"/>
          <w:szCs w:val="18"/>
          <w:color w:val="auto"/>
        </w:rPr>
        <w:t>During the first six months of 2020, management identified adjustments to the provisional value of assets and liabilities acquired reported in the Form 10-K for the year ended December 31, 2019, which resulted in a decrease to Contract assets of $0.3 million, an increase to Accrued liabilities of $ 0.5 million, an increase to Amortizable intangible assets of $0.3 million, a decrease to Deferred income tax liabilities of $0.2 million, and an increase to Goodwill of $0.3 million. Management's review of the purchase price allocation has been completed.</w:t>
      </w:r>
    </w:p>
    <w:p>
      <w:pPr>
        <w:spacing w:after="0" w:line="202"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18"/>
          <w:szCs w:val="18"/>
          <w:color w:val="auto"/>
        </w:rPr>
        <w:t>Acquired Goodwill of $17.7 million reflects the Company’s belief that the acquisition complements and expands Albany’s portfolio of proprietary, advanced manufacturing technologies for composite components, increases the Company’s position as a leading innovator in advanced materials processing and automation, and opens a geographic footprint in Europe to better serve our global customer base. The acquisition significantly increases the Company’s opportunities for future growth. The goodwill is non-deductible for tax purposes.</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03" w:name="page104"/>
    <w:bookmarkEnd w:id="10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Business Acquisition — (continued)</w:t>
      </w:r>
    </w:p>
    <w:p>
      <w:pPr>
        <w:spacing w:after="0" w:line="200" w:lineRule="exact"/>
        <w:rPr>
          <w:sz w:val="20"/>
          <w:szCs w:val="20"/>
          <w:color w:val="auto"/>
        </w:rPr>
      </w:pPr>
    </w:p>
    <w:p>
      <w:pPr>
        <w:spacing w:after="0" w:line="371" w:lineRule="exact"/>
        <w:rPr>
          <w:sz w:val="20"/>
          <w:szCs w:val="20"/>
          <w:color w:val="auto"/>
        </w:rPr>
      </w:pPr>
    </w:p>
    <w:p>
      <w:pPr>
        <w:ind w:right="580" w:firstLine="405"/>
        <w:spacing w:after="0" w:line="261" w:lineRule="auto"/>
        <w:rPr>
          <w:sz w:val="20"/>
          <w:szCs w:val="20"/>
          <w:color w:val="auto"/>
        </w:rPr>
      </w:pPr>
      <w:r>
        <w:rPr>
          <w:rFonts w:ascii="Arial" w:cs="Arial" w:eastAsia="Arial" w:hAnsi="Arial"/>
          <w:sz w:val="18"/>
          <w:szCs w:val="18"/>
          <w:color w:val="auto"/>
        </w:rPr>
        <w:t>The following table presents operational results of the acquired entity that are included in the Consolidated Statements of Income (unaudited):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73"/>
              <w:spacing w:after="0"/>
              <w:rPr>
                <w:sz w:val="20"/>
                <w:szCs w:val="20"/>
                <w:color w:val="auto"/>
              </w:rPr>
            </w:pPr>
            <w:r>
              <w:rPr>
                <w:rFonts w:ascii="Arial" w:cs="Arial" w:eastAsia="Arial" w:hAnsi="Arial"/>
                <w:sz w:val="14"/>
                <w:szCs w:val="14"/>
                <w:b w:val="1"/>
                <w:bCs w:val="1"/>
                <w:color w:val="auto"/>
              </w:rPr>
              <w:t>November 20 to</w:t>
            </w:r>
          </w:p>
        </w:tc>
        <w:tc>
          <w:tcPr>
            <w:tcW w:w="0" w:type="dxa"/>
            <w:vAlign w:val="bottom"/>
          </w:tcPr>
          <w:p>
            <w:pPr>
              <w:spacing w:after="0"/>
              <w:rPr>
                <w:sz w:val="1"/>
                <w:szCs w:val="1"/>
                <w:color w:val="auto"/>
              </w:rPr>
            </w:pPr>
          </w:p>
        </w:tc>
      </w:tr>
      <w:tr>
        <w:trPr>
          <w:trHeight w:val="175"/>
        </w:trPr>
        <w:tc>
          <w:tcPr>
            <w:tcW w:w="9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4"/>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0"/>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the Company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499"/>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Loss per share: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98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Results in the above table include $ 0.1 million of expenses related to the $5.5 million of deferred payments noted above. In addition to the amounts reported in the above table, the Company incurred approximately $0.5 million of expenses, principally professional fees, related to the acquisition. The Consolidated Statements of Income reflect operational activity of the acquired business for only the period subsequent to the closing, which has an effect, however insignificant, on the comparability of results.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4" w:name="page105"/>
    <w:bookmarkEnd w:id="104"/>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None.</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2020.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166" w:lineRule="exact"/>
        <w:rPr>
          <w:sz w:val="20"/>
          <w:szCs w:val="20"/>
          <w:color w:val="auto"/>
        </w:rPr>
      </w:pPr>
    </w:p>
    <w:p>
      <w:pPr>
        <w:ind w:right="520" w:firstLine="405"/>
        <w:spacing w:after="0" w:line="261" w:lineRule="auto"/>
        <w:rPr>
          <w:sz w:val="20"/>
          <w:szCs w:val="20"/>
          <w:color w:val="auto"/>
        </w:rPr>
      </w:pPr>
      <w:r>
        <w:rPr>
          <w:rFonts w:ascii="Arial" w:cs="Arial" w:eastAsia="Arial" w:hAnsi="Arial"/>
          <w:sz w:val="18"/>
          <w:szCs w:val="18"/>
          <w:color w:val="auto"/>
        </w:rPr>
        <w:t>Based on and as of the date of this evaluation, the Chief Executive Officer and the Chief Financial Officer have concluded that the Company’s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0"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6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2020 using the criteria set forth by the 2013 Committee of Sponsoring Organizations of the Treadway Commission (COSO) in Internal Control – Integrated Framework.</w:t>
      </w:r>
    </w:p>
    <w:p>
      <w:pPr>
        <w:spacing w:after="0" w:line="17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Based on management’s assessment, we have concluded that our internal control over financial reporting was effective at December 31, 2020. Our independent registered accounting firm has issued a report on the effectiveness of our internal control over financial reporting which is included under Item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right="620" w:firstLine="405"/>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our fourth fiscal quarter of 2020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3420" w:type="dxa"/>
            <w:vAlign w:val="bottom"/>
            <w:gridSpan w:val="3"/>
          </w:tcPr>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904"/>
        </w:trPr>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99"/>
              </w:rPr>
              <w:t>/s/ A. William Higgins</w:t>
            </w:r>
          </w:p>
        </w:tc>
        <w:tc>
          <w:tcPr>
            <w:tcW w:w="170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 Stephen M. Nolan</w:t>
            </w:r>
          </w:p>
        </w:tc>
        <w:tc>
          <w:tcPr>
            <w:tcW w:w="2320" w:type="dxa"/>
            <w:vAlign w:val="bottom"/>
            <w:gridSpan w:val="2"/>
          </w:tcPr>
          <w:p>
            <w:pPr>
              <w:spacing w:after="0"/>
              <w:rPr>
                <w:sz w:val="20"/>
                <w:szCs w:val="20"/>
                <w:color w:val="auto"/>
              </w:rPr>
            </w:pPr>
            <w:r>
              <w:rPr>
                <w:rFonts w:ascii="Arial" w:cs="Arial" w:eastAsia="Arial" w:hAnsi="Arial"/>
                <w:sz w:val="18"/>
                <w:szCs w:val="18"/>
                <w:color w:val="auto"/>
              </w:rPr>
              <w:t>/s/ David M. Pawlick</w:t>
            </w:r>
          </w:p>
        </w:tc>
      </w:tr>
      <w:tr>
        <w:trPr>
          <w:trHeight w:val="264"/>
        </w:trPr>
        <w:tc>
          <w:tcPr>
            <w:tcW w:w="20" w:type="dxa"/>
            <w:vAlign w:val="bottom"/>
          </w:tcPr>
          <w:p>
            <w:pPr>
              <w:spacing w:after="0"/>
              <w:rPr>
                <w:sz w:val="22"/>
                <w:szCs w:val="22"/>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William Higgins</w:t>
            </w:r>
          </w:p>
        </w:tc>
        <w:tc>
          <w:tcPr>
            <w:tcW w:w="1700" w:type="dxa"/>
            <w:vAlign w:val="bottom"/>
          </w:tcPr>
          <w:p>
            <w:pPr>
              <w:spacing w:after="0"/>
              <w:rPr>
                <w:sz w:val="22"/>
                <w:szCs w:val="22"/>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M. Nolan</w:t>
            </w:r>
          </w:p>
        </w:tc>
        <w:tc>
          <w:tcPr>
            <w:tcW w:w="2240" w:type="dxa"/>
            <w:vAlign w:val="bottom"/>
          </w:tcPr>
          <w:p>
            <w:pPr>
              <w:spacing w:after="0"/>
              <w:rPr>
                <w:sz w:val="22"/>
                <w:szCs w:val="22"/>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M. Pawlick</w:t>
            </w:r>
          </w:p>
        </w:tc>
        <w:tc>
          <w:tcPr>
            <w:tcW w:w="700" w:type="dxa"/>
            <w:vAlign w:val="bottom"/>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9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320" w:type="dxa"/>
            <w:vAlign w:val="bottom"/>
            <w:gridSpan w:val="2"/>
          </w:tcPr>
          <w:p>
            <w:pPr>
              <w:spacing w:after="0"/>
              <w:rPr>
                <w:sz w:val="20"/>
                <w:szCs w:val="20"/>
                <w:color w:val="auto"/>
              </w:rPr>
            </w:pPr>
            <w:r>
              <w:rPr>
                <w:rFonts w:ascii="Arial" w:cs="Arial" w:eastAsia="Arial" w:hAnsi="Arial"/>
                <w:sz w:val="18"/>
                <w:szCs w:val="18"/>
                <w:color w:val="auto"/>
              </w:rPr>
              <w:t>Vice President and</w:t>
            </w:r>
          </w:p>
        </w:tc>
      </w:tr>
      <w:tr>
        <w:trPr>
          <w:trHeight w:val="217"/>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and Director</w:t>
            </w:r>
          </w:p>
        </w:tc>
        <w:tc>
          <w:tcPr>
            <w:tcW w:w="3920" w:type="dxa"/>
            <w:vAlign w:val="bottom"/>
            <w:gridSpan w:val="2"/>
          </w:tcPr>
          <w:p>
            <w:pPr>
              <w:spacing w:after="0"/>
              <w:rPr>
                <w:sz w:val="20"/>
                <w:szCs w:val="20"/>
                <w:color w:val="auto"/>
              </w:rPr>
            </w:pPr>
            <w:r>
              <w:rPr>
                <w:rFonts w:ascii="Arial" w:cs="Arial" w:eastAsia="Arial" w:hAnsi="Arial"/>
                <w:sz w:val="18"/>
                <w:szCs w:val="18"/>
                <w:color w:val="auto"/>
              </w:rPr>
              <w:t>and Treasurer</w:t>
            </w:r>
          </w:p>
        </w:tc>
        <w:tc>
          <w:tcPr>
            <w:tcW w:w="232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270"/>
        </w:trPr>
        <w:tc>
          <w:tcPr>
            <w:tcW w:w="20" w:type="dxa"/>
            <w:vAlign w:val="bottom"/>
          </w:tcPr>
          <w:p>
            <w:pPr>
              <w:spacing w:after="0"/>
              <w:rPr>
                <w:sz w:val="23"/>
                <w:szCs w:val="23"/>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9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320" w:type="dxa"/>
            <w:vAlign w:val="bottom"/>
            <w:gridSpan w:val="2"/>
          </w:tcPr>
          <w:p>
            <w:pPr>
              <w:spacing w:after="0"/>
              <w:rPr>
                <w:sz w:val="20"/>
                <w:szCs w:val="20"/>
                <w:color w:val="auto"/>
              </w:rPr>
            </w:pPr>
            <w:r>
              <w:rPr>
                <w:rFonts w:ascii="Arial" w:cs="Arial" w:eastAsia="Arial" w:hAnsi="Arial"/>
                <w:sz w:val="18"/>
                <w:szCs w:val="18"/>
                <w:color w:val="auto"/>
                <w:w w:val="98"/>
              </w:rPr>
              <w:t>(Principal Accounting Officer)</w:t>
            </w:r>
          </w:p>
        </w:tc>
      </w:tr>
      <w:tr>
        <w:trPr>
          <w:trHeight w:val="41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Item 9B.  OTHER INFORMATION</w:t>
            </w:r>
          </w:p>
        </w:tc>
        <w:tc>
          <w:tcPr>
            <w:tcW w:w="1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400" w:type="dxa"/>
            <w:vAlign w:val="bottom"/>
            <w:gridSpan w:val="2"/>
          </w:tcPr>
          <w:p>
            <w:pPr>
              <w:ind w:left="400"/>
              <w:spacing w:after="0"/>
              <w:rPr>
                <w:sz w:val="20"/>
                <w:szCs w:val="20"/>
                <w:color w:val="auto"/>
              </w:rPr>
            </w:pPr>
            <w:r>
              <w:rPr>
                <w:rFonts w:ascii="Arial" w:cs="Arial" w:eastAsia="Arial" w:hAnsi="Arial"/>
                <w:sz w:val="18"/>
                <w:szCs w:val="18"/>
                <w:color w:val="auto"/>
              </w:rPr>
              <w:t>None.</w:t>
            </w:r>
          </w:p>
        </w:tc>
        <w:tc>
          <w:tcPr>
            <w:tcW w:w="1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The information required by Items 10, 11, 12, 13, and 14 is set forth under the headings below and when applicable is incorporated herein by reference to the Company’s 2021 Proxy Statement (“Proxy Statement”) to be filed with the SEC within 120 days after December 31, 2020 in connection with the solicitation of proxies for the Company’s 2021 annual meeting of shareholders.</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0" w:lineRule="exact"/>
        <w:rPr>
          <w:sz w:val="20"/>
          <w:szCs w:val="20"/>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The information set out in the section captioned “Election of Directors”, will be filed within the Proxy Statement.</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Information about the officers of the Company is set forth in Item 1 above.</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Same as Executive Officers.</w:t>
      </w:r>
    </w:p>
    <w:p>
      <w:pPr>
        <w:spacing w:after="0" w:line="9" w:lineRule="exact"/>
        <w:rPr>
          <w:rFonts w:ascii="Arial" w:cs="Arial" w:eastAsia="Arial" w:hAnsi="Arial"/>
          <w:sz w:val="18"/>
          <w:szCs w:val="18"/>
          <w:color w:val="auto"/>
        </w:rPr>
      </w:pPr>
    </w:p>
    <w:p>
      <w:pPr>
        <w:ind w:left="1620" w:right="520" w:hanging="640"/>
        <w:spacing w:after="0" w:line="250" w:lineRule="auto"/>
        <w:tabs>
          <w:tab w:leader="none" w:pos="16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w:t>
      </w:r>
      <w:r>
        <w:rPr>
          <w:rFonts w:ascii="Arial" w:cs="Arial" w:eastAsia="Arial" w:hAnsi="Arial"/>
          <w:sz w:val="18"/>
          <w:szCs w:val="18"/>
          <w:color w:val="auto"/>
        </w:rPr>
        <w:t>, person nominated or chosen to become a director or executive officer. The information set out in the section captioned “Certain Business Relationships and Related Person Transactions”, will be filed within in the Proxy Statement.</w:t>
      </w:r>
    </w:p>
    <w:p>
      <w:pPr>
        <w:spacing w:after="0" w:line="1" w:lineRule="exact"/>
        <w:rPr>
          <w:rFonts w:ascii="Arial" w:cs="Arial" w:eastAsia="Arial" w:hAnsi="Arial"/>
          <w:sz w:val="18"/>
          <w:szCs w:val="18"/>
          <w:color w:val="auto"/>
        </w:rPr>
      </w:pPr>
    </w:p>
    <w:p>
      <w:pPr>
        <w:ind w:left="1620" w:right="160" w:hanging="640"/>
        <w:spacing w:after="0" w:line="265" w:lineRule="auto"/>
        <w:tabs>
          <w:tab w:leader="none" w:pos="161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officers of the Company is set forth in Item 1 above and the information set out in the section captioned “Election of Directors” in the Proxy Statement.</w:t>
      </w: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u w:val="single" w:color="auto"/>
          <w:color w:val="auto"/>
        </w:rPr>
        <w:t>officer</w:t>
      </w:r>
      <w:r>
        <w:rPr>
          <w:rFonts w:ascii="Arial" w:cs="Arial" w:eastAsia="Arial" w:hAnsi="Arial"/>
          <w:sz w:val="18"/>
          <w:szCs w:val="18"/>
          <w:color w:val="auto"/>
        </w:rPr>
        <w:t>. The information set out in the section captioned “Election of Directors”, will be filed within the Proxy Statement.</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None.</w:t>
      </w:r>
    </w:p>
    <w:p>
      <w:pPr>
        <w:spacing w:after="0" w:line="9" w:lineRule="exact"/>
        <w:rPr>
          <w:rFonts w:ascii="Arial" w:cs="Arial" w:eastAsia="Arial" w:hAnsi="Arial"/>
          <w:sz w:val="18"/>
          <w:szCs w:val="18"/>
          <w:color w:val="auto"/>
        </w:rPr>
      </w:pPr>
    </w:p>
    <w:p>
      <w:pPr>
        <w:ind w:left="1620" w:right="80" w:hanging="640"/>
        <w:spacing w:after="0" w:line="250" w:lineRule="auto"/>
        <w:tabs>
          <w:tab w:leader="none" w:pos="16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xml:space="preserve"> The information set out in the section captioned “Corporate Governance”, will be filed within the Proxy Statement.</w:t>
      </w:r>
    </w:p>
    <w:p>
      <w:pPr>
        <w:ind w:left="1620" w:right="60" w:hanging="640"/>
        <w:spacing w:after="0" w:line="252" w:lineRule="auto"/>
        <w:tabs>
          <w:tab w:leader="none" w:pos="161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The Company has adopted a Code of Ethics that applies to all of its employees, directors, and officers, including the Chief Executive Officer, Chief Financial Officer and Vice President- Controller.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0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information required by this item is set forth in the sections of the Company’s 2021 Proxy Statement captioned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80" w:right="620" w:hanging="971"/>
        <w:spacing w:after="0" w:line="287" w:lineRule="auto"/>
        <w:tabs>
          <w:tab w:leader="none" w:pos="8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34"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information required by this item is set forth in the section captioned “Share Ownership” in the Company’s 2021 Proxy Statement is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 securities to be issued</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available</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upon</w:t>
            </w: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 exercise price</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 under equity</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 of outstanding options,</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 (excluding</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warrants,</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outstanding options, warrants,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96"/>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360" w:type="dxa"/>
            <w:vAlign w:val="bottom"/>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reflected in column (a))</w:t>
            </w: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bl>
    <w:p>
      <w:pPr>
        <w:spacing w:after="0" w:line="38" w:lineRule="exact"/>
        <w:rPr>
          <w:sz w:val="20"/>
          <w:szCs w:val="20"/>
          <w:color w:val="auto"/>
        </w:rPr>
      </w:pPr>
    </w:p>
    <w:p>
      <w:pPr>
        <w:sectPr>
          <w:pgSz w:w="11900" w:h="16838" w:orient="portrait"/>
          <w:cols w:equalWidth="0" w:num="1">
            <w:col w:w="11240"/>
          </w:cols>
          <w:pgMar w:left="320" w:top="301" w:right="339" w:bottom="1440" w:gutter="0" w:footer="0" w:header="0"/>
        </w:sectPr>
      </w:pPr>
    </w:p>
    <w:tbl>
      <w:tblPr>
        <w:tblLayout w:type="fixed"/>
        <w:tblInd w:w="2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8,267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99"/>
              </w:rPr>
              <w:t>(1)</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1,102,542</w:t>
            </w:r>
          </w:p>
        </w:tc>
      </w:tr>
      <w:tr>
        <w:trPr>
          <w:trHeight w:val="242"/>
        </w:trPr>
        <w:tc>
          <w:tcPr>
            <w:tcW w:w="276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2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6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99"/>
              </w:rPr>
              <w:t>(1)</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1,102,542</w:t>
            </w:r>
          </w:p>
        </w:tc>
      </w:tr>
      <w:tr>
        <w:trPr>
          <w:trHeight w:val="21"/>
        </w:trPr>
        <w:tc>
          <w:tcPr>
            <w:tcW w:w="27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(2),(3),(4),(5)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(2),(3),(4),(5)</w:t>
      </w:r>
    </w:p>
    <w:p>
      <w:pPr>
        <w:spacing w:after="0" w:line="612" w:lineRule="exact"/>
        <w:rPr>
          <w:sz w:val="20"/>
          <w:szCs w:val="20"/>
          <w:color w:val="auto"/>
        </w:rPr>
      </w:pPr>
    </w:p>
    <w:p>
      <w:pPr>
        <w:sectPr>
          <w:pgSz w:w="11900" w:h="16838" w:orient="portrait"/>
          <w:cols w:equalWidth="0" w:num="2">
            <w:col w:w="10280" w:space="20"/>
            <w:col w:w="940"/>
          </w:cols>
          <w:pgMar w:left="320" w:top="301" w:right="339" w:bottom="1440" w:gutter="0" w:footer="0" w:header="0"/>
          <w:type w:val="continuous"/>
        </w:sectPr>
      </w:pPr>
    </w:p>
    <w:p>
      <w:pPr>
        <w:ind w:left="660" w:right="660" w:hanging="652"/>
        <w:spacing w:after="0" w:line="250"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include 31,718, 17,706, and 48,117 shares that may be issued pursuant to 2018, 2019 and 2020, respectively, performance incentive awards granted to certain executive officers pursuant to the 2017 Incentive Plan. Such awards are not “exercisable,” but will be paid out to the recipients in accordance with their terms, subject to certain conditions.</w:t>
      </w:r>
    </w:p>
    <w:p>
      <w:pPr>
        <w:spacing w:after="0" w:line="1" w:lineRule="exact"/>
        <w:rPr>
          <w:rFonts w:ascii="Arial" w:cs="Arial" w:eastAsia="Arial" w:hAnsi="Arial"/>
          <w:sz w:val="18"/>
          <w:szCs w:val="18"/>
          <w:color w:val="auto"/>
        </w:rPr>
      </w:pPr>
    </w:p>
    <w:p>
      <w:pPr>
        <w:ind w:left="660" w:right="80" w:hanging="652"/>
        <w:spacing w:after="0" w:line="250"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number of shares that may be issued pursuant to future awards under the 2011 Incentive Plan and 2017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102,542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Assuming full exercise by the Board of its power to increase annually the number of shares available under the 2011 Incentive Plan, the maximum number of additional shares that could yet be issued pursuant to the Plan awards (including those set forth in column (c) above) would be 1,615,472. No new shares have been awarded under this plan during 2018 or 2019.</w:t>
      </w:r>
    </w:p>
    <w:p>
      <w:pPr>
        <w:spacing w:after="0" w:line="4" w:lineRule="exact"/>
        <w:rPr>
          <w:rFonts w:ascii="Arial" w:cs="Arial" w:eastAsia="Arial" w:hAnsi="Arial"/>
          <w:sz w:val="18"/>
          <w:szCs w:val="18"/>
          <w:color w:val="auto"/>
        </w:rPr>
      </w:pPr>
    </w:p>
    <w:p>
      <w:pPr>
        <w:ind w:left="660" w:right="100" w:hanging="652"/>
        <w:spacing w:after="0" w:line="250"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1,000,000 shares available for future issuance under the 2017 Incentive Plan. Shares of Common Stock covered by awards granted under the 2017 Incentive Plan are only counted as used to the extent they are actually issued and delivered, including shares withheld to satisfy tax requirement. Accordingly, if an award is settled for cash, or if shares are withheld to pay any exercise price,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The Plan awards (including those set forth in column (c) above) would be 1,000,000.</w:t>
      </w:r>
    </w:p>
    <w:p>
      <w:pPr>
        <w:spacing w:after="0" w:line="2" w:lineRule="exact"/>
        <w:rPr>
          <w:rFonts w:ascii="Arial" w:cs="Arial" w:eastAsia="Arial" w:hAnsi="Arial"/>
          <w:sz w:val="18"/>
          <w:szCs w:val="18"/>
          <w:color w:val="auto"/>
        </w:rPr>
      </w:pPr>
    </w:p>
    <w:p>
      <w:pPr>
        <w:ind w:left="660" w:right="640" w:hanging="652"/>
        <w:spacing w:after="0" w:line="261"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Directors’ Annual Retainer Plan provides that the aggregate dollar amount of the annual retainer payable for service as a member of the Company’s Board of Directors is $175,000, $105,000 of which is required to</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08" w:name="page109"/>
    <w:bookmarkEnd w:id="10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be paid in shares of Class A Common Stock, the total number of shares to be paid to each Director each year shall be determined by the closing price of a share of such stock on the day of the Annual Meeting at which the election of directors for such year occurs ("the Valuation Price"), as such Valuation Price is reported for such day in the Wall Street Journal, rounded down to the nearest whole number. Directors are expected to hold shares with a value of $525,000 or three times the value of the annual retainer. Directors may elect to receive, in stock, all of the retainer payable in shares of Common Stock. A director and related persons, who owns shares of Common Stock with a value of at least $525,000 may elect to receive, in cash, all or any portion of the retainer otherwise payable in shares of Common Stock.</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RELATED TRANSACTIONS AND DIRECTOR INDEPENDENCE</w:t>
      </w:r>
    </w:p>
    <w:p>
      <w:pPr>
        <w:spacing w:after="0" w:line="207"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The information required by this item is set forth in the section captioned “Election of Directors” in the Company’s 2021 Proxy Statement is incorporated herein by reference.</w:t>
      </w:r>
    </w:p>
    <w:p>
      <w:pPr>
        <w:spacing w:after="0" w:line="1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0" w:lineRule="exact"/>
        <w:rPr>
          <w:sz w:val="20"/>
          <w:szCs w:val="20"/>
          <w:color w:val="auto"/>
        </w:rPr>
      </w:pPr>
    </w:p>
    <w:p>
      <w:pPr>
        <w:ind w:right="800" w:firstLine="405"/>
        <w:spacing w:after="0" w:line="261" w:lineRule="auto"/>
        <w:rPr>
          <w:sz w:val="20"/>
          <w:szCs w:val="20"/>
          <w:color w:val="auto"/>
        </w:rPr>
      </w:pPr>
      <w:r>
        <w:rPr>
          <w:rFonts w:ascii="Arial" w:cs="Arial" w:eastAsia="Arial" w:hAnsi="Arial"/>
          <w:sz w:val="18"/>
          <w:szCs w:val="18"/>
          <w:color w:val="auto"/>
        </w:rPr>
        <w:t>The information required by this item is set forth in the section captioned “Independent Auditors” in the Company’s 2021 Proxy Statement is incorporated herein by reference.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9" w:name="page110"/>
    <w:bookmarkEnd w:id="10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Number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180" w:type="dxa"/>
            <w:vAlign w:val="bottom"/>
            <w:tcBorders>
              <w:bottom w:val="single" w:sz="8" w:color="auto"/>
            </w:tcBorders>
            <w:gridSpan w:val="18"/>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37"/>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 (a)</w:t>
            </w:r>
          </w:p>
        </w:tc>
        <w:tc>
          <w:tcPr>
            <w:tcW w:w="5180" w:type="dxa"/>
            <w:vAlign w:val="bottom"/>
            <w:gridSpan w:val="18"/>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Amended and Restated Certificate of Incorporation of Company</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 (b)</w:t>
            </w:r>
          </w:p>
        </w:tc>
        <w:tc>
          <w:tcPr>
            <w:tcW w:w="5180" w:type="dxa"/>
            <w:vAlign w:val="bottom"/>
            <w:gridSpan w:val="18"/>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Bylaws of Company</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 (a)</w:t>
            </w:r>
          </w:p>
        </w:tc>
        <w:tc>
          <w:tcPr>
            <w:tcW w:w="5180" w:type="dxa"/>
            <w:vAlign w:val="bottom"/>
            <w:gridSpan w:val="18"/>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Article IV of Certificate of Incorporation of Company</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 (b)</w:t>
            </w:r>
          </w:p>
        </w:tc>
        <w:tc>
          <w:tcPr>
            <w:tcW w:w="5180" w:type="dxa"/>
            <w:vAlign w:val="bottom"/>
            <w:gridSpan w:val="18"/>
          </w:tcPr>
          <w:p>
            <w:pPr>
              <w:spacing w:after="0"/>
              <w:rPr>
                <w:sz w:val="20"/>
                <w:szCs w:val="20"/>
                <w:color w:val="auto"/>
              </w:rPr>
            </w:pPr>
            <w:r>
              <w:rPr>
                <w:rFonts w:ascii="Arial" w:cs="Arial" w:eastAsia="Arial" w:hAnsi="Arial"/>
                <w:sz w:val="18"/>
                <w:szCs w:val="18"/>
                <w:color w:val="auto"/>
              </w:rPr>
              <w:t>Specimen Stock Certificate for Class A Common Stock</w:t>
            </w:r>
          </w:p>
        </w:tc>
        <w:tc>
          <w:tcPr>
            <w:tcW w:w="0" w:type="dxa"/>
            <w:vAlign w:val="bottom"/>
          </w:tcPr>
          <w:p>
            <w:pPr>
              <w:spacing w:after="0"/>
              <w:rPr>
                <w:sz w:val="1"/>
                <w:szCs w:val="1"/>
                <w:color w:val="auto"/>
              </w:rPr>
            </w:pPr>
          </w:p>
        </w:tc>
      </w:tr>
      <w:tr>
        <w:trPr>
          <w:trHeight w:val="486"/>
        </w:trPr>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Credit Agreement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10(k)(xx)</w:t>
            </w:r>
          </w:p>
        </w:tc>
        <w:tc>
          <w:tcPr>
            <w:tcW w:w="5180" w:type="dxa"/>
            <w:vAlign w:val="bottom"/>
            <w:gridSpan w:val="18"/>
          </w:tcPr>
          <w:p>
            <w:pPr>
              <w:spacing w:after="0"/>
              <w:rPr>
                <w:rFonts w:ascii="Arial" w:cs="Arial" w:eastAsia="Arial" w:hAnsi="Arial"/>
                <w:sz w:val="18"/>
                <w:szCs w:val="18"/>
                <w:color w:val="0000FF"/>
              </w:rPr>
            </w:pPr>
            <w:hyperlink r:id="rId142">
              <w:r>
                <w:rPr>
                  <w:rFonts w:ascii="Arial" w:cs="Arial" w:eastAsia="Arial" w:hAnsi="Arial"/>
                  <w:sz w:val="18"/>
                  <w:szCs w:val="18"/>
                  <w:u w:val="single" w:color="auto"/>
                  <w:color w:val="0000FF"/>
                </w:rPr>
                <w:t>$</w:t>
              </w:r>
              <w:r>
                <w:rPr>
                  <w:rFonts w:ascii="Arial" w:cs="Arial" w:eastAsia="Arial" w:hAnsi="Arial"/>
                  <w:sz w:val="18"/>
                  <w:szCs w:val="18"/>
                  <w:color w:val="0000FF"/>
                </w:rPr>
                <w:t>700 Million Five-Year Revolving Credit Facility Agreement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8"/>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among Albany International Corp., the other Borrowers named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bottom w:val="single" w:sz="8" w:color="0000FF"/>
            </w:tcBorders>
            <w:gridSpan w:val="16"/>
          </w:tcPr>
          <w:p>
            <w:pPr>
              <w:spacing w:after="0" w:line="196" w:lineRule="exact"/>
              <w:rPr>
                <w:rFonts w:ascii="Arial" w:cs="Arial" w:eastAsia="Arial" w:hAnsi="Arial"/>
                <w:sz w:val="18"/>
                <w:szCs w:val="18"/>
                <w:color w:val="0000FF"/>
                <w:w w:val="99"/>
              </w:rPr>
            </w:pPr>
            <w:hyperlink r:id="rId142">
              <w:r>
                <w:rPr>
                  <w:rFonts w:ascii="Arial" w:cs="Arial" w:eastAsia="Arial" w:hAnsi="Arial"/>
                  <w:sz w:val="18"/>
                  <w:szCs w:val="18"/>
                  <w:color w:val="0000FF"/>
                  <w:w w:val="99"/>
                </w:rPr>
                <w:t>therein, the Lenders Party thereto, JPMorgan Chase Bank, N.A.,</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18"/>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as Administrative Agent, dated as of October 27, 2020</w:t>
              </w:r>
            </w:hyperlink>
          </w:p>
        </w:tc>
        <w:tc>
          <w:tcPr>
            <w:tcW w:w="0" w:type="dxa"/>
            <w:vAlign w:val="bottom"/>
          </w:tcPr>
          <w:p>
            <w:pPr>
              <w:spacing w:after="0"/>
              <w:rPr>
                <w:sz w:val="1"/>
                <w:szCs w:val="1"/>
                <w:color w:val="auto"/>
              </w:rPr>
            </w:pPr>
          </w:p>
        </w:tc>
      </w:tr>
      <w:tr>
        <w:trPr>
          <w:trHeight w:val="270"/>
        </w:trPr>
        <w:tc>
          <w:tcPr>
            <w:tcW w:w="6480" w:type="dxa"/>
            <w:vAlign w:val="bottom"/>
            <w:gridSpan w:val="20"/>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10(l)(viii)</w:t>
            </w:r>
          </w:p>
        </w:tc>
        <w:tc>
          <w:tcPr>
            <w:tcW w:w="400" w:type="dxa"/>
            <w:vAlign w:val="bottom"/>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2011</w:t>
              </w:r>
            </w:hyperlink>
          </w:p>
        </w:tc>
        <w:tc>
          <w:tcPr>
            <w:tcW w:w="4780" w:type="dxa"/>
            <w:vAlign w:val="bottom"/>
            <w:gridSpan w:val="17"/>
          </w:tcPr>
          <w:p>
            <w:pPr>
              <w:ind w:left="60"/>
              <w:spacing w:after="0"/>
              <w:rPr>
                <w:rFonts w:ascii="Arial" w:cs="Arial" w:eastAsia="Arial" w:hAnsi="Arial"/>
                <w:sz w:val="18"/>
                <w:szCs w:val="18"/>
                <w:color w:val="0000FF"/>
              </w:rPr>
            </w:pPr>
            <w:hyperlink r:id="rId143">
              <w:r>
                <w:rPr>
                  <w:rFonts w:ascii="Arial" w:cs="Arial" w:eastAsia="Arial" w:hAnsi="Arial"/>
                  <w:sz w:val="18"/>
                  <w:szCs w:val="18"/>
                  <w:color w:val="0000FF"/>
                </w:rPr>
                <w:t>Performance Phantom Stock Plan as adopted on May 26,</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2011</w:t>
              </w:r>
            </w:hyperlink>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10(l)(vi)</w:t>
            </w:r>
          </w:p>
        </w:tc>
        <w:tc>
          <w:tcPr>
            <w:tcW w:w="400" w:type="dxa"/>
            <w:vAlign w:val="bottom"/>
          </w:tcPr>
          <w:p>
            <w:pPr>
              <w:spacing w:after="0"/>
              <w:rPr>
                <w:rFonts w:ascii="Arial" w:cs="Arial" w:eastAsia="Arial" w:hAnsi="Arial"/>
                <w:sz w:val="18"/>
                <w:szCs w:val="18"/>
                <w:u w:val="single" w:color="auto"/>
                <w:color w:val="0000FF"/>
                <w:w w:val="94"/>
              </w:rPr>
            </w:pPr>
            <w:hyperlink r:id="rId144">
              <w:r>
                <w:rPr>
                  <w:rFonts w:ascii="Arial" w:cs="Arial" w:eastAsia="Arial" w:hAnsi="Arial"/>
                  <w:sz w:val="18"/>
                  <w:szCs w:val="18"/>
                  <w:u w:val="single" w:color="auto"/>
                  <w:color w:val="0000FF"/>
                  <w:w w:val="94"/>
                </w:rPr>
                <w:t>2003</w:t>
              </w:r>
            </w:hyperlink>
          </w:p>
        </w:tc>
        <w:tc>
          <w:tcPr>
            <w:tcW w:w="4780" w:type="dxa"/>
            <w:vAlign w:val="bottom"/>
            <w:gridSpan w:val="17"/>
          </w:tcPr>
          <w:p>
            <w:pPr>
              <w:ind w:left="6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Restricted Stock Unit Plan, as amended May 7, 2008</w:t>
              </w:r>
            </w:hyperlink>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10(l)(xi)</w:t>
            </w:r>
          </w:p>
        </w:tc>
        <w:tc>
          <w:tcPr>
            <w:tcW w:w="5180" w:type="dxa"/>
            <w:vAlign w:val="bottom"/>
            <w:gridSpan w:val="18"/>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Restricted Stock Unit Award for units granted on August</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6"/>
              </w:rPr>
            </w:pPr>
            <w:hyperlink r:id="rId145">
              <w:r>
                <w:rPr>
                  <w:rFonts w:ascii="Arial" w:cs="Arial" w:eastAsia="Arial" w:hAnsi="Arial"/>
                  <w:sz w:val="18"/>
                  <w:szCs w:val="18"/>
                  <w:color w:val="0000FF"/>
                  <w:w w:val="96"/>
                </w:rPr>
                <w:t>28, 2018</w:t>
              </w:r>
            </w:hyperlink>
          </w:p>
        </w:tc>
        <w:tc>
          <w:tcPr>
            <w:tcW w:w="7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10(l)(xii)</w:t>
            </w:r>
          </w:p>
        </w:tc>
        <w:tc>
          <w:tcPr>
            <w:tcW w:w="5180" w:type="dxa"/>
            <w:vAlign w:val="bottom"/>
            <w:gridSpan w:val="18"/>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Form of Restricted Stock Unit Award for units granted on April 1,</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r:id="rId146">
              <w:r>
                <w:rPr>
                  <w:rFonts w:ascii="Arial" w:cs="Arial" w:eastAsia="Arial" w:hAnsi="Arial"/>
                  <w:sz w:val="18"/>
                  <w:szCs w:val="18"/>
                  <w:color w:val="0000FF"/>
                  <w:w w:val="94"/>
                </w:rPr>
                <w:t>2019</w:t>
              </w:r>
            </w:hyperlink>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10(l)(xiii)</w:t>
            </w:r>
          </w:p>
        </w:tc>
        <w:tc>
          <w:tcPr>
            <w:tcW w:w="4520" w:type="dxa"/>
            <w:vAlign w:val="bottom"/>
            <w:tcBorders>
              <w:bottom w:val="single" w:sz="8" w:color="0000FF"/>
            </w:tcBorders>
            <w:gridSpan w:val="8"/>
          </w:tcPr>
          <w:p>
            <w:pPr>
              <w:spacing w:after="0"/>
              <w:rPr>
                <w:rFonts w:ascii="Arial" w:cs="Arial" w:eastAsia="Arial" w:hAnsi="Arial"/>
                <w:sz w:val="18"/>
                <w:szCs w:val="18"/>
                <w:color w:val="0000FF"/>
                <w:w w:val="99"/>
              </w:rPr>
            </w:pPr>
            <w:hyperlink r:id="rId147">
              <w:r>
                <w:rPr>
                  <w:rFonts w:ascii="Arial" w:cs="Arial" w:eastAsia="Arial" w:hAnsi="Arial"/>
                  <w:sz w:val="18"/>
                  <w:szCs w:val="18"/>
                  <w:color w:val="0000FF"/>
                  <w:w w:val="99"/>
                </w:rPr>
                <w:t>Form of Restricted Stock Unit Award for units granted on</w:t>
              </w:r>
            </w:hyperlink>
          </w:p>
        </w:tc>
        <w:tc>
          <w:tcPr>
            <w:tcW w:w="66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8"/>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November 4, 2019</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10(l)(xiv)</w:t>
            </w:r>
          </w:p>
        </w:tc>
        <w:tc>
          <w:tcPr>
            <w:tcW w:w="5180" w:type="dxa"/>
            <w:vAlign w:val="bottom"/>
            <w:gridSpan w:val="18"/>
          </w:tcPr>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2011 Performance Stock Bonus agreement</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 Options</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10(m)(i)</w:t>
            </w:r>
          </w:p>
        </w:tc>
        <w:tc>
          <w:tcPr>
            <w:tcW w:w="400" w:type="dxa"/>
            <w:vAlign w:val="bottom"/>
          </w:tcPr>
          <w:p>
            <w:pPr>
              <w:spacing w:after="0"/>
              <w:rPr>
                <w:sz w:val="20"/>
                <w:szCs w:val="20"/>
                <w:color w:val="auto"/>
              </w:rPr>
            </w:pPr>
            <w:r>
              <w:rPr>
                <w:rFonts w:ascii="Arial" w:cs="Arial" w:eastAsia="Arial" w:hAnsi="Arial"/>
                <w:sz w:val="18"/>
                <w:szCs w:val="18"/>
                <w:color w:val="auto"/>
                <w:w w:val="94"/>
              </w:rPr>
              <w:t>1992</w:t>
            </w:r>
          </w:p>
        </w:tc>
        <w:tc>
          <w:tcPr>
            <w:tcW w:w="4780" w:type="dxa"/>
            <w:vAlign w:val="bottom"/>
            <w:gridSpan w:val="17"/>
          </w:tcPr>
          <w:p>
            <w:pPr>
              <w:ind w:left="60"/>
              <w:spacing w:after="0"/>
              <w:rPr>
                <w:sz w:val="20"/>
                <w:szCs w:val="20"/>
                <w:color w:val="auto"/>
              </w:rPr>
            </w:pPr>
            <w:r>
              <w:rPr>
                <w:rFonts w:ascii="Arial" w:cs="Arial" w:eastAsia="Arial" w:hAnsi="Arial"/>
                <w:sz w:val="18"/>
                <w:szCs w:val="18"/>
                <w:color w:val="auto"/>
              </w:rPr>
              <w:t>Stock Option Plan</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10(m)(vii)</w:t>
            </w:r>
          </w:p>
        </w:tc>
        <w:tc>
          <w:tcPr>
            <w:tcW w:w="400" w:type="dxa"/>
            <w:vAlign w:val="bottom"/>
          </w:tcPr>
          <w:p>
            <w:pPr>
              <w:spacing w:after="0"/>
              <w:rPr>
                <w:rFonts w:ascii="Arial" w:cs="Arial" w:eastAsia="Arial" w:hAnsi="Arial"/>
                <w:sz w:val="18"/>
                <w:szCs w:val="18"/>
                <w:color w:val="0000FF"/>
                <w:w w:val="94"/>
              </w:rPr>
            </w:pPr>
            <w:hyperlink r:id="rId149">
              <w:r>
                <w:rPr>
                  <w:rFonts w:ascii="Arial" w:cs="Arial" w:eastAsia="Arial" w:hAnsi="Arial"/>
                  <w:sz w:val="18"/>
                  <w:szCs w:val="18"/>
                  <w:color w:val="0000FF"/>
                  <w:w w:val="94"/>
                </w:rPr>
                <w:t>1998</w:t>
              </w:r>
            </w:hyperlink>
          </w:p>
        </w:tc>
        <w:tc>
          <w:tcPr>
            <w:tcW w:w="4780" w:type="dxa"/>
            <w:vAlign w:val="bottom"/>
            <w:gridSpan w:val="17"/>
          </w:tcPr>
          <w:p>
            <w:pPr>
              <w:ind w:left="60"/>
              <w:spacing w:after="0"/>
              <w:rPr>
                <w:rFonts w:ascii="Arial" w:cs="Arial" w:eastAsia="Arial" w:hAnsi="Arial"/>
                <w:sz w:val="18"/>
                <w:szCs w:val="18"/>
                <w:color w:val="0000FF"/>
              </w:rPr>
            </w:pPr>
            <w:hyperlink r:id="rId149">
              <w:r>
                <w:rPr>
                  <w:rFonts w:ascii="Arial" w:cs="Arial" w:eastAsia="Arial" w:hAnsi="Arial"/>
                  <w:sz w:val="18"/>
                  <w:szCs w:val="18"/>
                  <w:color w:val="0000FF"/>
                </w:rPr>
                <w:t>Stock Option Plan, as amended and restated as of August</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7, 2003</w:t>
              </w:r>
            </w:hyperlink>
          </w:p>
        </w:tc>
        <w:tc>
          <w:tcPr>
            <w:tcW w:w="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10(m)(ix)</w:t>
            </w:r>
          </w:p>
        </w:tc>
        <w:tc>
          <w:tcPr>
            <w:tcW w:w="400" w:type="dxa"/>
            <w:vAlign w:val="bottom"/>
          </w:tcPr>
          <w:p>
            <w:pPr>
              <w:spacing w:after="0"/>
              <w:rPr>
                <w:rFonts w:ascii="Arial" w:cs="Arial" w:eastAsia="Arial" w:hAnsi="Arial"/>
                <w:sz w:val="18"/>
                <w:szCs w:val="18"/>
                <w:u w:val="single" w:color="auto"/>
                <w:color w:val="0000FF"/>
                <w:w w:val="94"/>
              </w:rPr>
            </w:pPr>
            <w:hyperlink r:id="rId150">
              <w:r>
                <w:rPr>
                  <w:rFonts w:ascii="Arial" w:cs="Arial" w:eastAsia="Arial" w:hAnsi="Arial"/>
                  <w:sz w:val="18"/>
                  <w:szCs w:val="18"/>
                  <w:u w:val="single" w:color="auto"/>
                  <w:color w:val="0000FF"/>
                  <w:w w:val="94"/>
                </w:rPr>
                <w:t>2011</w:t>
              </w:r>
            </w:hyperlink>
          </w:p>
        </w:tc>
        <w:tc>
          <w:tcPr>
            <w:tcW w:w="4780" w:type="dxa"/>
            <w:vAlign w:val="bottom"/>
            <w:gridSpan w:val="17"/>
          </w:tcPr>
          <w:p>
            <w:pPr>
              <w:ind w:left="6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Incentive Plan</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10(m)(xvii)</w:t>
            </w:r>
          </w:p>
        </w:tc>
        <w:tc>
          <w:tcPr>
            <w:tcW w:w="5180" w:type="dxa"/>
            <w:vAlign w:val="bottom"/>
            <w:gridSpan w:val="18"/>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Form of 2011 Annual Performance Bonus Agreement</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10(m)(xviii)</w:t>
            </w:r>
          </w:p>
        </w:tc>
        <w:tc>
          <w:tcPr>
            <w:tcW w:w="5180" w:type="dxa"/>
            <w:vAlign w:val="bottom"/>
            <w:gridSpan w:val="18"/>
          </w:tcPr>
          <w:p>
            <w:pPr>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Form of 2011 Multi-Year Performance Bonus Agreement</w:t>
              </w:r>
            </w:hyperlink>
          </w:p>
        </w:tc>
        <w:tc>
          <w:tcPr>
            <w:tcW w:w="0" w:type="dxa"/>
            <w:vAlign w:val="bottom"/>
          </w:tcPr>
          <w:p>
            <w:pPr>
              <w:spacing w:after="0"/>
              <w:rPr>
                <w:sz w:val="1"/>
                <w:szCs w:val="1"/>
                <w:color w:val="auto"/>
              </w:rPr>
            </w:pPr>
          </w:p>
        </w:tc>
      </w:tr>
      <w:tr>
        <w:trPr>
          <w:trHeight w:val="270"/>
        </w:trPr>
        <w:tc>
          <w:tcPr>
            <w:tcW w:w="6480" w:type="dxa"/>
            <w:vAlign w:val="bottom"/>
            <w:gridSpan w:val="20"/>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0" w:type="dxa"/>
            <w:vAlign w:val="bottom"/>
          </w:tcPr>
          <w:p>
            <w:pPr>
              <w:spacing w:after="0"/>
              <w:rPr>
                <w:sz w:val="1"/>
                <w:szCs w:val="1"/>
                <w:color w:val="auto"/>
              </w:rPr>
            </w:pPr>
          </w:p>
        </w:tc>
      </w:tr>
      <w:tr>
        <w:trPr>
          <w:trHeight w:val="229"/>
        </w:trPr>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10(l)(viii)</w:t>
            </w:r>
          </w:p>
        </w:tc>
        <w:tc>
          <w:tcPr>
            <w:tcW w:w="5180" w:type="dxa"/>
            <w:vAlign w:val="bottom"/>
            <w:gridSpan w:val="18"/>
          </w:tcPr>
          <w:p>
            <w:pPr>
              <w:spacing w:after="0"/>
              <w:rPr>
                <w:rFonts w:ascii="Arial" w:cs="Arial" w:eastAsia="Arial" w:hAnsi="Arial"/>
                <w:sz w:val="18"/>
                <w:szCs w:val="18"/>
                <w:color w:val="0000FF"/>
              </w:rPr>
            </w:pPr>
            <w:hyperlink r:id="rId153">
              <w:r>
                <w:rPr>
                  <w:rFonts w:ascii="Arial" w:cs="Arial" w:eastAsia="Arial" w:hAnsi="Arial"/>
                  <w:sz w:val="18"/>
                  <w:szCs w:val="18"/>
                  <w:color w:val="0000FF"/>
                </w:rPr>
                <w:t>Form of Severance Agreement between the Company and</w:t>
              </w:r>
            </w:hyperlink>
          </w:p>
        </w:tc>
        <w:tc>
          <w:tcPr>
            <w:tcW w:w="0" w:type="dxa"/>
            <w:vAlign w:val="bottom"/>
          </w:tcPr>
          <w:p>
            <w:pPr>
              <w:spacing w:after="0"/>
              <w:rPr>
                <w:sz w:val="1"/>
                <w:szCs w:val="1"/>
                <w:color w:val="auto"/>
              </w:rPr>
            </w:pPr>
          </w:p>
        </w:tc>
      </w:tr>
      <w:tr>
        <w:trPr>
          <w:trHeight w:val="129"/>
        </w:trPr>
        <w:tc>
          <w:tcPr>
            <w:tcW w:w="1300" w:type="dxa"/>
            <w:vAlign w:val="bottom"/>
            <w:gridSpan w:val="2"/>
            <w:vMerge w:val="continue"/>
          </w:tcPr>
          <w:p>
            <w:pPr>
              <w:spacing w:after="0"/>
              <w:rPr>
                <w:sz w:val="11"/>
                <w:szCs w:val="11"/>
                <w:color w:val="auto"/>
              </w:rPr>
            </w:pPr>
          </w:p>
        </w:tc>
        <w:tc>
          <w:tcPr>
            <w:tcW w:w="4680" w:type="dxa"/>
            <w:vAlign w:val="bottom"/>
            <w:tcBorders>
              <w:top w:val="single" w:sz="8" w:color="0000FF"/>
            </w:tcBorders>
            <w:gridSpan w:val="10"/>
            <w:vMerge w:val="restart"/>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certain corporate officers or key executives</w:t>
              </w:r>
            </w:hyperlink>
          </w:p>
        </w:tc>
        <w:tc>
          <w:tcPr>
            <w:tcW w:w="50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80" w:type="dxa"/>
            <w:vAlign w:val="bottom"/>
            <w:gridSpan w:val="10"/>
            <w:vMerge w:val="continue"/>
          </w:tcPr>
          <w:p>
            <w:pPr>
              <w:spacing w:after="0"/>
              <w:rPr>
                <w:sz w:val="5"/>
                <w:szCs w:val="5"/>
                <w:color w:val="auto"/>
              </w:rPr>
            </w:pPr>
          </w:p>
        </w:tc>
        <w:tc>
          <w:tcPr>
            <w:tcW w:w="5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10(n)(i)</w:t>
            </w:r>
          </w:p>
        </w:tc>
        <w:tc>
          <w:tcPr>
            <w:tcW w:w="5160" w:type="dxa"/>
            <w:vAlign w:val="bottom"/>
            <w:tcBorders>
              <w:bottom w:val="single" w:sz="8" w:color="0000FF"/>
            </w:tcBorders>
            <w:gridSpan w:val="17"/>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Supplemental Executive Retirement Plan, adopted as of January</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18"/>
          </w:tcPr>
          <w:p>
            <w:pPr>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1, 1994, as amended and restated as of January 1, 2008</w:t>
              </w:r>
            </w:hyperlink>
          </w:p>
        </w:tc>
        <w:tc>
          <w:tcPr>
            <w:tcW w:w="0" w:type="dxa"/>
            <w:vAlign w:val="bottom"/>
          </w:tcPr>
          <w:p>
            <w:pPr>
              <w:spacing w:after="0"/>
              <w:rPr>
                <w:sz w:val="1"/>
                <w:szCs w:val="1"/>
                <w:color w:val="auto"/>
              </w:rPr>
            </w:pPr>
          </w:p>
        </w:tc>
      </w:tr>
      <w:tr>
        <w:trPr>
          <w:trHeight w:val="27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10(n)(ii)</w:t>
            </w:r>
          </w:p>
        </w:tc>
        <w:tc>
          <w:tcPr>
            <w:tcW w:w="400" w:type="dxa"/>
            <w:vAlign w:val="bottom"/>
          </w:tcPr>
          <w:p>
            <w:pPr>
              <w:spacing w:after="0"/>
              <w:rPr>
                <w:rFonts w:ascii="Arial" w:cs="Arial" w:eastAsia="Arial" w:hAnsi="Arial"/>
                <w:sz w:val="18"/>
                <w:szCs w:val="18"/>
                <w:u w:val="single" w:color="auto"/>
                <w:color w:val="0000FF"/>
                <w:w w:val="94"/>
              </w:rPr>
            </w:pPr>
            <w:hyperlink r:id="rId155">
              <w:r>
                <w:rPr>
                  <w:rFonts w:ascii="Arial" w:cs="Arial" w:eastAsia="Arial" w:hAnsi="Arial"/>
                  <w:sz w:val="18"/>
                  <w:szCs w:val="18"/>
                  <w:u w:val="single" w:color="auto"/>
                  <w:color w:val="0000FF"/>
                  <w:w w:val="94"/>
                </w:rPr>
                <w:t>2017</w:t>
              </w:r>
            </w:hyperlink>
          </w:p>
        </w:tc>
        <w:tc>
          <w:tcPr>
            <w:tcW w:w="4780" w:type="dxa"/>
            <w:vAlign w:val="bottom"/>
            <w:gridSpan w:val="17"/>
          </w:tcPr>
          <w:p>
            <w:pPr>
              <w:ind w:left="6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Incentive Plan</w:t>
              </w:r>
            </w:hyperlink>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10(n)(iii)</w:t>
            </w:r>
          </w:p>
        </w:tc>
        <w:tc>
          <w:tcPr>
            <w:tcW w:w="5180" w:type="dxa"/>
            <w:vAlign w:val="bottom"/>
            <w:gridSpan w:val="18"/>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Form of Incentive Award, dated April 1, 2019, between the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Company and Stephen M. Nolan</w:t>
              </w:r>
            </w:hyperlink>
          </w:p>
        </w:tc>
        <w:tc>
          <w:tcPr>
            <w:tcW w:w="2020" w:type="dxa"/>
            <w:vAlign w:val="bottom"/>
            <w:tcBorders>
              <w:top w:val="single" w:sz="8" w:color="0000FF"/>
            </w:tcBorders>
            <w:gridSpan w:val="4"/>
          </w:tcPr>
          <w:p>
            <w:pPr>
              <w:spacing w:after="0"/>
              <w:rPr>
                <w:sz w:val="17"/>
                <w:szCs w:val="17"/>
                <w:color w:val="auto"/>
              </w:rPr>
            </w:pPr>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10(n)(iv)</w:t>
            </w:r>
          </w:p>
        </w:tc>
        <w:tc>
          <w:tcPr>
            <w:tcW w:w="4860" w:type="dxa"/>
            <w:vAlign w:val="bottom"/>
            <w:tcBorders>
              <w:bottom w:val="single" w:sz="8" w:color="0000FF"/>
            </w:tcBorders>
            <w:gridSpan w:val="11"/>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Form of Sign on Bonus Agreement, dated November 4,2019,</w:t>
              </w:r>
            </w:hyperlink>
          </w:p>
        </w:tc>
        <w:tc>
          <w:tcPr>
            <w:tcW w:w="3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157">
              <w:r>
                <w:rPr>
                  <w:rFonts w:ascii="Arial" w:cs="Arial" w:eastAsia="Arial" w:hAnsi="Arial"/>
                  <w:sz w:val="18"/>
                  <w:szCs w:val="18"/>
                  <w:color w:val="0000FF"/>
                  <w:w w:val="99"/>
                </w:rPr>
                <w:t>between the Company and Greg Harwell</w:t>
              </w:r>
            </w:hyperlink>
          </w:p>
        </w:tc>
        <w:tc>
          <w:tcPr>
            <w:tcW w:w="19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Incorporated by Reference</w:t>
            </w:r>
          </w:p>
        </w:tc>
      </w:tr>
      <w:tr>
        <w:trPr>
          <w:trHeight w:val="162"/>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Filed</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 Ending</w:t>
            </w:r>
          </w:p>
        </w:tc>
        <w:tc>
          <w:tcPr>
            <w:tcW w:w="100" w:type="dxa"/>
            <w:vAlign w:val="bottom"/>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Filing Date</w:t>
            </w:r>
          </w:p>
        </w:tc>
      </w:tr>
      <w:tr>
        <w:trPr>
          <w:trHeight w:val="243"/>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06/02/15</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02/23/11</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06/02/15</w:t>
            </w:r>
          </w:p>
        </w:tc>
      </w:tr>
      <w:tr>
        <w:trPr>
          <w:trHeight w:val="269"/>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S-1, No. 33-</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7"/>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16254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09/30/87</w:t>
            </w:r>
          </w:p>
        </w:tc>
      </w:tr>
      <w:tr>
        <w:trPr>
          <w:trHeight w:val="118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10/29/20</w:t>
            </w:r>
          </w:p>
        </w:tc>
      </w:tr>
      <w:tr>
        <w:trPr>
          <w:trHeight w:val="75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6/30/11</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08/09/11</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05/13/08</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09/04/18</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05/01/19</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02/28/20</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02/28/20</w:t>
            </w:r>
          </w:p>
        </w:tc>
      </w:tr>
      <w:tr>
        <w:trPr>
          <w:trHeight w:val="540"/>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01/18/93</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9/30/03</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11/06/03</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06/01/11</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03/29/11</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03/29/11</w:t>
            </w:r>
          </w:p>
        </w:tc>
      </w:tr>
      <w:tr>
        <w:trPr>
          <w:trHeight w:val="75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01/04/16</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01/02/08</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Def 14A</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03/29/17</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05/01/19</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02/28/20</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ectPr>
          <w:pgSz w:w="11900" w:h="16838" w:orient="portrait"/>
          <w:cols w:equalWidth="0" w:num="2">
            <w:col w:w="6480" w:space="120"/>
            <w:col w:w="4640"/>
          </w:cols>
          <w:pgMar w:left="320" w:top="301" w:right="339" w:bottom="1440" w:gutter="0" w:footer="0" w:header="0"/>
        </w:sectPr>
      </w:pPr>
    </w:p>
    <w:bookmarkStart w:id="110" w:name="page111"/>
    <w:bookmarkEnd w:id="110"/>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Index</w:t>
        </w:r>
      </w:hyperlink>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Number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23"/>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Arial" w:cs="Arial" w:eastAsia="Arial" w:hAnsi="Arial"/>
                <w:sz w:val="18"/>
                <w:szCs w:val="18"/>
                <w:color w:val="auto"/>
              </w:rPr>
              <w:t>10(n)(v)</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FF"/>
            </w:tcBorders>
            <w:gridSpan w:val="18"/>
          </w:tcPr>
          <w:p>
            <w:pPr>
              <w:spacing w:after="0" w:line="196"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Form of Retention Bonus Agreement, dated January 21, 2020,</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between the Company and Stephen M. Nolan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10(o)(iv)</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tcBorders>
              <w:bottom w:val="single" w:sz="8" w:color="0000FF"/>
            </w:tcBorders>
            <w:gridSpan w:val="20"/>
          </w:tcPr>
          <w:p>
            <w:pPr>
              <w:spacing w:after="0"/>
              <w:rPr>
                <w:rFonts w:ascii="Arial" w:cs="Arial" w:eastAsia="Arial" w:hAnsi="Arial"/>
                <w:sz w:val="18"/>
                <w:szCs w:val="18"/>
                <w:color w:val="0000FF"/>
                <w:w w:val="99"/>
              </w:rPr>
            </w:pPr>
            <w:hyperlink r:id="rId160">
              <w:r>
                <w:rPr>
                  <w:rFonts w:ascii="Arial" w:cs="Arial" w:eastAsia="Arial" w:hAnsi="Arial"/>
                  <w:sz w:val="18"/>
                  <w:szCs w:val="18"/>
                  <w:color w:val="0000FF"/>
                  <w:w w:val="99"/>
                </w:rPr>
                <w:t>Directors’ Annual Retainer Plan, as amended and restated as of</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FF"/>
            </w:tcBorders>
            <w:gridSpan w:val="3"/>
          </w:tcPr>
          <w:p>
            <w:pPr>
              <w:spacing w:after="0" w:line="196"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February 23, 2018</w:t>
              </w:r>
            </w:hyperlink>
          </w:p>
        </w:tc>
        <w:tc>
          <w:tcPr>
            <w:tcW w:w="3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10(p)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3"/>
          </w:tcPr>
          <w:p>
            <w:pPr>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Code of Ethics</w:t>
              </w:r>
            </w:hyperlink>
          </w:p>
        </w:tc>
        <w:tc>
          <w:tcPr>
            <w:tcW w:w="0" w:type="dxa"/>
            <w:vAlign w:val="bottom"/>
          </w:tcPr>
          <w:p>
            <w:pPr>
              <w:spacing w:after="0"/>
              <w:rPr>
                <w:sz w:val="1"/>
                <w:szCs w:val="1"/>
                <w:color w:val="auto"/>
              </w:rPr>
            </w:pPr>
          </w:p>
        </w:tc>
      </w:tr>
      <w:tr>
        <w:trPr>
          <w:trHeight w:val="229"/>
        </w:trPr>
        <w:tc>
          <w:tcPr>
            <w:tcW w:w="800" w:type="dxa"/>
            <w:vAlign w:val="bottom"/>
          </w:tcPr>
          <w:p>
            <w:pPr>
              <w:ind w:left="20"/>
              <w:spacing w:after="0"/>
              <w:rPr>
                <w:sz w:val="20"/>
                <w:szCs w:val="20"/>
                <w:color w:val="auto"/>
              </w:rPr>
            </w:pPr>
            <w:r>
              <w:rPr>
                <w:rFonts w:ascii="Arial" w:cs="Arial" w:eastAsia="Arial" w:hAnsi="Arial"/>
                <w:sz w:val="18"/>
                <w:szCs w:val="18"/>
                <w:color w:val="auto"/>
              </w:rPr>
              <w:t>10(q)</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tcBorders>
              <w:bottom w:val="single" w:sz="8" w:color="0000FF"/>
            </w:tcBorders>
            <w:gridSpan w:val="15"/>
          </w:tcPr>
          <w:p>
            <w:pPr>
              <w:spacing w:after="0"/>
              <w:rPr>
                <w:rFonts w:ascii="Arial" w:cs="Arial" w:eastAsia="Arial" w:hAnsi="Arial"/>
                <w:sz w:val="18"/>
                <w:szCs w:val="18"/>
                <w:color w:val="0000FF"/>
                <w:w w:val="99"/>
              </w:rPr>
            </w:pPr>
            <w:hyperlink r:id="rId162">
              <w:r>
                <w:rPr>
                  <w:rFonts w:ascii="Arial" w:cs="Arial" w:eastAsia="Arial" w:hAnsi="Arial"/>
                  <w:sz w:val="18"/>
                  <w:szCs w:val="18"/>
                  <w:color w:val="0000FF"/>
                  <w:w w:val="99"/>
                </w:rPr>
                <w:t>Directors Pension Plan, amendment dated as of January 12,</w:t>
              </w:r>
            </w:hyperlink>
          </w:p>
        </w:tc>
        <w:tc>
          <w:tcPr>
            <w:tcW w:w="3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00" w:type="dxa"/>
            <w:vAlign w:val="bottom"/>
            <w:gridSpan w:val="4"/>
          </w:tcPr>
          <w:p>
            <w:pPr>
              <w:ind w:left="500"/>
              <w:spacing w:after="0" w:line="19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2005</w:t>
              </w:r>
            </w:hyperlink>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10(t)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23"/>
          </w:tcPr>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Form of Indemnification Agreement</w:t>
              </w:r>
            </w:hyperlink>
          </w:p>
        </w:tc>
        <w:tc>
          <w:tcPr>
            <w:tcW w:w="0" w:type="dxa"/>
            <w:vAlign w:val="bottom"/>
          </w:tcPr>
          <w:p>
            <w:pPr>
              <w:spacing w:after="0"/>
              <w:rPr>
                <w:sz w:val="1"/>
                <w:szCs w:val="1"/>
                <w:color w:val="auto"/>
              </w:rPr>
            </w:pPr>
          </w:p>
        </w:tc>
      </w:tr>
      <w:tr>
        <w:trPr>
          <w:trHeight w:val="229"/>
        </w:trPr>
        <w:tc>
          <w:tcPr>
            <w:tcW w:w="800" w:type="dxa"/>
            <w:vAlign w:val="bottom"/>
          </w:tcPr>
          <w:p>
            <w:pPr>
              <w:ind w:left="20"/>
              <w:spacing w:after="0"/>
              <w:rPr>
                <w:sz w:val="20"/>
                <w:szCs w:val="20"/>
                <w:color w:val="auto"/>
              </w:rPr>
            </w:pPr>
            <w:r>
              <w:rPr>
                <w:rFonts w:ascii="Arial" w:cs="Arial" w:eastAsia="Arial" w:hAnsi="Arial"/>
                <w:sz w:val="18"/>
                <w:szCs w:val="18"/>
                <w:color w:val="auto"/>
              </w:rPr>
              <w:t>10(u)</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23"/>
          </w:tcPr>
          <w:p>
            <w:pPr>
              <w:spacing w:after="0"/>
              <w:rPr>
                <w:rFonts w:ascii="Arial" w:cs="Arial" w:eastAsia="Arial" w:hAnsi="Arial"/>
                <w:sz w:val="18"/>
                <w:szCs w:val="18"/>
                <w:color w:val="0000FF"/>
              </w:rPr>
            </w:pPr>
            <w:hyperlink r:id="rId164">
              <w:r>
                <w:rPr>
                  <w:rFonts w:ascii="Arial" w:cs="Arial" w:eastAsia="Arial" w:hAnsi="Arial"/>
                  <w:sz w:val="18"/>
                  <w:szCs w:val="18"/>
                  <w:color w:val="0000FF"/>
                </w:rPr>
                <w:t>Employment agreement, dated March 2, 2018, between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Company and Olivier M. Jarrault</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10(u)</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2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First Amendment, dated July 9, 2018, to amend the employment</w:t>
              </w:r>
            </w:hyperlink>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tcBorders>
              <w:top w:val="single" w:sz="8" w:color="0000FF"/>
            </w:tcBorders>
            <w:gridSpan w:val="21"/>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agreement between the Company and Olivier M. Jarrault</w:t>
              </w:r>
            </w:hyperlink>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 w:type="dxa"/>
            <w:vAlign w:val="bottom"/>
          </w:tcPr>
          <w:p>
            <w:pPr>
              <w:ind w:left="20"/>
              <w:spacing w:after="0"/>
              <w:rPr>
                <w:sz w:val="20"/>
                <w:szCs w:val="20"/>
                <w:color w:val="auto"/>
              </w:rPr>
            </w:pPr>
            <w:r>
              <w:rPr>
                <w:rFonts w:ascii="Arial" w:cs="Arial" w:eastAsia="Arial" w:hAnsi="Arial"/>
                <w:sz w:val="18"/>
                <w:szCs w:val="18"/>
                <w:color w:val="auto"/>
              </w:rPr>
              <w:t>10(u)(ii)</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0000FF"/>
            </w:tcBorders>
            <w:gridSpan w:val="10"/>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Second Amendment, dated March 15, 2019, to amend</w:t>
              </w:r>
            </w:hyperlink>
          </w:p>
        </w:tc>
        <w:tc>
          <w:tcPr>
            <w:tcW w:w="8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employment the agreement between the Company and Olivier</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M. Jarrault</w:t>
              </w:r>
            </w:hyperlink>
          </w:p>
        </w:tc>
        <w:tc>
          <w:tcPr>
            <w:tcW w:w="43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10(u)(iii)</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23"/>
          </w:tcPr>
          <w:p>
            <w:pPr>
              <w:spacing w:after="0"/>
              <w:rPr>
                <w:rFonts w:ascii="Arial" w:cs="Arial" w:eastAsia="Arial" w:hAnsi="Arial"/>
                <w:sz w:val="18"/>
                <w:szCs w:val="18"/>
                <w:color w:val="0000FF"/>
              </w:rPr>
            </w:pPr>
            <w:hyperlink r:id="rId167">
              <w:r>
                <w:rPr>
                  <w:rFonts w:ascii="Arial" w:cs="Arial" w:eastAsia="Arial" w:hAnsi="Arial"/>
                  <w:sz w:val="18"/>
                  <w:szCs w:val="18"/>
                  <w:color w:val="0000FF"/>
                </w:rPr>
                <w:t>Third Amendment, dated November 8, 2019, to amend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FF"/>
            </w:tcBorders>
            <w:gridSpan w:val="17"/>
          </w:tcPr>
          <w:p>
            <w:pPr>
              <w:spacing w:after="0" w:line="196" w:lineRule="exact"/>
              <w:rPr>
                <w:rFonts w:ascii="Arial" w:cs="Arial" w:eastAsia="Arial" w:hAnsi="Arial"/>
                <w:sz w:val="18"/>
                <w:szCs w:val="18"/>
                <w:color w:val="0000FF"/>
                <w:w w:val="99"/>
              </w:rPr>
            </w:pPr>
            <w:hyperlink r:id="rId167">
              <w:r>
                <w:rPr>
                  <w:rFonts w:ascii="Arial" w:cs="Arial" w:eastAsia="Arial" w:hAnsi="Arial"/>
                  <w:sz w:val="18"/>
                  <w:szCs w:val="18"/>
                  <w:color w:val="0000FF"/>
                  <w:w w:val="99"/>
                </w:rPr>
                <w:t>employment the agreement between the Company and Olivier</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M. Jarrault</w:t>
              </w:r>
            </w:hyperlink>
          </w:p>
        </w:tc>
        <w:tc>
          <w:tcPr>
            <w:tcW w:w="43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10(u)(iv)</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tcBorders>
              <w:bottom w:val="single" w:sz="8" w:color="0000FF"/>
            </w:tcBorders>
            <w:gridSpan w:val="15"/>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Executive separation agreement, dated December 12, 2019,</w:t>
              </w:r>
            </w:hyperlink>
          </w:p>
        </w:tc>
        <w:tc>
          <w:tcPr>
            <w:tcW w:w="3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between the Company and Charles J. Silva, Jr.</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10(u)(vi)</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23"/>
          </w:tcPr>
          <w:p>
            <w:pPr>
              <w:spacing w:after="0"/>
              <w:rPr>
                <w:rFonts w:ascii="Arial" w:cs="Arial" w:eastAsia="Arial" w:hAnsi="Arial"/>
                <w:sz w:val="18"/>
                <w:szCs w:val="18"/>
                <w:color w:val="0000FF"/>
              </w:rPr>
            </w:pPr>
            <w:hyperlink r:id="rId169">
              <w:r>
                <w:rPr>
                  <w:rFonts w:ascii="Arial" w:cs="Arial" w:eastAsia="Arial" w:hAnsi="Arial"/>
                  <w:sz w:val="18"/>
                  <w:szCs w:val="18"/>
                  <w:color w:val="0000FF"/>
                </w:rPr>
                <w:t>Executive separation agreement, dated January 20, 2020,</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between the Company and Olivier M. Jarrault</w:t>
              </w:r>
            </w:hyperlink>
          </w:p>
        </w:tc>
        <w:tc>
          <w:tcPr>
            <w:tcW w:w="980" w:type="dxa"/>
            <w:vAlign w:val="bottom"/>
            <w:tcBorders>
              <w:top w:val="single" w:sz="8" w:color="0000FF"/>
            </w:tcBorders>
            <w:gridSpan w:val="5"/>
          </w:tcPr>
          <w:p>
            <w:pPr>
              <w:spacing w:after="0"/>
              <w:rPr>
                <w:sz w:val="17"/>
                <w:szCs w:val="17"/>
                <w:color w:val="auto"/>
              </w:rPr>
            </w:pPr>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10(u)(vii)</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23"/>
          </w:tcPr>
          <w:p>
            <w:pPr>
              <w:spacing w:after="0"/>
              <w:rPr>
                <w:rFonts w:ascii="Arial" w:cs="Arial" w:eastAsia="Arial" w:hAnsi="Arial"/>
                <w:sz w:val="18"/>
                <w:szCs w:val="18"/>
                <w:color w:val="0000FF"/>
              </w:rPr>
            </w:pPr>
            <w:hyperlink r:id="rId170">
              <w:r>
                <w:rPr>
                  <w:rFonts w:ascii="Arial" w:cs="Arial" w:eastAsia="Arial" w:hAnsi="Arial"/>
                  <w:sz w:val="18"/>
                  <w:szCs w:val="18"/>
                  <w:color w:val="0000FF"/>
                </w:rPr>
                <w:t>Employment agreement, dated January 21, 2020, between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70">
              <w:r>
                <w:rPr>
                  <w:rFonts w:ascii="Arial" w:cs="Arial" w:eastAsia="Arial" w:hAnsi="Arial"/>
                  <w:sz w:val="18"/>
                  <w:szCs w:val="18"/>
                  <w:color w:val="0000FF"/>
                </w:rPr>
                <w:t>Company and A. William Higgins</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10(u)(viii)</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Transition bonus agreement, dated January 15, 2021, between</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FF"/>
              </w:rPr>
            </w:pPr>
            <w:hyperlink w:anchor="page118">
              <w:r>
                <w:rPr>
                  <w:rFonts w:ascii="Arial" w:cs="Arial" w:eastAsia="Arial" w:hAnsi="Arial"/>
                  <w:sz w:val="18"/>
                  <w:szCs w:val="18"/>
                  <w:color w:val="0000FF"/>
                </w:rPr>
                <w:t>the Company and David M. Pawlick</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80" w:type="dxa"/>
            <w:vAlign w:val="bottom"/>
            <w:gridSpan w:val="26"/>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r:id="rId171">
              <w:r>
                <w:rPr>
                  <w:rFonts w:ascii="Arial" w:cs="Arial" w:eastAsia="Arial" w:hAnsi="Arial"/>
                  <w:sz w:val="18"/>
                  <w:szCs w:val="18"/>
                  <w:color w:val="0000FF"/>
                </w:rPr>
                <w:t>Fee side letter agreement between Albany International Corp.</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900" w:type="dxa"/>
            <w:vAlign w:val="bottom"/>
            <w:gridSpan w:val="8"/>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22"/>
          </w:tcPr>
          <w:p>
            <w:pPr>
              <w:spacing w:after="0" w:line="196"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and Standish Family Holdings, LLC and J.S. Standish Company,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4"/>
          </w:tcPr>
          <w:p>
            <w:pPr>
              <w:spacing w:after="0" w:line="196" w:lineRule="exact"/>
              <w:rPr>
                <w:rFonts w:ascii="Arial" w:cs="Arial" w:eastAsia="Arial" w:hAnsi="Arial"/>
                <w:sz w:val="18"/>
                <w:szCs w:val="18"/>
                <w:color w:val="0000FF"/>
                <w:w w:val="98"/>
              </w:rPr>
            </w:pPr>
            <w:hyperlink r:id="rId171">
              <w:r>
                <w:rPr>
                  <w:rFonts w:ascii="Arial" w:cs="Arial" w:eastAsia="Arial" w:hAnsi="Arial"/>
                  <w:sz w:val="18"/>
                  <w:szCs w:val="18"/>
                  <w:color w:val="0000FF"/>
                  <w:w w:val="98"/>
                </w:rPr>
                <w:t>dated May 28, 2019</w:t>
              </w:r>
            </w:hyperlink>
          </w:p>
        </w:tc>
        <w:tc>
          <w:tcPr>
            <w:tcW w:w="3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5680" w:type="dxa"/>
            <w:vAlign w:val="bottom"/>
            <w:gridSpan w:val="26"/>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10.2  </w:t>
            </w:r>
            <w:hyperlink r:id="rId172">
              <w:r>
                <w:rPr>
                  <w:rFonts w:ascii="Arial" w:cs="Arial" w:eastAsia="Arial" w:hAnsi="Arial"/>
                  <w:sz w:val="18"/>
                  <w:szCs w:val="18"/>
                  <w:color w:val="0000FF"/>
                </w:rPr>
                <w:t>Amended and restated LLC operating agreement by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12"/>
            <w:shd w:val="clear" w:color="auto" w:fill="0000FF"/>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20"/>
          </w:tcPr>
          <w:p>
            <w:pPr>
              <w:spacing w:after="0" w:line="19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between Albany Engineered Composites and Safran Aerospace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23"/>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Composites, Inc. 10% equity interest in ASC for $28 million</w:t>
              </w:r>
            </w:hyperlink>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00" w:right="320" w:hanging="335"/>
        <w:spacing w:after="0" w:line="227" w:lineRule="auto"/>
        <w:tabs>
          <w:tab w:leader="none" w:pos="1300" w:val="left"/>
        </w:tabs>
        <w:numPr>
          <w:ilvl w:val="0"/>
          <w:numId w:val="49"/>
        </w:numPr>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Statement of Computation of Earnings per share (provided in</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Footnote 8 to the Consolidated Financial Statements)</w:t>
        </w:r>
      </w:hyperlink>
    </w:p>
    <w:p>
      <w:pPr>
        <w:spacing w:after="0" w:line="27" w:lineRule="exact"/>
        <w:rPr>
          <w:rFonts w:ascii="Arial" w:cs="Arial" w:eastAsia="Arial" w:hAnsi="Arial"/>
          <w:sz w:val="18"/>
          <w:szCs w:val="18"/>
          <w:color w:val="auto"/>
        </w:rPr>
      </w:pPr>
    </w:p>
    <w:p>
      <w:pPr>
        <w:ind w:left="1300" w:hanging="335"/>
        <w:spacing w:after="0"/>
        <w:tabs>
          <w:tab w:leader="none" w:pos="1300" w:val="left"/>
        </w:tabs>
        <w:numPr>
          <w:ilvl w:val="0"/>
          <w:numId w:val="50"/>
        </w:numPr>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Subsidiaries of Company</w:t>
        </w:r>
      </w:hyperlink>
    </w:p>
    <w:p>
      <w:pPr>
        <w:spacing w:after="0" w:line="63" w:lineRule="exact"/>
        <w:rPr>
          <w:rFonts w:ascii="Arial" w:cs="Arial" w:eastAsia="Arial" w:hAnsi="Arial"/>
          <w:sz w:val="18"/>
          <w:szCs w:val="18"/>
          <w:color w:val="auto"/>
        </w:rPr>
      </w:pPr>
    </w:p>
    <w:p>
      <w:pPr>
        <w:ind w:left="1300" w:hanging="335"/>
        <w:spacing w:after="0"/>
        <w:tabs>
          <w:tab w:leader="none" w:pos="1300" w:val="left"/>
        </w:tabs>
        <w:numPr>
          <w:ilvl w:val="0"/>
          <w:numId w:val="51"/>
        </w:numPr>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Consent of Independent Registered Public Accounting Firms</w:t>
        </w:r>
      </w:hyperlink>
    </w:p>
    <w:p>
      <w:pPr>
        <w:spacing w:after="0" w:line="63" w:lineRule="exact"/>
        <w:rPr>
          <w:rFonts w:ascii="Arial" w:cs="Arial" w:eastAsia="Arial" w:hAnsi="Arial"/>
          <w:sz w:val="18"/>
          <w:szCs w:val="18"/>
          <w:u w:val="single" w:color="auto"/>
          <w:color w:val="0000FF"/>
        </w:rPr>
      </w:pPr>
    </w:p>
    <w:p>
      <w:pPr>
        <w:ind w:left="1300" w:hanging="335"/>
        <w:spacing w:after="0"/>
        <w:tabs>
          <w:tab w:leader="none" w:pos="1300" w:val="left"/>
        </w:tabs>
        <w:numPr>
          <w:ilvl w:val="0"/>
          <w:numId w:val="51"/>
        </w:numPr>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Powers of Attorney</w:t>
        </w:r>
      </w:hyperlink>
    </w:p>
    <w:p>
      <w:pPr>
        <w:spacing w:after="0" w:line="32"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31(a)</w:t>
            </w:r>
          </w:p>
        </w:tc>
        <w:tc>
          <w:tcPr>
            <w:tcW w:w="514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24">
              <w:r>
                <w:rPr>
                  <w:rFonts w:ascii="Arial" w:cs="Arial" w:eastAsia="Arial" w:hAnsi="Arial"/>
                  <w:sz w:val="18"/>
                  <w:szCs w:val="18"/>
                  <w:color w:val="0000FF"/>
                  <w:w w:val="99"/>
                </w:rPr>
                <w:t>Certification of A. William Higgins required pursuant to Rule 13a-</w:t>
              </w:r>
            </w:hyperlink>
          </w:p>
        </w:tc>
      </w:tr>
      <w:tr>
        <w:trPr>
          <w:trHeight w:val="196"/>
        </w:trPr>
        <w:tc>
          <w:tcPr>
            <w:tcW w:w="1280" w:type="dxa"/>
            <w:vAlign w:val="bottom"/>
          </w:tcPr>
          <w:p>
            <w:pPr>
              <w:spacing w:after="0"/>
              <w:rPr>
                <w:sz w:val="17"/>
                <w:szCs w:val="17"/>
                <w:color w:val="auto"/>
              </w:rPr>
            </w:pPr>
          </w:p>
        </w:tc>
        <w:tc>
          <w:tcPr>
            <w:tcW w:w="5140" w:type="dxa"/>
            <w:vAlign w:val="bottom"/>
            <w:gridSpan w:val="4"/>
          </w:tcPr>
          <w:p>
            <w:pPr>
              <w:spacing w:after="0" w:line="196" w:lineRule="exact"/>
              <w:rPr>
                <w:rFonts w:ascii="Arial" w:cs="Arial" w:eastAsia="Arial" w:hAnsi="Arial"/>
                <w:sz w:val="18"/>
                <w:szCs w:val="18"/>
                <w:color w:val="0000FF"/>
              </w:rPr>
            </w:pPr>
            <w:hyperlink w:anchor="page124">
              <w:r>
                <w:rPr>
                  <w:rFonts w:ascii="Arial" w:cs="Arial" w:eastAsia="Arial" w:hAnsi="Arial"/>
                  <w:sz w:val="18"/>
                  <w:szCs w:val="18"/>
                  <w:color w:val="0000FF"/>
                </w:rPr>
                <w:t>14(a) or Rule 15d-14(a)</w:t>
              </w:r>
            </w:hyperlink>
          </w:p>
        </w:tc>
      </w:tr>
      <w:tr>
        <w:trPr>
          <w:trHeight w:val="20"/>
        </w:trPr>
        <w:tc>
          <w:tcPr>
            <w:tcW w:w="12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Arial" w:cs="Arial" w:eastAsia="Arial" w:hAnsi="Arial"/>
                <w:sz w:val="18"/>
                <w:szCs w:val="18"/>
                <w:color w:val="auto"/>
              </w:rPr>
              <w:t>31(b)</w:t>
            </w:r>
          </w:p>
        </w:tc>
        <w:tc>
          <w:tcPr>
            <w:tcW w:w="514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25">
              <w:r>
                <w:rPr>
                  <w:rFonts w:ascii="Arial" w:cs="Arial" w:eastAsia="Arial" w:hAnsi="Arial"/>
                  <w:sz w:val="18"/>
                  <w:szCs w:val="18"/>
                  <w:color w:val="0000FF"/>
                  <w:w w:val="99"/>
                </w:rPr>
                <w:t>Certification of Stephen M. Nolan required pursuant to Rule 13a-</w:t>
              </w:r>
            </w:hyperlink>
          </w:p>
        </w:tc>
      </w:tr>
      <w:tr>
        <w:trPr>
          <w:trHeight w:val="196"/>
        </w:trPr>
        <w:tc>
          <w:tcPr>
            <w:tcW w:w="1280" w:type="dxa"/>
            <w:vAlign w:val="bottom"/>
          </w:tcPr>
          <w:p>
            <w:pPr>
              <w:spacing w:after="0"/>
              <w:rPr>
                <w:sz w:val="17"/>
                <w:szCs w:val="17"/>
                <w:color w:val="auto"/>
              </w:rPr>
            </w:pPr>
          </w:p>
        </w:tc>
        <w:tc>
          <w:tcPr>
            <w:tcW w:w="5140" w:type="dxa"/>
            <w:vAlign w:val="bottom"/>
            <w:gridSpan w:val="4"/>
          </w:tcPr>
          <w:p>
            <w:pPr>
              <w:spacing w:after="0" w:line="196" w:lineRule="exact"/>
              <w:rPr>
                <w:rFonts w:ascii="Arial" w:cs="Arial" w:eastAsia="Arial" w:hAnsi="Arial"/>
                <w:sz w:val="18"/>
                <w:szCs w:val="18"/>
                <w:color w:val="0000FF"/>
              </w:rPr>
            </w:pPr>
            <w:hyperlink w:anchor="page125">
              <w:r>
                <w:rPr>
                  <w:rFonts w:ascii="Arial" w:cs="Arial" w:eastAsia="Arial" w:hAnsi="Arial"/>
                  <w:sz w:val="18"/>
                  <w:szCs w:val="18"/>
                  <w:color w:val="0000FF"/>
                </w:rPr>
                <w:t>14(a) or Rule 15d-14(a)</w:t>
              </w:r>
            </w:hyperlink>
          </w:p>
        </w:tc>
      </w:tr>
      <w:tr>
        <w:trPr>
          <w:trHeight w:val="20"/>
        </w:trPr>
        <w:tc>
          <w:tcPr>
            <w:tcW w:w="12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Arial" w:cs="Arial" w:eastAsia="Arial" w:hAnsi="Arial"/>
                <w:sz w:val="18"/>
                <w:szCs w:val="18"/>
                <w:color w:val="auto"/>
              </w:rPr>
              <w:t>32(a)</w:t>
            </w:r>
          </w:p>
        </w:tc>
        <w:tc>
          <w:tcPr>
            <w:tcW w:w="45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26">
              <w:r>
                <w:rPr>
                  <w:rFonts w:ascii="Arial" w:cs="Arial" w:eastAsia="Arial" w:hAnsi="Arial"/>
                  <w:sz w:val="18"/>
                  <w:szCs w:val="18"/>
                  <w:color w:val="0000FF"/>
                  <w:w w:val="99"/>
                </w:rPr>
                <w:t>Certification of A. William Higgins and Stephen M. Nolan</w:t>
              </w:r>
            </w:hyperlink>
          </w:p>
        </w:tc>
        <w:tc>
          <w:tcPr>
            <w:tcW w:w="640" w:type="dxa"/>
            <w:vAlign w:val="bottom"/>
            <w:gridSpan w:val="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68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w:anchor="page126">
              <w:r>
                <w:rPr>
                  <w:rFonts w:ascii="Arial" w:cs="Arial" w:eastAsia="Arial" w:hAnsi="Arial"/>
                  <w:sz w:val="18"/>
                  <w:szCs w:val="18"/>
                  <w:color w:val="0000FF"/>
                  <w:w w:val="99"/>
                </w:rPr>
                <w:t>required pursuant to Rule 13a-14(b) or Rule 15d-14(b) and</w:t>
              </w:r>
            </w:hyperlink>
          </w:p>
        </w:tc>
        <w:tc>
          <w:tcPr>
            <w:tcW w:w="460" w:type="dxa"/>
            <w:vAlign w:val="bottom"/>
          </w:tcPr>
          <w:p>
            <w:pPr>
              <w:spacing w:after="0"/>
              <w:rPr>
                <w:sz w:val="17"/>
                <w:szCs w:val="17"/>
                <w:color w:val="auto"/>
              </w:rPr>
            </w:pPr>
          </w:p>
        </w:tc>
      </w:tr>
      <w:tr>
        <w:trPr>
          <w:trHeight w:val="236"/>
        </w:trPr>
        <w:tc>
          <w:tcPr>
            <w:tcW w:w="1280" w:type="dxa"/>
            <w:vAlign w:val="bottom"/>
          </w:tcPr>
          <w:p>
            <w:pPr>
              <w:spacing w:after="0"/>
              <w:rPr>
                <w:sz w:val="20"/>
                <w:szCs w:val="20"/>
                <w:color w:val="auto"/>
              </w:rPr>
            </w:pPr>
          </w:p>
        </w:tc>
        <w:tc>
          <w:tcPr>
            <w:tcW w:w="5140" w:type="dxa"/>
            <w:vAlign w:val="bottom"/>
            <w:gridSpan w:val="4"/>
          </w:tcPr>
          <w:p>
            <w:pPr>
              <w:spacing w:after="0"/>
              <w:rPr>
                <w:rFonts w:ascii="Arial" w:cs="Arial" w:eastAsia="Arial" w:hAnsi="Arial"/>
                <w:sz w:val="18"/>
                <w:szCs w:val="18"/>
                <w:u w:val="single" w:color="auto"/>
                <w:color w:val="0000FF"/>
                <w:w w:val="99"/>
              </w:rPr>
            </w:pPr>
            <w:hyperlink w:anchor="page126">
              <w:r>
                <w:rPr>
                  <w:rFonts w:ascii="Arial" w:cs="Arial" w:eastAsia="Arial" w:hAnsi="Arial"/>
                  <w:sz w:val="18"/>
                  <w:szCs w:val="18"/>
                  <w:u w:val="single" w:color="auto"/>
                  <w:color w:val="0000FF"/>
                  <w:w w:val="99"/>
                </w:rPr>
                <w:t>Section 1350 of Chapter 63 of Title 18 of the United States Code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Incorporated by Reference</w:t>
            </w:r>
          </w:p>
        </w:tc>
      </w:tr>
      <w:tr>
        <w:trPr>
          <w:trHeight w:val="162"/>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Filed</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 Ending</w:t>
            </w:r>
          </w:p>
        </w:tc>
        <w:tc>
          <w:tcPr>
            <w:tcW w:w="100" w:type="dxa"/>
            <w:vAlign w:val="bottom"/>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Filing Date</w:t>
            </w:r>
          </w:p>
        </w:tc>
      </w:tr>
      <w:tr>
        <w:trPr>
          <w:trHeight w:val="4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01/23/20</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Def 14A</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03/28/18</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12/31/03</w:t>
            </w: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03/11/04</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01/13/05</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04/12/06</w:t>
            </w:r>
          </w:p>
        </w:tc>
      </w:tr>
      <w:tr>
        <w:trPr>
          <w:trHeight w:val="51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3/31/18</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05/08/18</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6/30/18</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08/07/18</w:t>
            </w:r>
          </w:p>
        </w:tc>
      </w:tr>
      <w:tr>
        <w:trPr>
          <w:trHeight w:val="702"/>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05/01/19</w:t>
            </w:r>
          </w:p>
        </w:tc>
      </w:tr>
      <w:tr>
        <w:trPr>
          <w:trHeight w:val="702"/>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02/27/20</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02/27/20</w:t>
            </w:r>
          </w:p>
        </w:tc>
      </w:tr>
      <w:tr>
        <w:trPr>
          <w:trHeight w:val="48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02/27/20</w:t>
            </w:r>
          </w:p>
        </w:tc>
      </w:tr>
      <w:tr>
        <w:trPr>
          <w:trHeight w:val="4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12/31/19</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02/28/20</w:t>
            </w:r>
          </w:p>
        </w:tc>
      </w:tr>
      <w:tr>
        <w:trPr>
          <w:trHeight w:val="513"/>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12/31/20</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67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05/28/19</w:t>
            </w:r>
          </w:p>
        </w:tc>
      </w:tr>
      <w:tr>
        <w:trPr>
          <w:trHeight w:val="702"/>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12/31/13</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02/26/14</w:t>
            </w:r>
          </w:p>
        </w:tc>
      </w:tr>
      <w:tr>
        <w:trPr>
          <w:trHeight w:val="4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27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27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27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3"/>
                <w:szCs w:val="23"/>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48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r>
        <w:trPr>
          <w:trHeight w:val="70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040" w:type="dxa"/>
            <w:vAlign w:val="bottom"/>
          </w:tcPr>
          <w:p>
            <w:pPr>
              <w:spacing w:after="0"/>
              <w:rPr>
                <w:sz w:val="20"/>
                <w:szCs w:val="20"/>
                <w:color w:val="auto"/>
              </w:rPr>
            </w:pPr>
            <w:r>
              <w:rPr>
                <w:rFonts w:ascii="Arial" w:cs="Arial" w:eastAsia="Arial" w:hAnsi="Arial"/>
                <w:sz w:val="18"/>
                <w:szCs w:val="18"/>
                <w:color w:val="auto"/>
              </w:rPr>
              <w:t>12/31/20</w:t>
            </w:r>
          </w:p>
        </w:tc>
        <w:tc>
          <w:tcPr>
            <w:tcW w:w="10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02/25/21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ectPr>
          <w:pgSz w:w="11900" w:h="16838" w:orient="portrait"/>
          <w:cols w:equalWidth="0" w:num="2">
            <w:col w:w="6480" w:space="120"/>
            <w:col w:w="4640"/>
          </w:cols>
          <w:pgMar w:left="320" w:top="301" w:right="339" w:bottom="1440" w:gutter="0" w:footer="0" w:header="0"/>
          <w:type w:val="continuous"/>
        </w:sectPr>
      </w:pPr>
    </w:p>
    <w:bookmarkStart w:id="111" w:name="page112"/>
    <w:bookmarkEnd w:id="1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2020, formatted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Inline XBRL (Extensive Business Reporting Language), filed herewith:</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101(i)</w:t>
            </w:r>
          </w:p>
        </w:tc>
        <w:tc>
          <w:tcPr>
            <w:tcW w:w="550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Income for the years ended</w:t>
              </w:r>
            </w:hyperlink>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December 31, 2020, 2019 and 2018</w:t>
              </w:r>
            </w:hyperlink>
          </w:p>
        </w:tc>
        <w:tc>
          <w:tcPr>
            <w:tcW w:w="40" w:type="dxa"/>
            <w:vAlign w:val="bottom"/>
            <w:tcBorders>
              <w:top w:val="single" w:sz="8" w:color="0000FF"/>
              <w:bottom w:val="single" w:sz="8" w:color="0000FF"/>
            </w:tcBorders>
          </w:tcPr>
          <w:p>
            <w:pPr>
              <w:spacing w:after="0"/>
              <w:rPr>
                <w:sz w:val="17"/>
                <w:szCs w:val="17"/>
                <w:color w:val="auto"/>
              </w:rPr>
            </w:pPr>
          </w:p>
        </w:tc>
        <w:tc>
          <w:tcPr>
            <w:tcW w:w="1520" w:type="dxa"/>
            <w:vAlign w:val="bottom"/>
            <w:tcBorders>
              <w:top w:val="single" w:sz="8" w:color="0000FF"/>
              <w:bottom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12/31/20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2/25/21</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101(ii)</w:t>
            </w:r>
          </w:p>
        </w:tc>
        <w:tc>
          <w:tcPr>
            <w:tcW w:w="47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Consolidated Statements of Comprehensive Income for the</w:t>
              </w:r>
            </w:hyperlink>
          </w:p>
        </w:tc>
        <w:tc>
          <w:tcPr>
            <w:tcW w:w="78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4"/>
        </w:trPr>
        <w:tc>
          <w:tcPr>
            <w:tcW w:w="1320" w:type="dxa"/>
            <w:vAlign w:val="bottom"/>
          </w:tcPr>
          <w:p>
            <w:pPr>
              <w:spacing w:after="0"/>
              <w:rPr>
                <w:sz w:val="22"/>
                <w:szCs w:val="22"/>
                <w:color w:val="auto"/>
              </w:rPr>
            </w:pPr>
          </w:p>
        </w:tc>
        <w:tc>
          <w:tcPr>
            <w:tcW w:w="5500" w:type="dxa"/>
            <w:vAlign w:val="bottom"/>
            <w:gridSpan w:val="8"/>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years ended December 31, 2020, 2019, and 2018</w:t>
              </w:r>
            </w:hyperlink>
          </w:p>
        </w:tc>
        <w:tc>
          <w:tcPr>
            <w:tcW w:w="700" w:type="dxa"/>
            <w:vAlign w:val="bottom"/>
          </w:tcPr>
          <w:p>
            <w:pPr>
              <w:ind w:left="2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rPr>
                <w:sz w:val="20"/>
                <w:szCs w:val="20"/>
                <w:color w:val="auto"/>
              </w:rPr>
            </w:pPr>
            <w:r>
              <w:rPr>
                <w:rFonts w:ascii="Arial" w:cs="Arial" w:eastAsia="Arial" w:hAnsi="Arial"/>
                <w:sz w:val="18"/>
                <w:szCs w:val="18"/>
                <w:color w:val="auto"/>
              </w:rPr>
              <w:t>10-K</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12/31/20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2/25/21</w:t>
            </w:r>
          </w:p>
        </w:tc>
      </w:tr>
      <w:tr>
        <w:trPr>
          <w:trHeight w:val="203"/>
        </w:trPr>
        <w:tc>
          <w:tcPr>
            <w:tcW w:w="1320" w:type="dxa"/>
            <w:vAlign w:val="bottom"/>
          </w:tcPr>
          <w:p>
            <w:pPr>
              <w:spacing w:after="0" w:line="202" w:lineRule="exact"/>
              <w:rPr>
                <w:sz w:val="20"/>
                <w:szCs w:val="20"/>
                <w:color w:val="auto"/>
              </w:rPr>
            </w:pPr>
            <w:r>
              <w:rPr>
                <w:rFonts w:ascii="Arial" w:cs="Arial" w:eastAsia="Arial" w:hAnsi="Arial"/>
                <w:sz w:val="18"/>
                <w:szCs w:val="18"/>
                <w:color w:val="auto"/>
              </w:rPr>
              <w:t>101(iii)</w:t>
            </w:r>
          </w:p>
        </w:tc>
        <w:tc>
          <w:tcPr>
            <w:tcW w:w="5500" w:type="dxa"/>
            <w:vAlign w:val="bottom"/>
            <w:gridSpan w:val="8"/>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Consolidated Balance Sheets as of December 31, 2020 and</w:t>
              </w:r>
            </w:hyperlink>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2019</w:t>
              </w:r>
            </w:hyperlink>
          </w:p>
        </w:tc>
        <w:tc>
          <w:tcPr>
            <w:tcW w:w="2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12/31/20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2/25/21</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101(iv)</w:t>
            </w:r>
          </w:p>
        </w:tc>
        <w:tc>
          <w:tcPr>
            <w:tcW w:w="48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Consolidated Statements of Cash Flows for the years ended</w:t>
              </w:r>
            </w:hyperlink>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96"/>
        </w:trPr>
        <w:tc>
          <w:tcPr>
            <w:tcW w:w="132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December 31, 2020, 2019, and 2018</w:t>
              </w:r>
            </w:hyperlink>
          </w:p>
        </w:tc>
        <w:tc>
          <w:tcPr>
            <w:tcW w:w="2580" w:type="dxa"/>
            <w:vAlign w:val="bottom"/>
            <w:gridSpan w:val="5"/>
          </w:tcPr>
          <w:p>
            <w:pPr>
              <w:spacing w:after="0"/>
              <w:rPr>
                <w:sz w:val="17"/>
                <w:szCs w:val="17"/>
                <w:color w:val="auto"/>
              </w:rPr>
            </w:pPr>
          </w:p>
        </w:tc>
        <w:tc>
          <w:tcPr>
            <w:tcW w:w="700" w:type="dxa"/>
            <w:vAlign w:val="bottom"/>
          </w:tcPr>
          <w:p>
            <w:pPr>
              <w:ind w:left="2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12/31/20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2/25/21</w:t>
            </w: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101(v)</w:t>
            </w:r>
          </w:p>
        </w:tc>
        <w:tc>
          <w:tcPr>
            <w:tcW w:w="5500" w:type="dxa"/>
            <w:vAlign w:val="bottom"/>
            <w:gridSpan w:val="8"/>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Notes to Consolidated Financial Statements</w:t>
              </w:r>
            </w:hyperlink>
          </w:p>
        </w:tc>
        <w:tc>
          <w:tcPr>
            <w:tcW w:w="700" w:type="dxa"/>
            <w:vAlign w:val="bottom"/>
          </w:tcPr>
          <w:p>
            <w:pPr>
              <w:ind w:left="220"/>
              <w:spacing w:after="0"/>
              <w:rPr>
                <w:sz w:val="20"/>
                <w:szCs w:val="20"/>
                <w:color w:val="auto"/>
              </w:rPr>
            </w:pPr>
            <w:r>
              <w:rPr>
                <w:rFonts w:ascii="Arial" w:cs="Arial" w:eastAsia="Arial" w:hAnsi="Arial"/>
                <w:sz w:val="16"/>
                <w:szCs w:val="16"/>
                <w:color w:val="auto"/>
              </w:rPr>
              <w:t>X</w:t>
            </w:r>
          </w:p>
        </w:tc>
        <w:tc>
          <w:tcPr>
            <w:tcW w:w="960" w:type="dxa"/>
            <w:vAlign w:val="bottom"/>
          </w:tcPr>
          <w:p>
            <w:pPr>
              <w:ind w:left="380"/>
              <w:spacing w:after="0"/>
              <w:rPr>
                <w:sz w:val="20"/>
                <w:szCs w:val="20"/>
                <w:color w:val="auto"/>
              </w:rPr>
            </w:pPr>
            <w:r>
              <w:rPr>
                <w:rFonts w:ascii="Arial" w:cs="Arial" w:eastAsia="Arial" w:hAnsi="Arial"/>
                <w:sz w:val="18"/>
                <w:szCs w:val="18"/>
                <w:color w:val="auto"/>
              </w:rPr>
              <w:t>10-K</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12/31/20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2/25/21</w:t>
            </w:r>
          </w:p>
        </w:tc>
      </w:tr>
      <w:tr>
        <w:trPr>
          <w:trHeight w:val="24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12"/>
          </w:tcPr>
          <w:p>
            <w:pPr>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1320" w:type="dxa"/>
            <w:vAlign w:val="bottom"/>
          </w:tcPr>
          <w:p>
            <w:pPr>
              <w:spacing w:after="0"/>
              <w:rPr>
                <w:sz w:val="18"/>
                <w:szCs w:val="18"/>
                <w:color w:val="auto"/>
              </w:rPr>
            </w:pPr>
          </w:p>
        </w:tc>
        <w:tc>
          <w:tcPr>
            <w:tcW w:w="550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5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5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5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55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55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550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25th day of February, 2021.</w:t>
      </w:r>
    </w:p>
    <w:p>
      <w:pPr>
        <w:spacing w:after="0" w:line="1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ALBANY INTERNATIONAL CORP.</w:t>
      </w:r>
    </w:p>
    <w:p>
      <w:pPr>
        <w:spacing w:after="0" w:line="320" w:lineRule="exact"/>
        <w:rPr>
          <w:sz w:val="20"/>
          <w:szCs w:val="20"/>
          <w:color w:val="auto"/>
        </w:rPr>
      </w:pPr>
    </w:p>
    <w:p>
      <w:pPr>
        <w:ind w:left="6300"/>
        <w:spacing w:after="0"/>
        <w:tabs>
          <w:tab w:leader="none" w:pos="6720" w:val="left"/>
        </w:tabs>
        <w:rPr>
          <w:sz w:val="20"/>
          <w:szCs w:val="20"/>
          <w:color w:val="auto"/>
        </w:rPr>
      </w:pPr>
      <w:r>
        <w:rPr>
          <w:rFonts w:ascii="Arial" w:cs="Arial" w:eastAsia="Arial" w:hAnsi="Arial"/>
          <w:sz w:val="18"/>
          <w:szCs w:val="18"/>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23495</wp:posOffset>
            </wp:positionV>
            <wp:extent cx="2871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Stephen M. Nolan</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01" w:right="339" w:bottom="10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035" w:gutter="0" w:footer="0" w:header="0"/>
          <w:type w:val="continuous"/>
        </w:sectPr>
      </w:pPr>
    </w:p>
    <w:bookmarkStart w:id="113" w:name="page114"/>
    <w:bookmarkEnd w:id="1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7"/>
                <w:szCs w:val="17"/>
                <w:color w:val="auto"/>
              </w:rPr>
            </w:pPr>
          </w:p>
        </w:tc>
        <w:tc>
          <w:tcPr>
            <w:tcW w:w="596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4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1"/>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A. William Higgins</w:t>
            </w:r>
          </w:p>
        </w:tc>
        <w:tc>
          <w:tcPr>
            <w:tcW w:w="10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w w:val="99"/>
              </w:rPr>
              <w:t>/s/ Stephen M. Nolan</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Treasurer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Stephen M. Nolan</w:t>
            </w:r>
          </w:p>
        </w:tc>
        <w:tc>
          <w:tcPr>
            <w:tcW w:w="10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Vice President–Controller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40" w:type="dxa"/>
            <w:vAlign w:val="bottom"/>
          </w:tcPr>
          <w:p>
            <w:pPr>
              <w:jc w:val="center"/>
              <w:spacing w:after="0"/>
              <w:rPr>
                <w:sz w:val="20"/>
                <w:szCs w:val="20"/>
                <w:color w:val="auto"/>
              </w:rPr>
            </w:pPr>
            <w:r>
              <w:rPr>
                <w:rFonts w:ascii="Arial" w:cs="Arial" w:eastAsia="Arial" w:hAnsi="Arial"/>
                <w:sz w:val="18"/>
                <w:szCs w:val="18"/>
                <w:color w:val="auto"/>
                <w:w w:val="99"/>
              </w:rPr>
              <w:t>David M. Pawlick</w:t>
            </w:r>
          </w:p>
        </w:tc>
        <w:tc>
          <w:tcPr>
            <w:tcW w:w="10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Chairman of the Board and 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Erland E. Kailbourne</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6"/>
              </w:rPr>
              <w:t>John F. Cassidy, Jr.</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Katharine Plourde</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Mark J. Murphy</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John R. Scannell</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Christine L. Standish</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40" w:type="dxa"/>
            <w:vAlign w:val="bottom"/>
          </w:tcPr>
          <w:p>
            <w:pPr>
              <w:jc w:val="center"/>
              <w:spacing w:after="0"/>
              <w:rPr>
                <w:sz w:val="20"/>
                <w:szCs w:val="20"/>
                <w:color w:val="auto"/>
              </w:rPr>
            </w:pPr>
            <w:r>
              <w:rPr>
                <w:rFonts w:ascii="Arial" w:cs="Arial" w:eastAsia="Arial" w:hAnsi="Arial"/>
                <w:sz w:val="18"/>
                <w:szCs w:val="18"/>
                <w:color w:val="auto"/>
                <w:w w:val="99"/>
              </w:rPr>
              <w:t>Kenneth W. Krueger</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Lee C. Wortham</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20"/>
              <w:spacing w:after="0"/>
              <w:rPr>
                <w:sz w:val="20"/>
                <w:szCs w:val="20"/>
                <w:color w:val="auto"/>
              </w:rPr>
            </w:pPr>
            <w:r>
              <w:rPr>
                <w:rFonts w:ascii="Arial" w:cs="Arial" w:eastAsia="Arial" w:hAnsi="Arial"/>
                <w:sz w:val="18"/>
                <w:szCs w:val="18"/>
                <w:color w:val="auto"/>
              </w:rPr>
              <w:t>February 25, 2021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40" w:type="dxa"/>
            <w:vAlign w:val="bottom"/>
          </w:tcPr>
          <w:p>
            <w:pPr>
              <w:jc w:val="center"/>
              <w:spacing w:after="0"/>
              <w:rPr>
                <w:sz w:val="20"/>
                <w:szCs w:val="20"/>
                <w:color w:val="auto"/>
              </w:rPr>
            </w:pPr>
            <w:r>
              <w:rPr>
                <w:rFonts w:ascii="Arial" w:cs="Arial" w:eastAsia="Arial" w:hAnsi="Arial"/>
                <w:sz w:val="18"/>
                <w:szCs w:val="18"/>
                <w:color w:val="auto"/>
                <w:w w:val="99"/>
              </w:rPr>
              <w:t>J. Michael McQuade</w:t>
            </w: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2640" w:type="dxa"/>
            <w:vAlign w:val="bottom"/>
          </w:tcPr>
          <w:p>
            <w:pPr>
              <w:jc w:val="center"/>
              <w:spacing w:after="0"/>
              <w:rPr>
                <w:sz w:val="20"/>
                <w:szCs w:val="20"/>
                <w:color w:val="auto"/>
              </w:rPr>
            </w:pPr>
            <w:r>
              <w:rPr>
                <w:rFonts w:ascii="Arial" w:cs="Arial" w:eastAsia="Arial" w:hAnsi="Arial"/>
                <w:sz w:val="18"/>
                <w:szCs w:val="18"/>
                <w:color w:val="auto"/>
                <w:w w:val="99"/>
              </w:rPr>
              <w:t>*By /s/ Stephen M. Nolan</w:t>
            </w: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9"/>
              </w:rPr>
              <w:t>Stephen M. Nolan</w:t>
            </w:r>
          </w:p>
        </w:tc>
        <w:tc>
          <w:tcPr>
            <w:tcW w:w="1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4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c>
          <w:tcPr>
            <w:tcW w:w="10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ALBANY INTERNATIONAL CORP.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rPr>
              <w:t>Column A</w:t>
            </w: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Column B</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Column C</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Column D</w:t>
            </w:r>
          </w:p>
        </w:tc>
        <w:tc>
          <w:tcPr>
            <w:tcW w:w="240" w:type="dxa"/>
            <w:vAlign w:val="bottom"/>
          </w:tcPr>
          <w:p>
            <w:pPr>
              <w:spacing w:after="0"/>
              <w:rPr>
                <w:sz w:val="14"/>
                <w:szCs w:val="14"/>
                <w:color w:val="auto"/>
              </w:rPr>
            </w:pPr>
          </w:p>
        </w:tc>
        <w:tc>
          <w:tcPr>
            <w:tcW w:w="1160" w:type="dxa"/>
            <w:vAlign w:val="bottom"/>
          </w:tcPr>
          <w:p>
            <w:pPr>
              <w:jc w:val="center"/>
              <w:ind w:right="153"/>
              <w:spacing w:after="0"/>
              <w:rPr>
                <w:sz w:val="20"/>
                <w:szCs w:val="20"/>
                <w:color w:val="auto"/>
              </w:rPr>
            </w:pPr>
            <w:r>
              <w:rPr>
                <w:rFonts w:ascii="Arial" w:cs="Arial" w:eastAsia="Arial" w:hAnsi="Arial"/>
                <w:sz w:val="14"/>
                <w:szCs w:val="14"/>
                <w:b w:val="1"/>
                <w:bCs w:val="1"/>
                <w:color w:val="auto"/>
              </w:rPr>
              <w:t>Column E</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Description</w:t>
            </w:r>
          </w:p>
        </w:tc>
        <w:tc>
          <w:tcPr>
            <w:tcW w:w="230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beginning of period</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Charge to expense</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 (a)</w:t>
            </w:r>
          </w:p>
        </w:tc>
        <w:tc>
          <w:tcPr>
            <w:tcW w:w="240" w:type="dxa"/>
            <w:vAlign w:val="bottom"/>
          </w:tcPr>
          <w:p>
            <w:pPr>
              <w:spacing w:after="0"/>
              <w:rPr>
                <w:sz w:val="14"/>
                <w:szCs w:val="14"/>
                <w:color w:val="auto"/>
              </w:rPr>
            </w:pPr>
          </w:p>
        </w:tc>
        <w:tc>
          <w:tcPr>
            <w:tcW w:w="1160" w:type="dxa"/>
            <w:vAlign w:val="bottom"/>
          </w:tcPr>
          <w:p>
            <w:pPr>
              <w:jc w:val="center"/>
              <w:ind w:right="153"/>
              <w:spacing w:after="0"/>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21"/>
        </w:trPr>
        <w:tc>
          <w:tcPr>
            <w:tcW w:w="5280" w:type="dxa"/>
            <w:vAlign w:val="bottom"/>
            <w:gridSpan w:val="5"/>
            <w:vMerge w:val="restart"/>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80" w:type="dxa"/>
            <w:vAlign w:val="bottom"/>
            <w:gridSpan w:val="5"/>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gridSpan w:val="5"/>
          </w:tcPr>
          <w:p>
            <w:pPr>
              <w:spacing w:after="0"/>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280" w:type="dxa"/>
            <w:vAlign w:val="bottom"/>
            <w:gridSpan w:val="5"/>
          </w:tcPr>
          <w:p>
            <w:pPr>
              <w:ind w:left="200"/>
              <w:spacing w:after="0"/>
              <w:rPr>
                <w:sz w:val="20"/>
                <w:szCs w:val="20"/>
                <w:color w:val="auto"/>
              </w:rPr>
            </w:pPr>
            <w:r>
              <w:rPr>
                <w:rFonts w:ascii="Arial" w:cs="Arial" w:eastAsia="Arial" w:hAnsi="Arial"/>
                <w:sz w:val="18"/>
                <w:szCs w:val="18"/>
                <w:color w:val="auto"/>
              </w:rPr>
              <w:t>2020 (b)</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29"/>
        </w:trPr>
        <w:tc>
          <w:tcPr>
            <w:tcW w:w="2180" w:type="dxa"/>
            <w:vAlign w:val="bottom"/>
          </w:tcPr>
          <w:p>
            <w:pPr>
              <w:ind w:left="20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2180" w:type="dxa"/>
            <w:vAlign w:val="bottom"/>
          </w:tcPr>
          <w:p>
            <w:pPr>
              <w:ind w:left="20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43"/>
        </w:trPr>
        <w:tc>
          <w:tcPr>
            <w:tcW w:w="5280" w:type="dxa"/>
            <w:vAlign w:val="bottom"/>
            <w:gridSpan w:val="5"/>
          </w:tcPr>
          <w:p>
            <w:pPr>
              <w:spacing w:after="0"/>
              <w:rPr>
                <w:sz w:val="20"/>
                <w:szCs w:val="20"/>
                <w:color w:val="auto"/>
              </w:rPr>
            </w:pPr>
            <w:r>
              <w:rPr>
                <w:rFonts w:ascii="Arial" w:cs="Arial" w:eastAsia="Arial" w:hAnsi="Arial"/>
                <w:sz w:val="18"/>
                <w:szCs w:val="18"/>
                <w:color w:val="auto"/>
              </w:rPr>
              <w:t>Allowance for sales returns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gridSpan w:val="5"/>
          </w:tcPr>
          <w:p>
            <w:pPr>
              <w:spacing w:after="0"/>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20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11,249</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29"/>
        </w:trPr>
        <w:tc>
          <w:tcPr>
            <w:tcW w:w="2180" w:type="dxa"/>
            <w:vAlign w:val="bottom"/>
          </w:tcPr>
          <w:p>
            <w:pPr>
              <w:ind w:left="20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29"/>
        </w:trPr>
        <w:tc>
          <w:tcPr>
            <w:tcW w:w="2180" w:type="dxa"/>
            <w:vAlign w:val="bottom"/>
          </w:tcPr>
          <w:p>
            <w:pPr>
              <w:ind w:left="20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43"/>
        </w:trPr>
        <w:tc>
          <w:tcPr>
            <w:tcW w:w="5280" w:type="dxa"/>
            <w:vAlign w:val="bottom"/>
            <w:gridSpan w:val="5"/>
          </w:tcPr>
          <w:p>
            <w:pPr>
              <w:spacing w:after="0"/>
              <w:rPr>
                <w:sz w:val="20"/>
                <w:szCs w:val="20"/>
                <w:color w:val="auto"/>
              </w:rPr>
            </w:pPr>
            <w:r>
              <w:rPr>
                <w:rFonts w:ascii="Arial" w:cs="Arial" w:eastAsia="Arial" w:hAnsi="Arial"/>
                <w:sz w:val="18"/>
                <w:szCs w:val="18"/>
                <w:color w:val="auto"/>
              </w:rPr>
              <w:t>Valuation allowance deferred tax assets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gridSpan w:val="5"/>
          </w:tcPr>
          <w:p>
            <w:pPr>
              <w:spacing w:after="0"/>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20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29"/>
        </w:trPr>
        <w:tc>
          <w:tcPr>
            <w:tcW w:w="2180" w:type="dxa"/>
            <w:vAlign w:val="bottom"/>
          </w:tcPr>
          <w:p>
            <w:pPr>
              <w:ind w:left="20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30"/>
        </w:trPr>
        <w:tc>
          <w:tcPr>
            <w:tcW w:w="2180" w:type="dxa"/>
            <w:vAlign w:val="bottom"/>
          </w:tcPr>
          <w:p>
            <w:pPr>
              <w:ind w:left="20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ind w:left="660" w:right="240" w:hanging="4"/>
        <w:spacing w:after="0" w:line="261" w:lineRule="auto"/>
        <w:tabs>
          <w:tab w:leader="none" w:pos="9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 2020 includes $1.8 million transition adjustment related to the adoption of ASC 326.</w:t>
      </w:r>
    </w:p>
    <w:p>
      <w:pPr>
        <w:spacing w:after="0" w:line="157" w:lineRule="exact"/>
        <w:rPr>
          <w:rFonts w:ascii="Arial" w:cs="Arial" w:eastAsia="Arial" w:hAnsi="Arial"/>
          <w:sz w:val="18"/>
          <w:szCs w:val="18"/>
          <w:color w:val="auto"/>
        </w:rPr>
      </w:pPr>
    </w:p>
    <w:p>
      <w:pPr>
        <w:ind w:left="660" w:right="240" w:hanging="4"/>
        <w:spacing w:after="0" w:line="261" w:lineRule="auto"/>
        <w:tabs>
          <w:tab w:leader="none" w:pos="9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Beginning in 2020, Allowance for doubtful accounts includes valuation accounts established for contract assets and noncurrent receivables as a result of the adoption of ASC 326. See Notes 11 and 12 for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Albany International Corp.</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216 Airport Drive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Rochester, NH 03867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Telephone: (603) 330-5850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Fax: (603) 994-3974</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investor.relations@albint.com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 Box 505000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Louisville, KY 40233-5000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Telephone (toll-free): 1-877-277-9931</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Web: www.computershare.com/investor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15" w:name="page116"/>
    <w:bookmarkEnd w:id="1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85"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56" w:lineRule="exact"/>
        <w:rPr>
          <w:sz w:val="20"/>
          <w:szCs w:val="20"/>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Change of name and/or address</w:t>
      </w:r>
    </w:p>
    <w:p>
      <w:pPr>
        <w:spacing w:after="0" w:line="86" w:lineRule="exact"/>
        <w:rPr>
          <w:rFonts w:ascii="Arial" w:cs="Arial" w:eastAsia="Arial" w:hAnsi="Arial"/>
          <w:sz w:val="23"/>
          <w:szCs w:val="23"/>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Consolidation of accounts</w:t>
      </w:r>
    </w:p>
    <w:p>
      <w:pPr>
        <w:spacing w:after="0" w:line="73" w:lineRule="exact"/>
        <w:rPr>
          <w:rFonts w:ascii="Arial" w:cs="Arial" w:eastAsia="Arial" w:hAnsi="Arial"/>
          <w:sz w:val="23"/>
          <w:szCs w:val="23"/>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Duplicate mailings</w:t>
      </w:r>
    </w:p>
    <w:p>
      <w:pPr>
        <w:spacing w:after="0" w:line="73" w:lineRule="exact"/>
        <w:rPr>
          <w:rFonts w:ascii="Arial" w:cs="Arial" w:eastAsia="Arial" w:hAnsi="Arial"/>
          <w:sz w:val="23"/>
          <w:szCs w:val="23"/>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Dividend reinvestment enrollment</w:t>
      </w:r>
    </w:p>
    <w:p>
      <w:pPr>
        <w:spacing w:after="0" w:line="86" w:lineRule="exact"/>
        <w:rPr>
          <w:rFonts w:ascii="Arial" w:cs="Arial" w:eastAsia="Arial" w:hAnsi="Arial"/>
          <w:sz w:val="23"/>
          <w:szCs w:val="23"/>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Lost stock certificates</w:t>
      </w:r>
    </w:p>
    <w:p>
      <w:pPr>
        <w:spacing w:after="0" w:line="73" w:lineRule="exact"/>
        <w:rPr>
          <w:rFonts w:ascii="Arial" w:cs="Arial" w:eastAsia="Arial" w:hAnsi="Arial"/>
          <w:sz w:val="23"/>
          <w:szCs w:val="23"/>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Transfer of stock to another person</w:t>
      </w:r>
    </w:p>
    <w:p>
      <w:pPr>
        <w:spacing w:after="0" w:line="73" w:lineRule="exact"/>
        <w:rPr>
          <w:rFonts w:ascii="Arial" w:cs="Arial" w:eastAsia="Arial" w:hAnsi="Arial"/>
          <w:sz w:val="23"/>
          <w:szCs w:val="23"/>
          <w:color w:val="auto"/>
        </w:rPr>
      </w:pPr>
    </w:p>
    <w:p>
      <w:pPr>
        <w:ind w:left="720" w:hanging="307"/>
        <w:spacing w:after="0"/>
        <w:tabs>
          <w:tab w:leader="none" w:pos="7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Additional administrative services</w:t>
      </w:r>
    </w:p>
    <w:p>
      <w:pPr>
        <w:spacing w:after="0" w:line="170" w:lineRule="exact"/>
        <w:rPr>
          <w:sz w:val="20"/>
          <w:szCs w:val="20"/>
          <w:color w:val="auto"/>
        </w:rPr>
      </w:pPr>
    </w:p>
    <w:p>
      <w:pPr>
        <w:ind w:right="1480" w:firstLine="405"/>
        <w:spacing w:after="0" w:line="282" w:lineRule="auto"/>
        <w:rPr>
          <w:sz w:val="20"/>
          <w:szCs w:val="20"/>
          <w:color w:val="auto"/>
        </w:rPr>
      </w:pPr>
      <w:r>
        <w:rPr>
          <w:rFonts w:ascii="Arial" w:cs="Arial" w:eastAsia="Arial" w:hAnsi="Arial"/>
          <w:sz w:val="18"/>
          <w:szCs w:val="18"/>
          <w:color w:val="auto"/>
        </w:rPr>
        <w:t xml:space="preserve">Access </w:t>
      </w:r>
      <w:r>
        <w:rPr>
          <w:rFonts w:ascii="Arial" w:cs="Arial" w:eastAsia="Arial" w:hAnsi="Arial"/>
          <w:sz w:val="18"/>
          <w:szCs w:val="18"/>
          <w:i w:val="1"/>
          <w:iCs w:val="1"/>
          <w:color w:val="auto"/>
        </w:rPr>
        <w:t>your investor statements online 24 hours a day, 7 days a week at Investor Center. For more information, go to</w:t>
      </w:r>
      <w:r>
        <w:rPr>
          <w:rFonts w:ascii="Arial" w:cs="Arial" w:eastAsia="Arial" w:hAnsi="Arial"/>
          <w:sz w:val="18"/>
          <w:szCs w:val="18"/>
          <w:color w:val="auto"/>
        </w:rPr>
        <w:t xml:space="preserve"> </w:t>
      </w:r>
      <w:r>
        <w:rPr>
          <w:rFonts w:ascii="Arial" w:cs="Arial" w:eastAsia="Arial" w:hAnsi="Arial"/>
          <w:sz w:val="18"/>
          <w:szCs w:val="18"/>
          <w:i w:val="1"/>
          <w:iCs w:val="1"/>
          <w:color w:val="auto"/>
        </w:rPr>
        <w:t>www.computershare.com/investor.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274" w:lineRule="exact"/>
        <w:rPr>
          <w:sz w:val="20"/>
          <w:szCs w:val="20"/>
          <w:color w:val="auto"/>
        </w:rPr>
      </w:pPr>
    </w:p>
    <w:p>
      <w:pPr>
        <w:ind w:right="200" w:firstLine="405"/>
        <w:spacing w:after="0" w:line="238" w:lineRule="auto"/>
        <w:rPr>
          <w:sz w:val="20"/>
          <w:szCs w:val="20"/>
          <w:color w:val="auto"/>
        </w:rPr>
      </w:pPr>
      <w:r>
        <w:rPr>
          <w:rFonts w:ascii="Arial" w:cs="Arial" w:eastAsia="Arial" w:hAnsi="Arial"/>
          <w:sz w:val="18"/>
          <w:szCs w:val="18"/>
          <w:color w:val="auto"/>
        </w:rPr>
        <w:t>As part of our company-wide efforts to address the public health risks presented by the novel coronavirus pandemic, we will hold our Annual Meeting virtually this year. The Annual Meeting of the Company’s shareholders will be held virtually on Thursday, May 13, 2021 at 9:00 a.m. EDT. Access details for the virtual meeting will be published in the Company’s 2021 Proxy filed with the Securities and Exchange Commission.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Equal Employment Opportunity</w:t>
      </w:r>
    </w:p>
    <w:p>
      <w:pPr>
        <w:spacing w:after="0" w:line="22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31" w:lineRule="exact"/>
        <w:rPr>
          <w:sz w:val="20"/>
          <w:szCs w:val="20"/>
          <w:color w:val="auto"/>
        </w:rPr>
      </w:pPr>
    </w:p>
    <w:p>
      <w:pPr>
        <w:ind w:right="60" w:firstLine="405"/>
        <w:spacing w:after="0" w:line="238" w:lineRule="auto"/>
        <w:rPr>
          <w:sz w:val="20"/>
          <w:szCs w:val="20"/>
          <w:color w:val="auto"/>
        </w:rPr>
      </w:pPr>
      <w:r>
        <w:rPr>
          <w:rFonts w:ascii="Arial" w:cs="Arial" w:eastAsia="Arial" w:hAnsi="Arial"/>
          <w:sz w:val="18"/>
          <w:szCs w:val="18"/>
          <w:color w:val="auto"/>
        </w:rPr>
        <w:t>INLINE, KRAFTLINE, PRINTLINE, HYDROCROSS, SEAM HYDROCROSS, HYDROMAX, SEAMPLANE, Seam KMX, SPRING, VENTABELT EVM, VENTABELT XTS, VENTABELT XTR, TRANSBELT GX, TRANSBELT GXM, SPIRALTOP, AEROPULSE, AEROPOINT, DURASPIRAL, TOPSTAT, SUPRASTAT, PROVANTAGE, PROVANTAGE LC, PACKLINE, PACKTEX, PROLUX, KRAFTEX, FIBRETEX, ULTRA XT, DYNATEX, Aeroclean, SpiralRun, X-COR, K-COR, NOVALACE, DEXWIN, TWINCONE, FILAWIN, AIRSTRUT, and CARBON-24 are all trade names of Albany International Corp.</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Directors and Officers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240"/>
          </w:cols>
          <w:pgMar w:left="320" w:top="301" w:right="339" w:bottom="1440" w:gutter="0" w:footer="0" w:header="0"/>
        </w:sectPr>
      </w:pP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Erland E. Kailbourne, Chairman</w:t>
      </w: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 William Higgins</w:t>
      </w:r>
    </w:p>
    <w:p>
      <w:pPr>
        <w:spacing w:after="0" w:line="63"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Retired – Chairman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Fleet National Bank (New York Region)</w:t>
      </w:r>
    </w:p>
    <w:p>
      <w:pPr>
        <w:sectPr>
          <w:pgSz w:w="11900" w:h="16838" w:orient="portrait"/>
          <w:cols w:equalWidth="0" w:num="1">
            <w:col w:w="11240"/>
          </w:cols>
          <w:pgMar w:left="320" w:top="301" w:right="339" w:bottom="1440" w:gutter="0" w:footer="0" w:header="0"/>
          <w:type w:val="continuous"/>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F. Cassidy, Jr.</w:t>
      </w: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3880"/>
        <w:spacing w:after="0"/>
        <w:rPr>
          <w:sz w:val="20"/>
          <w:szCs w:val="20"/>
          <w:color w:val="auto"/>
        </w:rPr>
      </w:pPr>
      <w:r>
        <w:rPr>
          <w:rFonts w:ascii="Arial" w:cs="Arial" w:eastAsia="Arial" w:hAnsi="Arial"/>
          <w:sz w:val="17"/>
          <w:szCs w:val="17"/>
          <w:color w:val="auto"/>
        </w:rPr>
        <w:t>Christine L. Standish</w:t>
      </w:r>
      <w:r>
        <w:rPr>
          <w:rFonts w:ascii="Arial" w:cs="Arial" w:eastAsia="Arial" w:hAnsi="Arial"/>
          <w:sz w:val="10"/>
          <w:szCs w:val="10"/>
          <w:color w:val="auto"/>
        </w:rPr>
        <w:t>3</w:t>
      </w:r>
    </w:p>
    <w:p>
      <w:pPr>
        <w:spacing w:after="0" w:line="75"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Retired – Senior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 and Executive Officer, J.S. Standish Company</w:t>
      </w:r>
    </w:p>
    <w:p>
      <w:pPr>
        <w:spacing w:after="0" w:line="75"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Science and Technology, United Technologies Corp.</w:t>
      </w:r>
    </w:p>
    <w:p>
      <w:pPr>
        <w:sectPr>
          <w:pgSz w:w="11900" w:h="16838" w:orient="portrait"/>
          <w:cols w:equalWidth="0" w:num="1">
            <w:col w:w="11240"/>
          </w:cols>
          <w:pgMar w:left="320" w:top="301" w:right="339" w:bottom="1440" w:gutter="0" w:footer="0" w:header="0"/>
          <w:type w:val="continuous"/>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Katharine L. Plourde</w:t>
      </w: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Kenneth Krueger</w:t>
      </w:r>
      <w:r>
        <w:rPr>
          <w:rFonts w:ascii="Arial" w:cs="Arial" w:eastAsia="Arial" w:hAnsi="Arial"/>
          <w:sz w:val="10"/>
          <w:szCs w:val="10"/>
          <w:color w:val="auto"/>
        </w:rPr>
        <w:t>1</w:t>
      </w:r>
    </w:p>
    <w:p>
      <w:pPr>
        <w:spacing w:after="0" w:line="74"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Retired – Principal and Analyst,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Chairman of the Board, Manitowoc Company Inc.</w:t>
      </w:r>
    </w:p>
    <w:p>
      <w:pPr>
        <w:spacing w:after="0" w:line="63"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Donaldson, Lufkin &amp; Jenrette, Inc.</w:t>
      </w:r>
    </w:p>
    <w:p>
      <w:pPr>
        <w:sectPr>
          <w:pgSz w:w="11900" w:h="16838" w:orient="portrait"/>
          <w:cols w:equalWidth="0" w:num="1">
            <w:col w:w="11240"/>
          </w:cols>
          <w:pgMar w:left="320" w:top="301" w:right="339" w:bottom="1440" w:gutter="0" w:footer="0" w:header="0"/>
          <w:type w:val="continuous"/>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J. Murphy</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John R. Scannell</w:t>
      </w:r>
      <w:r>
        <w:rPr>
          <w:rFonts w:ascii="Arial" w:cs="Arial" w:eastAsia="Arial" w:hAnsi="Arial"/>
          <w:sz w:val="10"/>
          <w:szCs w:val="10"/>
          <w:color w:val="auto"/>
        </w:rPr>
        <w:t>2</w:t>
      </w:r>
    </w:p>
    <w:p>
      <w:pPr>
        <w:spacing w:after="0" w:line="74"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Chief Financial Officer, Qorvo,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Chairman and Chief Executive Officer, Moog Inc.</w:t>
      </w:r>
    </w:p>
    <w:p>
      <w:pPr>
        <w:spacing w:after="0" w:line="200"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Lee C. Wortham</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3900"/>
        <w:spacing w:after="0"/>
        <w:rPr>
          <w:sz w:val="20"/>
          <w:szCs w:val="20"/>
          <w:color w:val="auto"/>
        </w:rPr>
      </w:pPr>
      <w:r>
        <w:rPr>
          <w:rFonts w:ascii="Arial" w:cs="Arial" w:eastAsia="Arial" w:hAnsi="Arial"/>
          <w:sz w:val="17"/>
          <w:szCs w:val="17"/>
          <w:color w:val="auto"/>
        </w:rPr>
        <w:t>J. Michael McQuade</w:t>
      </w:r>
      <w:r>
        <w:rPr>
          <w:rFonts w:ascii="Arial" w:cs="Arial" w:eastAsia="Arial" w:hAnsi="Arial"/>
          <w:sz w:val="10"/>
          <w:szCs w:val="10"/>
          <w:color w:val="auto"/>
        </w:rPr>
        <w:t>2</w:t>
      </w:r>
    </w:p>
    <w:p>
      <w:pPr>
        <w:spacing w:after="0" w:line="75"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Partner and COO, Barrantys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 for Research, Carnegie Mellon University</w:t>
      </w:r>
    </w:p>
    <w:p>
      <w:pPr>
        <w:spacing w:after="0" w:line="86"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5640"/>
        <w:spacing w:after="0"/>
        <w:rPr>
          <w:sz w:val="20"/>
          <w:szCs w:val="20"/>
          <w:color w:val="auto"/>
        </w:rPr>
      </w:pPr>
      <w:r>
        <w:rPr>
          <w:rFonts w:ascii="Arial" w:cs="Arial" w:eastAsia="Arial" w:hAnsi="Arial"/>
          <w:sz w:val="7"/>
          <w:szCs w:val="7"/>
          <w:color w:val="auto"/>
        </w:rPr>
        <w:t xml:space="preserve">1 </w:t>
      </w:r>
      <w:r>
        <w:rPr>
          <w:rFonts w:ascii="Arial" w:cs="Arial" w:eastAsia="Arial" w:hAnsi="Arial"/>
          <w:sz w:val="10"/>
          <w:szCs w:val="10"/>
          <w:color w:val="auto"/>
        </w:rPr>
        <w:t>Member, Audit Committee</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7"/>
          <w:szCs w:val="7"/>
          <w:color w:val="auto"/>
        </w:rPr>
        <w:t xml:space="preserve">2 </w:t>
      </w:r>
      <w:r>
        <w:rPr>
          <w:rFonts w:ascii="Arial" w:cs="Arial" w:eastAsia="Arial" w:hAnsi="Arial"/>
          <w:sz w:val="10"/>
          <w:szCs w:val="10"/>
          <w:color w:val="auto"/>
        </w:rPr>
        <w:t>Member, Compensation Committee</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7"/>
          <w:szCs w:val="7"/>
          <w:color w:val="auto"/>
        </w:rPr>
        <w:t xml:space="preserve">3 </w:t>
      </w:r>
      <w:r>
        <w:rPr>
          <w:rFonts w:ascii="Arial" w:cs="Arial" w:eastAsia="Arial" w:hAnsi="Arial"/>
          <w:sz w:val="10"/>
          <w:szCs w:val="10"/>
          <w:color w:val="auto"/>
        </w:rPr>
        <w:t>Member, Governance Committee</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Officers</w:t>
      </w:r>
    </w:p>
    <w:p>
      <w:pPr>
        <w:sectPr>
          <w:pgSz w:w="11900" w:h="16838" w:orient="portrait"/>
          <w:cols w:equalWidth="0" w:num="1">
            <w:col w:w="11240"/>
          </w:cols>
          <w:pgMar w:left="320" w:top="301" w:right="339" w:bottom="1440" w:gutter="0" w:footer="0" w:header="0"/>
          <w:type w:val="continuous"/>
        </w:sectPr>
      </w:pP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William Higgins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4160"/>
        <w:spacing w:after="0"/>
        <w:rPr>
          <w:sz w:val="20"/>
          <w:szCs w:val="20"/>
          <w:color w:val="auto"/>
        </w:rPr>
      </w:pPr>
      <w:r>
        <w:rPr>
          <w:rFonts w:ascii="Arial" w:cs="Arial" w:eastAsia="Arial" w:hAnsi="Arial"/>
          <w:sz w:val="17"/>
          <w:szCs w:val="17"/>
          <w:color w:val="auto"/>
        </w:rPr>
        <w:t>Stephen M. Nolan</w:t>
      </w:r>
    </w:p>
    <w:p>
      <w:pPr>
        <w:spacing w:after="0" w:line="74"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Arial" w:cs="Arial" w:eastAsia="Arial" w:hAnsi="Arial"/>
          <w:sz w:val="17"/>
          <w:szCs w:val="17"/>
          <w:color w:val="auto"/>
        </w:rPr>
        <w:t>Chief Financial Officer and Treasurer</w:t>
      </w:r>
    </w:p>
    <w:p>
      <w:pPr>
        <w:spacing w:after="0" w:line="211"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A. Halftermeyer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Greg Harwell</w:t>
      </w:r>
    </w:p>
    <w:p>
      <w:pPr>
        <w:spacing w:after="0" w:line="63"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President – Machine Clothing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 Engineered Composites</w:t>
      </w:r>
    </w:p>
    <w:p>
      <w:pPr>
        <w:spacing w:after="0" w:line="211"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Alice McCarvill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4160"/>
        <w:spacing w:after="0"/>
        <w:rPr>
          <w:sz w:val="20"/>
          <w:szCs w:val="20"/>
          <w:color w:val="auto"/>
        </w:rPr>
      </w:pPr>
      <w:r>
        <w:rPr>
          <w:rFonts w:ascii="Arial" w:cs="Arial" w:eastAsia="Arial" w:hAnsi="Arial"/>
          <w:sz w:val="18"/>
          <w:szCs w:val="18"/>
          <w:color w:val="auto"/>
        </w:rPr>
        <w:t>Robert A. Hansen</w:t>
      </w:r>
    </w:p>
    <w:p>
      <w:pPr>
        <w:spacing w:after="0" w:line="63"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Executive Vice President Human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74"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and Chief Human Resources Officer</w:t>
      </w:r>
    </w:p>
    <w:p>
      <w:pPr>
        <w:sectPr>
          <w:pgSz w:w="11900" w:h="16838" w:orient="portrait"/>
          <w:cols w:equalWidth="0" w:num="1">
            <w:col w:w="11240"/>
          </w:cols>
          <w:pgMar w:left="320" w:top="301" w:right="339" w:bottom="1440" w:gutter="0" w:footer="0" w:header="0"/>
          <w:type w:val="continuous"/>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M. Pawlick</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80"/>
        <w:spacing w:after="0"/>
        <w:rPr>
          <w:sz w:val="20"/>
          <w:szCs w:val="20"/>
          <w:color w:val="auto"/>
        </w:rPr>
      </w:pPr>
      <w:r>
        <w:rPr>
          <w:rFonts w:ascii="Arial" w:cs="Arial" w:eastAsia="Arial" w:hAnsi="Arial"/>
          <w:sz w:val="17"/>
          <w:szCs w:val="17"/>
          <w:color w:val="auto"/>
        </w:rPr>
        <w:t>Joseph M. Gaug</w:t>
      </w:r>
    </w:p>
    <w:p>
      <w:pPr>
        <w:spacing w:after="0" w:line="88"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Vice President – Controller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 – General Counsel and Secretary</w:t>
      </w:r>
    </w:p>
    <w:p>
      <w:pPr>
        <w:spacing w:after="0" w:line="200" w:lineRule="exact"/>
        <w:rPr>
          <w:sz w:val="20"/>
          <w:szCs w:val="20"/>
          <w:color w:val="auto"/>
        </w:rPr>
      </w:pPr>
    </w:p>
    <w:p>
      <w:pPr>
        <w:sectPr>
          <w:pgSz w:w="11900" w:h="16838" w:orient="portrait"/>
          <w:cols w:equalWidth="0" w:num="2">
            <w:col w:w="4920" w:space="720"/>
            <w:col w:w="5600"/>
          </w:cols>
          <w:pgMar w:left="320" w:top="301"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30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10(u)(viii)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TRANSITION BONUS AGREEMENT</w:t>
      </w:r>
    </w:p>
    <w:p>
      <w:pPr>
        <w:spacing w:after="0" w:line="200" w:lineRule="exact"/>
        <w:rPr>
          <w:sz w:val="20"/>
          <w:szCs w:val="20"/>
          <w:color w:val="auto"/>
        </w:rPr>
      </w:pPr>
    </w:p>
    <w:p>
      <w:pPr>
        <w:spacing w:after="0" w:line="28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THIS AGREEMENT is executed as of the dates set forth below but with effect as of January 15, 2021, by and between Albany International Corp., a Delaware corporation having an office and principal place of business at 216 Airport Drive, Rochester, New Hampshire, (hereinafter referred to as “Albany”) and David M. Pawlick (hereinafter referred to as “Employee”).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has been, and is currently, employed by Albany in a key financial position, to wit: Vice President - Controller;</w:t>
      </w:r>
    </w:p>
    <w:p>
      <w:pPr>
        <w:spacing w:after="0" w:line="234" w:lineRule="auto"/>
        <w:rPr>
          <w:sz w:val="20"/>
          <w:szCs w:val="20"/>
          <w:color w:val="auto"/>
        </w:rPr>
      </w:pPr>
      <w:r>
        <w:rPr>
          <w:rFonts w:ascii="Arial" w:cs="Arial" w:eastAsia="Arial" w:hAnsi="Arial"/>
          <w:sz w:val="18"/>
          <w:szCs w:val="18"/>
          <w:color w:val="auto"/>
        </w:rPr>
        <w:t>and</w:t>
      </w:r>
    </w:p>
    <w:p>
      <w:pPr>
        <w:ind w:left="660"/>
        <w:spacing w:after="0" w:line="235" w:lineRule="auto"/>
        <w:rPr>
          <w:sz w:val="20"/>
          <w:szCs w:val="20"/>
          <w:color w:val="auto"/>
        </w:rPr>
      </w:pPr>
      <w:r>
        <w:rPr>
          <w:rFonts w:ascii="Arial" w:cs="Arial" w:eastAsia="Arial" w:hAnsi="Arial"/>
          <w:sz w:val="18"/>
          <w:szCs w:val="18"/>
          <w:color w:val="auto"/>
        </w:rPr>
        <w:t>WHEREAS, Employee has informed Albany of his intent to retire in the near future; and</w:t>
      </w:r>
    </w:p>
    <w:p>
      <w:pPr>
        <w:spacing w:after="0" w:line="1" w:lineRule="exact"/>
        <w:rPr>
          <w:sz w:val="20"/>
          <w:szCs w:val="20"/>
          <w:color w:val="auto"/>
        </w:rPr>
      </w:pPr>
    </w:p>
    <w:p>
      <w:pPr>
        <w:ind w:right="300" w:firstLine="648"/>
        <w:spacing w:after="0" w:line="234" w:lineRule="auto"/>
        <w:rPr>
          <w:sz w:val="20"/>
          <w:szCs w:val="20"/>
          <w:color w:val="auto"/>
        </w:rPr>
      </w:pPr>
      <w:r>
        <w:rPr>
          <w:rFonts w:ascii="Arial" w:cs="Arial" w:eastAsia="Arial" w:hAnsi="Arial"/>
          <w:sz w:val="18"/>
          <w:szCs w:val="18"/>
          <w:color w:val="auto"/>
        </w:rPr>
        <w:t>WHEREAS, Albany wishes for Employee to remain in its employment through September 30, 2021 in order to assist in identifying and training a successor to whom his duties can be transitioned; and</w:t>
      </w:r>
    </w:p>
    <w:p>
      <w:pPr>
        <w:spacing w:after="0" w:line="1" w:lineRule="exact"/>
        <w:rPr>
          <w:sz w:val="20"/>
          <w:szCs w:val="20"/>
          <w:color w:val="auto"/>
        </w:rPr>
      </w:pPr>
    </w:p>
    <w:p>
      <w:pPr>
        <w:ind w:right="200" w:firstLine="648"/>
        <w:spacing w:after="0" w:line="234" w:lineRule="auto"/>
        <w:rPr>
          <w:sz w:val="20"/>
          <w:szCs w:val="20"/>
          <w:color w:val="auto"/>
        </w:rPr>
      </w:pPr>
      <w:r>
        <w:rPr>
          <w:rFonts w:ascii="Arial" w:cs="Arial" w:eastAsia="Arial" w:hAnsi="Arial"/>
          <w:sz w:val="18"/>
          <w:szCs w:val="18"/>
          <w:color w:val="auto"/>
        </w:rPr>
        <w:t>WHEREAS, Albany therefore seeks to incentivize Employee to continue his voluntary employment with Albany until September 30, 2021; and</w:t>
      </w:r>
    </w:p>
    <w:p>
      <w:pPr>
        <w:spacing w:after="0" w:line="1" w:lineRule="exact"/>
        <w:rPr>
          <w:sz w:val="20"/>
          <w:szCs w:val="20"/>
          <w:color w:val="auto"/>
        </w:rPr>
      </w:pPr>
    </w:p>
    <w:p>
      <w:pPr>
        <w:ind w:right="540" w:firstLine="648"/>
        <w:spacing w:after="0" w:line="234" w:lineRule="auto"/>
        <w:rPr>
          <w:sz w:val="20"/>
          <w:szCs w:val="20"/>
          <w:color w:val="auto"/>
        </w:rPr>
      </w:pPr>
      <w:r>
        <w:rPr>
          <w:rFonts w:ascii="Arial" w:cs="Arial" w:eastAsia="Arial" w:hAnsi="Arial"/>
          <w:sz w:val="18"/>
          <w:szCs w:val="18"/>
          <w:color w:val="auto"/>
        </w:rPr>
        <w:t>WHEREAS, Employee agrees to continue his employment with Albany until September 30, 2021 under the conditions set forth herein; and</w:t>
      </w:r>
    </w:p>
    <w:p>
      <w:pPr>
        <w:spacing w:after="0" w:line="1"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WHEREAS, Employee and Albany each believe that it is in their best interests to provide Employee with the certain protections as set forth herein.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3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NOW THEREFORE, in consideration of the foregoing premises, the covenants and promises set forth herein, and other good and valuable consideration, the receipt and sufficiency of which is hereby acknowledged, Albany and Employee hereby agree as follows:</w:t>
      </w:r>
    </w:p>
    <w:p>
      <w:pPr>
        <w:spacing w:after="0" w:line="224" w:lineRule="exact"/>
        <w:rPr>
          <w:sz w:val="20"/>
          <w:szCs w:val="20"/>
          <w:color w:val="auto"/>
        </w:rPr>
      </w:pPr>
    </w:p>
    <w:p>
      <w:pPr>
        <w:jc w:val="both"/>
        <w:ind w:right="40" w:firstLine="8"/>
        <w:spacing w:after="0" w:line="234"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Employee shall continue in the employ of Albany performing, in good faith, and to the best of his abilities, the duties of his current position and such other duties that as are assigned to him from time to time by his supervisor, including assisting in identifying and training a successor to whom his duties shall be transitioned. Employee shall be paid at his current salary, and shall continue be eligible for a pro-rated short-term incentive relating to the services rendered through the hereinafter defined Retention Date.</w:t>
      </w:r>
    </w:p>
    <w:p>
      <w:pPr>
        <w:spacing w:after="0" w:line="2" w:lineRule="exact"/>
        <w:rPr>
          <w:rFonts w:ascii="Arial" w:cs="Arial" w:eastAsia="Arial" w:hAnsi="Arial"/>
          <w:sz w:val="18"/>
          <w:szCs w:val="18"/>
          <w:color w:val="auto"/>
        </w:rPr>
      </w:pPr>
    </w:p>
    <w:p>
      <w:pPr>
        <w:ind w:right="120" w:firstLine="8"/>
        <w:spacing w:after="0" w:line="234"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Retention Incentive</w:t>
      </w:r>
      <w:r>
        <w:rPr>
          <w:rFonts w:ascii="Arial" w:cs="Arial" w:eastAsia="Arial" w:hAnsi="Arial"/>
          <w:sz w:val="18"/>
          <w:szCs w:val="18"/>
          <w:color w:val="auto"/>
        </w:rPr>
        <w:t>. In order to induce Employee to remain in Albany’s employ and to encourage him to remain so employed through and until September 30, 2021 (the “Retention Date”), Albany agrees to pay Employee a retention incentive in the manner, and according to the terms, set forth herein.</w:t>
      </w:r>
    </w:p>
    <w:p>
      <w:pPr>
        <w:spacing w:after="0" w:line="2" w:lineRule="exact"/>
        <w:rPr>
          <w:rFonts w:ascii="Arial" w:cs="Arial" w:eastAsia="Arial" w:hAnsi="Arial"/>
          <w:sz w:val="18"/>
          <w:szCs w:val="18"/>
          <w:color w:val="auto"/>
        </w:rPr>
      </w:pPr>
    </w:p>
    <w:p>
      <w:pPr>
        <w:jc w:val="both"/>
        <w:ind w:firstLine="656"/>
        <w:spacing w:after="0" w:line="237" w:lineRule="auto"/>
        <w:tabs>
          <w:tab w:leader="none" w:pos="86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Amount of Retention Incentive.</w:t>
      </w:r>
      <w:r>
        <w:rPr>
          <w:rFonts w:ascii="Arial" w:cs="Arial" w:eastAsia="Arial" w:hAnsi="Arial"/>
          <w:sz w:val="18"/>
          <w:szCs w:val="18"/>
          <w:color w:val="auto"/>
        </w:rPr>
        <w:t xml:space="preserve"> Subject to the provisions of Paragraph 4 below, as soon as practical after the Retention Date Albany shall cause Employee to be paid for any unvested Phantom Performance Stock units that may have been previously awarded to him in accordance with the special vesting provisions of Albany’s 2011 Performance Phantom Stock Plan (the “Plan”). For the avoidance of any doubt, one-half of the unvested Performance Phantom Stock units credited to his Performance Phantom Stock Account shall vest on the Retention Date and the balance shall be forfeited. Payment for the units vesting on the Retention Date (the “Retention Incentive”) shall be calculated and paid according to the terms of the Plan.</w:t>
      </w:r>
    </w:p>
    <w:p>
      <w:pPr>
        <w:spacing w:after="0" w:line="218" w:lineRule="exact"/>
        <w:rPr>
          <w:rFonts w:ascii="Arial" w:cs="Arial" w:eastAsia="Arial" w:hAnsi="Arial"/>
          <w:sz w:val="18"/>
          <w:szCs w:val="18"/>
          <w:color w:val="auto"/>
        </w:rPr>
      </w:pPr>
    </w:p>
    <w:p>
      <w:pPr>
        <w:ind w:right="160" w:firstLine="656"/>
        <w:spacing w:after="0" w:line="222" w:lineRule="auto"/>
        <w:tabs>
          <w:tab w:leader="none" w:pos="84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Retention Incentive shall vest and be earned on the Retention Date provided Employee is still employed by Albany on such date and it has been determined, in Albany’s sole discretion, that Employee has substantially completed the transition of his duties. In the event that Albany terminates Employee’s employment prior to the Retention Date without Cause (as defined in paragraph 5), Albany shall be obligated to pay Employee the Retention Incentive upon termination; in the event Employee’s employment with Albany terminates prior to the Retention Date for any other reason, the Retention Incentive shall be forfeited and shall never vest.</w:t>
      </w:r>
    </w:p>
    <w:p>
      <w:pPr>
        <w:spacing w:after="0" w:line="1" w:lineRule="exact"/>
        <w:rPr>
          <w:rFonts w:ascii="Arial" w:cs="Arial" w:eastAsia="Arial" w:hAnsi="Arial"/>
          <w:sz w:val="18"/>
          <w:szCs w:val="18"/>
          <w:color w:val="auto"/>
        </w:rPr>
      </w:pPr>
    </w:p>
    <w:p>
      <w:pPr>
        <w:ind w:left="860" w:hanging="204"/>
        <w:spacing w:after="0" w:line="234" w:lineRule="auto"/>
        <w:tabs>
          <w:tab w:leader="none" w:pos="86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the purposes of this Agreement, "Cause" shall mean:</w:t>
      </w:r>
    </w:p>
    <w:p>
      <w:pPr>
        <w:spacing w:after="0" w:line="1" w:lineRule="exact"/>
        <w:rPr>
          <w:sz w:val="20"/>
          <w:szCs w:val="20"/>
          <w:color w:val="auto"/>
        </w:rPr>
      </w:pPr>
    </w:p>
    <w:p>
      <w:pPr>
        <w:ind w:right="340" w:firstLine="656"/>
        <w:spacing w:after="0" w:line="234" w:lineRule="auto"/>
        <w:tabs>
          <w:tab w:leader="none" w:pos="8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conviction of Employee for, or the entry of a plea of guilty or nolo contendere by Employee to, a felony charge or any crime involving moral turpitude;</w:t>
      </w:r>
    </w:p>
    <w:p>
      <w:pPr>
        <w:spacing w:after="0" w:line="1" w:lineRule="exact"/>
        <w:rPr>
          <w:rFonts w:ascii="Arial" w:cs="Arial" w:eastAsia="Arial" w:hAnsi="Arial"/>
          <w:sz w:val="18"/>
          <w:szCs w:val="18"/>
          <w:color w:val="auto"/>
        </w:rPr>
      </w:pPr>
    </w:p>
    <w:p>
      <w:pPr>
        <w:ind w:right="160" w:firstLine="656"/>
        <w:spacing w:after="0" w:line="234" w:lineRule="auto"/>
        <w:tabs>
          <w:tab w:leader="none" w:pos="8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Unlawful conduct on the part of Employee that may reasonably be considered to reflect negatively on Albany or compromise the effective performance of Employee’s duties as determined by Albany in its sole discretion;</w:t>
      </w:r>
    </w:p>
    <w:p>
      <w:pPr>
        <w:spacing w:after="0" w:line="1" w:lineRule="exact"/>
        <w:rPr>
          <w:rFonts w:ascii="Arial" w:cs="Arial" w:eastAsia="Arial" w:hAnsi="Arial"/>
          <w:sz w:val="18"/>
          <w:szCs w:val="18"/>
          <w:color w:val="auto"/>
        </w:rPr>
      </w:pPr>
    </w:p>
    <w:p>
      <w:pPr>
        <w:ind w:right="260" w:firstLine="656"/>
        <w:spacing w:after="0"/>
        <w:tabs>
          <w:tab w:leader="none" w:pos="9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Employee’s willful misconduct in connection with his duties or willful failure to use reasonable effort to perform substantially his responsibilities in the best interest of Albany (including, without limitation, breach by the Employee of this Agreement), except in cases involving Employee’s mental or physical incapacity or disability;</w:t>
      </w:r>
    </w:p>
    <w:p>
      <w:pPr>
        <w:sectPr>
          <w:pgSz w:w="11900" w:h="16838" w:orient="portrait"/>
          <w:cols w:equalWidth="0" w:num="1">
            <w:col w:w="11240"/>
          </w:cols>
          <w:pgMar w:left="320" w:top="1255" w:right="339" w:bottom="1440" w:gutter="0" w:footer="0" w:header="0"/>
        </w:sectPr>
      </w:pPr>
    </w:p>
    <w:bookmarkStart w:id="118" w:name="page119"/>
    <w:bookmarkEnd w:id="118"/>
    <w:p>
      <w:pPr>
        <w:ind w:firstLine="656"/>
        <w:spacing w:after="0" w:line="234" w:lineRule="auto"/>
        <w:tabs>
          <w:tab w:leader="none" w:pos="9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Employee’s willful violation of Albany’s Business Ethics Policy or any other company policy that may reasonably be considered to reflect negatively on Albany or compromise the effective performance of Employee’s duties as determined by Albany in its sole discretion;</w:t>
      </w:r>
    </w:p>
    <w:p>
      <w:pPr>
        <w:spacing w:after="0" w:line="1" w:lineRule="exact"/>
        <w:rPr>
          <w:rFonts w:ascii="Arial" w:cs="Arial" w:eastAsia="Arial" w:hAnsi="Arial"/>
          <w:sz w:val="18"/>
          <w:szCs w:val="18"/>
          <w:color w:val="auto"/>
        </w:rPr>
      </w:pPr>
    </w:p>
    <w:p>
      <w:pPr>
        <w:ind w:left="920" w:hanging="264"/>
        <w:spacing w:after="0" w:line="234"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fraud, material dishonesty, or gross misconduct in connection with Albany perpetrated by Employee;</w:t>
      </w:r>
    </w:p>
    <w:p>
      <w:pPr>
        <w:ind w:left="960" w:hanging="304"/>
        <w:spacing w:after="0" w:line="234" w:lineRule="auto"/>
        <w:tabs>
          <w:tab w:leader="none" w:pos="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Employee undertaking a position in competition with Albany;</w:t>
      </w:r>
    </w:p>
    <w:p>
      <w:pPr>
        <w:ind w:right="40" w:firstLine="656"/>
        <w:spacing w:after="0" w:line="234" w:lineRule="auto"/>
        <w:tabs>
          <w:tab w:leader="none" w:pos="9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Employee having caused substantial harm to Albany with intent to do so or as a result of gross negligence in the performance of his or her duties; or</w:t>
      </w:r>
    </w:p>
    <w:p>
      <w:pPr>
        <w:spacing w:after="0" w:line="1" w:lineRule="exact"/>
        <w:rPr>
          <w:rFonts w:ascii="Arial" w:cs="Arial" w:eastAsia="Arial" w:hAnsi="Arial"/>
          <w:sz w:val="18"/>
          <w:szCs w:val="18"/>
          <w:color w:val="auto"/>
        </w:rPr>
      </w:pPr>
    </w:p>
    <w:p>
      <w:pPr>
        <w:ind w:left="1040" w:hanging="384"/>
        <w:spacing w:after="0" w:line="234" w:lineRule="auto"/>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Employee having wrongfully and substantially enriched himself at the expense of Albany.</w:t>
      </w:r>
    </w:p>
    <w:p>
      <w:pPr>
        <w:ind w:right="320" w:firstLine="8"/>
        <w:spacing w:after="0" w:line="234" w:lineRule="auto"/>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Employment At-Will</w:t>
      </w:r>
      <w:r>
        <w:rPr>
          <w:rFonts w:ascii="Arial" w:cs="Arial" w:eastAsia="Arial" w:hAnsi="Arial"/>
          <w:sz w:val="18"/>
          <w:szCs w:val="18"/>
          <w:color w:val="auto"/>
        </w:rPr>
        <w:t>. Nothing herein shall alter the at-will nature of Employee’s employment with Albany and either party may terminate such relationship at any time, with or without cause.</w:t>
      </w:r>
    </w:p>
    <w:p>
      <w:pPr>
        <w:spacing w:after="0" w:line="1" w:lineRule="exact"/>
        <w:rPr>
          <w:rFonts w:ascii="Arial" w:cs="Arial" w:eastAsia="Arial" w:hAnsi="Arial"/>
          <w:sz w:val="18"/>
          <w:szCs w:val="18"/>
          <w:color w:val="auto"/>
        </w:rPr>
      </w:pPr>
    </w:p>
    <w:p>
      <w:pPr>
        <w:ind w:right="100" w:firstLine="648"/>
        <w:spacing w:after="0" w:line="248" w:lineRule="auto"/>
        <w:rPr>
          <w:rFonts w:ascii="Arial" w:cs="Arial" w:eastAsia="Arial" w:hAnsi="Arial"/>
          <w:sz w:val="18"/>
          <w:szCs w:val="18"/>
          <w:color w:val="auto"/>
        </w:rPr>
      </w:pPr>
      <w:r>
        <w:rPr>
          <w:rFonts w:ascii="Arial" w:cs="Arial" w:eastAsia="Arial" w:hAnsi="Arial"/>
          <w:sz w:val="17"/>
          <w:szCs w:val="17"/>
          <w:color w:val="auto"/>
        </w:rPr>
        <w:t xml:space="preserve">7. </w:t>
      </w:r>
      <w:r>
        <w:rPr>
          <w:rFonts w:ascii="Arial" w:cs="Arial" w:eastAsia="Arial" w:hAnsi="Arial"/>
          <w:sz w:val="17"/>
          <w:szCs w:val="17"/>
          <w:u w:val="single" w:color="auto"/>
          <w:color w:val="auto"/>
        </w:rPr>
        <w:t>Voluntary Termination.</w:t>
      </w:r>
      <w:r>
        <w:rPr>
          <w:rFonts w:ascii="Arial" w:cs="Arial" w:eastAsia="Arial" w:hAnsi="Arial"/>
          <w:sz w:val="17"/>
          <w:szCs w:val="17"/>
          <w:color w:val="auto"/>
        </w:rPr>
        <w:t xml:space="preserve"> Employee acknowledges his prior expression of a desire to terminate his employment with Albany through voluntary retirement and his agreement to delay such retirement in consideration of the promises made by Albany herein. Accordingly, Employee re-confirms his decision to resign his employment and retire no later than September 30, 2021 and thus hereby elects to retire as of September 30, 2021 in the event his employment has not been terminated by either party prior to that date. Albany accepts such election and the parties agree that such shall be considered and treated as a voluntary termination of employment by Employee as of such date.</w:t>
      </w:r>
    </w:p>
    <w:p>
      <w:pPr>
        <w:spacing w:after="0" w:line="2" w:lineRule="exact"/>
        <w:rPr>
          <w:rFonts w:ascii="Arial" w:cs="Arial" w:eastAsia="Arial" w:hAnsi="Arial"/>
          <w:sz w:val="18"/>
          <w:szCs w:val="18"/>
          <w:color w:val="auto"/>
        </w:rPr>
      </w:pPr>
    </w:p>
    <w:p>
      <w:pPr>
        <w:ind w:right="20" w:firstLine="648"/>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Proprietary and Confidential Information</w:t>
      </w:r>
      <w:r>
        <w:rPr>
          <w:rFonts w:ascii="Arial" w:cs="Arial" w:eastAsia="Arial" w:hAnsi="Arial"/>
          <w:sz w:val="18"/>
          <w:szCs w:val="18"/>
          <w:color w:val="auto"/>
        </w:rPr>
        <w:t>. Employee acknowledges that as a consequence of his employment by Albany, proprietary and confidential information relating to the business of Albany may be or have been disclosed to or developed or acquired by Employee which is not generally known to the trade or the general public and which is of considerable value to Albany. Such information includes, without limitation, information about trade secrets, inventions, patents, licenses, research projects, costs, profits, markets, sales, customer lists, computer programs, records, and software; plans for future development, and any other information not available to the trade or the general public, including information obtained from or developed in conjunction with a third party that is subject to a confidentiality or similar agreement between Albany and such third party. Employee acknowledges and agrees that his relationship with Albany with respect to such information is and shall be fiduciary in nature. During the remainder of, and after, his employment by Albany, Employee shall not use such information for his own benefit, or for the benefit of any other employer or for any other purpose whatsoever other than the performance of his work for Albany, and Employee shall maintain all such information in confidence and shall not disclose any thereof to any person other than employees of Albany authorized to receive such information. This obligation is in addition to any similar obligations of Employee pursuant to the other agreements. Employee further agrees to return any property belonging to Albany at the end of his employment.</w:t>
      </w:r>
    </w:p>
    <w:p>
      <w:pPr>
        <w:spacing w:after="0" w:line="231" w:lineRule="exact"/>
        <w:rPr>
          <w:sz w:val="20"/>
          <w:szCs w:val="20"/>
          <w:color w:val="auto"/>
        </w:rPr>
      </w:pPr>
    </w:p>
    <w:p>
      <w:pPr>
        <w:ind w:right="220" w:firstLine="656"/>
        <w:spacing w:after="0" w:line="237" w:lineRule="auto"/>
        <w:tabs>
          <w:tab w:leader="none" w:pos="8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Employee and Albany understand and agree that (a) the existence and terms of this agreement are strictly confidential; (b) they will not disclose the terms of this agreement to any third party, unless requested to do so by any state, federal or local regulatory, prosecutorial or administrative agency or body of competent jurisdiction, or court of competent jurisdiction. However, nothing herein shall (1) preclude Employee from discussing the contents hereof with his family, accountant, tax adviser or legal advisor, or (2) preclude Albany from informing any third parties, including prospective employers, that Employee is bound by certain previously-executed restrictive covenants agreements.</w:t>
      </w:r>
    </w:p>
    <w:p>
      <w:pPr>
        <w:spacing w:after="0" w:line="231" w:lineRule="exact"/>
        <w:rPr>
          <w:rFonts w:ascii="Arial" w:cs="Arial" w:eastAsia="Arial" w:hAnsi="Arial"/>
          <w:sz w:val="18"/>
          <w:szCs w:val="18"/>
          <w:color w:val="auto"/>
        </w:rPr>
      </w:pPr>
    </w:p>
    <w:p>
      <w:pPr>
        <w:ind w:right="200" w:firstLine="656"/>
        <w:spacing w:after="0"/>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In the event of Albany’s material restatement of its financial results, Employee shall repay the entire Retention Incentive, or forfeit such if not already paid, whether vested or unvested, to the extent the restatement is caused or substantially caused by fraud or intentional misconduct on the part of Employee.</w:t>
      </w:r>
    </w:p>
    <w:p>
      <w:pPr>
        <w:spacing w:after="0" w:line="229" w:lineRule="exact"/>
        <w:rPr>
          <w:rFonts w:ascii="Arial" w:cs="Arial" w:eastAsia="Arial" w:hAnsi="Arial"/>
          <w:sz w:val="18"/>
          <w:szCs w:val="18"/>
          <w:color w:val="auto"/>
        </w:rPr>
      </w:pPr>
    </w:p>
    <w:p>
      <w:pPr>
        <w:ind w:right="40" w:firstLine="656"/>
        <w:spacing w:after="0" w:line="234"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 Extent and Applicability</w:t>
      </w:r>
      <w:r>
        <w:rPr>
          <w:rFonts w:ascii="Arial" w:cs="Arial" w:eastAsia="Arial" w:hAnsi="Arial"/>
          <w:sz w:val="18"/>
          <w:szCs w:val="18"/>
          <w:color w:val="auto"/>
        </w:rPr>
        <w:t>. This Agreement constitutes the entire agreement between the parties regarding the subject matter hereof and supersedes all prior agreements and understandings, whether written or oral. Nothing herein is intended to govern or determine, or shall be construed as governing or determining, (1) any rights of Employee, Albany, or its successors, to terminate such employment, or (2) any terms or conditions of such employment. This Agreement shall not be construed as giving Employee any legal or equitable right not otherwise specifically provided for herein.</w:t>
      </w:r>
    </w:p>
    <w:p>
      <w:pPr>
        <w:spacing w:after="0" w:line="3" w:lineRule="exact"/>
        <w:rPr>
          <w:rFonts w:ascii="Arial" w:cs="Arial" w:eastAsia="Arial" w:hAnsi="Arial"/>
          <w:sz w:val="18"/>
          <w:szCs w:val="18"/>
          <w:color w:val="auto"/>
        </w:rPr>
      </w:pPr>
    </w:p>
    <w:p>
      <w:pPr>
        <w:ind w:right="540" w:firstLine="656"/>
        <w:spacing w:after="0" w:line="234"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any provisions thereof relating to conflict of laws.</w:t>
      </w:r>
    </w:p>
    <w:p>
      <w:pPr>
        <w:spacing w:after="0" w:line="1" w:lineRule="exact"/>
        <w:rPr>
          <w:rFonts w:ascii="Arial" w:cs="Arial" w:eastAsia="Arial" w:hAnsi="Arial"/>
          <w:sz w:val="18"/>
          <w:szCs w:val="18"/>
          <w:color w:val="auto"/>
        </w:rPr>
      </w:pPr>
    </w:p>
    <w:p>
      <w:pPr>
        <w:ind w:left="960" w:hanging="304"/>
        <w:spacing w:after="0" w:line="234"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executed by both the Albany and the</w:t>
      </w:r>
    </w:p>
    <w:p>
      <w:pPr>
        <w:spacing w:after="0" w:line="234" w:lineRule="auto"/>
        <w:rPr>
          <w:rFonts w:ascii="Arial" w:cs="Arial" w:eastAsia="Arial" w:hAnsi="Arial"/>
          <w:sz w:val="18"/>
          <w:szCs w:val="18"/>
          <w:color w:val="auto"/>
        </w:rPr>
      </w:pPr>
      <w:r>
        <w:rPr>
          <w:rFonts w:ascii="Arial" w:cs="Arial" w:eastAsia="Arial" w:hAnsi="Arial"/>
          <w:sz w:val="18"/>
          <w:szCs w:val="18"/>
          <w:color w:val="auto"/>
        </w:rPr>
        <w:t>Employee.</w:t>
      </w:r>
    </w:p>
    <w:p>
      <w:pPr>
        <w:ind w:right="20" w:firstLine="656"/>
        <w:spacing w:after="0" w:line="234"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both parties and their respective successors and assigns, including any corporation with which or into which the Albany may be merged or which may succeed to its assets or business, provided, however, that the obligations of the Employee are personal and shall not be assigned by him.</w:t>
      </w:r>
    </w:p>
    <w:p>
      <w:pPr>
        <w:spacing w:after="0" w:line="2" w:lineRule="exact"/>
        <w:rPr>
          <w:rFonts w:ascii="Arial" w:cs="Arial" w:eastAsia="Arial" w:hAnsi="Arial"/>
          <w:sz w:val="18"/>
          <w:szCs w:val="18"/>
          <w:color w:val="auto"/>
        </w:rPr>
      </w:pPr>
    </w:p>
    <w:p>
      <w:pPr>
        <w:ind w:right="300" w:firstLine="656"/>
        <w:spacing w:after="0" w:line="246" w:lineRule="auto"/>
        <w:tabs>
          <w:tab w:leader="none" w:pos="9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agree that they have waived their right to a jury trial with respect to any controversy, claim, or dispute arising out of or relating to this Agreement, or the breach thereof, or arising out</w:t>
      </w:r>
    </w:p>
    <w:p>
      <w:pPr>
        <w:sectPr>
          <w:pgSz w:w="11900" w:h="16838" w:orient="portrait"/>
          <w:cols w:equalWidth="0" w:num="1">
            <w:col w:w="11220"/>
          </w:cols>
          <w:pgMar w:left="320" w:top="1084"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of or relating to the employment of the Employee, or the termination thereof, including any claims under federal, state, or local law.</w:t>
      </w:r>
    </w:p>
    <w:p>
      <w:pPr>
        <w:spacing w:after="0" w:line="23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WITNESS WHEREOF, a duly authorized representative of Albany and Employee have signed this Agreement to be effective as of the day and year first set forth above.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ALBANY INTERNATIONAL CORP.</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Alice McCarvill</w:t>
      </w:r>
      <w:r>
        <w:rPr>
          <w:rFonts w:ascii="Arial" w:cs="Arial" w:eastAsia="Arial" w:hAnsi="Arial"/>
          <w:sz w:val="18"/>
          <w:szCs w:val="18"/>
          <w:color w:val="auto"/>
        </w:rPr>
        <w:t xml:space="preserve"> Dated: _ </w:t>
      </w:r>
      <w:r>
        <w:rPr>
          <w:rFonts w:ascii="Arial" w:cs="Arial" w:eastAsia="Arial" w:hAnsi="Arial"/>
          <w:sz w:val="18"/>
          <w:szCs w:val="18"/>
          <w:u w:val="single" w:color="auto"/>
          <w:color w:val="auto"/>
        </w:rPr>
        <w:t>January 15, 2021</w:t>
      </w:r>
      <w:r>
        <w:rPr>
          <w:rFonts w:ascii="Arial" w:cs="Arial" w:eastAsia="Arial" w:hAnsi="Arial"/>
          <w:sz w:val="18"/>
          <w:szCs w:val="18"/>
          <w:color w:val="auto"/>
        </w:rPr>
        <w:t>_______</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M. Pawlick</w:t>
      </w:r>
      <w:r>
        <w:rPr>
          <w:rFonts w:ascii="Arial" w:cs="Arial" w:eastAsia="Arial" w:hAnsi="Arial"/>
          <w:sz w:val="18"/>
          <w:szCs w:val="18"/>
          <w:color w:val="auto"/>
        </w:rPr>
        <w:t xml:space="preserve"> Dated: __</w:t>
      </w:r>
      <w:r>
        <w:rPr>
          <w:rFonts w:ascii="Arial" w:cs="Arial" w:eastAsia="Arial" w:hAnsi="Arial"/>
          <w:sz w:val="18"/>
          <w:szCs w:val="18"/>
          <w:u w:val="single" w:color="auto"/>
          <w:color w:val="auto"/>
        </w:rPr>
        <w:t>January 15, 2021</w:t>
      </w:r>
      <w:r>
        <w:rPr>
          <w:rFonts w:ascii="Arial" w:cs="Arial" w:eastAsia="Arial" w:hAnsi="Arial"/>
          <w:sz w:val="18"/>
          <w:szCs w:val="18"/>
          <w:color w:val="auto"/>
        </w:rPr>
        <w:t>_______</w:t>
      </w:r>
    </w:p>
    <w:p>
      <w:pPr>
        <w:spacing w:after="0"/>
        <w:rPr>
          <w:sz w:val="20"/>
          <w:szCs w:val="20"/>
          <w:color w:val="auto"/>
        </w:rPr>
      </w:pPr>
      <w:r>
        <w:rPr>
          <w:rFonts w:ascii="Arial" w:cs="Arial" w:eastAsia="Arial" w:hAnsi="Arial"/>
          <w:sz w:val="18"/>
          <w:szCs w:val="18"/>
          <w:color w:val="auto"/>
        </w:rPr>
        <w:t>David M. Pawlick</w:t>
      </w:r>
    </w:p>
    <w:p>
      <w:pPr>
        <w:sectPr>
          <w:pgSz w:w="11900" w:h="16838" w:orient="portrait"/>
          <w:cols w:equalWidth="0" w:num="1">
            <w:col w:w="11200"/>
          </w:cols>
          <w:pgMar w:left="320" w:top="1084" w:right="37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tcPr>
          <w:p>
            <w:pPr>
              <w:ind w:left="1120"/>
              <w:spacing w:after="0"/>
              <w:rPr>
                <w:sz w:val="20"/>
                <w:szCs w:val="20"/>
                <w:color w:val="auto"/>
              </w:rPr>
            </w:pPr>
            <w:r>
              <w:rPr>
                <w:rFonts w:ascii="Arial" w:cs="Arial" w:eastAsia="Arial" w:hAnsi="Arial"/>
                <w:sz w:val="18"/>
                <w:szCs w:val="18"/>
                <w:b w:val="1"/>
                <w:bCs w:val="1"/>
                <w:color w:val="auto"/>
                <w:w w:val="91"/>
              </w:rPr>
              <w:t>Exhibit 21</w:t>
            </w:r>
          </w:p>
        </w:tc>
      </w:tr>
      <w:tr>
        <w:trPr>
          <w:trHeight w:val="446"/>
        </w:trPr>
        <w:tc>
          <w:tcPr>
            <w:tcW w:w="6240" w:type="dxa"/>
            <w:vAlign w:val="bottom"/>
          </w:tcPr>
          <w:p>
            <w:pPr>
              <w:spacing w:after="0"/>
              <w:rPr>
                <w:sz w:val="20"/>
                <w:szCs w:val="20"/>
                <w:color w:val="auto"/>
              </w:rPr>
            </w:pPr>
            <w:r>
              <w:rPr>
                <w:rFonts w:ascii="Arial" w:cs="Arial" w:eastAsia="Arial" w:hAnsi="Arial"/>
                <w:sz w:val="18"/>
                <w:szCs w:val="18"/>
                <w:b w:val="1"/>
                <w:bCs w:val="1"/>
                <w:color w:val="auto"/>
              </w:rPr>
              <w:t>SUBSIDIARIES OF REGISTRANT</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6"/>
        </w:trPr>
        <w:tc>
          <w:tcPr>
            <w:tcW w:w="6240" w:type="dxa"/>
            <w:vAlign w:val="bottom"/>
          </w:tcPr>
          <w:p>
            <w:pPr>
              <w:spacing w:after="0"/>
              <w:rPr>
                <w:sz w:val="24"/>
                <w:szCs w:val="24"/>
                <w:color w:val="auto"/>
              </w:rPr>
            </w:pPr>
          </w:p>
        </w:tc>
        <w:tc>
          <w:tcPr>
            <w:tcW w:w="1760" w:type="dxa"/>
            <w:vAlign w:val="bottom"/>
          </w:tcPr>
          <w:p>
            <w:pPr>
              <w:ind w:left="640"/>
              <w:spacing w:after="0"/>
              <w:rPr>
                <w:sz w:val="20"/>
                <w:szCs w:val="20"/>
                <w:color w:val="auto"/>
              </w:rPr>
            </w:pPr>
            <w:r>
              <w:rPr>
                <w:rFonts w:ascii="Arial" w:cs="Arial" w:eastAsia="Arial" w:hAnsi="Arial"/>
                <w:sz w:val="18"/>
                <w:szCs w:val="18"/>
                <w:b w:val="1"/>
                <w:bCs w:val="1"/>
                <w:color w:val="auto"/>
              </w:rPr>
              <w:t>Percent</w:t>
            </w:r>
          </w:p>
        </w:tc>
        <w:tc>
          <w:tcPr>
            <w:tcW w:w="1300" w:type="dxa"/>
            <w:vAlign w:val="bottom"/>
          </w:tcPr>
          <w:p>
            <w:pPr>
              <w:ind w:left="180"/>
              <w:spacing w:after="0"/>
              <w:rPr>
                <w:sz w:val="20"/>
                <w:szCs w:val="20"/>
                <w:color w:val="auto"/>
              </w:rPr>
            </w:pPr>
            <w:r>
              <w:rPr>
                <w:rFonts w:ascii="Arial" w:cs="Arial" w:eastAsia="Arial" w:hAnsi="Arial"/>
                <w:sz w:val="18"/>
                <w:szCs w:val="18"/>
                <w:b w:val="1"/>
                <w:bCs w:val="1"/>
                <w:color w:val="auto"/>
              </w:rPr>
              <w:t>Percent</w:t>
            </w:r>
          </w:p>
        </w:tc>
        <w:tc>
          <w:tcPr>
            <w:tcW w:w="1920" w:type="dxa"/>
            <w:vAlign w:val="bottom"/>
          </w:tcPr>
          <w:p>
            <w:pPr>
              <w:ind w:left="220"/>
              <w:spacing w:after="0"/>
              <w:rPr>
                <w:sz w:val="20"/>
                <w:szCs w:val="20"/>
                <w:color w:val="auto"/>
              </w:rPr>
            </w:pPr>
            <w:r>
              <w:rPr>
                <w:rFonts w:ascii="Arial" w:cs="Arial" w:eastAsia="Arial" w:hAnsi="Arial"/>
                <w:sz w:val="18"/>
                <w:szCs w:val="18"/>
                <w:b w:val="1"/>
                <w:bCs w:val="1"/>
                <w:color w:val="auto"/>
              </w:rPr>
              <w:t>Country of</w:t>
            </w:r>
          </w:p>
        </w:tc>
      </w:tr>
      <w:tr>
        <w:trPr>
          <w:trHeight w:val="239"/>
        </w:trPr>
        <w:tc>
          <w:tcPr>
            <w:tcW w:w="6240" w:type="dxa"/>
            <w:vAlign w:val="bottom"/>
          </w:tcPr>
          <w:p>
            <w:pPr>
              <w:spacing w:after="0"/>
              <w:rPr>
                <w:sz w:val="20"/>
                <w:szCs w:val="20"/>
                <w:color w:val="auto"/>
              </w:rPr>
            </w:pPr>
            <w:r>
              <w:rPr>
                <w:rFonts w:ascii="Arial" w:cs="Arial" w:eastAsia="Arial" w:hAnsi="Arial"/>
                <w:sz w:val="18"/>
                <w:szCs w:val="18"/>
                <w:b w:val="1"/>
                <w:bCs w:val="1"/>
                <w:color w:val="auto"/>
              </w:rPr>
              <w:t>Affiliate</w:t>
            </w:r>
          </w:p>
        </w:tc>
        <w:tc>
          <w:tcPr>
            <w:tcW w:w="1760" w:type="dxa"/>
            <w:vAlign w:val="bottom"/>
          </w:tcPr>
          <w:p>
            <w:pPr>
              <w:ind w:left="640"/>
              <w:spacing w:after="0"/>
              <w:rPr>
                <w:sz w:val="20"/>
                <w:szCs w:val="20"/>
                <w:color w:val="auto"/>
              </w:rPr>
            </w:pPr>
            <w:r>
              <w:rPr>
                <w:rFonts w:ascii="Arial" w:cs="Arial" w:eastAsia="Arial" w:hAnsi="Arial"/>
                <w:sz w:val="18"/>
                <w:szCs w:val="18"/>
                <w:b w:val="1"/>
                <w:bCs w:val="1"/>
                <w:color w:val="auto"/>
              </w:rPr>
              <w:t>Ownership</w:t>
            </w:r>
          </w:p>
        </w:tc>
        <w:tc>
          <w:tcPr>
            <w:tcW w:w="1300" w:type="dxa"/>
            <w:vAlign w:val="bottom"/>
          </w:tcPr>
          <w:p>
            <w:pPr>
              <w:ind w:left="180"/>
              <w:spacing w:after="0"/>
              <w:rPr>
                <w:sz w:val="20"/>
                <w:szCs w:val="20"/>
                <w:color w:val="auto"/>
              </w:rPr>
            </w:pPr>
            <w:r>
              <w:rPr>
                <w:rFonts w:ascii="Arial" w:cs="Arial" w:eastAsia="Arial" w:hAnsi="Arial"/>
                <w:sz w:val="18"/>
                <w:szCs w:val="18"/>
                <w:b w:val="1"/>
                <w:bCs w:val="1"/>
                <w:color w:val="auto"/>
              </w:rPr>
              <w:t>Ownership</w:t>
            </w:r>
          </w:p>
        </w:tc>
        <w:tc>
          <w:tcPr>
            <w:tcW w:w="1920" w:type="dxa"/>
            <w:vAlign w:val="bottom"/>
          </w:tcPr>
          <w:p>
            <w:pPr>
              <w:ind w:left="220"/>
              <w:spacing w:after="0"/>
              <w:rPr>
                <w:sz w:val="20"/>
                <w:szCs w:val="20"/>
                <w:color w:val="auto"/>
              </w:rPr>
            </w:pPr>
            <w:r>
              <w:rPr>
                <w:rFonts w:ascii="Arial" w:cs="Arial" w:eastAsia="Arial" w:hAnsi="Arial"/>
                <w:sz w:val="18"/>
                <w:szCs w:val="18"/>
                <w:b w:val="1"/>
                <w:bCs w:val="1"/>
                <w:color w:val="auto"/>
              </w:rPr>
              <w:t>Incorporation</w:t>
            </w:r>
          </w:p>
        </w:tc>
      </w:tr>
      <w:tr>
        <w:trPr>
          <w:trHeight w:val="257"/>
        </w:trPr>
        <w:tc>
          <w:tcPr>
            <w:tcW w:w="6240" w:type="dxa"/>
            <w:vAlign w:val="bottom"/>
          </w:tcPr>
          <w:p>
            <w:pPr>
              <w:spacing w:after="0"/>
              <w:rPr>
                <w:sz w:val="22"/>
                <w:szCs w:val="22"/>
                <w:color w:val="auto"/>
              </w:rPr>
            </w:pPr>
          </w:p>
        </w:tc>
        <w:tc>
          <w:tcPr>
            <w:tcW w:w="1760" w:type="dxa"/>
            <w:vAlign w:val="bottom"/>
          </w:tcPr>
          <w:p>
            <w:pPr>
              <w:ind w:left="640"/>
              <w:spacing w:after="0"/>
              <w:rPr>
                <w:sz w:val="20"/>
                <w:szCs w:val="20"/>
                <w:color w:val="auto"/>
              </w:rPr>
            </w:pPr>
            <w:r>
              <w:rPr>
                <w:rFonts w:ascii="Arial" w:cs="Arial" w:eastAsia="Arial" w:hAnsi="Arial"/>
                <w:sz w:val="18"/>
                <w:szCs w:val="18"/>
                <w:b w:val="1"/>
                <w:bCs w:val="1"/>
                <w:color w:val="auto"/>
              </w:rPr>
              <w:t>Direct</w:t>
            </w:r>
          </w:p>
        </w:tc>
        <w:tc>
          <w:tcPr>
            <w:tcW w:w="1300" w:type="dxa"/>
            <w:vAlign w:val="bottom"/>
          </w:tcPr>
          <w:p>
            <w:pPr>
              <w:ind w:left="180"/>
              <w:spacing w:after="0"/>
              <w:rPr>
                <w:sz w:val="20"/>
                <w:szCs w:val="20"/>
                <w:color w:val="auto"/>
              </w:rPr>
            </w:pPr>
            <w:r>
              <w:rPr>
                <w:rFonts w:ascii="Arial" w:cs="Arial" w:eastAsia="Arial" w:hAnsi="Arial"/>
                <w:sz w:val="18"/>
                <w:szCs w:val="18"/>
                <w:b w:val="1"/>
                <w:bCs w:val="1"/>
                <w:color w:val="auto"/>
              </w:rPr>
              <w:t>Indirect</w:t>
            </w:r>
          </w:p>
        </w:tc>
        <w:tc>
          <w:tcPr>
            <w:tcW w:w="1920" w:type="dxa"/>
            <w:vAlign w:val="bottom"/>
          </w:tcPr>
          <w:p>
            <w:pPr>
              <w:spacing w:after="0"/>
              <w:rPr>
                <w:sz w:val="22"/>
                <w:szCs w:val="22"/>
                <w:color w:val="auto"/>
              </w:rPr>
            </w:pPr>
          </w:p>
        </w:tc>
      </w:tr>
      <w:tr>
        <w:trPr>
          <w:trHeight w:val="365"/>
        </w:trPr>
        <w:tc>
          <w:tcPr>
            <w:tcW w:w="624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Holdings Two, Inc.</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Research Co.</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Engineered Composites, Inc.</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Safran Composites, LLC</w:t>
            </w:r>
          </w:p>
        </w:tc>
        <w:tc>
          <w:tcPr>
            <w:tcW w:w="1760" w:type="dxa"/>
            <w:vAlign w:val="bottom"/>
          </w:tcPr>
          <w:p>
            <w:pPr>
              <w:spacing w:after="0"/>
              <w:rPr>
                <w:sz w:val="22"/>
                <w:szCs w:val="22"/>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color w:val="auto"/>
                <w:w w:val="99"/>
              </w:rPr>
              <w:t>90%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Brandon Drying Fabrics, Inc.</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Geschmay Corp.</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Geschmay Forming Fabrics Corp.</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Geschmay Wet Felts, Inc.</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Transglobal Enterprises, Inc.</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Aerostructures Composites, LLC</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Pty., Ltd.</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Australia</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Tecidos Tecnicos Ltda.</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Brazil</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Canada Corp.</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Canada</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(China) Co., Ltd.</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Engineered Textiles (Hangzhou) Co., Ltd.</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OY</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Finland</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Safran Composites, S.A.S</w:t>
            </w:r>
          </w:p>
        </w:tc>
        <w:tc>
          <w:tcPr>
            <w:tcW w:w="1760" w:type="dxa"/>
            <w:vAlign w:val="bottom"/>
          </w:tcPr>
          <w:p>
            <w:pPr>
              <w:spacing w:after="0"/>
              <w:rPr>
                <w:sz w:val="22"/>
                <w:szCs w:val="22"/>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color w:val="auto"/>
                <w:w w:val="99"/>
              </w:rPr>
              <w:t>90%</w:t>
            </w:r>
          </w:p>
        </w:tc>
        <w:tc>
          <w:tcPr>
            <w:tcW w:w="1920" w:type="dxa"/>
            <w:vAlign w:val="bottom"/>
          </w:tcPr>
          <w:p>
            <w:pPr>
              <w:ind w:left="220"/>
              <w:spacing w:after="0"/>
              <w:rPr>
                <w:sz w:val="20"/>
                <w:szCs w:val="20"/>
                <w:color w:val="auto"/>
              </w:rPr>
            </w:pPr>
            <w:r>
              <w:rPr>
                <w:rFonts w:ascii="Arial" w:cs="Arial" w:eastAsia="Arial" w:hAnsi="Arial"/>
                <w:sz w:val="18"/>
                <w:szCs w:val="18"/>
                <w:color w:val="auto"/>
              </w:rPr>
              <w:t>France</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France, S.A.S.</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France</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Germany GmbH</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CirComp GmbH</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Italia S.r.l.</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Italy</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Japan Kabushiki Kaisha</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Japan</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Korea, Inc.</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Korea</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Engineered Composites Mexico, S. de R.L. de C.V.</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Mexico</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Safran Composites Mexico, S. de R.L. de C.V.</w:t>
            </w:r>
          </w:p>
        </w:tc>
        <w:tc>
          <w:tcPr>
            <w:tcW w:w="1760" w:type="dxa"/>
            <w:vAlign w:val="bottom"/>
          </w:tcPr>
          <w:p>
            <w:pPr>
              <w:spacing w:after="0"/>
              <w:rPr>
                <w:sz w:val="22"/>
                <w:szCs w:val="22"/>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color w:val="auto"/>
                <w:w w:val="99"/>
              </w:rPr>
              <w:t>90%</w:t>
            </w:r>
          </w:p>
        </w:tc>
        <w:tc>
          <w:tcPr>
            <w:tcW w:w="1920" w:type="dxa"/>
            <w:vAlign w:val="bottom"/>
          </w:tcPr>
          <w:p>
            <w:pPr>
              <w:ind w:left="220"/>
              <w:spacing w:after="0"/>
              <w:rPr>
                <w:sz w:val="20"/>
                <w:szCs w:val="20"/>
                <w:color w:val="auto"/>
              </w:rPr>
            </w:pPr>
            <w:r>
              <w:rPr>
                <w:rFonts w:ascii="Arial" w:cs="Arial" w:eastAsia="Arial" w:hAnsi="Arial"/>
                <w:sz w:val="18"/>
                <w:szCs w:val="18"/>
                <w:color w:val="auto"/>
              </w:rPr>
              <w:t>Mexico</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Engineered Composites Services Company, S. de R.L. de C.V.</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Mexico</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Mexico Services, S. de R.L. de C.V.</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Mexico</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de Mexico S.A. de C.V.</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22"/>
                <w:szCs w:val="22"/>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Mexico</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B.V.</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Netherlands</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Nevo-Cloth Ltd.</w:t>
            </w:r>
          </w:p>
        </w:tc>
        <w:tc>
          <w:tcPr>
            <w:tcW w:w="1760" w:type="dxa"/>
            <w:vAlign w:val="bottom"/>
          </w:tcPr>
          <w:p>
            <w:pPr>
              <w:spacing w:after="0"/>
              <w:rPr>
                <w:sz w:val="22"/>
                <w:szCs w:val="22"/>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color w:val="auto"/>
                <w:w w:val="99"/>
              </w:rPr>
              <w:t>50%</w:t>
            </w:r>
          </w:p>
        </w:tc>
        <w:tc>
          <w:tcPr>
            <w:tcW w:w="1920" w:type="dxa"/>
            <w:vAlign w:val="bottom"/>
          </w:tcPr>
          <w:p>
            <w:pPr>
              <w:ind w:left="220"/>
              <w:spacing w:after="0"/>
              <w:rPr>
                <w:sz w:val="20"/>
                <w:szCs w:val="20"/>
                <w:color w:val="auto"/>
              </w:rPr>
            </w:pPr>
            <w:r>
              <w:rPr>
                <w:rFonts w:ascii="Arial" w:cs="Arial" w:eastAsia="Arial" w:hAnsi="Arial"/>
                <w:sz w:val="18"/>
                <w:szCs w:val="18"/>
                <w:color w:val="auto"/>
              </w:rPr>
              <w:t>Russia</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S.A. Pty. Ltd.</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South Africa</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Albany International AB</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Sweden</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Holding AB</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Sweden</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AI (Switzerland) GmbH</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Switzerland</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Holding (Switzerland) AG</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Switzerland</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Europe GmbH</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Switzerland</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Engineered Composites Ltd.</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Kingdom</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rPr>
              <w:t>Albany International Ltd.</w:t>
            </w:r>
          </w:p>
        </w:tc>
        <w:tc>
          <w:tcPr>
            <w:tcW w:w="1760" w:type="dxa"/>
            <w:vAlign w:val="bottom"/>
          </w:tcPr>
          <w:p>
            <w:pPr>
              <w:spacing w:after="0"/>
              <w:rPr>
                <w:sz w:val="22"/>
                <w:szCs w:val="22"/>
                <w:color w:val="auto"/>
              </w:rPr>
            </w:pPr>
          </w:p>
        </w:tc>
        <w:tc>
          <w:tcPr>
            <w:tcW w:w="1300" w:type="dxa"/>
            <w:vAlign w:val="bottom"/>
          </w:tcPr>
          <w:p>
            <w:pPr>
              <w:jc w:val="center"/>
              <w:ind w:left="270"/>
              <w:spacing w:after="0"/>
              <w:rPr>
                <w:sz w:val="20"/>
                <w:szCs w:val="20"/>
                <w:color w:val="auto"/>
              </w:rPr>
            </w:pPr>
            <w:r>
              <w:rPr>
                <w:rFonts w:ascii="Arial" w:cs="Arial" w:eastAsia="Arial" w:hAnsi="Arial"/>
                <w:sz w:val="18"/>
                <w:szCs w:val="18"/>
                <w:color w:val="auto"/>
                <w:w w:val="99"/>
              </w:rPr>
              <w:t>100%</w:t>
            </w:r>
          </w:p>
        </w:tc>
        <w:tc>
          <w:tcPr>
            <w:tcW w:w="1920" w:type="dxa"/>
            <w:vAlign w:val="bottom"/>
          </w:tcPr>
          <w:p>
            <w:pPr>
              <w:ind w:left="220"/>
              <w:spacing w:after="0"/>
              <w:rPr>
                <w:sz w:val="20"/>
                <w:szCs w:val="20"/>
                <w:color w:val="auto"/>
              </w:rPr>
            </w:pPr>
            <w:r>
              <w:rPr>
                <w:rFonts w:ascii="Arial" w:cs="Arial" w:eastAsia="Arial" w:hAnsi="Arial"/>
                <w:sz w:val="18"/>
                <w:szCs w:val="18"/>
                <w:color w:val="auto"/>
              </w:rPr>
              <w:t>United Kingdom</w:t>
            </w:r>
          </w:p>
        </w:tc>
      </w:tr>
    </w:tbl>
    <w:p>
      <w:pPr>
        <w:ind w:left="220"/>
        <w:spacing w:after="0"/>
        <w:rPr>
          <w:sz w:val="20"/>
          <w:szCs w:val="20"/>
          <w:color w:val="auto"/>
        </w:rPr>
        <w:sectPr>
          <w:pgSz w:w="11900" w:h="16838" w:orient="portrait"/>
          <w:cols w:equalWidth="0" w:num="1">
            <w:col w:w="11220"/>
          </w:cols>
          <w:pgMar w:left="340" w:top="1255" w:right="339" w:bottom="1440" w:gutter="0" w:footer="0" w:header="0"/>
        </w:sect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23</w:t>
      </w:r>
    </w:p>
    <w:p>
      <w:pPr>
        <w:spacing w:after="0" w:line="24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ind w:left="20"/>
        <w:spacing w:after="0"/>
        <w:rPr>
          <w:sz w:val="20"/>
          <w:szCs w:val="20"/>
          <w:color w:val="auto"/>
        </w:rPr>
      </w:pPr>
      <w:r>
        <w:rPr>
          <w:rFonts w:ascii="Arial" w:cs="Arial" w:eastAsia="Arial" w:hAnsi="Arial"/>
          <w:sz w:val="18"/>
          <w:szCs w:val="18"/>
          <w:color w:val="auto"/>
        </w:rPr>
        <w:t>Albany International Corp.:</w:t>
      </w:r>
    </w:p>
    <w:p>
      <w:pPr>
        <w:spacing w:after="0" w:line="293" w:lineRule="exact"/>
        <w:rPr>
          <w:sz w:val="20"/>
          <w:szCs w:val="20"/>
          <w:color w:val="auto"/>
        </w:rPr>
      </w:pPr>
    </w:p>
    <w:p>
      <w:pPr>
        <w:ind w:left="20" w:right="360"/>
        <w:spacing w:after="0" w:line="236" w:lineRule="auto"/>
        <w:rPr>
          <w:sz w:val="20"/>
          <w:szCs w:val="20"/>
          <w:color w:val="auto"/>
        </w:rPr>
      </w:pPr>
      <w:r>
        <w:rPr>
          <w:rFonts w:ascii="Arial" w:cs="Arial" w:eastAsia="Arial" w:hAnsi="Arial"/>
          <w:sz w:val="18"/>
          <w:szCs w:val="18"/>
          <w:color w:val="auto"/>
        </w:rPr>
        <w:t>We consent to the incorporation by reference in the registration statements (Nos. 333-218122, 333-218121, 333-195269, 333-190774, 333-140995, 333-76078, 333-90069, 033-60767) on Form S-8 and in the registration statement (No. 333-231776) on Form S-3ASR of Albany International Corp. and subsidiaries (the Company) of our reports dated February 25, 2021, with respect to the consolidated balance sheets of the Company as of December 31, 2020 and 2019, the related consolidated statements of income, comprehensive income, and cash flows for each of the years in the three-year period ended December 31, 2020, and the related notes and financial statement Schedule II - Valuation and Qualifying Accounts (collectively, the consolidated financial statements), and the effectiveness of internal control over financial reporting as of December 31, 2020, which reports appear in the December 31, 2020 annual report on Form 10-K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Albany, New York</w:t>
      </w: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15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24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ind w:firstLine="648"/>
        <w:spacing w:after="0" w:line="231" w:lineRule="auto"/>
        <w:rPr>
          <w:sz w:val="20"/>
          <w:szCs w:val="20"/>
          <w:color w:val="auto"/>
        </w:rPr>
      </w:pPr>
      <w:r>
        <w:rPr>
          <w:rFonts w:ascii="Arial" w:cs="Arial" w:eastAsia="Arial" w:hAnsi="Arial"/>
          <w:sz w:val="16"/>
          <w:szCs w:val="16"/>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2020 (such report, together with any amendments, supplements, and exhibits thereto, is collectively hereinafter referred to as “Form 10-K”), hereby constitutes and appoints A. William Higgins, Stephen M. Nolan, David M. Pawlick,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224"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WITNESS WHEREOF, the undersigned have duly executed this Power of Attorney this </w:t>
      </w:r>
      <w:r>
        <w:rPr>
          <w:rFonts w:ascii="Arial" w:cs="Arial" w:eastAsia="Arial" w:hAnsi="Arial"/>
          <w:sz w:val="17"/>
          <w:szCs w:val="17"/>
          <w:color w:val="auto"/>
        </w:rPr>
        <w:t>25th</w:t>
      </w:r>
      <w:r>
        <w:rPr>
          <w:rFonts w:ascii="Arial" w:cs="Arial" w:eastAsia="Arial" w:hAnsi="Arial"/>
          <w:sz w:val="16"/>
          <w:szCs w:val="16"/>
          <w:color w:val="auto"/>
        </w:rPr>
        <w:t xml:space="preserve"> day of </w:t>
      </w:r>
      <w:r>
        <w:rPr>
          <w:rFonts w:ascii="Arial" w:cs="Arial" w:eastAsia="Arial" w:hAnsi="Arial"/>
          <w:sz w:val="17"/>
          <w:szCs w:val="17"/>
          <w:color w:val="auto"/>
        </w:rPr>
        <w:t>February</w:t>
      </w:r>
      <w:r>
        <w:rPr>
          <w:rFonts w:ascii="Arial" w:cs="Arial" w:eastAsia="Arial" w:hAnsi="Arial"/>
          <w:sz w:val="16"/>
          <w:szCs w:val="16"/>
          <w:color w:val="auto"/>
        </w:rPr>
        <w:t>, 2021.</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140" w:type="dxa"/>
            <w:vAlign w:val="bottom"/>
            <w:gridSpan w:val="7"/>
          </w:tcPr>
          <w:p>
            <w:pPr>
              <w:spacing w:after="0"/>
              <w:rPr>
                <w:sz w:val="20"/>
                <w:szCs w:val="20"/>
                <w:color w:val="auto"/>
              </w:rPr>
            </w:pPr>
            <w:r>
              <w:rPr>
                <w:rFonts w:ascii="Arial" w:cs="Arial" w:eastAsia="Arial" w:hAnsi="Arial"/>
                <w:sz w:val="16"/>
                <w:szCs w:val="16"/>
                <w:color w:val="auto"/>
              </w:rPr>
              <w:t>/s/ Erland E. Kailbourne</w:t>
            </w:r>
          </w:p>
        </w:tc>
        <w:tc>
          <w:tcPr>
            <w:tcW w:w="2160" w:type="dxa"/>
            <w:vAlign w:val="bottom"/>
            <w:gridSpan w:val="7"/>
          </w:tcPr>
          <w:p>
            <w:pPr>
              <w:spacing w:after="0"/>
              <w:rPr>
                <w:sz w:val="20"/>
                <w:szCs w:val="20"/>
                <w:color w:val="auto"/>
              </w:rPr>
            </w:pPr>
            <w:r>
              <w:rPr>
                <w:rFonts w:ascii="Arial" w:cs="Arial" w:eastAsia="Arial" w:hAnsi="Arial"/>
                <w:sz w:val="16"/>
                <w:szCs w:val="16"/>
                <w:color w:val="auto"/>
              </w:rPr>
              <w:t>/s/ A. William Higgins</w:t>
            </w:r>
          </w:p>
        </w:tc>
      </w:tr>
      <w:tr>
        <w:trPr>
          <w:trHeight w:val="244"/>
        </w:trPr>
        <w:tc>
          <w:tcPr>
            <w:tcW w:w="170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Erland E. Kailbourne</w:t>
            </w:r>
          </w:p>
        </w:tc>
        <w:tc>
          <w:tcPr>
            <w:tcW w:w="4440" w:type="dxa"/>
            <w:vAlign w:val="bottom"/>
          </w:tcPr>
          <w:p>
            <w:pPr>
              <w:spacing w:after="0"/>
              <w:rPr>
                <w:sz w:val="21"/>
                <w:szCs w:val="21"/>
                <w:color w:val="auto"/>
              </w:rPr>
            </w:pP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 William Higgins</w:t>
            </w:r>
          </w:p>
        </w:tc>
        <w:tc>
          <w:tcPr>
            <w:tcW w:w="640" w:type="dxa"/>
            <w:vAlign w:val="bottom"/>
            <w:gridSpan w:val="4"/>
          </w:tcPr>
          <w:p>
            <w:pPr>
              <w:spacing w:after="0"/>
              <w:rPr>
                <w:sz w:val="21"/>
                <w:szCs w:val="21"/>
                <w:color w:val="auto"/>
              </w:rPr>
            </w:pPr>
          </w:p>
        </w:tc>
      </w:tr>
      <w:tr>
        <w:trPr>
          <w:trHeight w:val="229"/>
        </w:trPr>
        <w:tc>
          <w:tcPr>
            <w:tcW w:w="6140" w:type="dxa"/>
            <w:vAlign w:val="bottom"/>
            <w:gridSpan w:val="7"/>
          </w:tcPr>
          <w:p>
            <w:pPr>
              <w:spacing w:after="0"/>
              <w:rPr>
                <w:sz w:val="20"/>
                <w:szCs w:val="20"/>
                <w:color w:val="auto"/>
              </w:rPr>
            </w:pPr>
            <w:r>
              <w:rPr>
                <w:rFonts w:ascii="Arial" w:cs="Arial" w:eastAsia="Arial" w:hAnsi="Arial"/>
                <w:sz w:val="16"/>
                <w:szCs w:val="16"/>
                <w:color w:val="auto"/>
              </w:rPr>
              <w:t>Chairman of the Board and Director</w:t>
            </w:r>
          </w:p>
        </w:tc>
        <w:tc>
          <w:tcPr>
            <w:tcW w:w="2160" w:type="dxa"/>
            <w:vAlign w:val="bottom"/>
            <w:gridSpan w:val="7"/>
          </w:tcPr>
          <w:p>
            <w:pPr>
              <w:spacing w:after="0"/>
              <w:rPr>
                <w:sz w:val="20"/>
                <w:szCs w:val="20"/>
                <w:color w:val="auto"/>
              </w:rPr>
            </w:pPr>
            <w:r>
              <w:rPr>
                <w:rFonts w:ascii="Arial" w:cs="Arial" w:eastAsia="Arial" w:hAnsi="Arial"/>
                <w:sz w:val="16"/>
                <w:szCs w:val="16"/>
                <w:color w:val="auto"/>
                <w:w w:val="99"/>
              </w:rPr>
              <w:t>President and Chief Executive</w:t>
            </w:r>
          </w:p>
        </w:tc>
      </w:tr>
      <w:tr>
        <w:trPr>
          <w:trHeight w:val="230"/>
        </w:trPr>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160" w:type="dxa"/>
            <w:vAlign w:val="bottom"/>
            <w:gridSpan w:val="7"/>
          </w:tcPr>
          <w:p>
            <w:pPr>
              <w:spacing w:after="0"/>
              <w:rPr>
                <w:sz w:val="20"/>
                <w:szCs w:val="20"/>
                <w:color w:val="auto"/>
              </w:rPr>
            </w:pPr>
            <w:r>
              <w:rPr>
                <w:rFonts w:ascii="Arial" w:cs="Arial" w:eastAsia="Arial" w:hAnsi="Arial"/>
                <w:sz w:val="16"/>
                <w:szCs w:val="16"/>
                <w:color w:val="auto"/>
              </w:rPr>
              <w:t>Officer and Director</w:t>
            </w:r>
          </w:p>
        </w:tc>
      </w:tr>
      <w:tr>
        <w:trPr>
          <w:trHeight w:val="229"/>
        </w:trPr>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160" w:type="dxa"/>
            <w:vAlign w:val="bottom"/>
            <w:gridSpan w:val="7"/>
          </w:tcPr>
          <w:p>
            <w:pPr>
              <w:spacing w:after="0"/>
              <w:rPr>
                <w:sz w:val="20"/>
                <w:szCs w:val="20"/>
                <w:color w:val="auto"/>
              </w:rPr>
            </w:pPr>
            <w:r>
              <w:rPr>
                <w:rFonts w:ascii="Arial" w:cs="Arial" w:eastAsia="Arial" w:hAnsi="Arial"/>
                <w:sz w:val="16"/>
                <w:szCs w:val="16"/>
                <w:color w:val="auto"/>
              </w:rPr>
              <w:t>(Principal Executive Officer)</w:t>
            </w:r>
          </w:p>
        </w:tc>
      </w:tr>
      <w:tr>
        <w:trPr>
          <w:trHeight w:val="465"/>
        </w:trPr>
        <w:tc>
          <w:tcPr>
            <w:tcW w:w="1520" w:type="dxa"/>
            <w:vAlign w:val="bottom"/>
            <w:gridSpan w:val="3"/>
          </w:tcPr>
          <w:p>
            <w:pPr>
              <w:spacing w:after="0"/>
              <w:rPr>
                <w:sz w:val="20"/>
                <w:szCs w:val="20"/>
                <w:color w:val="auto"/>
              </w:rPr>
            </w:pPr>
            <w:r>
              <w:rPr>
                <w:rFonts w:ascii="Arial" w:cs="Arial" w:eastAsia="Arial" w:hAnsi="Arial"/>
                <w:sz w:val="16"/>
                <w:szCs w:val="16"/>
                <w:color w:val="auto"/>
              </w:rPr>
              <w:t>/s/ Stephen M. Nolan</w:t>
            </w:r>
          </w:p>
        </w:tc>
        <w:tc>
          <w:tcPr>
            <w:tcW w:w="4620" w:type="dxa"/>
            <w:vAlign w:val="bottom"/>
            <w:gridSpan w:val="4"/>
          </w:tcPr>
          <w:p>
            <w:pPr>
              <w:spacing w:after="0"/>
              <w:rPr>
                <w:sz w:val="24"/>
                <w:szCs w:val="24"/>
                <w:color w:val="auto"/>
              </w:rPr>
            </w:pPr>
          </w:p>
        </w:tc>
        <w:tc>
          <w:tcPr>
            <w:tcW w:w="2160" w:type="dxa"/>
            <w:vAlign w:val="bottom"/>
            <w:gridSpan w:val="7"/>
          </w:tcPr>
          <w:p>
            <w:pPr>
              <w:spacing w:after="0"/>
              <w:rPr>
                <w:sz w:val="20"/>
                <w:szCs w:val="20"/>
                <w:color w:val="auto"/>
              </w:rPr>
            </w:pPr>
            <w:r>
              <w:rPr>
                <w:rFonts w:ascii="Arial" w:cs="Arial" w:eastAsia="Arial" w:hAnsi="Arial"/>
                <w:sz w:val="16"/>
                <w:szCs w:val="16"/>
                <w:color w:val="auto"/>
              </w:rPr>
              <w:t>/s/ David M. Pawlick</w:t>
            </w:r>
          </w:p>
        </w:tc>
      </w:tr>
      <w:tr>
        <w:trPr>
          <w:trHeight w:val="244"/>
        </w:trPr>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Stephen M. Nolan</w:t>
            </w:r>
          </w:p>
        </w:tc>
        <w:tc>
          <w:tcPr>
            <w:tcW w:w="4620" w:type="dxa"/>
            <w:vAlign w:val="bottom"/>
            <w:gridSpan w:val="4"/>
          </w:tcPr>
          <w:p>
            <w:pPr>
              <w:spacing w:after="0"/>
              <w:rPr>
                <w:sz w:val="21"/>
                <w:szCs w:val="21"/>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David M. Pawlick</w:t>
            </w:r>
          </w:p>
        </w:tc>
        <w:tc>
          <w:tcPr>
            <w:tcW w:w="720" w:type="dxa"/>
            <w:vAlign w:val="bottom"/>
            <w:gridSpan w:val="5"/>
          </w:tcPr>
          <w:p>
            <w:pPr>
              <w:spacing w:after="0"/>
              <w:rPr>
                <w:sz w:val="21"/>
                <w:szCs w:val="21"/>
                <w:color w:val="auto"/>
              </w:rPr>
            </w:pPr>
          </w:p>
        </w:tc>
      </w:tr>
      <w:tr>
        <w:trPr>
          <w:trHeight w:val="230"/>
        </w:trPr>
        <w:tc>
          <w:tcPr>
            <w:tcW w:w="6140" w:type="dxa"/>
            <w:vAlign w:val="bottom"/>
            <w:gridSpan w:val="7"/>
          </w:tcPr>
          <w:p>
            <w:pPr>
              <w:spacing w:after="0"/>
              <w:rPr>
                <w:sz w:val="20"/>
                <w:szCs w:val="20"/>
                <w:color w:val="auto"/>
              </w:rPr>
            </w:pPr>
            <w:r>
              <w:rPr>
                <w:rFonts w:ascii="Arial" w:cs="Arial" w:eastAsia="Arial" w:hAnsi="Arial"/>
                <w:sz w:val="16"/>
                <w:szCs w:val="16"/>
                <w:color w:val="auto"/>
              </w:rPr>
              <w:t>Chief Financial Officer and Treasurer</w:t>
            </w:r>
          </w:p>
        </w:tc>
        <w:tc>
          <w:tcPr>
            <w:tcW w:w="2160" w:type="dxa"/>
            <w:vAlign w:val="bottom"/>
            <w:gridSpan w:val="7"/>
          </w:tcPr>
          <w:p>
            <w:pPr>
              <w:spacing w:after="0"/>
              <w:rPr>
                <w:sz w:val="20"/>
                <w:szCs w:val="20"/>
                <w:color w:val="auto"/>
              </w:rPr>
            </w:pPr>
            <w:r>
              <w:rPr>
                <w:rFonts w:ascii="Arial" w:cs="Arial" w:eastAsia="Arial" w:hAnsi="Arial"/>
                <w:sz w:val="16"/>
                <w:szCs w:val="16"/>
                <w:color w:val="auto"/>
              </w:rPr>
              <w:t>Vice President - Controller</w:t>
            </w:r>
          </w:p>
        </w:tc>
      </w:tr>
      <w:tr>
        <w:trPr>
          <w:trHeight w:val="229"/>
        </w:trPr>
        <w:tc>
          <w:tcPr>
            <w:tcW w:w="6140" w:type="dxa"/>
            <w:vAlign w:val="bottom"/>
            <w:gridSpan w:val="7"/>
          </w:tcPr>
          <w:p>
            <w:pPr>
              <w:spacing w:after="0"/>
              <w:rPr>
                <w:sz w:val="20"/>
                <w:szCs w:val="20"/>
                <w:color w:val="auto"/>
              </w:rPr>
            </w:pPr>
            <w:r>
              <w:rPr>
                <w:rFonts w:ascii="Arial" w:cs="Arial" w:eastAsia="Arial" w:hAnsi="Arial"/>
                <w:sz w:val="16"/>
                <w:szCs w:val="16"/>
                <w:color w:val="auto"/>
              </w:rPr>
              <w:t>(Principal Financial Officer)</w:t>
            </w:r>
          </w:p>
        </w:tc>
        <w:tc>
          <w:tcPr>
            <w:tcW w:w="2160" w:type="dxa"/>
            <w:vAlign w:val="bottom"/>
            <w:gridSpan w:val="7"/>
          </w:tcPr>
          <w:p>
            <w:pPr>
              <w:spacing w:after="0"/>
              <w:rPr>
                <w:sz w:val="20"/>
                <w:szCs w:val="20"/>
                <w:color w:val="auto"/>
              </w:rPr>
            </w:pPr>
            <w:r>
              <w:rPr>
                <w:rFonts w:ascii="Arial" w:cs="Arial" w:eastAsia="Arial" w:hAnsi="Arial"/>
                <w:sz w:val="16"/>
                <w:szCs w:val="16"/>
                <w:color w:val="auto"/>
              </w:rPr>
              <w:t>(Principal Accounting Officer)</w:t>
            </w:r>
          </w:p>
        </w:tc>
      </w:tr>
      <w:tr>
        <w:trPr>
          <w:trHeight w:val="465"/>
        </w:trPr>
        <w:tc>
          <w:tcPr>
            <w:tcW w:w="6140" w:type="dxa"/>
            <w:vAlign w:val="bottom"/>
            <w:gridSpan w:val="7"/>
          </w:tcPr>
          <w:p>
            <w:pPr>
              <w:spacing w:after="0"/>
              <w:rPr>
                <w:sz w:val="20"/>
                <w:szCs w:val="20"/>
                <w:color w:val="auto"/>
              </w:rPr>
            </w:pPr>
            <w:r>
              <w:rPr>
                <w:rFonts w:ascii="Arial" w:cs="Arial" w:eastAsia="Arial" w:hAnsi="Arial"/>
                <w:sz w:val="16"/>
                <w:szCs w:val="16"/>
                <w:color w:val="auto"/>
              </w:rPr>
              <w:t>/s/ John R. Scannell</w:t>
            </w:r>
          </w:p>
        </w:tc>
        <w:tc>
          <w:tcPr>
            <w:tcW w:w="2160" w:type="dxa"/>
            <w:vAlign w:val="bottom"/>
            <w:gridSpan w:val="7"/>
          </w:tcPr>
          <w:p>
            <w:pPr>
              <w:spacing w:after="0"/>
              <w:rPr>
                <w:sz w:val="20"/>
                <w:szCs w:val="20"/>
                <w:color w:val="auto"/>
              </w:rPr>
            </w:pPr>
            <w:r>
              <w:rPr>
                <w:rFonts w:ascii="Arial" w:cs="Arial" w:eastAsia="Arial" w:hAnsi="Arial"/>
                <w:sz w:val="16"/>
                <w:szCs w:val="16"/>
                <w:color w:val="auto"/>
              </w:rPr>
              <w:t>/s/ Christine L. Standish</w:t>
            </w:r>
          </w:p>
        </w:tc>
      </w:tr>
      <w:tr>
        <w:trPr>
          <w:trHeight w:val="244"/>
        </w:trPr>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John R. Scannell</w:t>
            </w:r>
          </w:p>
        </w:tc>
        <w:tc>
          <w:tcPr>
            <w:tcW w:w="4700" w:type="dxa"/>
            <w:vAlign w:val="bottom"/>
            <w:gridSpan w:val="5"/>
          </w:tcPr>
          <w:p>
            <w:pPr>
              <w:spacing w:after="0"/>
              <w:rPr>
                <w:sz w:val="21"/>
                <w:szCs w:val="21"/>
                <w:color w:val="auto"/>
              </w:rPr>
            </w:pPr>
          </w:p>
        </w:tc>
        <w:tc>
          <w:tcPr>
            <w:tcW w:w="172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Christine L. Standish</w:t>
            </w:r>
          </w:p>
        </w:tc>
        <w:tc>
          <w:tcPr>
            <w:tcW w:w="440" w:type="dxa"/>
            <w:vAlign w:val="bottom"/>
          </w:tcPr>
          <w:p>
            <w:pPr>
              <w:spacing w:after="0"/>
              <w:rPr>
                <w:sz w:val="21"/>
                <w:szCs w:val="21"/>
                <w:color w:val="auto"/>
              </w:rPr>
            </w:pPr>
          </w:p>
        </w:tc>
      </w:tr>
      <w:tr>
        <w:trPr>
          <w:trHeight w:val="230"/>
        </w:trPr>
        <w:tc>
          <w:tcPr>
            <w:tcW w:w="6140" w:type="dxa"/>
            <w:vAlign w:val="bottom"/>
            <w:gridSpan w:val="7"/>
          </w:tcPr>
          <w:p>
            <w:pPr>
              <w:spacing w:after="0"/>
              <w:rPr>
                <w:sz w:val="20"/>
                <w:szCs w:val="20"/>
                <w:color w:val="auto"/>
              </w:rPr>
            </w:pPr>
            <w:r>
              <w:rPr>
                <w:rFonts w:ascii="Arial" w:cs="Arial" w:eastAsia="Arial" w:hAnsi="Arial"/>
                <w:sz w:val="16"/>
                <w:szCs w:val="16"/>
                <w:color w:val="auto"/>
              </w:rPr>
              <w:t>Director</w:t>
            </w:r>
          </w:p>
        </w:tc>
        <w:tc>
          <w:tcPr>
            <w:tcW w:w="2160" w:type="dxa"/>
            <w:vAlign w:val="bottom"/>
            <w:gridSpan w:val="7"/>
          </w:tcPr>
          <w:p>
            <w:pPr>
              <w:spacing w:after="0"/>
              <w:rPr>
                <w:sz w:val="20"/>
                <w:szCs w:val="20"/>
                <w:color w:val="auto"/>
              </w:rPr>
            </w:pPr>
            <w:r>
              <w:rPr>
                <w:rFonts w:ascii="Arial" w:cs="Arial" w:eastAsia="Arial" w:hAnsi="Arial"/>
                <w:sz w:val="16"/>
                <w:szCs w:val="16"/>
                <w:color w:val="auto"/>
              </w:rPr>
              <w:t>Director</w:t>
            </w:r>
          </w:p>
        </w:tc>
      </w:tr>
      <w:tr>
        <w:trPr>
          <w:trHeight w:val="465"/>
        </w:trPr>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8"/>
              </w:rPr>
              <w:t>/s/ John F. Cassidy, Jr.</w:t>
            </w:r>
          </w:p>
        </w:tc>
        <w:tc>
          <w:tcPr>
            <w:tcW w:w="4520" w:type="dxa"/>
            <w:vAlign w:val="bottom"/>
            <w:gridSpan w:val="3"/>
          </w:tcPr>
          <w:p>
            <w:pPr>
              <w:spacing w:after="0"/>
              <w:rPr>
                <w:sz w:val="24"/>
                <w:szCs w:val="24"/>
                <w:color w:val="auto"/>
              </w:rPr>
            </w:pPr>
          </w:p>
        </w:tc>
        <w:tc>
          <w:tcPr>
            <w:tcW w:w="170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/s/ Katharine L. Plourde</w:t>
            </w:r>
          </w:p>
        </w:tc>
        <w:tc>
          <w:tcPr>
            <w:tcW w:w="460" w:type="dxa"/>
            <w:vAlign w:val="bottom"/>
            <w:gridSpan w:val="2"/>
          </w:tcPr>
          <w:p>
            <w:pPr>
              <w:spacing w:after="0"/>
              <w:rPr>
                <w:sz w:val="24"/>
                <w:szCs w:val="24"/>
                <w:color w:val="auto"/>
              </w:rPr>
            </w:pPr>
          </w:p>
        </w:tc>
      </w:tr>
      <w:tr>
        <w:trPr>
          <w:trHeight w:val="244"/>
        </w:trPr>
        <w:tc>
          <w:tcPr>
            <w:tcW w:w="6140" w:type="dxa"/>
            <w:vAlign w:val="bottom"/>
            <w:gridSpan w:val="7"/>
          </w:tcPr>
          <w:p>
            <w:pPr>
              <w:spacing w:after="0"/>
              <w:rPr>
                <w:sz w:val="20"/>
                <w:szCs w:val="20"/>
                <w:color w:val="auto"/>
              </w:rPr>
            </w:pPr>
            <w:r>
              <w:rPr>
                <w:rFonts w:ascii="Arial" w:cs="Arial" w:eastAsia="Arial" w:hAnsi="Arial"/>
                <w:sz w:val="16"/>
                <w:szCs w:val="16"/>
                <w:color w:val="auto"/>
              </w:rPr>
              <w:t>John F. Cassidy, Jr.</w:t>
            </w:r>
          </w:p>
        </w:tc>
        <w:tc>
          <w:tcPr>
            <w:tcW w:w="2160" w:type="dxa"/>
            <w:vAlign w:val="bottom"/>
            <w:gridSpan w:val="7"/>
          </w:tcPr>
          <w:p>
            <w:pPr>
              <w:spacing w:after="0"/>
              <w:rPr>
                <w:sz w:val="20"/>
                <w:szCs w:val="20"/>
                <w:color w:val="auto"/>
              </w:rPr>
            </w:pPr>
            <w:r>
              <w:rPr>
                <w:rFonts w:ascii="Arial" w:cs="Arial" w:eastAsia="Arial" w:hAnsi="Arial"/>
                <w:sz w:val="16"/>
                <w:szCs w:val="16"/>
                <w:color w:val="auto"/>
              </w:rPr>
              <w:t>Katharine L. Plourde</w:t>
            </w:r>
          </w:p>
        </w:tc>
      </w:tr>
      <w:tr>
        <w:trPr>
          <w:trHeight w:val="230"/>
        </w:trPr>
        <w:tc>
          <w:tcPr>
            <w:tcW w:w="6140" w:type="dxa"/>
            <w:vAlign w:val="bottom"/>
            <w:gridSpan w:val="7"/>
          </w:tcPr>
          <w:p>
            <w:pPr>
              <w:spacing w:after="0"/>
              <w:rPr>
                <w:sz w:val="20"/>
                <w:szCs w:val="20"/>
                <w:color w:val="auto"/>
              </w:rPr>
            </w:pPr>
            <w:r>
              <w:rPr>
                <w:rFonts w:ascii="Arial" w:cs="Arial" w:eastAsia="Arial" w:hAnsi="Arial"/>
                <w:sz w:val="16"/>
                <w:szCs w:val="16"/>
                <w:color w:val="auto"/>
              </w:rPr>
              <w:t>Director</w:t>
            </w:r>
          </w:p>
        </w:tc>
        <w:tc>
          <w:tcPr>
            <w:tcW w:w="2160" w:type="dxa"/>
            <w:vAlign w:val="bottom"/>
            <w:gridSpan w:val="7"/>
          </w:tcPr>
          <w:p>
            <w:pPr>
              <w:spacing w:after="0"/>
              <w:rPr>
                <w:sz w:val="20"/>
                <w:szCs w:val="20"/>
                <w:color w:val="auto"/>
              </w:rPr>
            </w:pPr>
            <w:r>
              <w:rPr>
                <w:rFonts w:ascii="Arial" w:cs="Arial" w:eastAsia="Arial" w:hAnsi="Arial"/>
                <w:sz w:val="16"/>
                <w:szCs w:val="16"/>
                <w:color w:val="auto"/>
              </w:rPr>
              <w:t>Director</w:t>
            </w:r>
          </w:p>
        </w:tc>
      </w:tr>
      <w:tr>
        <w:trPr>
          <w:trHeight w:val="465"/>
        </w:trPr>
        <w:tc>
          <w:tcPr>
            <w:tcW w:w="6140" w:type="dxa"/>
            <w:vAlign w:val="bottom"/>
            <w:gridSpan w:val="7"/>
          </w:tcPr>
          <w:p>
            <w:pPr>
              <w:spacing w:after="0"/>
              <w:rPr>
                <w:sz w:val="20"/>
                <w:szCs w:val="20"/>
                <w:color w:val="auto"/>
              </w:rPr>
            </w:pPr>
            <w:r>
              <w:rPr>
                <w:rFonts w:ascii="Arial" w:cs="Arial" w:eastAsia="Arial" w:hAnsi="Arial"/>
                <w:sz w:val="16"/>
                <w:szCs w:val="16"/>
                <w:color w:val="auto"/>
              </w:rPr>
              <w:t>/s/ Kenneth W. Krueger</w:t>
            </w:r>
          </w:p>
        </w:tc>
        <w:tc>
          <w:tcPr>
            <w:tcW w:w="2160" w:type="dxa"/>
            <w:vAlign w:val="bottom"/>
            <w:gridSpan w:val="7"/>
          </w:tcPr>
          <w:p>
            <w:pPr>
              <w:spacing w:after="0"/>
              <w:rPr>
                <w:sz w:val="20"/>
                <w:szCs w:val="20"/>
                <w:color w:val="auto"/>
              </w:rPr>
            </w:pPr>
            <w:r>
              <w:rPr>
                <w:rFonts w:ascii="Arial" w:cs="Arial" w:eastAsia="Arial" w:hAnsi="Arial"/>
                <w:sz w:val="16"/>
                <w:szCs w:val="16"/>
                <w:color w:val="auto"/>
              </w:rPr>
              <w:t>/s/ Mark J. Murphy</w:t>
            </w:r>
          </w:p>
        </w:tc>
      </w:tr>
      <w:tr>
        <w:trPr>
          <w:trHeight w:val="244"/>
        </w:trPr>
        <w:tc>
          <w:tcPr>
            <w:tcW w:w="168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Kenneth W. Krueger</w:t>
            </w:r>
          </w:p>
        </w:tc>
        <w:tc>
          <w:tcPr>
            <w:tcW w:w="4460" w:type="dxa"/>
            <w:vAlign w:val="bottom"/>
            <w:gridSpan w:val="2"/>
          </w:tcPr>
          <w:p>
            <w:pPr>
              <w:spacing w:after="0"/>
              <w:rPr>
                <w:sz w:val="21"/>
                <w:szCs w:val="21"/>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Mark J. Murphy</w:t>
            </w:r>
          </w:p>
        </w:tc>
        <w:tc>
          <w:tcPr>
            <w:tcW w:w="840" w:type="dxa"/>
            <w:vAlign w:val="bottom"/>
            <w:gridSpan w:val="6"/>
          </w:tcPr>
          <w:p>
            <w:pPr>
              <w:spacing w:after="0"/>
              <w:rPr>
                <w:sz w:val="21"/>
                <w:szCs w:val="21"/>
                <w:color w:val="auto"/>
              </w:rPr>
            </w:pPr>
          </w:p>
        </w:tc>
      </w:tr>
      <w:tr>
        <w:trPr>
          <w:trHeight w:val="230"/>
        </w:trPr>
        <w:tc>
          <w:tcPr>
            <w:tcW w:w="6140" w:type="dxa"/>
            <w:vAlign w:val="bottom"/>
            <w:gridSpan w:val="7"/>
          </w:tcPr>
          <w:p>
            <w:pPr>
              <w:spacing w:after="0"/>
              <w:rPr>
                <w:sz w:val="20"/>
                <w:szCs w:val="20"/>
                <w:color w:val="auto"/>
              </w:rPr>
            </w:pPr>
            <w:r>
              <w:rPr>
                <w:rFonts w:ascii="Arial" w:cs="Arial" w:eastAsia="Arial" w:hAnsi="Arial"/>
                <w:sz w:val="16"/>
                <w:szCs w:val="16"/>
                <w:color w:val="auto"/>
              </w:rPr>
              <w:t>Director</w:t>
            </w:r>
          </w:p>
        </w:tc>
        <w:tc>
          <w:tcPr>
            <w:tcW w:w="2160" w:type="dxa"/>
            <w:vAlign w:val="bottom"/>
            <w:gridSpan w:val="7"/>
          </w:tcPr>
          <w:p>
            <w:pPr>
              <w:spacing w:after="0"/>
              <w:rPr>
                <w:sz w:val="20"/>
                <w:szCs w:val="20"/>
                <w:color w:val="auto"/>
              </w:rPr>
            </w:pPr>
            <w:r>
              <w:rPr>
                <w:rFonts w:ascii="Arial" w:cs="Arial" w:eastAsia="Arial" w:hAnsi="Arial"/>
                <w:sz w:val="16"/>
                <w:szCs w:val="16"/>
                <w:color w:val="auto"/>
              </w:rPr>
              <w:t>Director</w:t>
            </w:r>
          </w:p>
        </w:tc>
      </w:tr>
      <w:tr>
        <w:trPr>
          <w:trHeight w:val="465"/>
        </w:trPr>
        <w:tc>
          <w:tcPr>
            <w:tcW w:w="1400" w:type="dxa"/>
            <w:vAlign w:val="bottom"/>
          </w:tcPr>
          <w:p>
            <w:pPr>
              <w:spacing w:after="0"/>
              <w:rPr>
                <w:sz w:val="20"/>
                <w:szCs w:val="20"/>
                <w:color w:val="auto"/>
              </w:rPr>
            </w:pPr>
            <w:r>
              <w:rPr>
                <w:rFonts w:ascii="Arial" w:cs="Arial" w:eastAsia="Arial" w:hAnsi="Arial"/>
                <w:sz w:val="16"/>
                <w:szCs w:val="16"/>
                <w:color w:val="auto"/>
              </w:rPr>
              <w:t>/s/ Lee C. Wortham</w:t>
            </w:r>
          </w:p>
        </w:tc>
        <w:tc>
          <w:tcPr>
            <w:tcW w:w="4740" w:type="dxa"/>
            <w:vAlign w:val="bottom"/>
            <w:gridSpan w:val="6"/>
          </w:tcPr>
          <w:p>
            <w:pPr>
              <w:spacing w:after="0"/>
              <w:rPr>
                <w:sz w:val="24"/>
                <w:szCs w:val="24"/>
                <w:color w:val="auto"/>
              </w:rPr>
            </w:pPr>
          </w:p>
        </w:tc>
        <w:tc>
          <w:tcPr>
            <w:tcW w:w="2160" w:type="dxa"/>
            <w:vAlign w:val="bottom"/>
            <w:gridSpan w:val="7"/>
          </w:tcPr>
          <w:p>
            <w:pPr>
              <w:spacing w:after="0"/>
              <w:rPr>
                <w:sz w:val="20"/>
                <w:szCs w:val="20"/>
                <w:color w:val="auto"/>
              </w:rPr>
            </w:pPr>
            <w:r>
              <w:rPr>
                <w:rFonts w:ascii="Arial" w:cs="Arial" w:eastAsia="Arial" w:hAnsi="Arial"/>
                <w:sz w:val="16"/>
                <w:szCs w:val="16"/>
                <w:color w:val="auto"/>
              </w:rPr>
              <w:t>/s/ J. Michael McQuade</w:t>
            </w:r>
          </w:p>
        </w:tc>
      </w:tr>
      <w:tr>
        <w:trPr>
          <w:trHeight w:val="277"/>
        </w:trPr>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Lee C. Wortham</w:t>
            </w:r>
          </w:p>
        </w:tc>
        <w:tc>
          <w:tcPr>
            <w:tcW w:w="4740" w:type="dxa"/>
            <w:vAlign w:val="bottom"/>
            <w:gridSpan w:val="6"/>
          </w:tcPr>
          <w:p>
            <w:pPr>
              <w:spacing w:after="0"/>
              <w:rPr>
                <w:sz w:val="24"/>
                <w:szCs w:val="24"/>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 Michael McQuade</w:t>
            </w:r>
          </w:p>
        </w:tc>
        <w:tc>
          <w:tcPr>
            <w:tcW w:w="480" w:type="dxa"/>
            <w:vAlign w:val="bottom"/>
            <w:gridSpan w:val="3"/>
          </w:tcPr>
          <w:p>
            <w:pPr>
              <w:spacing w:after="0"/>
              <w:rPr>
                <w:sz w:val="24"/>
                <w:szCs w:val="24"/>
                <w:color w:val="auto"/>
              </w:rPr>
            </w:pPr>
          </w:p>
        </w:tc>
      </w:tr>
      <w:tr>
        <w:trPr>
          <w:trHeight w:val="223"/>
        </w:trPr>
        <w:tc>
          <w:tcPr>
            <w:tcW w:w="6140" w:type="dxa"/>
            <w:vAlign w:val="bottom"/>
            <w:gridSpan w:val="7"/>
          </w:tcPr>
          <w:p>
            <w:pPr>
              <w:spacing w:after="0"/>
              <w:rPr>
                <w:sz w:val="20"/>
                <w:szCs w:val="20"/>
                <w:color w:val="auto"/>
              </w:rPr>
            </w:pPr>
            <w:r>
              <w:rPr>
                <w:rFonts w:ascii="Arial" w:cs="Arial" w:eastAsia="Arial" w:hAnsi="Arial"/>
                <w:sz w:val="16"/>
                <w:szCs w:val="16"/>
                <w:color w:val="auto"/>
              </w:rPr>
              <w:t>Director</w:t>
            </w:r>
          </w:p>
        </w:tc>
        <w:tc>
          <w:tcPr>
            <w:tcW w:w="2160" w:type="dxa"/>
            <w:vAlign w:val="bottom"/>
            <w:gridSpan w:val="7"/>
          </w:tcPr>
          <w:p>
            <w:pPr>
              <w:spacing w:after="0"/>
              <w:rPr>
                <w:sz w:val="20"/>
                <w:szCs w:val="20"/>
                <w:color w:val="auto"/>
              </w:rPr>
            </w:pPr>
            <w:r>
              <w:rPr>
                <w:rFonts w:ascii="Arial" w:cs="Arial" w:eastAsia="Arial" w:hAnsi="Arial"/>
                <w:sz w:val="16"/>
                <w:szCs w:val="16"/>
                <w:color w:val="auto"/>
              </w:rPr>
              <w:t>Director</w:t>
            </w:r>
          </w:p>
        </w:tc>
      </w:tr>
    </w:tbl>
    <w:p>
      <w:pPr>
        <w:sectPr>
          <w:pgSz w:w="11900" w:h="16838" w:orient="portrait"/>
          <w:cols w:equalWidth="0" w:num="1">
            <w:col w:w="11240"/>
          </w:cols>
          <w:pgMar w:left="320" w:top="115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31(a)</w:t>
      </w:r>
    </w:p>
    <w:p>
      <w:pPr>
        <w:spacing w:after="0" w:line="18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8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131" w:lineRule="exact"/>
        <w:rPr>
          <w:sz w:val="20"/>
          <w:szCs w:val="20"/>
          <w:color w:val="auto"/>
        </w:rPr>
      </w:pPr>
    </w:p>
    <w:p>
      <w:pPr>
        <w:ind w:left="6200"/>
        <w:spacing w:after="0"/>
        <w:tabs>
          <w:tab w:leader="none" w:pos="6600" w:val="left"/>
        </w:tabs>
        <w:rPr>
          <w:sz w:val="20"/>
          <w:szCs w:val="20"/>
          <w:color w:val="auto"/>
        </w:rPr>
      </w:pP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29317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William Higgins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31(b)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8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131" w:lineRule="exact"/>
        <w:rPr>
          <w:sz w:val="20"/>
          <w:szCs w:val="20"/>
          <w:color w:val="auto"/>
        </w:rPr>
      </w:pPr>
    </w:p>
    <w:p>
      <w:pPr>
        <w:ind w:left="6200"/>
        <w:spacing w:after="0"/>
        <w:tabs>
          <w:tab w:leader="none" w:pos="6600" w:val="left"/>
        </w:tabs>
        <w:rPr>
          <w:sz w:val="20"/>
          <w:szCs w:val="20"/>
          <w:color w:val="auto"/>
        </w:rPr>
      </w:pPr>
      <w:r>
        <w:rPr>
          <w:rFonts w:ascii="Arial" w:cs="Arial" w:eastAsia="Arial" w:hAnsi="Arial"/>
          <w:sz w:val="18"/>
          <w:szCs w:val="18"/>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29317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 M. Nolan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A. William Higgins, the Chief Executive Officer, and Stephen M. Nolan, the Chief Financial Officer and Treasurer, of Albany International Corp., a Delaware corporation (“the Company”), do each hereby certify, to such officer’s knowledge, that the annual report on Form 10-K for the fiscal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9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William Higgins</w:t>
            </w:r>
          </w:p>
        </w:tc>
        <w:tc>
          <w:tcPr>
            <w:tcW w:w="20" w:type="dxa"/>
            <w:vAlign w:val="bottom"/>
          </w:tcPr>
          <w:p>
            <w:pPr>
              <w:spacing w:after="0"/>
              <w:rPr>
                <w:sz w:val="20"/>
                <w:szCs w:val="20"/>
                <w:color w:val="auto"/>
              </w:rPr>
            </w:pPr>
          </w:p>
        </w:tc>
      </w:tr>
      <w:tr>
        <w:trPr>
          <w:trHeight w:val="222"/>
        </w:trPr>
        <w:tc>
          <w:tcPr>
            <w:tcW w:w="65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 William Higgins</w:t>
            </w:r>
          </w:p>
        </w:tc>
        <w:tc>
          <w:tcPr>
            <w:tcW w:w="20" w:type="dxa"/>
            <w:vAlign w:val="bottom"/>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9"/>
                <w:szCs w:val="19"/>
                <w:color w:val="auto"/>
              </w:rPr>
            </w:pPr>
          </w:p>
        </w:tc>
      </w:tr>
      <w:tr>
        <w:trPr>
          <w:trHeight w:val="230"/>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86"/>
        </w:trPr>
        <w:tc>
          <w:tcPr>
            <w:tcW w:w="6580" w:type="dxa"/>
            <w:vAlign w:val="bottom"/>
          </w:tcPr>
          <w:p>
            <w:pPr>
              <w:ind w:left="59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M. Nolan</w:t>
            </w:r>
          </w:p>
        </w:tc>
        <w:tc>
          <w:tcPr>
            <w:tcW w:w="20" w:type="dxa"/>
            <w:vAlign w:val="bottom"/>
          </w:tcPr>
          <w:p>
            <w:pPr>
              <w:spacing w:after="0"/>
              <w:rPr>
                <w:sz w:val="24"/>
                <w:szCs w:val="24"/>
                <w:color w:val="auto"/>
              </w:rPr>
            </w:pPr>
          </w:p>
        </w:tc>
      </w:tr>
      <w:tr>
        <w:trPr>
          <w:trHeight w:val="222"/>
        </w:trPr>
        <w:tc>
          <w:tcPr>
            <w:tcW w:w="65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Stephen M. Nolan</w:t>
            </w:r>
          </w:p>
        </w:tc>
        <w:tc>
          <w:tcPr>
            <w:tcW w:w="20" w:type="dxa"/>
            <w:vAlign w:val="bottom"/>
          </w:tcPr>
          <w:p>
            <w:pPr>
              <w:spacing w:after="0"/>
              <w:rPr>
                <w:sz w:val="19"/>
                <w:szCs w:val="19"/>
                <w:color w:val="auto"/>
              </w:rPr>
            </w:pPr>
          </w:p>
        </w:tc>
      </w:tr>
      <w:tr>
        <w:trPr>
          <w:trHeight w:val="229"/>
        </w:trPr>
        <w:tc>
          <w:tcPr>
            <w:tcW w:w="65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9"/>
                <w:szCs w:val="19"/>
                <w:color w:val="auto"/>
              </w:rPr>
            </w:pPr>
          </w:p>
        </w:tc>
      </w:tr>
      <w:tr>
        <w:trPr>
          <w:trHeight w:val="230"/>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121"/>
        </w:trPr>
        <w:tc>
          <w:tcPr>
            <w:tcW w:w="658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34"/>
        </w:trPr>
        <w:tc>
          <w:tcPr>
            <w:tcW w:w="65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2"/>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7"/>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lvl w:ilvl="1">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lvl w:ilvl="1">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4"/>
    </w:lvl>
  </w:abstractNum>
  <w:abstractNum w:abstractNumId="35">
    <w:nsid w:val="7644A45C"/>
    <w:multiLevelType w:val="hybridMultilevel"/>
    <w:lvl w:ilvl="0">
      <w:lvlJc w:val="left"/>
      <w:lvlText w:val="%1."/>
      <w:numFmt w:val="decimal"/>
      <w:start w:val="4"/>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2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1"/>
    </w:lvl>
  </w:abstractNum>
  <w:abstractNum w:abstractNumId="49">
    <w:nsid w:val="23F9C13C"/>
    <w:multiLevelType w:val="hybridMultilevel"/>
    <w:lvl w:ilvl="0">
      <w:lvlJc w:val="left"/>
      <w:lvlText w:val="%1"/>
      <w:numFmt w:val="decimal"/>
      <w:start w:val="21"/>
    </w:lvl>
  </w:abstractNum>
  <w:abstractNum w:abstractNumId="50">
    <w:nsid w:val="649BB77C"/>
    <w:multiLevelType w:val="hybridMultilevel"/>
    <w:lvl w:ilvl="0">
      <w:lvlJc w:val="left"/>
      <w:lvlText w:val="%1"/>
      <w:numFmt w:val="decimal"/>
      <w:start w:val="23"/>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lvl w:ilvl="1">
      <w:lvlJc w:val="left"/>
      <w:lvlText w:val="%2."/>
      <w:numFmt w:val="decimal"/>
      <w:start w:val="3"/>
    </w:lvl>
  </w:abstractNum>
  <w:abstractNum w:abstractNumId="54">
    <w:nsid w:val="180115BE"/>
    <w:multiLevelType w:val="hybridMultilevel"/>
    <w:lvl w:ilvl="0">
      <w:lvlJc w:val="left"/>
      <w:lvlText w:val="(%1)"/>
      <w:numFmt w:val="lowerRoman"/>
      <w:start w:val="1"/>
    </w:lvl>
  </w:abstractNum>
  <w:abstractNum w:abstractNumId="55">
    <w:nsid w:val="235BA861"/>
    <w:multiLevelType w:val="hybridMultilevel"/>
    <w:lvl w:ilvl="0">
      <w:lvlJc w:val="left"/>
      <w:lvlText w:val="%1"/>
      <w:numFmt w:val="decimal"/>
      <w:start w:val="1"/>
    </w:lvl>
    <w:lvl w:ilvl="1">
      <w:lvlJc w:val="left"/>
      <w:lvlText w:val="(%2)"/>
      <w:numFmt w:val="lowerRoman"/>
      <w:start w:val="4"/>
    </w:lvl>
  </w:abstractNum>
  <w:abstractNum w:abstractNumId="56">
    <w:nsid w:val="47398C89"/>
    <w:multiLevelType w:val="hybridMultilevel"/>
    <w:lvl w:ilvl="0">
      <w:lvlJc w:val="left"/>
      <w:lvlText w:val="%1."/>
      <w:numFmt w:val="decimal"/>
      <w:start w:val="6"/>
    </w:lvl>
    <w:lvl w:ilvl="1">
      <w:lvlJc w:val="left"/>
      <w:lvlText w:val="%2"/>
      <w:numFmt w:val="lowerRoman"/>
      <w:start w:val="1"/>
    </w:lvl>
  </w:abstractNum>
  <w:abstractNum w:abstractNumId="57">
    <w:nsid w:val="354FE9F9"/>
    <w:multiLevelType w:val="hybridMultilevel"/>
    <w:lvl w:ilvl="0">
      <w:lvlJc w:val="left"/>
      <w:lvlText w:val="%1."/>
      <w:numFmt w:val="decimal"/>
      <w:start w:val="9"/>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8"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140" Type="http://schemas.openxmlformats.org/officeDocument/2006/relationships/hyperlink" Target="https://www.sec.gov/Archives/edgar/data/819793/000089109215004849/e64457ex3-1.htm" TargetMode="External"/><Relationship Id="rId141" Type="http://schemas.openxmlformats.org/officeDocument/2006/relationships/hyperlink" Target="https://www.sec.gov/Archives/edgar/data/819793/000089109211001227/e42325ex3b.htm" TargetMode="External"/><Relationship Id="rId142" Type="http://schemas.openxmlformats.org/officeDocument/2006/relationships/hyperlink" Target="https://www.sec.gov/Archives/edgar/data/819793/000115752320001363/a52315986ex10kxx.htm" TargetMode="External"/><Relationship Id="rId143" Type="http://schemas.openxmlformats.org/officeDocument/2006/relationships/hyperlink" Target="https://www.sec.gov/Archives/edgar/data/819793/000089109211005229/e44779ex10iviii.htm" TargetMode="External"/><Relationship Id="rId144" Type="http://schemas.openxmlformats.org/officeDocument/2006/relationships/hyperlink" Target="https://www.sec.gov/Archives/edgar/data/819793/000089109208002557/e31604ex10-l_vi.txt" TargetMode="External"/><Relationship Id="rId145" Type="http://schemas.openxmlformats.org/officeDocument/2006/relationships/hyperlink" Target="https://www.sec.gov/Archives/edgar/data/819793/000089109218006336/e2040ex10lix.htm" TargetMode="External"/><Relationship Id="rId146" Type="http://schemas.openxmlformats.org/officeDocument/2006/relationships/hyperlink" Target="https://www.sec.gov/Archives/edgar/data/819793/000089109219005173/e4939ex10lxii.htm" TargetMode="External"/><Relationship Id="rId147" Type="http://schemas.openxmlformats.org/officeDocument/2006/relationships/hyperlink" Target="https://www.sec.gov/Archives/edgar/data/819793/000089109220002167/ain10kex10lxiii.htm" TargetMode="External"/><Relationship Id="rId148" Type="http://schemas.openxmlformats.org/officeDocument/2006/relationships/hyperlink" Target="https://www.sec.gov/Archives/edgar/data/819793/000089109220002167/ain10kex10lxiv.htm" TargetMode="External"/><Relationship Id="rId149" Type="http://schemas.openxmlformats.org/officeDocument/2006/relationships/hyperlink" Target="https://www.sec.gov/Archives/edgar/data/819793/000110465903024902/a03-4759_1ex10dmvii.htm" TargetMode="External"/><Relationship Id="rId150" Type="http://schemas.openxmlformats.org/officeDocument/2006/relationships/hyperlink" Target="https://www.sec.gov/Archives/edgar/data/819793/000089109211003686/e43862ex10mix.htm" TargetMode="External"/><Relationship Id="rId151" Type="http://schemas.openxmlformats.org/officeDocument/2006/relationships/hyperlink" Target="https://www.sec.gov/Archives/edgar/data/819793/000089109211001985/e42848ex10m_xvii.htm" TargetMode="External"/><Relationship Id="rId152" Type="http://schemas.openxmlformats.org/officeDocument/2006/relationships/hyperlink" Target="https://www.sec.gov/Archives/edgar/data/819793/000089109211001985/e42848ex10m_xviii.htm" TargetMode="External"/><Relationship Id="rId153" Type="http://schemas.openxmlformats.org/officeDocument/2006/relationships/hyperlink" Target="https://www.sec.gov/Archives/edgar/data/819793/000089109216011149/e67649ex10l-viii.htm" TargetMode="External"/><Relationship Id="rId154" Type="http://schemas.openxmlformats.org/officeDocument/2006/relationships/hyperlink" Target="https://www.sec.gov/Archives/edgar/data/819793/000089109208000017/e29730ex10ni.txt" TargetMode="External"/><Relationship Id="rId155" Type="http://schemas.openxmlformats.org/officeDocument/2006/relationships/hyperlink" Target="https://www.sec.gov/Archives/edgar/data/819793/000089109217002406/e72960def14a.htm" TargetMode="External"/><Relationship Id="rId156" Type="http://schemas.openxmlformats.org/officeDocument/2006/relationships/hyperlink" Target="https://www.sec.gov/Archives/edgar/data/819793/000089109219005173/e4939ex10niii.htm" TargetMode="External"/><Relationship Id="rId157" Type="http://schemas.openxmlformats.org/officeDocument/2006/relationships/hyperlink" Target="https://www.sec.gov/Archives/edgar/data/819793/000089109220002167/ain10kex10niv.htm" TargetMode="External"/><Relationship Id="rId159" Type="http://schemas.openxmlformats.org/officeDocument/2006/relationships/hyperlink" Target="https://www.sec.gov/Archives/edgar/data/819793/000089109220000747/e8061ex10nv.htm" TargetMode="External"/><Relationship Id="rId160" Type="http://schemas.openxmlformats.org/officeDocument/2006/relationships/hyperlink" Target="https://www.sec.gov/Archives/edgar/data/819793/000089109218002748/e77322def14a.htm" TargetMode="External"/><Relationship Id="rId161" Type="http://schemas.openxmlformats.org/officeDocument/2006/relationships/hyperlink" Target="https://www.sec.gov/Archives/edgar/data/819793/000104746904007489/a2130113zex-10_p.htm" TargetMode="External"/><Relationship Id="rId162" Type="http://schemas.openxmlformats.org/officeDocument/2006/relationships/hyperlink" Target="https://www.sec.gov/Archives/edgar/data/819793/000089109205000038/e20283ex10_q.txt" TargetMode="External"/><Relationship Id="rId163" Type="http://schemas.openxmlformats.org/officeDocument/2006/relationships/hyperlink" Target="https://www.sec.gov/Archives/edgar/data/819793/000089109206000936/e23819ex_10t.txt" TargetMode="External"/><Relationship Id="rId164" Type="http://schemas.openxmlformats.org/officeDocument/2006/relationships/hyperlink" Target="https://www.sec.gov/Archives/edgar/data/819793/000089109218004221/e78842ex10u.htm" TargetMode="External"/><Relationship Id="rId165" Type="http://schemas.openxmlformats.org/officeDocument/2006/relationships/hyperlink" Target="https://www.sec.gov/Archives/edgar/data/819793/000089109218005751/e1706ex10u.htm" TargetMode="External"/><Relationship Id="rId166" Type="http://schemas.openxmlformats.org/officeDocument/2006/relationships/hyperlink" Target="https://www.sec.gov/Archives/edgar/data/819793/000089109219005173/e4939ex10uii.htm" TargetMode="External"/><Relationship Id="rId167" Type="http://schemas.openxmlformats.org/officeDocument/2006/relationships/hyperlink" Target="https://www.sec.gov/Archives/edgar/data/819793/000089109220002167/ain10kex10uiii.htm" TargetMode="External"/><Relationship Id="rId168" Type="http://schemas.openxmlformats.org/officeDocument/2006/relationships/hyperlink" Target="https://www.sec.gov/Archives/edgar/data/819793/000089109220002167/ain10kex10uiv.htm" TargetMode="External"/><Relationship Id="rId169" Type="http://schemas.openxmlformats.org/officeDocument/2006/relationships/hyperlink" Target="https://www.sec.gov/Archives/edgar/data/819793/000089109220002167/ain10kex10uvi.htm" TargetMode="External"/><Relationship Id="rId170" Type="http://schemas.openxmlformats.org/officeDocument/2006/relationships/hyperlink" Target="https://www.sec.gov/Archives/edgar/data/819793/000089109220002167/ain10kex10uvii.htm" TargetMode="External"/><Relationship Id="rId171" Type="http://schemas.openxmlformats.org/officeDocument/2006/relationships/hyperlink" Target="https://www.sec.gov/Archives/edgar/data/819793/000119312519158489/d746770dex101.htm" TargetMode="External"/><Relationship Id="rId172" Type="http://schemas.openxmlformats.org/officeDocument/2006/relationships/hyperlink" Target="https://www.sec.gov/Archives/edgar/data/819793/000089109214001589/e5752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2021-02-25T13:48:50Z</dcterms:created>
  <dcterms:modified xsi:type="dcterms:W3CDTF">2021-02-25T13:48:50Z</dcterms:modified>
</cp:coreProperties>
</file>