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UNITED STATES</w:t>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9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212" w:lineRule="exact"/>
        <w:rPr>
          <w:sz w:val="24"/>
          <w:szCs w:val="24"/>
          <w:color w:val="auto"/>
        </w:rPr>
      </w:pPr>
    </w:p>
    <w:p>
      <w:pPr>
        <w:ind w:left="3820" w:right="1920" w:hanging="3812"/>
        <w:spacing w:after="0" w:line="498" w:lineRule="auto"/>
        <w:tabs>
          <w:tab w:leader="none" w:pos="269"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QUARTERLY REPORT PURSUANT TO SECTION 13 OR 15(d) OF THE SECURITIES EXCHANGE ACT OF 1934 </w:t>
      </w:r>
      <w:r>
        <w:rPr>
          <w:rFonts w:ascii="Arial" w:cs="Arial" w:eastAsia="Arial" w:hAnsi="Arial"/>
          <w:sz w:val="18"/>
          <w:szCs w:val="18"/>
          <w:color w:val="auto"/>
        </w:rPr>
        <w:t xml:space="preserve">For the quarterly period ended: </w:t>
      </w:r>
      <w:r>
        <w:rPr>
          <w:rFonts w:ascii="Arial" w:cs="Arial" w:eastAsia="Arial" w:hAnsi="Arial"/>
          <w:sz w:val="18"/>
          <w:szCs w:val="18"/>
          <w:u w:val="single" w:color="auto"/>
          <w:color w:val="auto"/>
        </w:rPr>
        <w:t>March 31, 2018</w:t>
      </w:r>
    </w:p>
    <w:p>
      <w:pPr>
        <w:jc w:val="center"/>
        <w:spacing w:after="0"/>
        <w:rPr>
          <w:sz w:val="20"/>
          <w:szCs w:val="20"/>
          <w:color w:val="auto"/>
        </w:rPr>
      </w:pPr>
      <w:r>
        <w:rPr>
          <w:rFonts w:ascii="Arial" w:cs="Arial" w:eastAsia="Arial" w:hAnsi="Arial"/>
          <w:sz w:val="18"/>
          <w:szCs w:val="18"/>
          <w:color w:val="auto"/>
        </w:rPr>
        <w:t>OR</w:t>
      </w:r>
    </w:p>
    <w:p>
      <w:pPr>
        <w:spacing w:after="0" w:line="190" w:lineRule="exact"/>
        <w:rPr>
          <w:sz w:val="24"/>
          <w:szCs w:val="24"/>
          <w:color w:val="auto"/>
        </w:rPr>
      </w:pPr>
    </w:p>
    <w:p>
      <w:pPr>
        <w:ind w:left="3400" w:right="1920" w:hanging="3392"/>
        <w:spacing w:after="0" w:line="498" w:lineRule="auto"/>
        <w:tabs>
          <w:tab w:leader="none" w:pos="161"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 TRANSITION REPORT PURSUANT TO SECTION 13 OR 15(d) OF THE SECURITIES EXCHANGE ACT OF 1934 </w:t>
      </w:r>
      <w:r>
        <w:rPr>
          <w:rFonts w:ascii="Arial" w:cs="Arial" w:eastAsia="Arial" w:hAnsi="Arial"/>
          <w:sz w:val="18"/>
          <w:szCs w:val="18"/>
          <w:color w:val="auto"/>
        </w:rPr>
        <w:t>For the transition period from __________ to __________</w:t>
      </w:r>
    </w:p>
    <w:p>
      <w:pPr>
        <w:ind w:left="4360"/>
        <w:spacing w:after="0"/>
        <w:rPr>
          <w:rFonts w:ascii="Arial" w:cs="Arial" w:eastAsia="Arial" w:hAnsi="Arial"/>
          <w:sz w:val="18"/>
          <w:szCs w:val="18"/>
          <w:b w:val="1"/>
          <w:bCs w:val="1"/>
          <w:color w:val="auto"/>
        </w:rPr>
      </w:pPr>
      <w:r>
        <w:rPr>
          <w:rFonts w:ascii="Arial" w:cs="Arial" w:eastAsia="Arial" w:hAnsi="Arial"/>
          <w:sz w:val="18"/>
          <w:szCs w:val="18"/>
          <w:color w:val="auto"/>
        </w:rPr>
        <w:t xml:space="preserve">Commission file number: </w:t>
      </w:r>
      <w:r>
        <w:rPr>
          <w:rFonts w:ascii="Arial" w:cs="Arial" w:eastAsia="Arial" w:hAnsi="Arial"/>
          <w:sz w:val="18"/>
          <w:szCs w:val="18"/>
          <w:u w:val="single" w:color="auto"/>
          <w:color w:val="auto"/>
        </w:rPr>
        <w:t>1-10026</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u w:val="single" w:color="auto"/>
          <w:color w:val="auto"/>
        </w:rPr>
        <w:t>ALBANY INTERNATIONAL CORP.</w:t>
      </w:r>
    </w:p>
    <w:p>
      <w:pPr>
        <w:jc w:val="center"/>
        <w:spacing w:after="0" w:line="234" w:lineRule="auto"/>
        <w:rPr>
          <w:sz w:val="20"/>
          <w:szCs w:val="20"/>
          <w:color w:val="auto"/>
        </w:rPr>
      </w:pPr>
      <w:r>
        <w:rPr>
          <w:rFonts w:ascii="Arial" w:cs="Arial" w:eastAsia="Arial" w:hAnsi="Arial"/>
          <w:sz w:val="18"/>
          <w:szCs w:val="18"/>
          <w:color w:val="auto"/>
        </w:rPr>
        <w:t>(Exact name of registrant as specified in its charter)</w:t>
      </w:r>
    </w:p>
    <w:tbl>
      <w:tblPr>
        <w:tblLayout w:type="fixed"/>
        <w:tblInd w:w="0" w:type="dxa"/>
        <w:tblCellMar>
          <w:top w:w="0" w:type="dxa"/>
          <w:left w:w="0" w:type="dxa"/>
          <w:bottom w:w="0" w:type="dxa"/>
          <w:right w:w="0" w:type="dxa"/>
        </w:tblCellMar>
      </w:tblPr>
      <w:tr>
        <w:trPr>
          <w:trHeight w:val="204"/>
        </w:trPr>
        <w:tc>
          <w:tcPr>
            <w:tcW w:w="20" w:type="dxa"/>
            <w:vAlign w:val="bottom"/>
          </w:tcPr>
          <w:p>
            <w:pPr>
              <w:spacing w:after="0"/>
              <w:rPr>
                <w:sz w:val="17"/>
                <w:szCs w:val="17"/>
                <w:color w:val="auto"/>
              </w:rPr>
            </w:pPr>
          </w:p>
        </w:tc>
        <w:tc>
          <w:tcPr>
            <w:tcW w:w="6620" w:type="dxa"/>
            <w:vAlign w:val="bottom"/>
            <w:gridSpan w:val="3"/>
          </w:tcPr>
          <w:p>
            <w:pPr>
              <w:jc w:val="center"/>
              <w:ind w:right="1340"/>
              <w:spacing w:after="0" w:line="204" w:lineRule="exact"/>
              <w:rPr>
                <w:sz w:val="20"/>
                <w:szCs w:val="20"/>
                <w:color w:val="auto"/>
              </w:rPr>
            </w:pPr>
            <w:r>
              <w:rPr>
                <w:rFonts w:ascii="Arial" w:cs="Arial" w:eastAsia="Arial" w:hAnsi="Arial"/>
                <w:sz w:val="18"/>
                <w:szCs w:val="18"/>
                <w:color w:val="auto"/>
                <w:w w:val="99"/>
              </w:rPr>
              <w:t>Delaware</w:t>
            </w:r>
          </w:p>
        </w:tc>
        <w:tc>
          <w:tcPr>
            <w:tcW w:w="4780" w:type="dxa"/>
            <w:vAlign w:val="bottom"/>
          </w:tcPr>
          <w:p>
            <w:pPr>
              <w:jc w:val="right"/>
              <w:ind w:right="1790"/>
              <w:spacing w:after="0" w:line="204" w:lineRule="exact"/>
              <w:rPr>
                <w:sz w:val="20"/>
                <w:szCs w:val="20"/>
                <w:color w:val="auto"/>
              </w:rPr>
            </w:pPr>
            <w:r>
              <w:rPr>
                <w:rFonts w:ascii="Arial" w:cs="Arial" w:eastAsia="Arial" w:hAnsi="Arial"/>
                <w:sz w:val="18"/>
                <w:szCs w:val="18"/>
                <w:color w:val="auto"/>
              </w:rPr>
              <w:t>14-0462060</w:t>
            </w:r>
          </w:p>
        </w:tc>
      </w:tr>
      <w:tr>
        <w:trPr>
          <w:trHeight w:val="195"/>
        </w:trPr>
        <w:tc>
          <w:tcPr>
            <w:tcW w:w="20" w:type="dxa"/>
            <w:vAlign w:val="bottom"/>
          </w:tcPr>
          <w:p>
            <w:pPr>
              <w:spacing w:after="0"/>
              <w:rPr>
                <w:sz w:val="16"/>
                <w:szCs w:val="16"/>
                <w:color w:val="auto"/>
              </w:rPr>
            </w:pPr>
          </w:p>
        </w:tc>
        <w:tc>
          <w:tcPr>
            <w:tcW w:w="5260" w:type="dxa"/>
            <w:vAlign w:val="bottom"/>
            <w:tcBorders>
              <w:top w:val="single" w:sz="8" w:color="auto"/>
            </w:tcBorders>
            <w:gridSpan w:val="2"/>
          </w:tcPr>
          <w:p>
            <w:pPr>
              <w:jc w:val="center"/>
              <w:spacing w:after="0" w:line="195" w:lineRule="exact"/>
              <w:rPr>
                <w:sz w:val="20"/>
                <w:szCs w:val="20"/>
                <w:color w:val="auto"/>
              </w:rPr>
            </w:pPr>
            <w:r>
              <w:rPr>
                <w:rFonts w:ascii="Arial" w:cs="Arial" w:eastAsia="Arial" w:hAnsi="Arial"/>
                <w:sz w:val="18"/>
                <w:szCs w:val="18"/>
                <w:color w:val="auto"/>
                <w:w w:val="99"/>
              </w:rPr>
              <w:t>(State or other jurisdiction of</w:t>
            </w:r>
          </w:p>
        </w:tc>
        <w:tc>
          <w:tcPr>
            <w:tcW w:w="1360" w:type="dxa"/>
            <w:vAlign w:val="bottom"/>
          </w:tcPr>
          <w:p>
            <w:pPr>
              <w:spacing w:after="0"/>
              <w:rPr>
                <w:sz w:val="16"/>
                <w:szCs w:val="16"/>
                <w:color w:val="auto"/>
              </w:rPr>
            </w:pPr>
          </w:p>
        </w:tc>
        <w:tc>
          <w:tcPr>
            <w:tcW w:w="4780" w:type="dxa"/>
            <w:vAlign w:val="bottom"/>
            <w:tcBorders>
              <w:top w:val="single" w:sz="8" w:color="auto"/>
            </w:tcBorders>
          </w:tcPr>
          <w:p>
            <w:pPr>
              <w:ind w:left="1100"/>
              <w:spacing w:after="0" w:line="195" w:lineRule="exact"/>
              <w:rPr>
                <w:sz w:val="20"/>
                <w:szCs w:val="20"/>
                <w:color w:val="auto"/>
              </w:rPr>
            </w:pPr>
            <w:r>
              <w:rPr>
                <w:rFonts w:ascii="Arial" w:cs="Arial" w:eastAsia="Arial" w:hAnsi="Arial"/>
                <w:sz w:val="18"/>
                <w:szCs w:val="18"/>
                <w:color w:val="auto"/>
              </w:rPr>
              <w:t>(IRS Employer Identification No.)</w:t>
            </w:r>
          </w:p>
        </w:tc>
      </w:tr>
      <w:tr>
        <w:trPr>
          <w:trHeight w:val="217"/>
        </w:trPr>
        <w:tc>
          <w:tcPr>
            <w:tcW w:w="20" w:type="dxa"/>
            <w:vAlign w:val="bottom"/>
          </w:tcPr>
          <w:p>
            <w:pPr>
              <w:spacing w:after="0"/>
              <w:rPr>
                <w:sz w:val="18"/>
                <w:szCs w:val="18"/>
                <w:color w:val="auto"/>
              </w:rPr>
            </w:pPr>
          </w:p>
        </w:tc>
        <w:tc>
          <w:tcPr>
            <w:tcW w:w="6620" w:type="dxa"/>
            <w:vAlign w:val="bottom"/>
            <w:gridSpan w:val="3"/>
          </w:tcPr>
          <w:p>
            <w:pPr>
              <w:ind w:left="1420"/>
              <w:spacing w:after="0"/>
              <w:rPr>
                <w:sz w:val="20"/>
                <w:szCs w:val="20"/>
                <w:color w:val="auto"/>
              </w:rPr>
            </w:pPr>
            <w:r>
              <w:rPr>
                <w:rFonts w:ascii="Arial" w:cs="Arial" w:eastAsia="Arial" w:hAnsi="Arial"/>
                <w:sz w:val="18"/>
                <w:szCs w:val="18"/>
                <w:color w:val="auto"/>
              </w:rPr>
              <w:t>incorporation or organization)</w:t>
            </w:r>
          </w:p>
        </w:tc>
        <w:tc>
          <w:tcPr>
            <w:tcW w:w="4780" w:type="dxa"/>
            <w:vAlign w:val="bottom"/>
          </w:tcPr>
          <w:p>
            <w:pPr>
              <w:spacing w:after="0"/>
              <w:rPr>
                <w:sz w:val="18"/>
                <w:szCs w:val="18"/>
                <w:color w:val="auto"/>
              </w:rPr>
            </w:pPr>
          </w:p>
        </w:tc>
      </w:tr>
      <w:tr>
        <w:trPr>
          <w:trHeight w:val="392"/>
        </w:trPr>
        <w:tc>
          <w:tcPr>
            <w:tcW w:w="20" w:type="dxa"/>
            <w:vAlign w:val="bottom"/>
          </w:tcPr>
          <w:p>
            <w:pPr>
              <w:spacing w:after="0"/>
              <w:rPr>
                <w:sz w:val="24"/>
                <w:szCs w:val="24"/>
                <w:color w:val="auto"/>
              </w:rPr>
            </w:pPr>
          </w:p>
        </w:tc>
        <w:tc>
          <w:tcPr>
            <w:tcW w:w="6620" w:type="dxa"/>
            <w:vAlign w:val="bottom"/>
            <w:gridSpan w:val="3"/>
          </w:tcPr>
          <w:p>
            <w:pPr>
              <w:jc w:val="center"/>
              <w:ind w:right="1340"/>
              <w:spacing w:after="0"/>
              <w:rPr>
                <w:sz w:val="20"/>
                <w:szCs w:val="20"/>
                <w:color w:val="auto"/>
              </w:rPr>
            </w:pPr>
            <w:r>
              <w:rPr>
                <w:rFonts w:ascii="Arial" w:cs="Arial" w:eastAsia="Arial" w:hAnsi="Arial"/>
                <w:sz w:val="18"/>
                <w:szCs w:val="18"/>
                <w:color w:val="auto"/>
                <w:w w:val="99"/>
              </w:rPr>
              <w:t>216 Airport Drive, Rochester, New Hampshire</w:t>
            </w:r>
          </w:p>
        </w:tc>
        <w:tc>
          <w:tcPr>
            <w:tcW w:w="4780" w:type="dxa"/>
            <w:vAlign w:val="bottom"/>
          </w:tcPr>
          <w:p>
            <w:pPr>
              <w:jc w:val="right"/>
              <w:ind w:right="2030"/>
              <w:spacing w:after="0"/>
              <w:rPr>
                <w:sz w:val="20"/>
                <w:szCs w:val="20"/>
                <w:color w:val="auto"/>
              </w:rPr>
            </w:pPr>
            <w:r>
              <w:rPr>
                <w:rFonts w:ascii="Arial" w:cs="Arial" w:eastAsia="Arial" w:hAnsi="Arial"/>
                <w:sz w:val="18"/>
                <w:szCs w:val="18"/>
                <w:color w:val="auto"/>
              </w:rPr>
              <w:t>03867</w:t>
            </w:r>
          </w:p>
        </w:tc>
      </w:tr>
      <w:tr>
        <w:trPr>
          <w:trHeight w:val="195"/>
        </w:trPr>
        <w:tc>
          <w:tcPr>
            <w:tcW w:w="20" w:type="dxa"/>
            <w:vAlign w:val="bottom"/>
          </w:tcPr>
          <w:p>
            <w:pPr>
              <w:spacing w:after="0"/>
              <w:rPr>
                <w:sz w:val="16"/>
                <w:szCs w:val="16"/>
                <w:color w:val="auto"/>
              </w:rPr>
            </w:pPr>
          </w:p>
        </w:tc>
        <w:tc>
          <w:tcPr>
            <w:tcW w:w="5260" w:type="dxa"/>
            <w:vAlign w:val="bottom"/>
            <w:tcBorders>
              <w:top w:val="single" w:sz="8" w:color="auto"/>
            </w:tcBorders>
            <w:gridSpan w:val="2"/>
          </w:tcPr>
          <w:p>
            <w:pPr>
              <w:jc w:val="center"/>
              <w:spacing w:after="0" w:line="195" w:lineRule="exact"/>
              <w:rPr>
                <w:sz w:val="20"/>
                <w:szCs w:val="20"/>
                <w:color w:val="auto"/>
              </w:rPr>
            </w:pPr>
            <w:r>
              <w:rPr>
                <w:rFonts w:ascii="Arial" w:cs="Arial" w:eastAsia="Arial" w:hAnsi="Arial"/>
                <w:sz w:val="18"/>
                <w:szCs w:val="18"/>
                <w:color w:val="auto"/>
                <w:w w:val="99"/>
              </w:rPr>
              <w:t>(Address of principal executive offices)</w:t>
            </w:r>
          </w:p>
        </w:tc>
        <w:tc>
          <w:tcPr>
            <w:tcW w:w="1360" w:type="dxa"/>
            <w:vAlign w:val="bottom"/>
          </w:tcPr>
          <w:p>
            <w:pPr>
              <w:spacing w:after="0"/>
              <w:rPr>
                <w:sz w:val="16"/>
                <w:szCs w:val="16"/>
                <w:color w:val="auto"/>
              </w:rPr>
            </w:pPr>
          </w:p>
        </w:tc>
        <w:tc>
          <w:tcPr>
            <w:tcW w:w="4780" w:type="dxa"/>
            <w:vAlign w:val="bottom"/>
            <w:tcBorders>
              <w:top w:val="single" w:sz="8" w:color="auto"/>
            </w:tcBorders>
          </w:tcPr>
          <w:p>
            <w:pPr>
              <w:ind w:left="1940"/>
              <w:spacing w:after="0" w:line="195" w:lineRule="exact"/>
              <w:rPr>
                <w:sz w:val="20"/>
                <w:szCs w:val="20"/>
                <w:color w:val="auto"/>
              </w:rPr>
            </w:pPr>
            <w:r>
              <w:rPr>
                <w:rFonts w:ascii="Arial" w:cs="Arial" w:eastAsia="Arial" w:hAnsi="Arial"/>
                <w:sz w:val="18"/>
                <w:szCs w:val="18"/>
                <w:color w:val="auto"/>
              </w:rPr>
              <w:t>(Zip Code)</w:t>
            </w:r>
          </w:p>
        </w:tc>
      </w:tr>
      <w:tr>
        <w:trPr>
          <w:trHeight w:val="176"/>
        </w:trPr>
        <w:tc>
          <w:tcPr>
            <w:tcW w:w="6640" w:type="dxa"/>
            <w:vAlign w:val="bottom"/>
            <w:gridSpan w:val="4"/>
          </w:tcPr>
          <w:p>
            <w:pPr>
              <w:jc w:val="center"/>
              <w:ind w:right="1360"/>
              <w:spacing w:after="0" w:line="176" w:lineRule="exact"/>
              <w:rPr>
                <w:sz w:val="20"/>
                <w:szCs w:val="20"/>
                <w:color w:val="auto"/>
              </w:rPr>
            </w:pPr>
            <w:r>
              <w:rPr>
                <w:rFonts w:ascii="Arial" w:cs="Arial" w:eastAsia="Arial" w:hAnsi="Arial"/>
                <w:sz w:val="18"/>
                <w:szCs w:val="18"/>
                <w:color w:val="auto"/>
                <w:w w:val="99"/>
              </w:rPr>
              <w:t>Registrant’s telephone number, including area code 603-330-5850</w:t>
            </w:r>
          </w:p>
        </w:tc>
        <w:tc>
          <w:tcPr>
            <w:tcW w:w="478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1120" w:type="dxa"/>
            <w:vAlign w:val="bottom"/>
            <w:tcBorders>
              <w:right w:val="single" w:sz="8" w:color="auto"/>
            </w:tcBorders>
            <w:shd w:val="clear" w:color="auto" w:fill="000000"/>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r>
    </w:tbl>
    <w:p>
      <w:pPr>
        <w:spacing w:after="0" w:line="121" w:lineRule="exact"/>
        <w:rPr>
          <w:sz w:val="24"/>
          <w:szCs w:val="24"/>
          <w:color w:val="auto"/>
        </w:rPr>
      </w:pPr>
    </w:p>
    <w:p>
      <w:pPr>
        <w:ind w:right="80"/>
        <w:spacing w:after="0"/>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 ] No [ ]</w:t>
      </w:r>
    </w:p>
    <w:p>
      <w:pPr>
        <w:spacing w:after="0" w:line="203" w:lineRule="exact"/>
        <w:rPr>
          <w:sz w:val="24"/>
          <w:szCs w:val="24"/>
          <w:color w:val="auto"/>
        </w:rPr>
      </w:pPr>
    </w:p>
    <w:p>
      <w:pPr>
        <w:ind w:right="60"/>
        <w:spacing w:after="0"/>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 √ ] No [ ]</w:t>
      </w:r>
    </w:p>
    <w:p>
      <w:pPr>
        <w:spacing w:after="0" w:line="203" w:lineRule="exact"/>
        <w:rPr>
          <w:sz w:val="24"/>
          <w:szCs w:val="24"/>
          <w:color w:val="auto"/>
        </w:rPr>
      </w:pPr>
    </w:p>
    <w:p>
      <w:pPr>
        <w:ind w:right="400"/>
        <w:spacing w:after="0" w:line="246"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smaller reporting company.</w:t>
      </w:r>
    </w:p>
    <w:p>
      <w:pPr>
        <w:spacing w:after="0" w:line="179"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226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1960" w:type="dxa"/>
            <w:vAlign w:val="bottom"/>
          </w:tcPr>
          <w:p>
            <w:pPr>
              <w:ind w:left="460"/>
              <w:spacing w:after="0"/>
              <w:rPr>
                <w:sz w:val="20"/>
                <w:szCs w:val="20"/>
                <w:color w:val="auto"/>
              </w:rPr>
            </w:pPr>
            <w:r>
              <w:rPr>
                <w:rFonts w:ascii="Arial" w:cs="Arial" w:eastAsia="Arial" w:hAnsi="Arial"/>
                <w:sz w:val="18"/>
                <w:szCs w:val="18"/>
                <w:color w:val="auto"/>
              </w:rPr>
              <w:t>[ √ ]</w:t>
            </w:r>
          </w:p>
        </w:tc>
        <w:tc>
          <w:tcPr>
            <w:tcW w:w="4140" w:type="dxa"/>
            <w:vAlign w:val="bottom"/>
          </w:tcPr>
          <w:p>
            <w:pPr>
              <w:ind w:left="1200"/>
              <w:spacing w:after="0"/>
              <w:rPr>
                <w:sz w:val="20"/>
                <w:szCs w:val="20"/>
                <w:color w:val="auto"/>
              </w:rPr>
            </w:pPr>
            <w:r>
              <w:rPr>
                <w:rFonts w:ascii="Arial" w:cs="Arial" w:eastAsia="Arial" w:hAnsi="Arial"/>
                <w:sz w:val="18"/>
                <w:szCs w:val="18"/>
                <w:color w:val="auto"/>
              </w:rPr>
              <w:t>Accelerated filer</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03"/>
        </w:trPr>
        <w:tc>
          <w:tcPr>
            <w:tcW w:w="2260" w:type="dxa"/>
            <w:vAlign w:val="bottom"/>
          </w:tcPr>
          <w:p>
            <w:pPr>
              <w:spacing w:after="0" w:line="202" w:lineRule="exact"/>
              <w:rPr>
                <w:sz w:val="20"/>
                <w:szCs w:val="20"/>
                <w:color w:val="auto"/>
              </w:rPr>
            </w:pPr>
            <w:r>
              <w:rPr>
                <w:rFonts w:ascii="Arial" w:cs="Arial" w:eastAsia="Arial" w:hAnsi="Arial"/>
                <w:sz w:val="18"/>
                <w:szCs w:val="18"/>
                <w:color w:val="auto"/>
              </w:rPr>
              <w:t>Non-accelerated filer</w:t>
            </w:r>
          </w:p>
        </w:tc>
        <w:tc>
          <w:tcPr>
            <w:tcW w:w="1960" w:type="dxa"/>
            <w:vAlign w:val="bottom"/>
          </w:tcPr>
          <w:p>
            <w:pPr>
              <w:ind w:left="460"/>
              <w:spacing w:after="0" w:line="202" w:lineRule="exact"/>
              <w:rPr>
                <w:sz w:val="20"/>
                <w:szCs w:val="20"/>
                <w:color w:val="auto"/>
              </w:rPr>
            </w:pPr>
            <w:r>
              <w:rPr>
                <w:rFonts w:ascii="Arial" w:cs="Arial" w:eastAsia="Arial" w:hAnsi="Arial"/>
                <w:sz w:val="18"/>
                <w:szCs w:val="18"/>
                <w:color w:val="auto"/>
              </w:rPr>
              <w:t>[  ]</w:t>
            </w:r>
          </w:p>
        </w:tc>
        <w:tc>
          <w:tcPr>
            <w:tcW w:w="4140" w:type="dxa"/>
            <w:vAlign w:val="bottom"/>
          </w:tcPr>
          <w:p>
            <w:pPr>
              <w:ind w:left="1200"/>
              <w:spacing w:after="0" w:line="202" w:lineRule="exact"/>
              <w:rPr>
                <w:sz w:val="20"/>
                <w:szCs w:val="20"/>
                <w:color w:val="auto"/>
              </w:rPr>
            </w:pPr>
            <w:r>
              <w:rPr>
                <w:rFonts w:ascii="Arial" w:cs="Arial" w:eastAsia="Arial" w:hAnsi="Arial"/>
                <w:sz w:val="18"/>
                <w:szCs w:val="18"/>
                <w:color w:val="auto"/>
              </w:rPr>
              <w:t>Smaller reporting company</w:t>
            </w:r>
          </w:p>
        </w:tc>
        <w:tc>
          <w:tcPr>
            <w:tcW w:w="9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r>
      <w:tr>
        <w:trPr>
          <w:trHeight w:val="217"/>
        </w:trPr>
        <w:tc>
          <w:tcPr>
            <w:tcW w:w="226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4140" w:type="dxa"/>
            <w:vAlign w:val="bottom"/>
          </w:tcPr>
          <w:p>
            <w:pPr>
              <w:ind w:left="1200"/>
              <w:spacing w:after="0"/>
              <w:rPr>
                <w:sz w:val="20"/>
                <w:szCs w:val="20"/>
                <w:color w:val="auto"/>
              </w:rPr>
            </w:pPr>
            <w:r>
              <w:rPr>
                <w:rFonts w:ascii="Arial" w:cs="Arial" w:eastAsia="Arial" w:hAnsi="Arial"/>
                <w:sz w:val="18"/>
                <w:szCs w:val="18"/>
                <w:color w:val="auto"/>
              </w:rPr>
              <w:t>Emerging growth company</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391" w:lineRule="exact"/>
        <w:rPr>
          <w:sz w:val="24"/>
          <w:szCs w:val="24"/>
          <w:color w:val="auto"/>
        </w:rPr>
      </w:pPr>
    </w:p>
    <w:p>
      <w:pPr>
        <w:spacing w:after="0" w:line="246"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 ]</w:t>
      </w:r>
    </w:p>
    <w:p>
      <w:pPr>
        <w:spacing w:after="0" w:line="183" w:lineRule="exact"/>
        <w:rPr>
          <w:sz w:val="24"/>
          <w:szCs w:val="24"/>
          <w:color w:val="auto"/>
        </w:rPr>
      </w:pPr>
    </w:p>
    <w:p>
      <w:pPr>
        <w:spacing w:after="0"/>
        <w:tabs>
          <w:tab w:leader="none" w:pos="9620" w:val="left"/>
        </w:tabs>
        <w:rPr>
          <w:sz w:val="20"/>
          <w:szCs w:val="20"/>
          <w:color w:val="auto"/>
        </w:rPr>
      </w:pPr>
      <w:r>
        <w:rPr>
          <w:rFonts w:ascii="Arial" w:cs="Arial" w:eastAsia="Arial" w:hAnsi="Arial"/>
          <w:sz w:val="18"/>
          <w:szCs w:val="18"/>
          <w:color w:val="auto"/>
        </w:rPr>
        <w:t>Indicate by check mark whether the registrant is a shell company (as defined in Rule 12b-2 of the Exchange Act). Yes [</w:t>
        <w:tab/>
        <w:t>] No [ √ ]</w:t>
      </w:r>
    </w:p>
    <w:p>
      <w:pPr>
        <w:spacing w:after="0" w:line="198" w:lineRule="exact"/>
        <w:rPr>
          <w:sz w:val="24"/>
          <w:szCs w:val="24"/>
          <w:color w:val="auto"/>
        </w:rPr>
      </w:pPr>
    </w:p>
    <w:p>
      <w:pPr>
        <w:ind w:right="180"/>
        <w:spacing w:after="0" w:line="246" w:lineRule="auto"/>
        <w:rPr>
          <w:sz w:val="20"/>
          <w:szCs w:val="20"/>
          <w:color w:val="auto"/>
        </w:rPr>
      </w:pPr>
      <w:r>
        <w:rPr>
          <w:rFonts w:ascii="Arial" w:cs="Arial" w:eastAsia="Arial" w:hAnsi="Arial"/>
          <w:sz w:val="18"/>
          <w:szCs w:val="18"/>
          <w:color w:val="auto"/>
        </w:rPr>
        <w:t>The registrant had 29.0 million shares of Class A Common Stock and 3.2 million shares of Class B Common Stock outstanding as of April 30, 2018.</w:t>
      </w:r>
    </w:p>
    <w:p>
      <w:pPr>
        <w:spacing w:after="0" w:line="18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225" w:right="239" w:bottom="1440" w:gutter="0" w:footer="0" w:header="0"/>
        </w:sectPr>
      </w:pPr>
    </w:p>
    <w:bookmarkStart w:id="1" w:name="page2"/>
    <w:bookmarkEnd w:id="1"/>
    <w:p>
      <w:pPr>
        <w:jc w:val="center"/>
        <w:ind w:right="-259"/>
        <w:spacing w:after="0"/>
        <w:rPr>
          <w:sz w:val="20"/>
          <w:szCs w:val="20"/>
          <w:color w:val="auto"/>
        </w:rPr>
      </w:pPr>
      <w:r>
        <w:rPr>
          <w:rFonts w:ascii="Arial" w:cs="Arial" w:eastAsia="Arial" w:hAnsi="Arial"/>
          <w:sz w:val="18"/>
          <w:szCs w:val="18"/>
          <w:b w:val="1"/>
          <w:bCs w:val="1"/>
          <w:color w:val="auto"/>
        </w:rPr>
        <w:t>ALBANY INTERNATIONAL CORP.</w:t>
      </w:r>
    </w:p>
    <w:p>
      <w:pPr>
        <w:spacing w:after="0" w:line="18"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TABLE OF CONTENTS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960" w:type="dxa"/>
            <w:vAlign w:val="bottom"/>
          </w:tcPr>
          <w:p>
            <w:pPr>
              <w:ind w:left="2200"/>
              <w:spacing w:after="0"/>
              <w:rPr>
                <w:sz w:val="20"/>
                <w:szCs w:val="20"/>
                <w:color w:val="auto"/>
              </w:rPr>
            </w:pPr>
            <w:r>
              <w:rPr>
                <w:rFonts w:ascii="Arial" w:cs="Arial" w:eastAsia="Arial" w:hAnsi="Arial"/>
                <w:sz w:val="18"/>
                <w:szCs w:val="18"/>
                <w:color w:val="auto"/>
                <w:w w:val="98"/>
              </w:rPr>
              <w:t>Page No.</w:t>
            </w:r>
          </w:p>
        </w:tc>
        <w:tc>
          <w:tcPr>
            <w:tcW w:w="0" w:type="dxa"/>
            <w:vAlign w:val="bottom"/>
          </w:tcPr>
          <w:p>
            <w:pPr>
              <w:spacing w:after="0"/>
              <w:rPr>
                <w:sz w:val="1"/>
                <w:szCs w:val="1"/>
                <w:color w:val="auto"/>
              </w:rPr>
            </w:pPr>
          </w:p>
        </w:tc>
      </w:tr>
      <w:tr>
        <w:trPr>
          <w:trHeight w:val="432"/>
        </w:trPr>
        <w:tc>
          <w:tcPr>
            <w:tcW w:w="8000" w:type="dxa"/>
            <w:vAlign w:val="bottom"/>
            <w:gridSpan w:val="19"/>
          </w:tcPr>
          <w:p>
            <w:pPr>
              <w:spacing w:after="0"/>
              <w:rPr>
                <w:sz w:val="20"/>
                <w:szCs w:val="20"/>
                <w:color w:val="auto"/>
              </w:rPr>
            </w:pPr>
            <w:r>
              <w:rPr>
                <w:rFonts w:ascii="Arial" w:cs="Arial" w:eastAsia="Arial" w:hAnsi="Arial"/>
                <w:sz w:val="18"/>
                <w:szCs w:val="18"/>
                <w:b w:val="1"/>
                <w:bCs w:val="1"/>
                <w:color w:val="auto"/>
              </w:rPr>
              <w:t>Part I Financial information</w:t>
            </w:r>
          </w:p>
        </w:tc>
        <w:tc>
          <w:tcPr>
            <w:tcW w:w="2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760" w:type="dxa"/>
            <w:vAlign w:val="bottom"/>
            <w:gridSpan w:val="17"/>
          </w:tcPr>
          <w:p>
            <w:pPr>
              <w:spacing w:after="0"/>
              <w:rPr>
                <w:rFonts w:ascii="Arial" w:cs="Arial" w:eastAsia="Arial" w:hAnsi="Arial"/>
                <w:sz w:val="16"/>
                <w:szCs w:val="16"/>
                <w:color w:val="0000EE"/>
              </w:rPr>
            </w:pPr>
            <w:hyperlink w:anchor="page3">
              <w:r>
                <w:rPr>
                  <w:rFonts w:ascii="Arial" w:cs="Arial" w:eastAsia="Arial" w:hAnsi="Arial"/>
                  <w:sz w:val="16"/>
                  <w:szCs w:val="16"/>
                  <w:color w:val="0000EE"/>
                </w:rPr>
                <w:t>Item 1. Financial Statements</w:t>
              </w:r>
            </w:hyperlink>
          </w:p>
        </w:tc>
        <w:tc>
          <w:tcPr>
            <w:tcW w:w="2960" w:type="dxa"/>
            <w:vAlign w:val="bottom"/>
          </w:tcPr>
          <w:p>
            <w:pPr>
              <w:jc w:val="center"/>
              <w:ind w:left="2210"/>
              <w:spacing w:after="0"/>
              <w:rPr>
                <w:sz w:val="20"/>
                <w:szCs w:val="20"/>
                <w:color w:val="auto"/>
              </w:rPr>
            </w:pPr>
            <w:r>
              <w:rPr>
                <w:rFonts w:ascii="Arial" w:cs="Arial" w:eastAsia="Arial" w:hAnsi="Arial"/>
                <w:sz w:val="18"/>
                <w:szCs w:val="18"/>
                <w:color w:val="auto"/>
                <w:w w:val="99"/>
              </w:rPr>
              <w:t>3</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960" w:type="dxa"/>
            <w:vAlign w:val="bottom"/>
            <w:vMerge w:val="restart"/>
          </w:tcPr>
          <w:p>
            <w:pPr>
              <w:jc w:val="center"/>
              <w:ind w:left="2210"/>
              <w:spacing w:after="0"/>
              <w:rPr>
                <w:sz w:val="20"/>
                <w:szCs w:val="20"/>
                <w:color w:val="auto"/>
              </w:rPr>
            </w:pPr>
            <w:r>
              <w:rPr>
                <w:rFonts w:ascii="Arial" w:cs="Arial" w:eastAsia="Arial" w:hAnsi="Arial"/>
                <w:sz w:val="18"/>
                <w:szCs w:val="18"/>
                <w:color w:val="auto"/>
                <w:w w:val="99"/>
              </w:rPr>
              <w:t>3</w:t>
            </w:r>
          </w:p>
        </w:tc>
        <w:tc>
          <w:tcPr>
            <w:tcW w:w="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60" w:type="dxa"/>
            <w:vAlign w:val="bottom"/>
            <w:tcBorders>
              <w:bottom w:val="single" w:sz="8" w:color="0000EE"/>
            </w:tcBorders>
            <w:gridSpan w:val="13"/>
          </w:tcPr>
          <w:p>
            <w:pPr>
              <w:spacing w:after="0"/>
              <w:rPr>
                <w:rFonts w:ascii="Arial" w:cs="Arial" w:eastAsia="Arial" w:hAnsi="Arial"/>
                <w:sz w:val="16"/>
                <w:szCs w:val="16"/>
                <w:color w:val="0000EE"/>
              </w:rPr>
            </w:pPr>
            <w:hyperlink w:anchor="page3">
              <w:r>
                <w:rPr>
                  <w:rFonts w:ascii="Arial" w:cs="Arial" w:eastAsia="Arial" w:hAnsi="Arial"/>
                  <w:sz w:val="16"/>
                  <w:szCs w:val="16"/>
                  <w:color w:val="0000EE"/>
                </w:rPr>
                <w:t>Consolidated statements of income – three months ended March 31, 2018 and 2017</w:t>
              </w:r>
            </w:hyperlink>
          </w:p>
        </w:tc>
        <w:tc>
          <w:tcPr>
            <w:tcW w:w="1580" w:type="dxa"/>
            <w:vAlign w:val="bottom"/>
            <w:gridSpan w:val="3"/>
          </w:tcPr>
          <w:p>
            <w:pPr>
              <w:spacing w:after="0"/>
              <w:rPr>
                <w:sz w:val="17"/>
                <w:szCs w:val="17"/>
                <w:color w:val="auto"/>
              </w:rPr>
            </w:pPr>
          </w:p>
        </w:tc>
        <w:tc>
          <w:tcPr>
            <w:tcW w:w="29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40" w:type="dxa"/>
            <w:vAlign w:val="bottom"/>
            <w:tcBorders>
              <w:bottom w:val="single" w:sz="8" w:color="0000EE"/>
            </w:tcBorders>
            <w:gridSpan w:val="16"/>
          </w:tcPr>
          <w:p>
            <w:pPr>
              <w:spacing w:after="0"/>
              <w:rPr>
                <w:rFonts w:ascii="Arial" w:cs="Arial" w:eastAsia="Arial" w:hAnsi="Arial"/>
                <w:sz w:val="16"/>
                <w:szCs w:val="16"/>
                <w:color w:val="0000EE"/>
              </w:rPr>
            </w:pPr>
            <w:hyperlink w:anchor="page4">
              <w:r>
                <w:rPr>
                  <w:rFonts w:ascii="Arial" w:cs="Arial" w:eastAsia="Arial" w:hAnsi="Arial"/>
                  <w:sz w:val="16"/>
                  <w:szCs w:val="16"/>
                  <w:color w:val="0000EE"/>
                </w:rPr>
                <w:t>Consolidated statements of comprehensive income/(loss) – three months ended March 31, 2018 and 2017</w:t>
              </w:r>
            </w:hyperlink>
          </w:p>
        </w:tc>
        <w:tc>
          <w:tcPr>
            <w:tcW w:w="2960" w:type="dxa"/>
            <w:vAlign w:val="bottom"/>
          </w:tcPr>
          <w:p>
            <w:pPr>
              <w:jc w:val="center"/>
              <w:ind w:left="2210"/>
              <w:spacing w:after="0" w:line="196" w:lineRule="exact"/>
              <w:rPr>
                <w:sz w:val="20"/>
                <w:szCs w:val="20"/>
                <w:color w:val="auto"/>
              </w:rPr>
            </w:pPr>
            <w:r>
              <w:rPr>
                <w:rFonts w:ascii="Arial" w:cs="Arial" w:eastAsia="Arial" w:hAnsi="Arial"/>
                <w:sz w:val="18"/>
                <w:szCs w:val="18"/>
                <w:color w:val="auto"/>
                <w:w w:val="99"/>
              </w:rPr>
              <w:t>4</w:t>
            </w: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40" w:type="dxa"/>
            <w:vAlign w:val="bottom"/>
            <w:gridSpan w:val="16"/>
          </w:tcPr>
          <w:p>
            <w:pPr>
              <w:spacing w:after="0"/>
              <w:rPr>
                <w:rFonts w:ascii="Arial" w:cs="Arial" w:eastAsia="Arial" w:hAnsi="Arial"/>
                <w:sz w:val="16"/>
                <w:szCs w:val="16"/>
                <w:color w:val="0000EE"/>
              </w:rPr>
            </w:pPr>
            <w:hyperlink w:anchor="page5">
              <w:r>
                <w:rPr>
                  <w:rFonts w:ascii="Arial" w:cs="Arial" w:eastAsia="Arial" w:hAnsi="Arial"/>
                  <w:sz w:val="16"/>
                  <w:szCs w:val="16"/>
                  <w:color w:val="0000EE"/>
                </w:rPr>
                <w:t>Consolidated balance sheets as of March 31, 2018 and December 31, 2017</w:t>
              </w:r>
            </w:hyperlink>
          </w:p>
        </w:tc>
        <w:tc>
          <w:tcPr>
            <w:tcW w:w="2960" w:type="dxa"/>
            <w:vAlign w:val="bottom"/>
          </w:tcPr>
          <w:p>
            <w:pPr>
              <w:jc w:val="center"/>
              <w:ind w:left="2210"/>
              <w:spacing w:after="0" w:line="196" w:lineRule="exact"/>
              <w:rPr>
                <w:sz w:val="20"/>
                <w:szCs w:val="20"/>
                <w:color w:val="auto"/>
              </w:rPr>
            </w:pPr>
            <w:r>
              <w:rPr>
                <w:rFonts w:ascii="Arial" w:cs="Arial" w:eastAsia="Arial" w:hAnsi="Arial"/>
                <w:sz w:val="18"/>
                <w:szCs w:val="18"/>
                <w:color w:val="auto"/>
                <w:w w:val="99"/>
              </w:rPr>
              <w:t>5</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6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960" w:type="dxa"/>
            <w:vAlign w:val="bottom"/>
            <w:vMerge w:val="restart"/>
          </w:tcPr>
          <w:p>
            <w:pPr>
              <w:jc w:val="center"/>
              <w:ind w:left="2210"/>
              <w:spacing w:after="0"/>
              <w:rPr>
                <w:sz w:val="20"/>
                <w:szCs w:val="20"/>
                <w:color w:val="auto"/>
              </w:rPr>
            </w:pPr>
            <w:r>
              <w:rPr>
                <w:rFonts w:ascii="Arial" w:cs="Arial" w:eastAsia="Arial" w:hAnsi="Arial"/>
                <w:sz w:val="18"/>
                <w:szCs w:val="18"/>
                <w:color w:val="auto"/>
                <w:w w:val="99"/>
              </w:rPr>
              <w:t>6</w:t>
            </w:r>
          </w:p>
        </w:tc>
        <w:tc>
          <w:tcPr>
            <w:tcW w:w="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40" w:type="dxa"/>
            <w:vAlign w:val="bottom"/>
            <w:gridSpan w:val="16"/>
          </w:tcPr>
          <w:p>
            <w:pPr>
              <w:spacing w:after="0"/>
              <w:rPr>
                <w:rFonts w:ascii="Arial" w:cs="Arial" w:eastAsia="Arial" w:hAnsi="Arial"/>
                <w:sz w:val="16"/>
                <w:szCs w:val="16"/>
                <w:color w:val="0000EE"/>
              </w:rPr>
            </w:pPr>
            <w:hyperlink w:anchor="page6">
              <w:r>
                <w:rPr>
                  <w:rFonts w:ascii="Arial" w:cs="Arial" w:eastAsia="Arial" w:hAnsi="Arial"/>
                  <w:sz w:val="16"/>
                  <w:szCs w:val="16"/>
                  <w:color w:val="0000EE"/>
                </w:rPr>
                <w:t>Consolidated statements of cash flows – three months ended March 31, 2018 and 2017</w:t>
              </w:r>
            </w:hyperlink>
          </w:p>
        </w:tc>
        <w:tc>
          <w:tcPr>
            <w:tcW w:w="29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80" w:type="dxa"/>
            <w:vAlign w:val="bottom"/>
            <w:tcBorders>
              <w:top w:val="single" w:sz="8" w:color="0000EE"/>
            </w:tcBorders>
            <w:gridSpan w:val="14"/>
          </w:tcPr>
          <w:p>
            <w:pPr>
              <w:spacing w:after="0"/>
              <w:rPr>
                <w:rFonts w:ascii="Arial" w:cs="Arial" w:eastAsia="Arial" w:hAnsi="Arial"/>
                <w:sz w:val="16"/>
                <w:szCs w:val="16"/>
                <w:color w:val="0000EE"/>
              </w:rPr>
            </w:pPr>
            <w:hyperlink w:anchor="page7">
              <w:r>
                <w:rPr>
                  <w:rFonts w:ascii="Arial" w:cs="Arial" w:eastAsia="Arial" w:hAnsi="Arial"/>
                  <w:sz w:val="16"/>
                  <w:szCs w:val="16"/>
                  <w:color w:val="0000EE"/>
                </w:rPr>
                <w:t>Notes to consolidated financial statements</w:t>
              </w:r>
            </w:hyperlink>
          </w:p>
        </w:tc>
        <w:tc>
          <w:tcPr>
            <w:tcW w:w="1360" w:type="dxa"/>
            <w:vAlign w:val="bottom"/>
            <w:gridSpan w:val="2"/>
          </w:tcPr>
          <w:p>
            <w:pPr>
              <w:spacing w:after="0"/>
              <w:rPr>
                <w:sz w:val="17"/>
                <w:szCs w:val="17"/>
                <w:color w:val="auto"/>
              </w:rPr>
            </w:pPr>
          </w:p>
        </w:tc>
        <w:tc>
          <w:tcPr>
            <w:tcW w:w="2960" w:type="dxa"/>
            <w:vAlign w:val="bottom"/>
          </w:tcPr>
          <w:p>
            <w:pPr>
              <w:jc w:val="center"/>
              <w:ind w:left="2210"/>
              <w:spacing w:after="0" w:line="196" w:lineRule="exact"/>
              <w:rPr>
                <w:sz w:val="20"/>
                <w:szCs w:val="20"/>
                <w:color w:val="auto"/>
              </w:rPr>
            </w:pPr>
            <w:r>
              <w:rPr>
                <w:rFonts w:ascii="Arial" w:cs="Arial" w:eastAsia="Arial" w:hAnsi="Arial"/>
                <w:sz w:val="18"/>
                <w:szCs w:val="18"/>
                <w:color w:val="auto"/>
                <w:w w:val="99"/>
              </w:rPr>
              <w:t>7</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0" w:type="dxa"/>
            <w:vAlign w:val="bottom"/>
            <w:gridSpan w:val="4"/>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960" w:type="dxa"/>
            <w:vAlign w:val="bottom"/>
            <w:vMerge w:val="restart"/>
          </w:tcPr>
          <w:p>
            <w:pPr>
              <w:jc w:val="center"/>
              <w:ind w:left="2230"/>
              <w:spacing w:after="0"/>
              <w:rPr>
                <w:sz w:val="20"/>
                <w:szCs w:val="20"/>
                <w:color w:val="auto"/>
              </w:rPr>
            </w:pPr>
            <w:r>
              <w:rPr>
                <w:rFonts w:ascii="Arial" w:cs="Arial" w:eastAsia="Arial" w:hAnsi="Arial"/>
                <w:sz w:val="18"/>
                <w:szCs w:val="18"/>
                <w:color w:val="auto"/>
                <w:w w:val="99"/>
              </w:rPr>
              <w:t>38</w:t>
            </w:r>
          </w:p>
        </w:tc>
        <w:tc>
          <w:tcPr>
            <w:tcW w:w="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760" w:type="dxa"/>
            <w:vAlign w:val="bottom"/>
            <w:gridSpan w:val="17"/>
          </w:tcPr>
          <w:p>
            <w:pPr>
              <w:spacing w:after="0"/>
              <w:rPr>
                <w:rFonts w:ascii="Arial" w:cs="Arial" w:eastAsia="Arial" w:hAnsi="Arial"/>
                <w:sz w:val="16"/>
                <w:szCs w:val="16"/>
                <w:color w:val="0000EE"/>
              </w:rPr>
            </w:pPr>
            <w:hyperlink w:anchor="page38">
              <w:r>
                <w:rPr>
                  <w:rFonts w:ascii="Arial" w:cs="Arial" w:eastAsia="Arial" w:hAnsi="Arial"/>
                  <w:sz w:val="16"/>
                  <w:szCs w:val="16"/>
                  <w:color w:val="0000EE"/>
                </w:rPr>
                <w:t>Item 2. Management’s Discussion and Analysis of Financial Condition and Results of Operations</w:t>
              </w:r>
            </w:hyperlink>
          </w:p>
        </w:tc>
        <w:tc>
          <w:tcPr>
            <w:tcW w:w="29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69"/>
        </w:trPr>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40" w:type="dxa"/>
            <w:vAlign w:val="bottom"/>
            <w:tcBorders>
              <w:top w:val="single" w:sz="8" w:color="0000EE"/>
              <w:bottom w:val="single" w:sz="8" w:color="0000EE"/>
            </w:tcBorders>
            <w:gridSpan w:val="7"/>
          </w:tcPr>
          <w:p>
            <w:pPr>
              <w:spacing w:after="0" w:line="169" w:lineRule="exact"/>
              <w:rPr>
                <w:rFonts w:ascii="Arial" w:cs="Arial" w:eastAsia="Arial" w:hAnsi="Arial"/>
                <w:sz w:val="16"/>
                <w:szCs w:val="16"/>
                <w:color w:val="0000EE"/>
              </w:rPr>
            </w:pPr>
            <w:hyperlink w:anchor="page38">
              <w:r>
                <w:rPr>
                  <w:rFonts w:ascii="Arial" w:cs="Arial" w:eastAsia="Arial" w:hAnsi="Arial"/>
                  <w:sz w:val="16"/>
                  <w:szCs w:val="16"/>
                  <w:color w:val="0000EE"/>
                </w:rPr>
                <w:t>Forward-looking statements</w:t>
              </w:r>
            </w:hyperlink>
          </w:p>
        </w:tc>
        <w:tc>
          <w:tcPr>
            <w:tcW w:w="4860" w:type="dxa"/>
            <w:vAlign w:val="bottom"/>
            <w:tcBorders>
              <w:top w:val="single" w:sz="8" w:color="0000EE"/>
            </w:tcBorders>
            <w:gridSpan w:val="9"/>
          </w:tcPr>
          <w:p>
            <w:pPr>
              <w:spacing w:after="0"/>
              <w:rPr>
                <w:sz w:val="14"/>
                <w:szCs w:val="14"/>
                <w:color w:val="auto"/>
              </w:rPr>
            </w:pPr>
          </w:p>
        </w:tc>
        <w:tc>
          <w:tcPr>
            <w:tcW w:w="860" w:type="dxa"/>
            <w:vAlign w:val="bottom"/>
          </w:tcPr>
          <w:p>
            <w:pPr>
              <w:spacing w:after="0"/>
              <w:rPr>
                <w:sz w:val="14"/>
                <w:szCs w:val="14"/>
                <w:color w:val="auto"/>
              </w:rPr>
            </w:pPr>
          </w:p>
        </w:tc>
        <w:tc>
          <w:tcPr>
            <w:tcW w:w="2960" w:type="dxa"/>
            <w:vAlign w:val="bottom"/>
            <w:vMerge w:val="restart"/>
          </w:tcPr>
          <w:p>
            <w:pPr>
              <w:jc w:val="center"/>
              <w:ind w:left="2230"/>
              <w:spacing w:after="0"/>
              <w:rPr>
                <w:sz w:val="20"/>
                <w:szCs w:val="20"/>
                <w:color w:val="auto"/>
              </w:rPr>
            </w:pPr>
            <w:r>
              <w:rPr>
                <w:rFonts w:ascii="Arial" w:cs="Arial" w:eastAsia="Arial" w:hAnsi="Arial"/>
                <w:sz w:val="18"/>
                <w:szCs w:val="18"/>
                <w:color w:val="auto"/>
                <w:w w:val="99"/>
              </w:rPr>
              <w:t>55</w:t>
            </w:r>
          </w:p>
        </w:tc>
        <w:tc>
          <w:tcPr>
            <w:tcW w:w="0" w:type="dxa"/>
            <w:vAlign w:val="bottom"/>
          </w:tcPr>
          <w:p>
            <w:pPr>
              <w:spacing w:after="0"/>
              <w:rPr>
                <w:sz w:val="1"/>
                <w:szCs w:val="1"/>
                <w:color w:val="auto"/>
              </w:rPr>
            </w:pPr>
          </w:p>
        </w:tc>
      </w:tr>
      <w:tr>
        <w:trPr>
          <w:trHeight w:val="169"/>
        </w:trPr>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760" w:type="dxa"/>
            <w:vAlign w:val="bottom"/>
            <w:tcBorders>
              <w:bottom w:val="single" w:sz="8" w:color="0000EE"/>
            </w:tcBorders>
            <w:gridSpan w:val="11"/>
          </w:tcPr>
          <w:p>
            <w:pPr>
              <w:spacing w:after="0" w:line="169" w:lineRule="exact"/>
              <w:rPr>
                <w:rFonts w:ascii="Arial" w:cs="Arial" w:eastAsia="Arial" w:hAnsi="Arial"/>
                <w:sz w:val="16"/>
                <w:szCs w:val="16"/>
                <w:color w:val="0000EE"/>
              </w:rPr>
            </w:pPr>
            <w:hyperlink w:anchor="page55">
              <w:r>
                <w:rPr>
                  <w:rFonts w:ascii="Arial" w:cs="Arial" w:eastAsia="Arial" w:hAnsi="Arial"/>
                  <w:sz w:val="16"/>
                  <w:szCs w:val="16"/>
                  <w:color w:val="0000EE"/>
                </w:rPr>
                <w:t>Item 3. Quantitative and Qualitative Disclosures about Market Risk</w:t>
              </w:r>
            </w:hyperlink>
          </w:p>
        </w:tc>
        <w:tc>
          <w:tcPr>
            <w:tcW w:w="3000" w:type="dxa"/>
            <w:vAlign w:val="bottom"/>
            <w:gridSpan w:val="6"/>
          </w:tcPr>
          <w:p>
            <w:pPr>
              <w:spacing w:after="0"/>
              <w:rPr>
                <w:sz w:val="14"/>
                <w:szCs w:val="14"/>
                <w:color w:val="auto"/>
              </w:rPr>
            </w:pPr>
          </w:p>
        </w:tc>
        <w:tc>
          <w:tcPr>
            <w:tcW w:w="29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760" w:type="dxa"/>
            <w:vAlign w:val="bottom"/>
            <w:gridSpan w:val="17"/>
          </w:tcPr>
          <w:p>
            <w:pPr>
              <w:spacing w:after="0"/>
              <w:rPr>
                <w:rFonts w:ascii="Arial" w:cs="Arial" w:eastAsia="Arial" w:hAnsi="Arial"/>
                <w:sz w:val="16"/>
                <w:szCs w:val="16"/>
                <w:color w:val="0000EE"/>
              </w:rPr>
            </w:pPr>
            <w:hyperlink w:anchor="page55">
              <w:r>
                <w:rPr>
                  <w:rFonts w:ascii="Arial" w:cs="Arial" w:eastAsia="Arial" w:hAnsi="Arial"/>
                  <w:sz w:val="16"/>
                  <w:szCs w:val="16"/>
                  <w:color w:val="0000EE"/>
                </w:rPr>
                <w:t>Item 4. Controls and Procedures</w:t>
              </w:r>
            </w:hyperlink>
          </w:p>
        </w:tc>
        <w:tc>
          <w:tcPr>
            <w:tcW w:w="2960" w:type="dxa"/>
            <w:vAlign w:val="bottom"/>
          </w:tcPr>
          <w:p>
            <w:pPr>
              <w:jc w:val="center"/>
              <w:ind w:left="2230"/>
              <w:spacing w:after="0" w:line="196" w:lineRule="exact"/>
              <w:rPr>
                <w:sz w:val="20"/>
                <w:szCs w:val="20"/>
                <w:color w:val="auto"/>
              </w:rPr>
            </w:pPr>
            <w:r>
              <w:rPr>
                <w:rFonts w:ascii="Arial" w:cs="Arial" w:eastAsia="Arial" w:hAnsi="Arial"/>
                <w:sz w:val="18"/>
                <w:szCs w:val="18"/>
                <w:color w:val="auto"/>
                <w:w w:val="99"/>
              </w:rPr>
              <w:t>55</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60" w:type="dxa"/>
            <w:vAlign w:val="bottom"/>
            <w:tcBorders>
              <w:right w:val="single" w:sz="8" w:color="0000EE"/>
            </w:tcBorders>
            <w:gridSpan w:val="2"/>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100" w:type="dxa"/>
            <w:vAlign w:val="bottom"/>
            <w:gridSpan w:val="3"/>
          </w:tcPr>
          <w:p>
            <w:pPr>
              <w:spacing w:after="0" w:line="20" w:lineRule="exact"/>
              <w:rPr>
                <w:sz w:val="1"/>
                <w:szCs w:val="1"/>
                <w:color w:val="auto"/>
              </w:rPr>
            </w:pPr>
          </w:p>
        </w:tc>
        <w:tc>
          <w:tcPr>
            <w:tcW w:w="2860" w:type="dxa"/>
            <w:vAlign w:val="bottom"/>
            <w:gridSpan w:val="5"/>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080" w:type="dxa"/>
            <w:vAlign w:val="bottom"/>
            <w:tcBorders>
              <w:bottom w:val="single" w:sz="8" w:color="0000EE"/>
            </w:tcBorders>
            <w:gridSpan w:val="7"/>
          </w:tcPr>
          <w:p>
            <w:pPr>
              <w:spacing w:after="0"/>
              <w:rPr>
                <w:rFonts w:ascii="Arial" w:cs="Arial" w:eastAsia="Arial" w:hAnsi="Arial"/>
                <w:sz w:val="18"/>
                <w:szCs w:val="18"/>
                <w:b w:val="1"/>
                <w:bCs w:val="1"/>
                <w:color w:val="0000EE"/>
                <w:w w:val="99"/>
              </w:rPr>
            </w:pPr>
            <w:hyperlink w:anchor="page56">
              <w:r>
                <w:rPr>
                  <w:rFonts w:ascii="Arial" w:cs="Arial" w:eastAsia="Arial" w:hAnsi="Arial"/>
                  <w:sz w:val="18"/>
                  <w:szCs w:val="18"/>
                  <w:b w:val="1"/>
                  <w:bCs w:val="1"/>
                  <w:color w:val="0000EE"/>
                  <w:w w:val="99"/>
                </w:rPr>
                <w:t>Part II Other Information</w:t>
              </w:r>
            </w:hyperlink>
          </w:p>
        </w:tc>
        <w:tc>
          <w:tcPr>
            <w:tcW w:w="5920" w:type="dxa"/>
            <w:vAlign w:val="bottom"/>
            <w:gridSpan w:val="12"/>
          </w:tcPr>
          <w:p>
            <w:pPr>
              <w:spacing w:after="0"/>
              <w:rPr>
                <w:sz w:val="24"/>
                <w:szCs w:val="24"/>
                <w:color w:val="auto"/>
              </w:rPr>
            </w:pPr>
          </w:p>
        </w:tc>
        <w:tc>
          <w:tcPr>
            <w:tcW w:w="2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8000" w:type="dxa"/>
            <w:vAlign w:val="bottom"/>
            <w:gridSpan w:val="19"/>
          </w:tcPr>
          <w:p>
            <w:pPr>
              <w:ind w:left="220"/>
              <w:spacing w:after="0"/>
              <w:rPr>
                <w:rFonts w:ascii="Arial" w:cs="Arial" w:eastAsia="Arial" w:hAnsi="Arial"/>
                <w:sz w:val="16"/>
                <w:szCs w:val="16"/>
                <w:color w:val="0000EE"/>
              </w:rPr>
            </w:pPr>
            <w:hyperlink w:anchor="page56">
              <w:r>
                <w:rPr>
                  <w:rFonts w:ascii="Arial" w:cs="Arial" w:eastAsia="Arial" w:hAnsi="Arial"/>
                  <w:sz w:val="16"/>
                  <w:szCs w:val="16"/>
                  <w:color w:val="0000EE"/>
                </w:rPr>
                <w:t>Item 1. Legal Proceedings</w:t>
              </w:r>
            </w:hyperlink>
          </w:p>
        </w:tc>
        <w:tc>
          <w:tcPr>
            <w:tcW w:w="2960" w:type="dxa"/>
            <w:vAlign w:val="bottom"/>
          </w:tcPr>
          <w:p>
            <w:pPr>
              <w:jc w:val="center"/>
              <w:ind w:left="2230"/>
              <w:spacing w:after="0"/>
              <w:rPr>
                <w:sz w:val="20"/>
                <w:szCs w:val="20"/>
                <w:color w:val="auto"/>
              </w:rPr>
            </w:pPr>
            <w:r>
              <w:rPr>
                <w:rFonts w:ascii="Arial" w:cs="Arial" w:eastAsia="Arial" w:hAnsi="Arial"/>
                <w:sz w:val="18"/>
                <w:szCs w:val="18"/>
                <w:color w:val="auto"/>
                <w:w w:val="99"/>
              </w:rPr>
              <w:t>56</w:t>
            </w: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860" w:type="dxa"/>
            <w:vAlign w:val="bottom"/>
            <w:tcBorders>
              <w:top w:val="single" w:sz="8" w:color="0000EE"/>
            </w:tcBorders>
            <w:gridSpan w:val="6"/>
          </w:tcPr>
          <w:p>
            <w:pPr>
              <w:spacing w:after="0"/>
              <w:rPr>
                <w:rFonts w:ascii="Arial" w:cs="Arial" w:eastAsia="Arial" w:hAnsi="Arial"/>
                <w:sz w:val="16"/>
                <w:szCs w:val="16"/>
                <w:color w:val="0000EE"/>
              </w:rPr>
            </w:pPr>
            <w:hyperlink w:anchor="page56">
              <w:r>
                <w:rPr>
                  <w:rFonts w:ascii="Arial" w:cs="Arial" w:eastAsia="Arial" w:hAnsi="Arial"/>
                  <w:sz w:val="16"/>
                  <w:szCs w:val="16"/>
                  <w:color w:val="0000EE"/>
                </w:rPr>
                <w:t>Item 1A. Risk Factors</w:t>
              </w:r>
            </w:hyperlink>
          </w:p>
        </w:tc>
        <w:tc>
          <w:tcPr>
            <w:tcW w:w="5900" w:type="dxa"/>
            <w:vAlign w:val="bottom"/>
            <w:gridSpan w:val="11"/>
          </w:tcPr>
          <w:p>
            <w:pPr>
              <w:spacing w:after="0"/>
              <w:rPr>
                <w:sz w:val="17"/>
                <w:szCs w:val="17"/>
                <w:color w:val="auto"/>
              </w:rPr>
            </w:pPr>
          </w:p>
        </w:tc>
        <w:tc>
          <w:tcPr>
            <w:tcW w:w="2960" w:type="dxa"/>
            <w:vAlign w:val="bottom"/>
          </w:tcPr>
          <w:p>
            <w:pPr>
              <w:jc w:val="center"/>
              <w:ind w:left="2230"/>
              <w:spacing w:after="0" w:line="196" w:lineRule="exact"/>
              <w:rPr>
                <w:sz w:val="20"/>
                <w:szCs w:val="20"/>
                <w:color w:val="auto"/>
              </w:rPr>
            </w:pPr>
            <w:r>
              <w:rPr>
                <w:rFonts w:ascii="Arial" w:cs="Arial" w:eastAsia="Arial" w:hAnsi="Arial"/>
                <w:sz w:val="18"/>
                <w:szCs w:val="18"/>
                <w:color w:val="auto"/>
                <w:w w:val="99"/>
              </w:rPr>
              <w:t>56</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gridSpan w:val="4"/>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100" w:type="dxa"/>
            <w:vAlign w:val="bottom"/>
            <w:gridSpan w:val="3"/>
          </w:tcPr>
          <w:p>
            <w:pPr>
              <w:spacing w:after="0" w:line="20" w:lineRule="exact"/>
              <w:rPr>
                <w:sz w:val="1"/>
                <w:szCs w:val="1"/>
                <w:color w:val="auto"/>
              </w:rPr>
            </w:pPr>
          </w:p>
        </w:tc>
        <w:tc>
          <w:tcPr>
            <w:tcW w:w="2860" w:type="dxa"/>
            <w:vAlign w:val="bottom"/>
            <w:gridSpan w:val="5"/>
          </w:tcPr>
          <w:p>
            <w:pPr>
              <w:spacing w:after="0" w:line="20" w:lineRule="exact"/>
              <w:rPr>
                <w:sz w:val="1"/>
                <w:szCs w:val="1"/>
                <w:color w:val="auto"/>
              </w:rPr>
            </w:pPr>
          </w:p>
        </w:tc>
        <w:tc>
          <w:tcPr>
            <w:tcW w:w="2960" w:type="dxa"/>
            <w:vAlign w:val="bottom"/>
            <w:vMerge w:val="restart"/>
          </w:tcPr>
          <w:p>
            <w:pPr>
              <w:jc w:val="center"/>
              <w:ind w:left="2230"/>
              <w:spacing w:after="0"/>
              <w:rPr>
                <w:sz w:val="20"/>
                <w:szCs w:val="20"/>
                <w:color w:val="auto"/>
              </w:rPr>
            </w:pPr>
            <w:r>
              <w:rPr>
                <w:rFonts w:ascii="Arial" w:cs="Arial" w:eastAsia="Arial" w:hAnsi="Arial"/>
                <w:sz w:val="18"/>
                <w:szCs w:val="18"/>
                <w:color w:val="auto"/>
                <w:w w:val="99"/>
              </w:rPr>
              <w:t>56</w:t>
            </w:r>
          </w:p>
        </w:tc>
        <w:tc>
          <w:tcPr>
            <w:tcW w:w="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760" w:type="dxa"/>
            <w:vAlign w:val="bottom"/>
            <w:gridSpan w:val="17"/>
          </w:tcPr>
          <w:p>
            <w:pPr>
              <w:spacing w:after="0"/>
              <w:rPr>
                <w:rFonts w:ascii="Arial" w:cs="Arial" w:eastAsia="Arial" w:hAnsi="Arial"/>
                <w:sz w:val="16"/>
                <w:szCs w:val="16"/>
                <w:color w:val="0000EE"/>
              </w:rPr>
            </w:pPr>
            <w:hyperlink w:anchor="page56">
              <w:r>
                <w:rPr>
                  <w:rFonts w:ascii="Arial" w:cs="Arial" w:eastAsia="Arial" w:hAnsi="Arial"/>
                  <w:sz w:val="16"/>
                  <w:szCs w:val="16"/>
                  <w:color w:val="0000EE"/>
                </w:rPr>
                <w:t>Item 2. Unregistered Sales of Equity Securities and Use of Proceeds</w:t>
              </w:r>
            </w:hyperlink>
          </w:p>
        </w:tc>
        <w:tc>
          <w:tcPr>
            <w:tcW w:w="29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900" w:type="dxa"/>
            <w:vAlign w:val="bottom"/>
            <w:tcBorders>
              <w:top w:val="single" w:sz="8" w:color="0000EE"/>
            </w:tcBorders>
            <w:gridSpan w:val="12"/>
          </w:tcPr>
          <w:p>
            <w:pPr>
              <w:spacing w:after="0"/>
              <w:rPr>
                <w:rFonts w:ascii="Arial" w:cs="Arial" w:eastAsia="Arial" w:hAnsi="Arial"/>
                <w:sz w:val="16"/>
                <w:szCs w:val="16"/>
                <w:color w:val="0000EE"/>
              </w:rPr>
            </w:pPr>
            <w:hyperlink w:anchor="page56">
              <w:r>
                <w:rPr>
                  <w:rFonts w:ascii="Arial" w:cs="Arial" w:eastAsia="Arial" w:hAnsi="Arial"/>
                  <w:sz w:val="16"/>
                  <w:szCs w:val="16"/>
                  <w:color w:val="0000EE"/>
                </w:rPr>
                <w:t>Item 3. Defaults upon Senior Securities</w:t>
              </w:r>
            </w:hyperlink>
          </w:p>
        </w:tc>
        <w:tc>
          <w:tcPr>
            <w:tcW w:w="2860" w:type="dxa"/>
            <w:vAlign w:val="bottom"/>
            <w:gridSpan w:val="5"/>
          </w:tcPr>
          <w:p>
            <w:pPr>
              <w:spacing w:after="0"/>
              <w:rPr>
                <w:sz w:val="17"/>
                <w:szCs w:val="17"/>
                <w:color w:val="auto"/>
              </w:rPr>
            </w:pPr>
          </w:p>
        </w:tc>
        <w:tc>
          <w:tcPr>
            <w:tcW w:w="2960" w:type="dxa"/>
            <w:vAlign w:val="bottom"/>
          </w:tcPr>
          <w:p>
            <w:pPr>
              <w:jc w:val="center"/>
              <w:ind w:left="2230"/>
              <w:spacing w:after="0" w:line="196" w:lineRule="exact"/>
              <w:rPr>
                <w:sz w:val="20"/>
                <w:szCs w:val="20"/>
                <w:color w:val="auto"/>
              </w:rPr>
            </w:pPr>
            <w:r>
              <w:rPr>
                <w:rFonts w:ascii="Arial" w:cs="Arial" w:eastAsia="Arial" w:hAnsi="Arial"/>
                <w:sz w:val="18"/>
                <w:szCs w:val="18"/>
                <w:color w:val="auto"/>
                <w:w w:val="99"/>
              </w:rPr>
              <w:t>56</w:t>
            </w: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320" w:type="dxa"/>
            <w:vAlign w:val="bottom"/>
            <w:tcBorders>
              <w:top w:val="single" w:sz="8" w:color="0000EE"/>
              <w:bottom w:val="single" w:sz="8" w:color="0000EE"/>
            </w:tcBorders>
            <w:gridSpan w:val="8"/>
          </w:tcPr>
          <w:p>
            <w:pPr>
              <w:spacing w:after="0"/>
              <w:rPr>
                <w:rFonts w:ascii="Arial" w:cs="Arial" w:eastAsia="Arial" w:hAnsi="Arial"/>
                <w:sz w:val="16"/>
                <w:szCs w:val="16"/>
                <w:color w:val="0000EE"/>
              </w:rPr>
            </w:pPr>
            <w:hyperlink w:anchor="page56">
              <w:r>
                <w:rPr>
                  <w:rFonts w:ascii="Arial" w:cs="Arial" w:eastAsia="Arial" w:hAnsi="Arial"/>
                  <w:sz w:val="16"/>
                  <w:szCs w:val="16"/>
                  <w:color w:val="0000EE"/>
                </w:rPr>
                <w:t>Item 4. Mine Safety Disclosures</w:t>
              </w:r>
            </w:hyperlink>
          </w:p>
        </w:tc>
        <w:tc>
          <w:tcPr>
            <w:tcW w:w="480" w:type="dxa"/>
            <w:vAlign w:val="bottom"/>
            <w:tcBorders>
              <w:top w:val="single" w:sz="8" w:color="0000EE"/>
            </w:tcBorders>
          </w:tcPr>
          <w:p>
            <w:pPr>
              <w:spacing w:after="0"/>
              <w:rPr>
                <w:sz w:val="17"/>
                <w:szCs w:val="17"/>
                <w:color w:val="auto"/>
              </w:rPr>
            </w:pPr>
          </w:p>
        </w:tc>
        <w:tc>
          <w:tcPr>
            <w:tcW w:w="4960" w:type="dxa"/>
            <w:vAlign w:val="bottom"/>
            <w:gridSpan w:val="8"/>
          </w:tcPr>
          <w:p>
            <w:pPr>
              <w:spacing w:after="0"/>
              <w:rPr>
                <w:sz w:val="17"/>
                <w:szCs w:val="17"/>
                <w:color w:val="auto"/>
              </w:rPr>
            </w:pPr>
          </w:p>
        </w:tc>
        <w:tc>
          <w:tcPr>
            <w:tcW w:w="2960" w:type="dxa"/>
            <w:vAlign w:val="bottom"/>
          </w:tcPr>
          <w:p>
            <w:pPr>
              <w:jc w:val="center"/>
              <w:ind w:left="2230"/>
              <w:spacing w:after="0" w:line="196" w:lineRule="exact"/>
              <w:rPr>
                <w:sz w:val="20"/>
                <w:szCs w:val="20"/>
                <w:color w:val="auto"/>
              </w:rPr>
            </w:pPr>
            <w:r>
              <w:rPr>
                <w:rFonts w:ascii="Arial" w:cs="Arial" w:eastAsia="Arial" w:hAnsi="Arial"/>
                <w:sz w:val="18"/>
                <w:szCs w:val="18"/>
                <w:color w:val="auto"/>
                <w:w w:val="99"/>
              </w:rPr>
              <w:t>56</w:t>
            </w: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0" w:type="dxa"/>
            <w:vAlign w:val="bottom"/>
            <w:tcBorders>
              <w:bottom w:val="single" w:sz="8" w:color="0000EE"/>
            </w:tcBorders>
            <w:gridSpan w:val="4"/>
          </w:tcPr>
          <w:p>
            <w:pPr>
              <w:spacing w:after="0"/>
              <w:rPr>
                <w:rFonts w:ascii="Arial" w:cs="Arial" w:eastAsia="Arial" w:hAnsi="Arial"/>
                <w:sz w:val="16"/>
                <w:szCs w:val="16"/>
                <w:color w:val="0000EE"/>
              </w:rPr>
            </w:pPr>
            <w:hyperlink w:anchor="page56">
              <w:r>
                <w:rPr>
                  <w:rFonts w:ascii="Arial" w:cs="Arial" w:eastAsia="Arial" w:hAnsi="Arial"/>
                  <w:sz w:val="16"/>
                  <w:szCs w:val="16"/>
                  <w:color w:val="0000EE"/>
                </w:rPr>
                <w:t>Item 5. Other Information</w:t>
              </w:r>
            </w:hyperlink>
          </w:p>
        </w:tc>
        <w:tc>
          <w:tcPr>
            <w:tcW w:w="5960" w:type="dxa"/>
            <w:vAlign w:val="bottom"/>
            <w:gridSpan w:val="13"/>
          </w:tcPr>
          <w:p>
            <w:pPr>
              <w:spacing w:after="0"/>
              <w:rPr>
                <w:sz w:val="17"/>
                <w:szCs w:val="17"/>
                <w:color w:val="auto"/>
              </w:rPr>
            </w:pPr>
          </w:p>
        </w:tc>
        <w:tc>
          <w:tcPr>
            <w:tcW w:w="2960" w:type="dxa"/>
            <w:vAlign w:val="bottom"/>
          </w:tcPr>
          <w:p>
            <w:pPr>
              <w:jc w:val="center"/>
              <w:ind w:left="2230"/>
              <w:spacing w:after="0" w:line="196" w:lineRule="exact"/>
              <w:rPr>
                <w:sz w:val="20"/>
                <w:szCs w:val="20"/>
                <w:color w:val="auto"/>
              </w:rPr>
            </w:pPr>
            <w:r>
              <w:rPr>
                <w:rFonts w:ascii="Arial" w:cs="Arial" w:eastAsia="Arial" w:hAnsi="Arial"/>
                <w:sz w:val="18"/>
                <w:szCs w:val="18"/>
                <w:color w:val="auto"/>
                <w:w w:val="99"/>
              </w:rPr>
              <w:t>56</w:t>
            </w: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760" w:type="dxa"/>
            <w:vAlign w:val="bottom"/>
            <w:gridSpan w:val="17"/>
          </w:tcPr>
          <w:p>
            <w:pPr>
              <w:spacing w:after="0"/>
              <w:rPr>
                <w:rFonts w:ascii="Arial" w:cs="Arial" w:eastAsia="Arial" w:hAnsi="Arial"/>
                <w:sz w:val="16"/>
                <w:szCs w:val="16"/>
                <w:color w:val="0000EE"/>
              </w:rPr>
            </w:pPr>
            <w:hyperlink w:anchor="page56">
              <w:r>
                <w:rPr>
                  <w:rFonts w:ascii="Arial" w:cs="Arial" w:eastAsia="Arial" w:hAnsi="Arial"/>
                  <w:sz w:val="16"/>
                  <w:szCs w:val="16"/>
                  <w:color w:val="0000EE"/>
                </w:rPr>
                <w:t>Item 6. Exhibits</w:t>
              </w:r>
            </w:hyperlink>
          </w:p>
        </w:tc>
        <w:tc>
          <w:tcPr>
            <w:tcW w:w="2960" w:type="dxa"/>
            <w:vAlign w:val="bottom"/>
          </w:tcPr>
          <w:p>
            <w:pPr>
              <w:jc w:val="center"/>
              <w:ind w:left="2230"/>
              <w:spacing w:after="0" w:line="196" w:lineRule="exact"/>
              <w:rPr>
                <w:sz w:val="20"/>
                <w:szCs w:val="20"/>
                <w:color w:val="auto"/>
              </w:rPr>
            </w:pPr>
            <w:r>
              <w:rPr>
                <w:rFonts w:ascii="Arial" w:cs="Arial" w:eastAsia="Arial" w:hAnsi="Arial"/>
                <w:sz w:val="18"/>
                <w:szCs w:val="18"/>
                <w:color w:val="auto"/>
                <w:w w:val="99"/>
              </w:rPr>
              <w:t>56</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83185</wp:posOffset>
            </wp:positionV>
            <wp:extent cx="7246620" cy="34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0960"/>
          </w:cols>
          <w:pgMar w:left="340" w:top="1211" w:right="59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ITEM 1. FINANCIAL STATEMENTS</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ALBANY INTERNATIONAL CORP.</w:t>
      </w:r>
    </w:p>
    <w:p>
      <w:pPr>
        <w:jc w:val="center"/>
        <w:spacing w:after="0" w:line="234" w:lineRule="auto"/>
        <w:rPr>
          <w:sz w:val="20"/>
          <w:szCs w:val="20"/>
          <w:color w:val="auto"/>
        </w:rPr>
      </w:pPr>
      <w:r>
        <w:rPr>
          <w:rFonts w:ascii="Arial" w:cs="Arial" w:eastAsia="Arial" w:hAnsi="Arial"/>
          <w:sz w:val="18"/>
          <w:szCs w:val="18"/>
          <w:color w:val="auto"/>
        </w:rPr>
        <w:t>CONSOLIDATED STATEMENTS OF INCOME</w:t>
      </w:r>
    </w:p>
    <w:p>
      <w:pPr>
        <w:jc w:val="center"/>
        <w:spacing w:after="0" w:line="235" w:lineRule="auto"/>
        <w:rPr>
          <w:sz w:val="20"/>
          <w:szCs w:val="20"/>
          <w:color w:val="auto"/>
        </w:rPr>
      </w:pPr>
      <w:r>
        <w:rPr>
          <w:rFonts w:ascii="Arial" w:cs="Arial" w:eastAsia="Arial" w:hAnsi="Arial"/>
          <w:sz w:val="18"/>
          <w:szCs w:val="18"/>
          <w:color w:val="auto"/>
        </w:rPr>
        <w:t>(in thousands, except per share amounts)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5460" w:type="dxa"/>
            <w:vAlign w:val="bottom"/>
          </w:tcPr>
          <w:p>
            <w:pPr>
              <w:spacing w:after="0"/>
              <w:rPr>
                <w:sz w:val="17"/>
                <w:szCs w:val="17"/>
                <w:color w:val="auto"/>
              </w:rPr>
            </w:pPr>
          </w:p>
        </w:tc>
        <w:tc>
          <w:tcPr>
            <w:tcW w:w="2640" w:type="dxa"/>
            <w:vAlign w:val="bottom"/>
          </w:tcPr>
          <w:p>
            <w:pPr>
              <w:spacing w:after="0"/>
              <w:rPr>
                <w:sz w:val="17"/>
                <w:szCs w:val="17"/>
                <w:color w:val="auto"/>
              </w:rPr>
            </w:pPr>
          </w:p>
        </w:tc>
        <w:tc>
          <w:tcPr>
            <w:tcW w:w="2500" w:type="dxa"/>
            <w:vAlign w:val="bottom"/>
            <w:gridSpan w:val="3"/>
          </w:tcPr>
          <w:p>
            <w:pPr>
              <w:jc w:val="center"/>
              <w:ind w:left="730"/>
              <w:spacing w:after="0"/>
              <w:rPr>
                <w:sz w:val="20"/>
                <w:szCs w:val="20"/>
                <w:color w:val="auto"/>
              </w:rPr>
            </w:pPr>
            <w:r>
              <w:rPr>
                <w:rFonts w:ascii="Arial" w:cs="Arial" w:eastAsia="Arial" w:hAnsi="Arial"/>
                <w:sz w:val="18"/>
                <w:szCs w:val="18"/>
                <w:color w:val="auto"/>
                <w:w w:val="99"/>
              </w:rPr>
              <w:t>Three Months Ended</w:t>
            </w: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46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2500" w:type="dxa"/>
            <w:vAlign w:val="bottom"/>
            <w:gridSpan w:val="3"/>
          </w:tcPr>
          <w:p>
            <w:pPr>
              <w:jc w:val="center"/>
              <w:ind w:left="730"/>
              <w:spacing w:after="0"/>
              <w:rPr>
                <w:sz w:val="20"/>
                <w:szCs w:val="20"/>
                <w:color w:val="auto"/>
              </w:rPr>
            </w:pPr>
            <w:r>
              <w:rPr>
                <w:rFonts w:ascii="Arial" w:cs="Arial" w:eastAsia="Arial" w:hAnsi="Arial"/>
                <w:sz w:val="18"/>
                <w:szCs w:val="18"/>
                <w:color w:val="auto"/>
                <w:w w:val="99"/>
              </w:rPr>
              <w:t>March 31,</w:t>
            </w: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05"/>
        </w:trPr>
        <w:tc>
          <w:tcPr>
            <w:tcW w:w="20" w:type="dxa"/>
            <w:vAlign w:val="bottom"/>
          </w:tcPr>
          <w:p>
            <w:pPr>
              <w:spacing w:after="0"/>
              <w:rPr>
                <w:sz w:val="24"/>
                <w:szCs w:val="24"/>
                <w:color w:val="auto"/>
              </w:rPr>
            </w:pPr>
          </w:p>
        </w:tc>
        <w:tc>
          <w:tcPr>
            <w:tcW w:w="5460" w:type="dxa"/>
            <w:vAlign w:val="bottom"/>
          </w:tcPr>
          <w:p>
            <w:pPr>
              <w:spacing w:after="0"/>
              <w:rPr>
                <w:sz w:val="24"/>
                <w:szCs w:val="24"/>
                <w:color w:val="auto"/>
              </w:rPr>
            </w:pPr>
          </w:p>
        </w:tc>
        <w:tc>
          <w:tcPr>
            <w:tcW w:w="4120" w:type="dxa"/>
            <w:vAlign w:val="bottom"/>
            <w:gridSpan w:val="2"/>
          </w:tcPr>
          <w:p>
            <w:pPr>
              <w:jc w:val="right"/>
              <w:ind w:right="390"/>
              <w:spacing w:after="0"/>
              <w:rPr>
                <w:sz w:val="20"/>
                <w:szCs w:val="20"/>
                <w:color w:val="auto"/>
              </w:rPr>
            </w:pPr>
            <w:r>
              <w:rPr>
                <w:rFonts w:ascii="Arial" w:cs="Arial" w:eastAsia="Arial" w:hAnsi="Arial"/>
                <w:sz w:val="18"/>
                <w:szCs w:val="18"/>
                <w:color w:val="auto"/>
              </w:rPr>
              <w:t>2018</w:t>
            </w: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40" w:type="dxa"/>
            <w:vAlign w:val="bottom"/>
          </w:tcPr>
          <w:p>
            <w:pPr>
              <w:jc w:val="right"/>
              <w:ind w:right="50"/>
              <w:spacing w:after="0"/>
              <w:rPr>
                <w:sz w:val="20"/>
                <w:szCs w:val="20"/>
                <w:color w:val="auto"/>
              </w:rPr>
            </w:pPr>
            <w:r>
              <w:rPr>
                <w:rFonts w:ascii="Arial" w:cs="Arial" w:eastAsia="Arial" w:hAnsi="Arial"/>
                <w:sz w:val="18"/>
                <w:szCs w:val="18"/>
                <w:color w:val="auto"/>
              </w:rPr>
              <w:t>2017</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5460" w:type="dxa"/>
            <w:vAlign w:val="bottom"/>
          </w:tcPr>
          <w:p>
            <w:pPr>
              <w:spacing w:after="0"/>
              <w:rPr>
                <w:sz w:val="17"/>
                <w:szCs w:val="17"/>
                <w:color w:val="auto"/>
              </w:rPr>
            </w:pPr>
          </w:p>
        </w:tc>
        <w:tc>
          <w:tcPr>
            <w:tcW w:w="2640" w:type="dxa"/>
            <w:vAlign w:val="bottom"/>
          </w:tcPr>
          <w:p>
            <w:pPr>
              <w:spacing w:after="0"/>
              <w:rPr>
                <w:sz w:val="17"/>
                <w:szCs w:val="17"/>
                <w:color w:val="auto"/>
              </w:rPr>
            </w:pPr>
          </w:p>
        </w:tc>
        <w:tc>
          <w:tcPr>
            <w:tcW w:w="148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20" w:type="dxa"/>
            <w:vAlign w:val="bottom"/>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460" w:type="dxa"/>
            <w:vAlign w:val="bottom"/>
            <w:shd w:val="clear" w:color="auto" w:fill="BFBFBF"/>
          </w:tcPr>
          <w:p>
            <w:pPr>
              <w:spacing w:after="0" w:line="202" w:lineRule="exact"/>
              <w:rPr>
                <w:sz w:val="20"/>
                <w:szCs w:val="20"/>
                <w:color w:val="auto"/>
              </w:rPr>
            </w:pPr>
            <w:r>
              <w:rPr>
                <w:rFonts w:ascii="Arial" w:cs="Arial" w:eastAsia="Arial" w:hAnsi="Arial"/>
                <w:sz w:val="18"/>
                <w:szCs w:val="18"/>
                <w:color w:val="auto"/>
              </w:rPr>
              <w:t>Net sales</w:t>
            </w:r>
          </w:p>
        </w:tc>
        <w:tc>
          <w:tcPr>
            <w:tcW w:w="4220" w:type="dxa"/>
            <w:vAlign w:val="bottom"/>
            <w:gridSpan w:val="3"/>
            <w:shd w:val="clear" w:color="auto" w:fill="BFBFBF"/>
          </w:tcPr>
          <w:p>
            <w:pPr>
              <w:jc w:val="right"/>
              <w:ind w:right="100"/>
              <w:spacing w:after="0" w:line="202" w:lineRule="exact"/>
              <w:rPr>
                <w:sz w:val="20"/>
                <w:szCs w:val="20"/>
                <w:color w:val="auto"/>
              </w:rPr>
            </w:pPr>
            <w:r>
              <w:rPr>
                <w:rFonts w:ascii="Arial" w:cs="Arial" w:eastAsia="Arial" w:hAnsi="Arial"/>
                <w:sz w:val="18"/>
                <w:szCs w:val="18"/>
                <w:color w:val="auto"/>
              </w:rPr>
              <w:t>$229,981</w:t>
            </w:r>
          </w:p>
        </w:tc>
        <w:tc>
          <w:tcPr>
            <w:tcW w:w="920" w:type="dxa"/>
            <w:vAlign w:val="bottom"/>
            <w:tcBorders>
              <w:right w:val="single" w:sz="8" w:color="BFBFBF"/>
            </w:tcBorders>
            <w:shd w:val="clear" w:color="auto" w:fill="BFBFBF"/>
          </w:tcPr>
          <w:p>
            <w:pPr>
              <w:spacing w:after="0"/>
              <w:rPr>
                <w:sz w:val="17"/>
                <w:szCs w:val="17"/>
                <w:color w:val="auto"/>
              </w:rPr>
            </w:pPr>
          </w:p>
        </w:tc>
        <w:tc>
          <w:tcPr>
            <w:tcW w:w="800" w:type="dxa"/>
            <w:vAlign w:val="bottom"/>
            <w:gridSpan w:val="2"/>
            <w:shd w:val="clear" w:color="auto" w:fill="BFBFBF"/>
          </w:tcPr>
          <w:p>
            <w:pPr>
              <w:jc w:val="right"/>
              <w:ind w:right="60"/>
              <w:spacing w:after="0" w:line="202" w:lineRule="exact"/>
              <w:rPr>
                <w:sz w:val="20"/>
                <w:szCs w:val="20"/>
                <w:color w:val="auto"/>
              </w:rPr>
            </w:pPr>
            <w:r>
              <w:rPr>
                <w:rFonts w:ascii="Arial" w:cs="Arial" w:eastAsia="Arial" w:hAnsi="Arial"/>
                <w:sz w:val="18"/>
                <w:szCs w:val="18"/>
                <w:color w:val="auto"/>
                <w:w w:val="95"/>
              </w:rPr>
              <w:t>$199,277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Cost of goods sold</w:t>
            </w:r>
          </w:p>
        </w:tc>
        <w:tc>
          <w:tcPr>
            <w:tcW w:w="4220" w:type="dxa"/>
            <w:vAlign w:val="bottom"/>
            <w:gridSpan w:val="3"/>
          </w:tcPr>
          <w:p>
            <w:pPr>
              <w:jc w:val="right"/>
              <w:ind w:right="100"/>
              <w:spacing w:after="0"/>
              <w:rPr>
                <w:sz w:val="20"/>
                <w:szCs w:val="20"/>
                <w:color w:val="auto"/>
              </w:rPr>
            </w:pPr>
            <w:r>
              <w:rPr>
                <w:rFonts w:ascii="Arial" w:cs="Arial" w:eastAsia="Arial" w:hAnsi="Arial"/>
                <w:sz w:val="18"/>
                <w:szCs w:val="18"/>
                <w:color w:val="auto"/>
              </w:rPr>
              <w:t>148,330</w:t>
            </w:r>
          </w:p>
        </w:tc>
        <w:tc>
          <w:tcPr>
            <w:tcW w:w="92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123,249</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5460" w:type="dxa"/>
            <w:vAlign w:val="bottom"/>
            <w:tcBorders>
              <w:top w:val="single" w:sz="8" w:color="BFBFBF"/>
            </w:tcBorders>
            <w:shd w:val="clear" w:color="auto" w:fill="BFBFBF"/>
          </w:tcPr>
          <w:p>
            <w:pPr>
              <w:spacing w:after="0"/>
              <w:rPr>
                <w:sz w:val="17"/>
                <w:szCs w:val="17"/>
                <w:color w:val="auto"/>
              </w:rPr>
            </w:pPr>
          </w:p>
        </w:tc>
        <w:tc>
          <w:tcPr>
            <w:tcW w:w="2640" w:type="dxa"/>
            <w:vAlign w:val="bottom"/>
            <w:tcBorders>
              <w:top w:val="single" w:sz="8" w:color="BFBFBF"/>
            </w:tcBorders>
            <w:shd w:val="clear" w:color="auto" w:fill="BFBFBF"/>
          </w:tcPr>
          <w:p>
            <w:pPr>
              <w:spacing w:after="0"/>
              <w:rPr>
                <w:sz w:val="17"/>
                <w:szCs w:val="17"/>
                <w:color w:val="auto"/>
              </w:rPr>
            </w:pPr>
          </w:p>
        </w:tc>
        <w:tc>
          <w:tcPr>
            <w:tcW w:w="1480" w:type="dxa"/>
            <w:vAlign w:val="bottom"/>
            <w:tcBorders>
              <w:top w:val="single" w:sz="8" w:color="auto"/>
            </w:tcBorders>
            <w:shd w:val="clear" w:color="auto" w:fill="BFBFBF"/>
          </w:tcPr>
          <w:p>
            <w:pPr>
              <w:spacing w:after="0"/>
              <w:rPr>
                <w:sz w:val="17"/>
                <w:szCs w:val="17"/>
                <w:color w:val="auto"/>
              </w:rPr>
            </w:pPr>
          </w:p>
        </w:tc>
        <w:tc>
          <w:tcPr>
            <w:tcW w:w="100" w:type="dxa"/>
            <w:vAlign w:val="bottom"/>
            <w:tcBorders>
              <w:top w:val="single" w:sz="8" w:color="BFBFBF"/>
            </w:tcBorders>
            <w:shd w:val="clear" w:color="auto" w:fill="BFBFBF"/>
          </w:tcPr>
          <w:p>
            <w:pPr>
              <w:spacing w:after="0"/>
              <w:rPr>
                <w:sz w:val="17"/>
                <w:szCs w:val="17"/>
                <w:color w:val="auto"/>
              </w:rPr>
            </w:pPr>
          </w:p>
        </w:tc>
        <w:tc>
          <w:tcPr>
            <w:tcW w:w="920" w:type="dxa"/>
            <w:vAlign w:val="bottom"/>
            <w:tcBorders>
              <w:top w:val="single" w:sz="8" w:color="BFBFBF"/>
              <w:right w:val="single" w:sz="8" w:color="BFBFBF"/>
            </w:tcBorders>
            <w:shd w:val="clear" w:color="auto" w:fill="BFBFBF"/>
          </w:tcPr>
          <w:p>
            <w:pPr>
              <w:spacing w:after="0"/>
              <w:rPr>
                <w:sz w:val="17"/>
                <w:szCs w:val="17"/>
                <w:color w:val="auto"/>
              </w:rPr>
            </w:pPr>
          </w:p>
        </w:tc>
        <w:tc>
          <w:tcPr>
            <w:tcW w:w="740" w:type="dxa"/>
            <w:vAlign w:val="bottom"/>
            <w:tcBorders>
              <w:top w:val="single" w:sz="8" w:color="auto"/>
            </w:tcBorders>
            <w:shd w:val="clear" w:color="auto" w:fill="BFBFBF"/>
          </w:tcPr>
          <w:p>
            <w:pPr>
              <w:spacing w:after="0"/>
              <w:rPr>
                <w:sz w:val="17"/>
                <w:szCs w:val="17"/>
                <w:color w:val="auto"/>
              </w:rPr>
            </w:pPr>
          </w:p>
        </w:tc>
        <w:tc>
          <w:tcPr>
            <w:tcW w:w="60" w:type="dxa"/>
            <w:vAlign w:val="bottom"/>
            <w:tcBorders>
              <w:top w:val="single" w:sz="8" w:color="BFBFBF"/>
            </w:tcBorders>
            <w:shd w:val="clear" w:color="auto" w:fill="BFBFB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460" w:type="dxa"/>
            <w:vAlign w:val="bottom"/>
          </w:tcPr>
          <w:p>
            <w:pPr>
              <w:spacing w:after="0" w:line="202" w:lineRule="exact"/>
              <w:rPr>
                <w:sz w:val="20"/>
                <w:szCs w:val="20"/>
                <w:color w:val="auto"/>
              </w:rPr>
            </w:pPr>
            <w:r>
              <w:rPr>
                <w:rFonts w:ascii="Arial" w:cs="Arial" w:eastAsia="Arial" w:hAnsi="Arial"/>
                <w:sz w:val="18"/>
                <w:szCs w:val="18"/>
                <w:color w:val="auto"/>
              </w:rPr>
              <w:t>Gross profit</w:t>
            </w:r>
          </w:p>
        </w:tc>
        <w:tc>
          <w:tcPr>
            <w:tcW w:w="4220" w:type="dxa"/>
            <w:vAlign w:val="bottom"/>
            <w:gridSpan w:val="3"/>
          </w:tcPr>
          <w:p>
            <w:pPr>
              <w:jc w:val="right"/>
              <w:ind w:right="100"/>
              <w:spacing w:after="0" w:line="202" w:lineRule="exact"/>
              <w:rPr>
                <w:sz w:val="20"/>
                <w:szCs w:val="20"/>
                <w:color w:val="auto"/>
              </w:rPr>
            </w:pPr>
            <w:r>
              <w:rPr>
                <w:rFonts w:ascii="Arial" w:cs="Arial" w:eastAsia="Arial" w:hAnsi="Arial"/>
                <w:sz w:val="18"/>
                <w:szCs w:val="18"/>
                <w:color w:val="auto"/>
              </w:rPr>
              <w:t>81,651</w:t>
            </w:r>
          </w:p>
        </w:tc>
        <w:tc>
          <w:tcPr>
            <w:tcW w:w="920" w:type="dxa"/>
            <w:vAlign w:val="bottom"/>
          </w:tcPr>
          <w:p>
            <w:pPr>
              <w:spacing w:after="0"/>
              <w:rPr>
                <w:sz w:val="17"/>
                <w:szCs w:val="17"/>
                <w:color w:val="auto"/>
              </w:rPr>
            </w:pPr>
          </w:p>
        </w:tc>
        <w:tc>
          <w:tcPr>
            <w:tcW w:w="8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76,028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60" w:type="dxa"/>
            <w:vAlign w:val="bottom"/>
            <w:shd w:val="clear" w:color="auto" w:fill="BFBFBF"/>
          </w:tcPr>
          <w:p>
            <w:pPr>
              <w:ind w:left="140"/>
              <w:spacing w:after="0" w:line="202" w:lineRule="exact"/>
              <w:rPr>
                <w:sz w:val="20"/>
                <w:szCs w:val="20"/>
                <w:color w:val="auto"/>
              </w:rPr>
            </w:pPr>
            <w:r>
              <w:rPr>
                <w:rFonts w:ascii="Arial" w:cs="Arial" w:eastAsia="Arial" w:hAnsi="Arial"/>
                <w:sz w:val="18"/>
                <w:szCs w:val="18"/>
                <w:color w:val="auto"/>
              </w:rPr>
              <w:t>Selling, general, and administrative expenses</w:t>
            </w:r>
          </w:p>
        </w:tc>
        <w:tc>
          <w:tcPr>
            <w:tcW w:w="4220" w:type="dxa"/>
            <w:vAlign w:val="bottom"/>
            <w:gridSpan w:val="3"/>
            <w:shd w:val="clear" w:color="auto" w:fill="BFBFBF"/>
          </w:tcPr>
          <w:p>
            <w:pPr>
              <w:jc w:val="right"/>
              <w:ind w:right="100"/>
              <w:spacing w:after="0" w:line="202" w:lineRule="exact"/>
              <w:rPr>
                <w:sz w:val="20"/>
                <w:szCs w:val="20"/>
                <w:color w:val="auto"/>
              </w:rPr>
            </w:pPr>
            <w:r>
              <w:rPr>
                <w:rFonts w:ascii="Arial" w:cs="Arial" w:eastAsia="Arial" w:hAnsi="Arial"/>
                <w:sz w:val="18"/>
                <w:szCs w:val="18"/>
                <w:color w:val="auto"/>
              </w:rPr>
              <w:t>41,930</w:t>
            </w:r>
          </w:p>
        </w:tc>
        <w:tc>
          <w:tcPr>
            <w:tcW w:w="920" w:type="dxa"/>
            <w:vAlign w:val="bottom"/>
            <w:tcBorders>
              <w:right w:val="single" w:sz="8" w:color="BFBFBF"/>
            </w:tcBorders>
            <w:shd w:val="clear" w:color="auto" w:fill="BFBFBF"/>
          </w:tcPr>
          <w:p>
            <w:pPr>
              <w:spacing w:after="0"/>
              <w:rPr>
                <w:sz w:val="17"/>
                <w:szCs w:val="17"/>
                <w:color w:val="auto"/>
              </w:rPr>
            </w:pPr>
          </w:p>
        </w:tc>
        <w:tc>
          <w:tcPr>
            <w:tcW w:w="800" w:type="dxa"/>
            <w:vAlign w:val="bottom"/>
            <w:gridSpan w:val="2"/>
            <w:shd w:val="clear" w:color="auto" w:fill="BFBFBF"/>
          </w:tcPr>
          <w:p>
            <w:pPr>
              <w:jc w:val="right"/>
              <w:ind w:right="60"/>
              <w:spacing w:after="0" w:line="202" w:lineRule="exact"/>
              <w:rPr>
                <w:sz w:val="20"/>
                <w:szCs w:val="20"/>
                <w:color w:val="auto"/>
              </w:rPr>
            </w:pPr>
            <w:r>
              <w:rPr>
                <w:rFonts w:ascii="Arial" w:cs="Arial" w:eastAsia="Arial" w:hAnsi="Arial"/>
                <w:sz w:val="18"/>
                <w:szCs w:val="18"/>
                <w:color w:val="auto"/>
              </w:rPr>
              <w:t>40,407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60" w:type="dxa"/>
            <w:vAlign w:val="bottom"/>
          </w:tcPr>
          <w:p>
            <w:pPr>
              <w:ind w:left="140"/>
              <w:spacing w:after="0" w:line="202" w:lineRule="exact"/>
              <w:rPr>
                <w:sz w:val="20"/>
                <w:szCs w:val="20"/>
                <w:color w:val="auto"/>
              </w:rPr>
            </w:pPr>
            <w:r>
              <w:rPr>
                <w:rFonts w:ascii="Arial" w:cs="Arial" w:eastAsia="Arial" w:hAnsi="Arial"/>
                <w:sz w:val="18"/>
                <w:szCs w:val="18"/>
                <w:color w:val="auto"/>
              </w:rPr>
              <w:t>Technical and research expenses</w:t>
            </w:r>
          </w:p>
        </w:tc>
        <w:tc>
          <w:tcPr>
            <w:tcW w:w="4220" w:type="dxa"/>
            <w:vAlign w:val="bottom"/>
            <w:gridSpan w:val="3"/>
          </w:tcPr>
          <w:p>
            <w:pPr>
              <w:jc w:val="right"/>
              <w:ind w:right="100"/>
              <w:spacing w:after="0" w:line="202" w:lineRule="exact"/>
              <w:rPr>
                <w:sz w:val="20"/>
                <w:szCs w:val="20"/>
                <w:color w:val="auto"/>
              </w:rPr>
            </w:pPr>
            <w:r>
              <w:rPr>
                <w:rFonts w:ascii="Arial" w:cs="Arial" w:eastAsia="Arial" w:hAnsi="Arial"/>
                <w:sz w:val="18"/>
                <w:szCs w:val="18"/>
                <w:color w:val="auto"/>
              </w:rPr>
              <w:t>10,317</w:t>
            </w:r>
          </w:p>
        </w:tc>
        <w:tc>
          <w:tcPr>
            <w:tcW w:w="920" w:type="dxa"/>
            <w:vAlign w:val="bottom"/>
          </w:tcPr>
          <w:p>
            <w:pPr>
              <w:spacing w:after="0"/>
              <w:rPr>
                <w:sz w:val="17"/>
                <w:szCs w:val="17"/>
                <w:color w:val="auto"/>
              </w:rPr>
            </w:pPr>
          </w:p>
        </w:tc>
        <w:tc>
          <w:tcPr>
            <w:tcW w:w="8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10,262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BFBFBF"/>
          </w:tcPr>
          <w:p>
            <w:pPr>
              <w:ind w:left="140"/>
              <w:spacing w:after="0"/>
              <w:rPr>
                <w:sz w:val="20"/>
                <w:szCs w:val="20"/>
                <w:color w:val="auto"/>
              </w:rPr>
            </w:pPr>
            <w:r>
              <w:rPr>
                <w:rFonts w:ascii="Arial" w:cs="Arial" w:eastAsia="Arial" w:hAnsi="Arial"/>
                <w:sz w:val="18"/>
                <w:szCs w:val="18"/>
                <w:color w:val="auto"/>
              </w:rPr>
              <w:t>Restructuring expenses, net</w:t>
            </w:r>
          </w:p>
        </w:tc>
        <w:tc>
          <w:tcPr>
            <w:tcW w:w="2640" w:type="dxa"/>
            <w:vAlign w:val="bottom"/>
            <w:shd w:val="clear" w:color="auto" w:fill="BFBFBF"/>
          </w:tcPr>
          <w:p>
            <w:pPr>
              <w:spacing w:after="0"/>
              <w:rPr>
                <w:sz w:val="18"/>
                <w:szCs w:val="18"/>
                <w:color w:val="auto"/>
              </w:rPr>
            </w:pPr>
          </w:p>
        </w:tc>
        <w:tc>
          <w:tcPr>
            <w:tcW w:w="1480" w:type="dxa"/>
            <w:vAlign w:val="bottom"/>
            <w:shd w:val="clear" w:color="auto" w:fill="BFBFBF"/>
          </w:tcPr>
          <w:p>
            <w:pPr>
              <w:jc w:val="right"/>
              <w:spacing w:after="0"/>
              <w:rPr>
                <w:sz w:val="20"/>
                <w:szCs w:val="20"/>
                <w:color w:val="auto"/>
              </w:rPr>
            </w:pPr>
            <w:r>
              <w:rPr>
                <w:rFonts w:ascii="Arial" w:cs="Arial" w:eastAsia="Arial" w:hAnsi="Arial"/>
                <w:sz w:val="18"/>
                <w:szCs w:val="18"/>
                <w:color w:val="auto"/>
              </w:rPr>
              <w:t>8,573</w:t>
            </w:r>
          </w:p>
        </w:tc>
        <w:tc>
          <w:tcPr>
            <w:tcW w:w="100" w:type="dxa"/>
            <w:vAlign w:val="bottom"/>
            <w:shd w:val="clear" w:color="auto" w:fill="BFBFBF"/>
          </w:tcPr>
          <w:p>
            <w:pPr>
              <w:spacing w:after="0"/>
              <w:rPr>
                <w:sz w:val="18"/>
                <w:szCs w:val="18"/>
                <w:color w:val="auto"/>
              </w:rPr>
            </w:pPr>
          </w:p>
        </w:tc>
        <w:tc>
          <w:tcPr>
            <w:tcW w:w="920" w:type="dxa"/>
            <w:vAlign w:val="bottom"/>
            <w:tcBorders>
              <w:right w:val="single" w:sz="8" w:color="BFBFBF"/>
            </w:tcBorders>
            <w:shd w:val="clear" w:color="auto" w:fill="BFBFBF"/>
          </w:tcPr>
          <w:p>
            <w:pPr>
              <w:spacing w:after="0"/>
              <w:rPr>
                <w:sz w:val="18"/>
                <w:szCs w:val="18"/>
                <w:color w:val="auto"/>
              </w:rPr>
            </w:pPr>
          </w:p>
        </w:tc>
        <w:tc>
          <w:tcPr>
            <w:tcW w:w="800" w:type="dxa"/>
            <w:vAlign w:val="bottom"/>
            <w:gridSpan w:val="2"/>
            <w:shd w:val="clear" w:color="auto" w:fill="BFBFBF"/>
          </w:tcPr>
          <w:p>
            <w:pPr>
              <w:jc w:val="right"/>
              <w:ind w:right="60"/>
              <w:spacing w:after="0"/>
              <w:rPr>
                <w:sz w:val="20"/>
                <w:szCs w:val="20"/>
                <w:color w:val="auto"/>
              </w:rPr>
            </w:pPr>
            <w:r>
              <w:rPr>
                <w:rFonts w:ascii="Arial" w:cs="Arial" w:eastAsia="Arial" w:hAnsi="Arial"/>
                <w:sz w:val="18"/>
                <w:szCs w:val="18"/>
                <w:color w:val="auto"/>
              </w:rPr>
              <w:t>2,681</w:t>
            </w:r>
          </w:p>
        </w:tc>
        <w:tc>
          <w:tcPr>
            <w:tcW w:w="0" w:type="dxa"/>
            <w:vAlign w:val="bottom"/>
          </w:tcPr>
          <w:p>
            <w:pPr>
              <w:spacing w:after="0"/>
              <w:rPr>
                <w:sz w:val="1"/>
                <w:szCs w:val="1"/>
                <w:color w:val="auto"/>
              </w:rPr>
            </w:pPr>
          </w:p>
        </w:tc>
      </w:tr>
      <w:tr>
        <w:trPr>
          <w:trHeight w:val="20"/>
        </w:trPr>
        <w:tc>
          <w:tcPr>
            <w:tcW w:w="5480" w:type="dxa"/>
            <w:vAlign w:val="bottom"/>
            <w:gridSpan w:val="2"/>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right w:val="single" w:sz="8" w:color="auto"/>
            </w:tcBorders>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5480" w:type="dxa"/>
            <w:vAlign w:val="bottom"/>
            <w:gridSpan w:val="2"/>
          </w:tcPr>
          <w:p>
            <w:pPr>
              <w:spacing w:after="0"/>
              <w:rPr>
                <w:sz w:val="20"/>
                <w:szCs w:val="20"/>
                <w:color w:val="auto"/>
              </w:rPr>
            </w:pPr>
            <w:r>
              <w:rPr>
                <w:rFonts w:ascii="Arial" w:cs="Arial" w:eastAsia="Arial" w:hAnsi="Arial"/>
                <w:sz w:val="18"/>
                <w:szCs w:val="18"/>
                <w:color w:val="auto"/>
              </w:rPr>
              <w:t>Operating income</w:t>
            </w:r>
          </w:p>
        </w:tc>
        <w:tc>
          <w:tcPr>
            <w:tcW w:w="264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20,831</w:t>
            </w: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22,678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60" w:type="dxa"/>
            <w:vAlign w:val="bottom"/>
            <w:shd w:val="clear" w:color="auto" w:fill="BFBFBF"/>
          </w:tcPr>
          <w:p>
            <w:pPr>
              <w:ind w:left="140"/>
              <w:spacing w:after="0" w:line="202" w:lineRule="exact"/>
              <w:rPr>
                <w:sz w:val="20"/>
                <w:szCs w:val="20"/>
                <w:color w:val="auto"/>
              </w:rPr>
            </w:pPr>
            <w:r>
              <w:rPr>
                <w:rFonts w:ascii="Arial" w:cs="Arial" w:eastAsia="Arial" w:hAnsi="Arial"/>
                <w:sz w:val="18"/>
                <w:szCs w:val="18"/>
                <w:color w:val="auto"/>
              </w:rPr>
              <w:t>Interest expense, net</w:t>
            </w:r>
          </w:p>
        </w:tc>
        <w:tc>
          <w:tcPr>
            <w:tcW w:w="4220" w:type="dxa"/>
            <w:vAlign w:val="bottom"/>
            <w:gridSpan w:val="3"/>
            <w:shd w:val="clear" w:color="auto" w:fill="BFBFBF"/>
          </w:tcPr>
          <w:p>
            <w:pPr>
              <w:jc w:val="right"/>
              <w:ind w:right="100"/>
              <w:spacing w:after="0" w:line="202" w:lineRule="exact"/>
              <w:rPr>
                <w:sz w:val="20"/>
                <w:szCs w:val="20"/>
                <w:color w:val="auto"/>
              </w:rPr>
            </w:pPr>
            <w:r>
              <w:rPr>
                <w:rFonts w:ascii="Arial" w:cs="Arial" w:eastAsia="Arial" w:hAnsi="Arial"/>
                <w:sz w:val="18"/>
                <w:szCs w:val="18"/>
                <w:color w:val="auto"/>
              </w:rPr>
              <w:t>4,288</w:t>
            </w:r>
          </w:p>
        </w:tc>
        <w:tc>
          <w:tcPr>
            <w:tcW w:w="920" w:type="dxa"/>
            <w:vAlign w:val="bottom"/>
            <w:tcBorders>
              <w:right w:val="single" w:sz="8" w:color="BFBFBF"/>
            </w:tcBorders>
            <w:shd w:val="clear" w:color="auto" w:fill="BFBFBF"/>
          </w:tcPr>
          <w:p>
            <w:pPr>
              <w:spacing w:after="0"/>
              <w:rPr>
                <w:sz w:val="17"/>
                <w:szCs w:val="17"/>
                <w:color w:val="auto"/>
              </w:rPr>
            </w:pPr>
          </w:p>
        </w:tc>
        <w:tc>
          <w:tcPr>
            <w:tcW w:w="800" w:type="dxa"/>
            <w:vAlign w:val="bottom"/>
            <w:gridSpan w:val="2"/>
            <w:shd w:val="clear" w:color="auto" w:fill="BFBFBF"/>
          </w:tcPr>
          <w:p>
            <w:pPr>
              <w:jc w:val="right"/>
              <w:ind w:right="60"/>
              <w:spacing w:after="0" w:line="202" w:lineRule="exact"/>
              <w:rPr>
                <w:sz w:val="20"/>
                <w:szCs w:val="20"/>
                <w:color w:val="auto"/>
              </w:rPr>
            </w:pPr>
            <w:r>
              <w:rPr>
                <w:rFonts w:ascii="Arial" w:cs="Arial" w:eastAsia="Arial" w:hAnsi="Arial"/>
                <w:sz w:val="18"/>
                <w:szCs w:val="18"/>
                <w:color w:val="auto"/>
              </w:rPr>
              <w:t>4,328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ind w:left="140"/>
              <w:spacing w:after="0"/>
              <w:rPr>
                <w:sz w:val="20"/>
                <w:szCs w:val="20"/>
                <w:color w:val="auto"/>
              </w:rPr>
            </w:pPr>
            <w:r>
              <w:rPr>
                <w:rFonts w:ascii="Arial" w:cs="Arial" w:eastAsia="Arial" w:hAnsi="Arial"/>
                <w:sz w:val="18"/>
                <w:szCs w:val="18"/>
                <w:color w:val="auto"/>
              </w:rPr>
              <w:t>Other expense, net</w:t>
            </w:r>
          </w:p>
        </w:tc>
        <w:tc>
          <w:tcPr>
            <w:tcW w:w="4220" w:type="dxa"/>
            <w:vAlign w:val="bottom"/>
            <w:gridSpan w:val="3"/>
          </w:tcPr>
          <w:p>
            <w:pPr>
              <w:jc w:val="right"/>
              <w:ind w:right="100"/>
              <w:spacing w:after="0"/>
              <w:rPr>
                <w:sz w:val="20"/>
                <w:szCs w:val="20"/>
                <w:color w:val="auto"/>
              </w:rPr>
            </w:pPr>
            <w:r>
              <w:rPr>
                <w:rFonts w:ascii="Arial" w:cs="Arial" w:eastAsia="Arial" w:hAnsi="Arial"/>
                <w:sz w:val="18"/>
                <w:szCs w:val="18"/>
                <w:color w:val="auto"/>
              </w:rPr>
              <w:t>1,452</w:t>
            </w:r>
          </w:p>
        </w:tc>
        <w:tc>
          <w:tcPr>
            <w:tcW w:w="92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826</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5460" w:type="dxa"/>
            <w:vAlign w:val="bottom"/>
            <w:tcBorders>
              <w:top w:val="single" w:sz="8" w:color="BFBFBF"/>
            </w:tcBorders>
            <w:shd w:val="clear" w:color="auto" w:fill="BFBFBF"/>
          </w:tcPr>
          <w:p>
            <w:pPr>
              <w:spacing w:after="0"/>
              <w:rPr>
                <w:sz w:val="17"/>
                <w:szCs w:val="17"/>
                <w:color w:val="auto"/>
              </w:rPr>
            </w:pPr>
          </w:p>
        </w:tc>
        <w:tc>
          <w:tcPr>
            <w:tcW w:w="2640" w:type="dxa"/>
            <w:vAlign w:val="bottom"/>
            <w:tcBorders>
              <w:top w:val="single" w:sz="8" w:color="BFBFBF"/>
            </w:tcBorders>
            <w:shd w:val="clear" w:color="auto" w:fill="BFBFBF"/>
          </w:tcPr>
          <w:p>
            <w:pPr>
              <w:spacing w:after="0"/>
              <w:rPr>
                <w:sz w:val="17"/>
                <w:szCs w:val="17"/>
                <w:color w:val="auto"/>
              </w:rPr>
            </w:pPr>
          </w:p>
        </w:tc>
        <w:tc>
          <w:tcPr>
            <w:tcW w:w="1480" w:type="dxa"/>
            <w:vAlign w:val="bottom"/>
            <w:tcBorders>
              <w:top w:val="single" w:sz="8" w:color="auto"/>
            </w:tcBorders>
            <w:shd w:val="clear" w:color="auto" w:fill="BFBFBF"/>
          </w:tcPr>
          <w:p>
            <w:pPr>
              <w:spacing w:after="0"/>
              <w:rPr>
                <w:sz w:val="17"/>
                <w:szCs w:val="17"/>
                <w:color w:val="auto"/>
              </w:rPr>
            </w:pPr>
          </w:p>
        </w:tc>
        <w:tc>
          <w:tcPr>
            <w:tcW w:w="100" w:type="dxa"/>
            <w:vAlign w:val="bottom"/>
            <w:tcBorders>
              <w:top w:val="single" w:sz="8" w:color="BFBFBF"/>
            </w:tcBorders>
            <w:shd w:val="clear" w:color="auto" w:fill="BFBFBF"/>
          </w:tcPr>
          <w:p>
            <w:pPr>
              <w:spacing w:after="0"/>
              <w:rPr>
                <w:sz w:val="17"/>
                <w:szCs w:val="17"/>
                <w:color w:val="auto"/>
              </w:rPr>
            </w:pPr>
          </w:p>
        </w:tc>
        <w:tc>
          <w:tcPr>
            <w:tcW w:w="920" w:type="dxa"/>
            <w:vAlign w:val="bottom"/>
            <w:tcBorders>
              <w:top w:val="single" w:sz="8" w:color="BFBFBF"/>
              <w:right w:val="single" w:sz="8" w:color="BFBFBF"/>
            </w:tcBorders>
            <w:shd w:val="clear" w:color="auto" w:fill="BFBFBF"/>
          </w:tcPr>
          <w:p>
            <w:pPr>
              <w:spacing w:after="0"/>
              <w:rPr>
                <w:sz w:val="17"/>
                <w:szCs w:val="17"/>
                <w:color w:val="auto"/>
              </w:rPr>
            </w:pPr>
          </w:p>
        </w:tc>
        <w:tc>
          <w:tcPr>
            <w:tcW w:w="740" w:type="dxa"/>
            <w:vAlign w:val="bottom"/>
            <w:tcBorders>
              <w:top w:val="single" w:sz="8" w:color="auto"/>
            </w:tcBorders>
            <w:shd w:val="clear" w:color="auto" w:fill="BFBFBF"/>
          </w:tcPr>
          <w:p>
            <w:pPr>
              <w:spacing w:after="0"/>
              <w:rPr>
                <w:sz w:val="17"/>
                <w:szCs w:val="17"/>
                <w:color w:val="auto"/>
              </w:rPr>
            </w:pPr>
          </w:p>
        </w:tc>
        <w:tc>
          <w:tcPr>
            <w:tcW w:w="60" w:type="dxa"/>
            <w:vAlign w:val="bottom"/>
            <w:tcBorders>
              <w:top w:val="single" w:sz="8" w:color="BFBFBF"/>
            </w:tcBorders>
            <w:shd w:val="clear" w:color="auto" w:fill="BFBFB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460" w:type="dxa"/>
            <w:vAlign w:val="bottom"/>
          </w:tcPr>
          <w:p>
            <w:pPr>
              <w:spacing w:after="0" w:line="202" w:lineRule="exact"/>
              <w:rPr>
                <w:sz w:val="20"/>
                <w:szCs w:val="20"/>
                <w:color w:val="auto"/>
              </w:rPr>
            </w:pPr>
            <w:r>
              <w:rPr>
                <w:rFonts w:ascii="Arial" w:cs="Arial" w:eastAsia="Arial" w:hAnsi="Arial"/>
                <w:sz w:val="18"/>
                <w:szCs w:val="18"/>
                <w:color w:val="auto"/>
              </w:rPr>
              <w:t>Income before income taxes</w:t>
            </w:r>
          </w:p>
        </w:tc>
        <w:tc>
          <w:tcPr>
            <w:tcW w:w="4220" w:type="dxa"/>
            <w:vAlign w:val="bottom"/>
            <w:gridSpan w:val="3"/>
          </w:tcPr>
          <w:p>
            <w:pPr>
              <w:jc w:val="right"/>
              <w:ind w:right="100"/>
              <w:spacing w:after="0" w:line="202" w:lineRule="exact"/>
              <w:rPr>
                <w:sz w:val="20"/>
                <w:szCs w:val="20"/>
                <w:color w:val="auto"/>
              </w:rPr>
            </w:pPr>
            <w:r>
              <w:rPr>
                <w:rFonts w:ascii="Arial" w:cs="Arial" w:eastAsia="Arial" w:hAnsi="Arial"/>
                <w:sz w:val="18"/>
                <w:szCs w:val="18"/>
                <w:color w:val="auto"/>
              </w:rPr>
              <w:t>15,091</w:t>
            </w:r>
          </w:p>
        </w:tc>
        <w:tc>
          <w:tcPr>
            <w:tcW w:w="920" w:type="dxa"/>
            <w:vAlign w:val="bottom"/>
          </w:tcPr>
          <w:p>
            <w:pPr>
              <w:spacing w:after="0"/>
              <w:rPr>
                <w:sz w:val="17"/>
                <w:szCs w:val="17"/>
                <w:color w:val="auto"/>
              </w:rPr>
            </w:pPr>
          </w:p>
        </w:tc>
        <w:tc>
          <w:tcPr>
            <w:tcW w:w="8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17,524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BFBFBF"/>
          </w:tcPr>
          <w:p>
            <w:pPr>
              <w:ind w:left="140"/>
              <w:spacing w:after="0"/>
              <w:rPr>
                <w:sz w:val="20"/>
                <w:szCs w:val="20"/>
                <w:color w:val="auto"/>
              </w:rPr>
            </w:pPr>
            <w:r>
              <w:rPr>
                <w:rFonts w:ascii="Arial" w:cs="Arial" w:eastAsia="Arial" w:hAnsi="Arial"/>
                <w:sz w:val="18"/>
                <w:szCs w:val="18"/>
                <w:color w:val="auto"/>
              </w:rPr>
              <w:t>Income tax expense</w:t>
            </w:r>
          </w:p>
        </w:tc>
        <w:tc>
          <w:tcPr>
            <w:tcW w:w="4220" w:type="dxa"/>
            <w:vAlign w:val="bottom"/>
            <w:gridSpan w:val="3"/>
            <w:shd w:val="clear" w:color="auto" w:fill="BFBFBF"/>
          </w:tcPr>
          <w:p>
            <w:pPr>
              <w:jc w:val="right"/>
              <w:ind w:right="100"/>
              <w:spacing w:after="0"/>
              <w:rPr>
                <w:sz w:val="20"/>
                <w:szCs w:val="20"/>
                <w:color w:val="auto"/>
              </w:rPr>
            </w:pPr>
            <w:r>
              <w:rPr>
                <w:rFonts w:ascii="Arial" w:cs="Arial" w:eastAsia="Arial" w:hAnsi="Arial"/>
                <w:sz w:val="18"/>
                <w:szCs w:val="18"/>
                <w:color w:val="auto"/>
              </w:rPr>
              <w:t>4,609</w:t>
            </w:r>
          </w:p>
        </w:tc>
        <w:tc>
          <w:tcPr>
            <w:tcW w:w="920" w:type="dxa"/>
            <w:vAlign w:val="bottom"/>
            <w:tcBorders>
              <w:right w:val="single" w:sz="8" w:color="BFBFBF"/>
            </w:tcBorders>
            <w:shd w:val="clear" w:color="auto" w:fill="BFBFBF"/>
          </w:tcPr>
          <w:p>
            <w:pPr>
              <w:spacing w:after="0"/>
              <w:rPr>
                <w:sz w:val="18"/>
                <w:szCs w:val="18"/>
                <w:color w:val="auto"/>
              </w:rPr>
            </w:pPr>
          </w:p>
        </w:tc>
        <w:tc>
          <w:tcPr>
            <w:tcW w:w="800" w:type="dxa"/>
            <w:vAlign w:val="bottom"/>
            <w:gridSpan w:val="2"/>
            <w:shd w:val="clear" w:color="auto" w:fill="BFBFBF"/>
          </w:tcPr>
          <w:p>
            <w:pPr>
              <w:jc w:val="right"/>
              <w:ind w:right="60"/>
              <w:spacing w:after="0"/>
              <w:rPr>
                <w:sz w:val="20"/>
                <w:szCs w:val="20"/>
                <w:color w:val="auto"/>
              </w:rPr>
            </w:pPr>
            <w:r>
              <w:rPr>
                <w:rFonts w:ascii="Arial" w:cs="Arial" w:eastAsia="Arial" w:hAnsi="Arial"/>
                <w:sz w:val="18"/>
                <w:szCs w:val="18"/>
                <w:color w:val="auto"/>
              </w:rPr>
              <w:t>6,550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460" w:type="dxa"/>
            <w:vAlign w:val="bottom"/>
          </w:tcPr>
          <w:p>
            <w:pPr>
              <w:spacing w:after="0"/>
              <w:rPr>
                <w:sz w:val="17"/>
                <w:szCs w:val="17"/>
                <w:color w:val="auto"/>
              </w:rPr>
            </w:pPr>
          </w:p>
        </w:tc>
        <w:tc>
          <w:tcPr>
            <w:tcW w:w="2640" w:type="dxa"/>
            <w:vAlign w:val="bottom"/>
          </w:tcPr>
          <w:p>
            <w:pPr>
              <w:spacing w:after="0"/>
              <w:rPr>
                <w:sz w:val="17"/>
                <w:szCs w:val="17"/>
                <w:color w:val="auto"/>
              </w:rPr>
            </w:pPr>
          </w:p>
        </w:tc>
        <w:tc>
          <w:tcPr>
            <w:tcW w:w="14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60" w:type="dxa"/>
            <w:vAlign w:val="bottom"/>
            <w:shd w:val="clear" w:color="auto" w:fill="BFBFBF"/>
          </w:tcPr>
          <w:p>
            <w:pPr>
              <w:ind w:left="160"/>
              <w:spacing w:after="0" w:line="202" w:lineRule="exact"/>
              <w:rPr>
                <w:sz w:val="20"/>
                <w:szCs w:val="20"/>
                <w:color w:val="auto"/>
              </w:rPr>
            </w:pPr>
            <w:r>
              <w:rPr>
                <w:rFonts w:ascii="Arial" w:cs="Arial" w:eastAsia="Arial" w:hAnsi="Arial"/>
                <w:sz w:val="18"/>
                <w:szCs w:val="18"/>
                <w:color w:val="auto"/>
              </w:rPr>
              <w:t>Net income</w:t>
            </w:r>
          </w:p>
        </w:tc>
        <w:tc>
          <w:tcPr>
            <w:tcW w:w="4220" w:type="dxa"/>
            <w:vAlign w:val="bottom"/>
            <w:gridSpan w:val="3"/>
            <w:shd w:val="clear" w:color="auto" w:fill="BFBFBF"/>
          </w:tcPr>
          <w:p>
            <w:pPr>
              <w:jc w:val="right"/>
              <w:ind w:right="100"/>
              <w:spacing w:after="0" w:line="202" w:lineRule="exact"/>
              <w:rPr>
                <w:sz w:val="20"/>
                <w:szCs w:val="20"/>
                <w:color w:val="auto"/>
              </w:rPr>
            </w:pPr>
            <w:r>
              <w:rPr>
                <w:rFonts w:ascii="Arial" w:cs="Arial" w:eastAsia="Arial" w:hAnsi="Arial"/>
                <w:sz w:val="18"/>
                <w:szCs w:val="18"/>
                <w:color w:val="auto"/>
              </w:rPr>
              <w:t>10,482</w:t>
            </w:r>
          </w:p>
        </w:tc>
        <w:tc>
          <w:tcPr>
            <w:tcW w:w="920" w:type="dxa"/>
            <w:vAlign w:val="bottom"/>
            <w:tcBorders>
              <w:right w:val="single" w:sz="8" w:color="BFBFBF"/>
            </w:tcBorders>
            <w:shd w:val="clear" w:color="auto" w:fill="BFBFBF"/>
          </w:tcPr>
          <w:p>
            <w:pPr>
              <w:spacing w:after="0"/>
              <w:rPr>
                <w:sz w:val="17"/>
                <w:szCs w:val="17"/>
                <w:color w:val="auto"/>
              </w:rPr>
            </w:pPr>
          </w:p>
        </w:tc>
        <w:tc>
          <w:tcPr>
            <w:tcW w:w="800" w:type="dxa"/>
            <w:vAlign w:val="bottom"/>
            <w:gridSpan w:val="2"/>
            <w:shd w:val="clear" w:color="auto" w:fill="BFBFBF"/>
          </w:tcPr>
          <w:p>
            <w:pPr>
              <w:jc w:val="right"/>
              <w:ind w:right="60"/>
              <w:spacing w:after="0" w:line="202" w:lineRule="exact"/>
              <w:rPr>
                <w:sz w:val="20"/>
                <w:szCs w:val="20"/>
                <w:color w:val="auto"/>
              </w:rPr>
            </w:pPr>
            <w:r>
              <w:rPr>
                <w:rFonts w:ascii="Arial" w:cs="Arial" w:eastAsia="Arial" w:hAnsi="Arial"/>
                <w:sz w:val="18"/>
                <w:szCs w:val="18"/>
                <w:color w:val="auto"/>
              </w:rPr>
              <w:t>10,974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ind w:left="160"/>
              <w:spacing w:after="0"/>
              <w:rPr>
                <w:sz w:val="20"/>
                <w:szCs w:val="20"/>
                <w:color w:val="auto"/>
              </w:rPr>
            </w:pPr>
            <w:r>
              <w:rPr>
                <w:rFonts w:ascii="Arial" w:cs="Arial" w:eastAsia="Arial" w:hAnsi="Arial"/>
                <w:sz w:val="18"/>
                <w:szCs w:val="18"/>
                <w:color w:val="auto"/>
              </w:rPr>
              <w:t>Net income attributable to the noncontrolling interest</w:t>
            </w:r>
          </w:p>
        </w:tc>
        <w:tc>
          <w:tcPr>
            <w:tcW w:w="26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237</w:t>
            </w: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60" w:type="dxa"/>
            <w:vAlign w:val="bottom"/>
            <w:vMerge w:val="restart"/>
            <w:shd w:val="clear" w:color="auto" w:fill="BFBFBF"/>
          </w:tcPr>
          <w:p>
            <w:pPr>
              <w:ind w:left="160"/>
              <w:spacing w:after="0"/>
              <w:rPr>
                <w:sz w:val="20"/>
                <w:szCs w:val="20"/>
                <w:color w:val="auto"/>
              </w:rPr>
            </w:pPr>
            <w:r>
              <w:rPr>
                <w:rFonts w:ascii="Arial" w:cs="Arial" w:eastAsia="Arial" w:hAnsi="Arial"/>
                <w:sz w:val="18"/>
                <w:szCs w:val="18"/>
                <w:color w:val="auto"/>
              </w:rPr>
              <w:t>Net income attributable to the Company</w:t>
            </w:r>
          </w:p>
        </w:tc>
        <w:tc>
          <w:tcPr>
            <w:tcW w:w="2640" w:type="dxa"/>
            <w:vAlign w:val="bottom"/>
            <w:shd w:val="clear" w:color="auto" w:fill="BFBFBF"/>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00" w:type="dxa"/>
            <w:vAlign w:val="bottom"/>
            <w:shd w:val="clear" w:color="auto" w:fill="BFBFBF"/>
          </w:tcPr>
          <w:p>
            <w:pPr>
              <w:spacing w:after="0" w:line="20" w:lineRule="exact"/>
              <w:rPr>
                <w:sz w:val="1"/>
                <w:szCs w:val="1"/>
                <w:color w:val="auto"/>
              </w:rPr>
            </w:pPr>
          </w:p>
        </w:tc>
        <w:tc>
          <w:tcPr>
            <w:tcW w:w="920" w:type="dxa"/>
            <w:vAlign w:val="bottom"/>
            <w:tcBorders>
              <w:right w:val="single" w:sz="8" w:color="auto"/>
            </w:tcBorders>
            <w:shd w:val="clear" w:color="auto" w:fill="BFBFB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0" w:type="dxa"/>
            <w:vAlign w:val="bottom"/>
            <w:shd w:val="clear" w:color="auto" w:fill="BFBFB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460" w:type="dxa"/>
            <w:vAlign w:val="bottom"/>
            <w:vMerge w:val="continue"/>
            <w:shd w:val="clear" w:color="auto" w:fill="BFBFBF"/>
          </w:tcPr>
          <w:p>
            <w:pPr>
              <w:spacing w:after="0"/>
              <w:rPr>
                <w:sz w:val="18"/>
                <w:szCs w:val="18"/>
                <w:color w:val="auto"/>
              </w:rPr>
            </w:pPr>
          </w:p>
        </w:tc>
        <w:tc>
          <w:tcPr>
            <w:tcW w:w="2640" w:type="dxa"/>
            <w:vAlign w:val="bottom"/>
            <w:shd w:val="clear" w:color="auto" w:fill="BFBFBF"/>
          </w:tcPr>
          <w:p>
            <w:pPr>
              <w:spacing w:after="0"/>
              <w:rPr>
                <w:sz w:val="18"/>
                <w:szCs w:val="18"/>
                <w:color w:val="auto"/>
              </w:rPr>
            </w:pPr>
          </w:p>
        </w:tc>
        <w:tc>
          <w:tcPr>
            <w:tcW w:w="1480" w:type="dxa"/>
            <w:vAlign w:val="bottom"/>
            <w:shd w:val="clear" w:color="auto" w:fill="BFBFBF"/>
          </w:tcPr>
          <w:p>
            <w:pPr>
              <w:jc w:val="right"/>
              <w:spacing w:after="0"/>
              <w:rPr>
                <w:sz w:val="20"/>
                <w:szCs w:val="20"/>
                <w:color w:val="auto"/>
              </w:rPr>
            </w:pPr>
            <w:r>
              <w:rPr>
                <w:rFonts w:ascii="Arial" w:cs="Arial" w:eastAsia="Arial" w:hAnsi="Arial"/>
                <w:sz w:val="18"/>
                <w:szCs w:val="18"/>
                <w:color w:val="auto"/>
              </w:rPr>
              <w:t>$10,245</w:t>
            </w:r>
          </w:p>
        </w:tc>
        <w:tc>
          <w:tcPr>
            <w:tcW w:w="100" w:type="dxa"/>
            <w:vAlign w:val="bottom"/>
            <w:shd w:val="clear" w:color="auto" w:fill="BFBFBF"/>
          </w:tcPr>
          <w:p>
            <w:pPr>
              <w:spacing w:after="0"/>
              <w:rPr>
                <w:sz w:val="18"/>
                <w:szCs w:val="18"/>
                <w:color w:val="auto"/>
              </w:rPr>
            </w:pPr>
          </w:p>
        </w:tc>
        <w:tc>
          <w:tcPr>
            <w:tcW w:w="920" w:type="dxa"/>
            <w:vAlign w:val="bottom"/>
            <w:tcBorders>
              <w:right w:val="single" w:sz="8" w:color="BFBFBF"/>
            </w:tcBorders>
            <w:shd w:val="clear" w:color="auto" w:fill="BFBFBF"/>
          </w:tcPr>
          <w:p>
            <w:pPr>
              <w:spacing w:after="0"/>
              <w:rPr>
                <w:sz w:val="18"/>
                <w:szCs w:val="18"/>
                <w:color w:val="auto"/>
              </w:rPr>
            </w:pPr>
          </w:p>
        </w:tc>
        <w:tc>
          <w:tcPr>
            <w:tcW w:w="800" w:type="dxa"/>
            <w:vAlign w:val="bottom"/>
            <w:gridSpan w:val="2"/>
            <w:shd w:val="clear" w:color="auto" w:fill="BFBFBF"/>
          </w:tcPr>
          <w:p>
            <w:pPr>
              <w:jc w:val="right"/>
              <w:ind w:right="60"/>
              <w:spacing w:after="0"/>
              <w:rPr>
                <w:sz w:val="20"/>
                <w:szCs w:val="20"/>
                <w:color w:val="auto"/>
              </w:rPr>
            </w:pPr>
            <w:r>
              <w:rPr>
                <w:rFonts w:ascii="Arial" w:cs="Arial" w:eastAsia="Arial" w:hAnsi="Arial"/>
                <w:sz w:val="18"/>
                <w:szCs w:val="18"/>
                <w:color w:val="auto"/>
              </w:rPr>
              <w:t>$10,839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60" w:type="dxa"/>
            <w:vAlign w:val="bottom"/>
            <w:tcBorders>
              <w:top w:val="single" w:sz="8" w:color="BFBFBF"/>
            </w:tcBorders>
          </w:tcPr>
          <w:p>
            <w:pPr>
              <w:spacing w:after="0" w:line="20" w:lineRule="exact"/>
              <w:rPr>
                <w:sz w:val="1"/>
                <w:szCs w:val="1"/>
                <w:color w:val="auto"/>
              </w:rPr>
            </w:pPr>
          </w:p>
        </w:tc>
        <w:tc>
          <w:tcPr>
            <w:tcW w:w="2640" w:type="dxa"/>
            <w:vAlign w:val="bottom"/>
            <w:tcBorders>
              <w:top w:val="single" w:sz="8" w:color="BFBFB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BFBFBF"/>
            </w:tcBorders>
          </w:tcPr>
          <w:p>
            <w:pPr>
              <w:spacing w:after="0" w:line="20" w:lineRule="exact"/>
              <w:rPr>
                <w:sz w:val="1"/>
                <w:szCs w:val="1"/>
                <w:color w:val="auto"/>
              </w:rPr>
            </w:pPr>
          </w:p>
        </w:tc>
        <w:tc>
          <w:tcPr>
            <w:tcW w:w="920" w:type="dxa"/>
            <w:vAlign w:val="bottom"/>
            <w:tcBorders>
              <w:top w:val="single" w:sz="8" w:color="BFBFB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BFBFB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vMerge w:val="restart"/>
          </w:tcPr>
          <w:p>
            <w:pPr>
              <w:spacing w:after="0"/>
              <w:rPr>
                <w:sz w:val="15"/>
                <w:szCs w:val="15"/>
                <w:color w:val="auto"/>
              </w:rPr>
            </w:pPr>
          </w:p>
        </w:tc>
        <w:tc>
          <w:tcPr>
            <w:tcW w:w="5460" w:type="dxa"/>
            <w:vAlign w:val="bottom"/>
          </w:tcPr>
          <w:p>
            <w:pPr>
              <w:spacing w:after="0"/>
              <w:rPr>
                <w:sz w:val="15"/>
                <w:szCs w:val="15"/>
                <w:color w:val="auto"/>
              </w:rPr>
            </w:pPr>
          </w:p>
        </w:tc>
        <w:tc>
          <w:tcPr>
            <w:tcW w:w="26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460" w:type="dxa"/>
            <w:vAlign w:val="bottom"/>
            <w:shd w:val="clear" w:color="auto" w:fill="BFBFBF"/>
          </w:tcPr>
          <w:p>
            <w:pPr>
              <w:spacing w:after="0" w:line="202" w:lineRule="exact"/>
              <w:rPr>
                <w:sz w:val="20"/>
                <w:szCs w:val="20"/>
                <w:color w:val="auto"/>
              </w:rPr>
            </w:pPr>
            <w:r>
              <w:rPr>
                <w:rFonts w:ascii="Arial" w:cs="Arial" w:eastAsia="Arial" w:hAnsi="Arial"/>
                <w:sz w:val="18"/>
                <w:szCs w:val="18"/>
                <w:color w:val="auto"/>
              </w:rPr>
              <w:t>Earnings per share attributable to Company shareholders - Basic</w:t>
            </w:r>
          </w:p>
        </w:tc>
        <w:tc>
          <w:tcPr>
            <w:tcW w:w="4220" w:type="dxa"/>
            <w:vAlign w:val="bottom"/>
            <w:gridSpan w:val="3"/>
            <w:shd w:val="clear" w:color="auto" w:fill="BFBFBF"/>
          </w:tcPr>
          <w:p>
            <w:pPr>
              <w:jc w:val="right"/>
              <w:ind w:right="100"/>
              <w:spacing w:after="0" w:line="202" w:lineRule="exact"/>
              <w:rPr>
                <w:sz w:val="20"/>
                <w:szCs w:val="20"/>
                <w:color w:val="auto"/>
              </w:rPr>
            </w:pPr>
            <w:r>
              <w:rPr>
                <w:rFonts w:ascii="Arial" w:cs="Arial" w:eastAsia="Arial" w:hAnsi="Arial"/>
                <w:sz w:val="18"/>
                <w:szCs w:val="18"/>
                <w:color w:val="auto"/>
              </w:rPr>
              <w:t>$0.32</w:t>
            </w:r>
          </w:p>
        </w:tc>
        <w:tc>
          <w:tcPr>
            <w:tcW w:w="920" w:type="dxa"/>
            <w:vAlign w:val="bottom"/>
            <w:tcBorders>
              <w:right w:val="single" w:sz="8" w:color="BFBFBF"/>
            </w:tcBorders>
            <w:shd w:val="clear" w:color="auto" w:fill="BFBFBF"/>
          </w:tcPr>
          <w:p>
            <w:pPr>
              <w:spacing w:after="0"/>
              <w:rPr>
                <w:sz w:val="17"/>
                <w:szCs w:val="17"/>
                <w:color w:val="auto"/>
              </w:rPr>
            </w:pPr>
          </w:p>
        </w:tc>
        <w:tc>
          <w:tcPr>
            <w:tcW w:w="800" w:type="dxa"/>
            <w:vAlign w:val="bottom"/>
            <w:gridSpan w:val="2"/>
            <w:shd w:val="clear" w:color="auto" w:fill="BFBFBF"/>
          </w:tcPr>
          <w:p>
            <w:pPr>
              <w:jc w:val="right"/>
              <w:ind w:right="60"/>
              <w:spacing w:after="0" w:line="202" w:lineRule="exact"/>
              <w:rPr>
                <w:sz w:val="20"/>
                <w:szCs w:val="20"/>
                <w:color w:val="auto"/>
              </w:rPr>
            </w:pPr>
            <w:r>
              <w:rPr>
                <w:rFonts w:ascii="Arial" w:cs="Arial" w:eastAsia="Arial" w:hAnsi="Arial"/>
                <w:sz w:val="18"/>
                <w:szCs w:val="18"/>
                <w:color w:val="auto"/>
              </w:rPr>
              <w:t>$0.34</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5460" w:type="dxa"/>
            <w:vAlign w:val="bottom"/>
          </w:tcPr>
          <w:p>
            <w:pPr>
              <w:spacing w:after="0"/>
              <w:rPr>
                <w:sz w:val="17"/>
                <w:szCs w:val="17"/>
                <w:color w:val="auto"/>
              </w:rPr>
            </w:pPr>
          </w:p>
        </w:tc>
        <w:tc>
          <w:tcPr>
            <w:tcW w:w="26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460" w:type="dxa"/>
            <w:vAlign w:val="bottom"/>
            <w:shd w:val="clear" w:color="auto" w:fill="BFBFBF"/>
          </w:tcPr>
          <w:p>
            <w:pPr>
              <w:spacing w:after="0" w:line="202" w:lineRule="exact"/>
              <w:rPr>
                <w:sz w:val="20"/>
                <w:szCs w:val="20"/>
                <w:color w:val="auto"/>
              </w:rPr>
            </w:pPr>
            <w:r>
              <w:rPr>
                <w:rFonts w:ascii="Arial" w:cs="Arial" w:eastAsia="Arial" w:hAnsi="Arial"/>
                <w:sz w:val="18"/>
                <w:szCs w:val="18"/>
                <w:color w:val="auto"/>
              </w:rPr>
              <w:t>Earnings per share attributable to Company shareholders - Diluted</w:t>
            </w:r>
          </w:p>
        </w:tc>
        <w:tc>
          <w:tcPr>
            <w:tcW w:w="4220" w:type="dxa"/>
            <w:vAlign w:val="bottom"/>
            <w:gridSpan w:val="3"/>
            <w:shd w:val="clear" w:color="auto" w:fill="BFBFBF"/>
          </w:tcPr>
          <w:p>
            <w:pPr>
              <w:jc w:val="right"/>
              <w:ind w:right="100"/>
              <w:spacing w:after="0" w:line="202" w:lineRule="exact"/>
              <w:rPr>
                <w:sz w:val="20"/>
                <w:szCs w:val="20"/>
                <w:color w:val="auto"/>
              </w:rPr>
            </w:pPr>
            <w:r>
              <w:rPr>
                <w:rFonts w:ascii="Arial" w:cs="Arial" w:eastAsia="Arial" w:hAnsi="Arial"/>
                <w:sz w:val="18"/>
                <w:szCs w:val="18"/>
                <w:color w:val="auto"/>
              </w:rPr>
              <w:t>$0.32</w:t>
            </w:r>
          </w:p>
        </w:tc>
        <w:tc>
          <w:tcPr>
            <w:tcW w:w="920" w:type="dxa"/>
            <w:vAlign w:val="bottom"/>
            <w:tcBorders>
              <w:right w:val="single" w:sz="8" w:color="BFBFBF"/>
            </w:tcBorders>
            <w:shd w:val="clear" w:color="auto" w:fill="BFBFBF"/>
          </w:tcPr>
          <w:p>
            <w:pPr>
              <w:spacing w:after="0"/>
              <w:rPr>
                <w:sz w:val="17"/>
                <w:szCs w:val="17"/>
                <w:color w:val="auto"/>
              </w:rPr>
            </w:pPr>
          </w:p>
        </w:tc>
        <w:tc>
          <w:tcPr>
            <w:tcW w:w="800" w:type="dxa"/>
            <w:vAlign w:val="bottom"/>
            <w:gridSpan w:val="2"/>
            <w:shd w:val="clear" w:color="auto" w:fill="BFBFBF"/>
          </w:tcPr>
          <w:p>
            <w:pPr>
              <w:jc w:val="right"/>
              <w:ind w:right="60"/>
              <w:spacing w:after="0" w:line="202" w:lineRule="exact"/>
              <w:rPr>
                <w:sz w:val="20"/>
                <w:szCs w:val="20"/>
                <w:color w:val="auto"/>
              </w:rPr>
            </w:pPr>
            <w:r>
              <w:rPr>
                <w:rFonts w:ascii="Arial" w:cs="Arial" w:eastAsia="Arial" w:hAnsi="Arial"/>
                <w:sz w:val="18"/>
                <w:szCs w:val="18"/>
                <w:color w:val="auto"/>
              </w:rPr>
              <w:t>$0.34</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5460" w:type="dxa"/>
            <w:vAlign w:val="bottom"/>
          </w:tcPr>
          <w:p>
            <w:pPr>
              <w:spacing w:after="0"/>
              <w:rPr>
                <w:sz w:val="17"/>
                <w:szCs w:val="17"/>
                <w:color w:val="auto"/>
              </w:rPr>
            </w:pPr>
          </w:p>
        </w:tc>
        <w:tc>
          <w:tcPr>
            <w:tcW w:w="26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460" w:type="dxa"/>
            <w:vAlign w:val="bottom"/>
            <w:shd w:val="clear" w:color="auto" w:fill="BFBFBF"/>
          </w:tcPr>
          <w:p>
            <w:pPr>
              <w:spacing w:after="0" w:line="202" w:lineRule="exact"/>
              <w:rPr>
                <w:sz w:val="20"/>
                <w:szCs w:val="20"/>
                <w:color w:val="auto"/>
              </w:rPr>
            </w:pPr>
            <w:r>
              <w:rPr>
                <w:rFonts w:ascii="Arial" w:cs="Arial" w:eastAsia="Arial" w:hAnsi="Arial"/>
                <w:sz w:val="18"/>
                <w:szCs w:val="18"/>
                <w:color w:val="auto"/>
              </w:rPr>
              <w:t>Shares of the Company used in computing earnings per share:</w:t>
            </w:r>
          </w:p>
        </w:tc>
        <w:tc>
          <w:tcPr>
            <w:tcW w:w="2640" w:type="dxa"/>
            <w:vAlign w:val="bottom"/>
            <w:shd w:val="clear" w:color="auto" w:fill="BFBFBF"/>
          </w:tcPr>
          <w:p>
            <w:pPr>
              <w:spacing w:after="0"/>
              <w:rPr>
                <w:sz w:val="17"/>
                <w:szCs w:val="17"/>
                <w:color w:val="auto"/>
              </w:rPr>
            </w:pPr>
          </w:p>
        </w:tc>
        <w:tc>
          <w:tcPr>
            <w:tcW w:w="1480" w:type="dxa"/>
            <w:vAlign w:val="bottom"/>
            <w:shd w:val="clear" w:color="auto" w:fill="BFBFBF"/>
          </w:tcPr>
          <w:p>
            <w:pPr>
              <w:spacing w:after="0"/>
              <w:rPr>
                <w:sz w:val="17"/>
                <w:szCs w:val="17"/>
                <w:color w:val="auto"/>
              </w:rPr>
            </w:pPr>
          </w:p>
        </w:tc>
        <w:tc>
          <w:tcPr>
            <w:tcW w:w="100" w:type="dxa"/>
            <w:vAlign w:val="bottom"/>
            <w:shd w:val="clear" w:color="auto" w:fill="BFBFBF"/>
          </w:tcPr>
          <w:p>
            <w:pPr>
              <w:spacing w:after="0"/>
              <w:rPr>
                <w:sz w:val="17"/>
                <w:szCs w:val="17"/>
                <w:color w:val="auto"/>
              </w:rPr>
            </w:pPr>
          </w:p>
        </w:tc>
        <w:tc>
          <w:tcPr>
            <w:tcW w:w="920" w:type="dxa"/>
            <w:vAlign w:val="bottom"/>
            <w:tcBorders>
              <w:right w:val="single" w:sz="8" w:color="BFBFBF"/>
            </w:tcBorders>
            <w:shd w:val="clear" w:color="auto" w:fill="BFBFBF"/>
          </w:tcPr>
          <w:p>
            <w:pPr>
              <w:spacing w:after="0"/>
              <w:rPr>
                <w:sz w:val="17"/>
                <w:szCs w:val="17"/>
                <w:color w:val="auto"/>
              </w:rPr>
            </w:pPr>
          </w:p>
        </w:tc>
        <w:tc>
          <w:tcPr>
            <w:tcW w:w="740" w:type="dxa"/>
            <w:vAlign w:val="bottom"/>
            <w:shd w:val="clear" w:color="auto" w:fill="BFBFBF"/>
          </w:tcPr>
          <w:p>
            <w:pPr>
              <w:spacing w:after="0"/>
              <w:rPr>
                <w:sz w:val="17"/>
                <w:szCs w:val="17"/>
                <w:color w:val="auto"/>
              </w:rPr>
            </w:pPr>
          </w:p>
        </w:tc>
        <w:tc>
          <w:tcPr>
            <w:tcW w:w="60" w:type="dxa"/>
            <w:vAlign w:val="bottom"/>
            <w:shd w:val="clear" w:color="auto" w:fill="BFBFB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60" w:type="dxa"/>
            <w:vAlign w:val="bottom"/>
          </w:tcPr>
          <w:p>
            <w:pPr>
              <w:ind w:left="80"/>
              <w:spacing w:after="0" w:line="202" w:lineRule="exact"/>
              <w:rPr>
                <w:sz w:val="20"/>
                <w:szCs w:val="20"/>
                <w:color w:val="auto"/>
              </w:rPr>
            </w:pPr>
            <w:r>
              <w:rPr>
                <w:rFonts w:ascii="Arial" w:cs="Arial" w:eastAsia="Arial" w:hAnsi="Arial"/>
                <w:sz w:val="18"/>
                <w:szCs w:val="18"/>
                <w:color w:val="auto"/>
              </w:rPr>
              <w:t>Basic</w:t>
            </w:r>
          </w:p>
        </w:tc>
        <w:tc>
          <w:tcPr>
            <w:tcW w:w="4220" w:type="dxa"/>
            <w:vAlign w:val="bottom"/>
            <w:gridSpan w:val="3"/>
          </w:tcPr>
          <w:p>
            <w:pPr>
              <w:jc w:val="right"/>
              <w:ind w:right="100"/>
              <w:spacing w:after="0" w:line="202" w:lineRule="exact"/>
              <w:rPr>
                <w:sz w:val="20"/>
                <w:szCs w:val="20"/>
                <w:color w:val="auto"/>
              </w:rPr>
            </w:pPr>
            <w:r>
              <w:rPr>
                <w:rFonts w:ascii="Arial" w:cs="Arial" w:eastAsia="Arial" w:hAnsi="Arial"/>
                <w:sz w:val="18"/>
                <w:szCs w:val="18"/>
                <w:color w:val="auto"/>
              </w:rPr>
              <w:t>32,220</w:t>
            </w:r>
          </w:p>
        </w:tc>
        <w:tc>
          <w:tcPr>
            <w:tcW w:w="920" w:type="dxa"/>
            <w:vAlign w:val="bottom"/>
          </w:tcPr>
          <w:p>
            <w:pPr>
              <w:spacing w:after="0"/>
              <w:rPr>
                <w:sz w:val="17"/>
                <w:szCs w:val="17"/>
                <w:color w:val="auto"/>
              </w:rPr>
            </w:pPr>
          </w:p>
        </w:tc>
        <w:tc>
          <w:tcPr>
            <w:tcW w:w="8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32,128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60" w:type="dxa"/>
            <w:vAlign w:val="bottom"/>
            <w:shd w:val="clear" w:color="auto" w:fill="BFBFBF"/>
          </w:tcPr>
          <w:p>
            <w:pPr>
              <w:spacing w:after="0"/>
              <w:rPr>
                <w:sz w:val="17"/>
                <w:szCs w:val="17"/>
                <w:color w:val="auto"/>
              </w:rPr>
            </w:pPr>
          </w:p>
        </w:tc>
        <w:tc>
          <w:tcPr>
            <w:tcW w:w="2640" w:type="dxa"/>
            <w:vAlign w:val="bottom"/>
            <w:shd w:val="clear" w:color="auto" w:fill="BFBFBF"/>
          </w:tcPr>
          <w:p>
            <w:pPr>
              <w:spacing w:after="0"/>
              <w:rPr>
                <w:sz w:val="17"/>
                <w:szCs w:val="17"/>
                <w:color w:val="auto"/>
              </w:rPr>
            </w:pPr>
          </w:p>
        </w:tc>
        <w:tc>
          <w:tcPr>
            <w:tcW w:w="1480" w:type="dxa"/>
            <w:vAlign w:val="bottom"/>
            <w:shd w:val="clear" w:color="auto" w:fill="BFBFBF"/>
          </w:tcPr>
          <w:p>
            <w:pPr>
              <w:spacing w:after="0"/>
              <w:rPr>
                <w:sz w:val="17"/>
                <w:szCs w:val="17"/>
                <w:color w:val="auto"/>
              </w:rPr>
            </w:pPr>
          </w:p>
        </w:tc>
        <w:tc>
          <w:tcPr>
            <w:tcW w:w="100" w:type="dxa"/>
            <w:vAlign w:val="bottom"/>
            <w:shd w:val="clear" w:color="auto" w:fill="BFBFBF"/>
          </w:tcPr>
          <w:p>
            <w:pPr>
              <w:spacing w:after="0"/>
              <w:rPr>
                <w:sz w:val="17"/>
                <w:szCs w:val="17"/>
                <w:color w:val="auto"/>
              </w:rPr>
            </w:pPr>
          </w:p>
        </w:tc>
        <w:tc>
          <w:tcPr>
            <w:tcW w:w="920" w:type="dxa"/>
            <w:vAlign w:val="bottom"/>
            <w:tcBorders>
              <w:right w:val="single" w:sz="8" w:color="BFBFBF"/>
            </w:tcBorders>
            <w:shd w:val="clear" w:color="auto" w:fill="BFBFBF"/>
          </w:tcPr>
          <w:p>
            <w:pPr>
              <w:spacing w:after="0"/>
              <w:rPr>
                <w:sz w:val="17"/>
                <w:szCs w:val="17"/>
                <w:color w:val="auto"/>
              </w:rPr>
            </w:pPr>
          </w:p>
        </w:tc>
        <w:tc>
          <w:tcPr>
            <w:tcW w:w="740" w:type="dxa"/>
            <w:vAlign w:val="bottom"/>
            <w:shd w:val="clear" w:color="auto" w:fill="BFBFBF"/>
          </w:tcPr>
          <w:p>
            <w:pPr>
              <w:spacing w:after="0"/>
              <w:rPr>
                <w:sz w:val="17"/>
                <w:szCs w:val="17"/>
                <w:color w:val="auto"/>
              </w:rPr>
            </w:pPr>
          </w:p>
        </w:tc>
        <w:tc>
          <w:tcPr>
            <w:tcW w:w="60" w:type="dxa"/>
            <w:vAlign w:val="bottom"/>
            <w:shd w:val="clear" w:color="auto" w:fill="BFBFB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60" w:type="dxa"/>
            <w:vAlign w:val="bottom"/>
          </w:tcPr>
          <w:p>
            <w:pPr>
              <w:ind w:left="80"/>
              <w:spacing w:after="0" w:line="202" w:lineRule="exact"/>
              <w:rPr>
                <w:sz w:val="20"/>
                <w:szCs w:val="20"/>
                <w:color w:val="auto"/>
              </w:rPr>
            </w:pPr>
            <w:r>
              <w:rPr>
                <w:rFonts w:ascii="Arial" w:cs="Arial" w:eastAsia="Arial" w:hAnsi="Arial"/>
                <w:sz w:val="18"/>
                <w:szCs w:val="18"/>
                <w:color w:val="auto"/>
              </w:rPr>
              <w:t>Diluted</w:t>
            </w:r>
          </w:p>
        </w:tc>
        <w:tc>
          <w:tcPr>
            <w:tcW w:w="4220" w:type="dxa"/>
            <w:vAlign w:val="bottom"/>
            <w:gridSpan w:val="3"/>
          </w:tcPr>
          <w:p>
            <w:pPr>
              <w:jc w:val="right"/>
              <w:ind w:right="100"/>
              <w:spacing w:after="0" w:line="202" w:lineRule="exact"/>
              <w:rPr>
                <w:sz w:val="20"/>
                <w:szCs w:val="20"/>
                <w:color w:val="auto"/>
              </w:rPr>
            </w:pPr>
            <w:r>
              <w:rPr>
                <w:rFonts w:ascii="Arial" w:cs="Arial" w:eastAsia="Arial" w:hAnsi="Arial"/>
                <w:sz w:val="18"/>
                <w:szCs w:val="18"/>
                <w:color w:val="auto"/>
              </w:rPr>
              <w:t>32,236</w:t>
            </w:r>
          </w:p>
        </w:tc>
        <w:tc>
          <w:tcPr>
            <w:tcW w:w="920" w:type="dxa"/>
            <w:vAlign w:val="bottom"/>
          </w:tcPr>
          <w:p>
            <w:pPr>
              <w:spacing w:after="0"/>
              <w:rPr>
                <w:sz w:val="17"/>
                <w:szCs w:val="17"/>
                <w:color w:val="auto"/>
              </w:rPr>
            </w:pPr>
          </w:p>
        </w:tc>
        <w:tc>
          <w:tcPr>
            <w:tcW w:w="8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32,164</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5460" w:type="dxa"/>
            <w:vAlign w:val="bottom"/>
            <w:shd w:val="clear" w:color="auto" w:fill="BFBFBF"/>
          </w:tcPr>
          <w:p>
            <w:pPr>
              <w:spacing w:after="0"/>
              <w:rPr>
                <w:sz w:val="17"/>
                <w:szCs w:val="17"/>
                <w:color w:val="auto"/>
              </w:rPr>
            </w:pPr>
          </w:p>
        </w:tc>
        <w:tc>
          <w:tcPr>
            <w:tcW w:w="2640" w:type="dxa"/>
            <w:vAlign w:val="bottom"/>
            <w:shd w:val="clear" w:color="auto" w:fill="BFBFBF"/>
          </w:tcPr>
          <w:p>
            <w:pPr>
              <w:spacing w:after="0"/>
              <w:rPr>
                <w:sz w:val="17"/>
                <w:szCs w:val="17"/>
                <w:color w:val="auto"/>
              </w:rPr>
            </w:pPr>
          </w:p>
        </w:tc>
        <w:tc>
          <w:tcPr>
            <w:tcW w:w="1480" w:type="dxa"/>
            <w:vAlign w:val="bottom"/>
            <w:shd w:val="clear" w:color="auto" w:fill="BFBFBF"/>
          </w:tcPr>
          <w:p>
            <w:pPr>
              <w:spacing w:after="0"/>
              <w:rPr>
                <w:sz w:val="17"/>
                <w:szCs w:val="17"/>
                <w:color w:val="auto"/>
              </w:rPr>
            </w:pPr>
          </w:p>
        </w:tc>
        <w:tc>
          <w:tcPr>
            <w:tcW w:w="100" w:type="dxa"/>
            <w:vAlign w:val="bottom"/>
            <w:shd w:val="clear" w:color="auto" w:fill="BFBFBF"/>
          </w:tcPr>
          <w:p>
            <w:pPr>
              <w:spacing w:after="0"/>
              <w:rPr>
                <w:sz w:val="17"/>
                <w:szCs w:val="17"/>
                <w:color w:val="auto"/>
              </w:rPr>
            </w:pPr>
          </w:p>
        </w:tc>
        <w:tc>
          <w:tcPr>
            <w:tcW w:w="920" w:type="dxa"/>
            <w:vAlign w:val="bottom"/>
            <w:tcBorders>
              <w:right w:val="single" w:sz="8" w:color="BFBFBF"/>
            </w:tcBorders>
            <w:shd w:val="clear" w:color="auto" w:fill="BFBFBF"/>
          </w:tcPr>
          <w:p>
            <w:pPr>
              <w:spacing w:after="0"/>
              <w:rPr>
                <w:sz w:val="17"/>
                <w:szCs w:val="17"/>
                <w:color w:val="auto"/>
              </w:rPr>
            </w:pPr>
          </w:p>
        </w:tc>
        <w:tc>
          <w:tcPr>
            <w:tcW w:w="740" w:type="dxa"/>
            <w:vAlign w:val="bottom"/>
            <w:shd w:val="clear" w:color="auto" w:fill="BFBFBF"/>
          </w:tcPr>
          <w:p>
            <w:pPr>
              <w:spacing w:after="0"/>
              <w:rPr>
                <w:sz w:val="17"/>
                <w:szCs w:val="17"/>
                <w:color w:val="auto"/>
              </w:rPr>
            </w:pPr>
          </w:p>
        </w:tc>
        <w:tc>
          <w:tcPr>
            <w:tcW w:w="60" w:type="dxa"/>
            <w:vAlign w:val="bottom"/>
            <w:shd w:val="clear" w:color="auto" w:fill="BFBFB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vMerge w:val="continue"/>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Dividends declared per share, Class A and Class B</w:t>
            </w:r>
          </w:p>
        </w:tc>
        <w:tc>
          <w:tcPr>
            <w:tcW w:w="4220" w:type="dxa"/>
            <w:vAlign w:val="bottom"/>
            <w:gridSpan w:val="3"/>
          </w:tcPr>
          <w:p>
            <w:pPr>
              <w:jc w:val="right"/>
              <w:ind w:right="100"/>
              <w:spacing w:after="0"/>
              <w:rPr>
                <w:sz w:val="20"/>
                <w:szCs w:val="20"/>
                <w:color w:val="auto"/>
              </w:rPr>
            </w:pPr>
            <w:r>
              <w:rPr>
                <w:rFonts w:ascii="Arial" w:cs="Arial" w:eastAsia="Arial" w:hAnsi="Arial"/>
                <w:sz w:val="18"/>
                <w:szCs w:val="18"/>
                <w:color w:val="auto"/>
              </w:rPr>
              <w:t>$0.17</w:t>
            </w:r>
          </w:p>
        </w:tc>
        <w:tc>
          <w:tcPr>
            <w:tcW w:w="92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$0.17</w:t>
            </w:r>
          </w:p>
        </w:tc>
        <w:tc>
          <w:tcPr>
            <w:tcW w:w="0" w:type="dxa"/>
            <w:vAlign w:val="bottom"/>
          </w:tcPr>
          <w:p>
            <w:pPr>
              <w:spacing w:after="0"/>
              <w:rPr>
                <w:sz w:val="1"/>
                <w:szCs w:val="1"/>
                <w:color w:val="auto"/>
              </w:rPr>
            </w:pPr>
          </w:p>
        </w:tc>
      </w:tr>
      <w:tr>
        <w:trPr>
          <w:trHeight w:val="404"/>
        </w:trPr>
        <w:tc>
          <w:tcPr>
            <w:tcW w:w="20" w:type="dxa"/>
            <w:vAlign w:val="bottom"/>
          </w:tcPr>
          <w:p>
            <w:pPr>
              <w:spacing w:after="0"/>
              <w:rPr>
                <w:sz w:val="24"/>
                <w:szCs w:val="24"/>
                <w:color w:val="auto"/>
              </w:rPr>
            </w:pPr>
          </w:p>
        </w:tc>
        <w:tc>
          <w:tcPr>
            <w:tcW w:w="10600" w:type="dxa"/>
            <w:vAlign w:val="bottom"/>
            <w:gridSpan w:val="5"/>
          </w:tcPr>
          <w:p>
            <w:pPr>
              <w:jc w:val="center"/>
              <w:ind w:left="690"/>
              <w:spacing w:after="0"/>
              <w:rPr>
                <w:sz w:val="20"/>
                <w:szCs w:val="20"/>
                <w:color w:val="auto"/>
              </w:rPr>
            </w:pPr>
            <w:r>
              <w:rPr>
                <w:rFonts w:ascii="Arial" w:cs="Arial" w:eastAsia="Arial" w:hAnsi="Arial"/>
                <w:sz w:val="18"/>
                <w:szCs w:val="18"/>
                <w:color w:val="auto"/>
              </w:rPr>
              <w:t>The accompanying notes are an integral part of the consolidated financial statements</w:t>
            </w: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21"/>
        </w:trPr>
        <w:tc>
          <w:tcPr>
            <w:tcW w:w="20" w:type="dxa"/>
            <w:vAlign w:val="bottom"/>
          </w:tcPr>
          <w:p>
            <w:pPr>
              <w:spacing w:after="0"/>
              <w:rPr>
                <w:sz w:val="24"/>
                <w:szCs w:val="24"/>
                <w:color w:val="auto"/>
              </w:rPr>
            </w:pPr>
          </w:p>
        </w:tc>
        <w:tc>
          <w:tcPr>
            <w:tcW w:w="5460" w:type="dxa"/>
            <w:vAlign w:val="bottom"/>
          </w:tcPr>
          <w:p>
            <w:pPr>
              <w:spacing w:after="0"/>
              <w:rPr>
                <w:sz w:val="24"/>
                <w:szCs w:val="24"/>
                <w:color w:val="auto"/>
              </w:rPr>
            </w:pPr>
          </w:p>
        </w:tc>
        <w:tc>
          <w:tcPr>
            <w:tcW w:w="2640" w:type="dxa"/>
            <w:vAlign w:val="bottom"/>
          </w:tcPr>
          <w:p>
            <w:pPr>
              <w:jc w:val="right"/>
              <w:ind w:right="2270"/>
              <w:spacing w:after="0"/>
              <w:rPr>
                <w:sz w:val="20"/>
                <w:szCs w:val="20"/>
                <w:color w:val="auto"/>
              </w:rPr>
            </w:pPr>
            <w:r>
              <w:rPr>
                <w:rFonts w:ascii="Arial" w:cs="Arial" w:eastAsia="Arial" w:hAnsi="Arial"/>
                <w:sz w:val="18"/>
                <w:szCs w:val="18"/>
                <w:color w:val="auto"/>
              </w:rPr>
              <w:t>3</w:t>
            </w: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460" w:type="dxa"/>
            <w:vAlign w:val="bottom"/>
            <w:tcBorders>
              <w:bottom w:val="single" w:sz="8" w:color="auto"/>
            </w:tcBorders>
          </w:tcPr>
          <w:p>
            <w:pPr>
              <w:spacing w:after="0"/>
              <w:rPr>
                <w:sz w:val="12"/>
                <w:szCs w:val="12"/>
                <w:color w:val="auto"/>
              </w:rPr>
            </w:pPr>
          </w:p>
        </w:tc>
        <w:tc>
          <w:tcPr>
            <w:tcW w:w="2640" w:type="dxa"/>
            <w:vAlign w:val="bottom"/>
            <w:tcBorders>
              <w:bottom w:val="single" w:sz="8" w:color="auto"/>
            </w:tcBorders>
          </w:tcPr>
          <w:p>
            <w:pPr>
              <w:spacing w:after="0"/>
              <w:rPr>
                <w:sz w:val="12"/>
                <w:szCs w:val="12"/>
                <w:color w:val="auto"/>
              </w:rPr>
            </w:pPr>
          </w:p>
        </w:tc>
        <w:tc>
          <w:tcPr>
            <w:tcW w:w="14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97"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color w:val="auto"/>
        </w:rPr>
        <w:t>ALBANY INTERNATIONAL CORP.</w:t>
      </w:r>
    </w:p>
    <w:p>
      <w:pPr>
        <w:jc w:val="center"/>
        <w:spacing w:after="0" w:line="234" w:lineRule="auto"/>
        <w:rPr>
          <w:sz w:val="20"/>
          <w:szCs w:val="20"/>
          <w:color w:val="auto"/>
        </w:rPr>
      </w:pPr>
      <w:r>
        <w:rPr>
          <w:rFonts w:ascii="Arial" w:cs="Arial" w:eastAsia="Arial" w:hAnsi="Arial"/>
          <w:sz w:val="18"/>
          <w:szCs w:val="18"/>
          <w:color w:val="auto"/>
        </w:rPr>
        <w:t>CONSOLIDATED STATEMENTS OF COMPREHENSIVE INCOME/(LOSS)</w:t>
      </w:r>
    </w:p>
    <w:p>
      <w:pPr>
        <w:jc w:val="center"/>
        <w:spacing w:after="0" w:line="235" w:lineRule="auto"/>
        <w:rPr>
          <w:sz w:val="20"/>
          <w:szCs w:val="20"/>
          <w:color w:val="auto"/>
        </w:rPr>
      </w:pPr>
      <w:r>
        <w:rPr>
          <w:rFonts w:ascii="Arial" w:cs="Arial" w:eastAsia="Arial" w:hAnsi="Arial"/>
          <w:sz w:val="18"/>
          <w:szCs w:val="18"/>
          <w:color w:val="auto"/>
        </w:rPr>
        <w:t>(in thousands)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8180" w:type="dxa"/>
            <w:vAlign w:val="bottom"/>
          </w:tcPr>
          <w:p>
            <w:pPr>
              <w:spacing w:after="0"/>
              <w:rPr>
                <w:sz w:val="17"/>
                <w:szCs w:val="17"/>
                <w:color w:val="auto"/>
              </w:rPr>
            </w:pPr>
          </w:p>
        </w:tc>
        <w:tc>
          <w:tcPr>
            <w:tcW w:w="2480" w:type="dxa"/>
            <w:vAlign w:val="bottom"/>
            <w:gridSpan w:val="3"/>
          </w:tcPr>
          <w:p>
            <w:pPr>
              <w:jc w:val="center"/>
              <w:ind w:left="630"/>
              <w:spacing w:after="0"/>
              <w:rPr>
                <w:sz w:val="20"/>
                <w:szCs w:val="20"/>
                <w:color w:val="auto"/>
              </w:rPr>
            </w:pPr>
            <w:r>
              <w:rPr>
                <w:rFonts w:ascii="Arial" w:cs="Arial" w:eastAsia="Arial" w:hAnsi="Arial"/>
                <w:sz w:val="18"/>
                <w:szCs w:val="18"/>
                <w:color w:val="auto"/>
                <w:w w:val="99"/>
              </w:rPr>
              <w:t>Three Months Ended</w:t>
            </w: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180" w:type="dxa"/>
            <w:vAlign w:val="bottom"/>
          </w:tcPr>
          <w:p>
            <w:pPr>
              <w:spacing w:after="0"/>
              <w:rPr>
                <w:sz w:val="18"/>
                <w:szCs w:val="18"/>
                <w:color w:val="auto"/>
              </w:rPr>
            </w:pPr>
          </w:p>
        </w:tc>
        <w:tc>
          <w:tcPr>
            <w:tcW w:w="2480" w:type="dxa"/>
            <w:vAlign w:val="bottom"/>
            <w:gridSpan w:val="3"/>
          </w:tcPr>
          <w:p>
            <w:pPr>
              <w:jc w:val="center"/>
              <w:ind w:left="630"/>
              <w:spacing w:after="0"/>
              <w:rPr>
                <w:sz w:val="20"/>
                <w:szCs w:val="20"/>
                <w:color w:val="auto"/>
              </w:rPr>
            </w:pPr>
            <w:r>
              <w:rPr>
                <w:rFonts w:ascii="Arial" w:cs="Arial" w:eastAsia="Arial" w:hAnsi="Arial"/>
                <w:sz w:val="18"/>
                <w:szCs w:val="18"/>
                <w:color w:val="auto"/>
                <w:w w:val="99"/>
              </w:rPr>
              <w:t>March 31,</w:t>
            </w: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05"/>
        </w:trPr>
        <w:tc>
          <w:tcPr>
            <w:tcW w:w="20" w:type="dxa"/>
            <w:vAlign w:val="bottom"/>
          </w:tcPr>
          <w:p>
            <w:pPr>
              <w:spacing w:after="0"/>
              <w:rPr>
                <w:sz w:val="24"/>
                <w:szCs w:val="24"/>
                <w:color w:val="auto"/>
              </w:rPr>
            </w:pPr>
          </w:p>
        </w:tc>
        <w:tc>
          <w:tcPr>
            <w:tcW w:w="8180" w:type="dxa"/>
            <w:vAlign w:val="bottom"/>
          </w:tcPr>
          <w:p>
            <w:pPr>
              <w:spacing w:after="0"/>
              <w:rPr>
                <w:sz w:val="24"/>
                <w:szCs w:val="24"/>
                <w:color w:val="auto"/>
              </w:rPr>
            </w:pPr>
          </w:p>
        </w:tc>
        <w:tc>
          <w:tcPr>
            <w:tcW w:w="14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2018</w:t>
            </w:r>
          </w:p>
        </w:tc>
        <w:tc>
          <w:tcPr>
            <w:tcW w:w="120" w:type="dxa"/>
            <w:vAlign w:val="bottom"/>
            <w:tcBorders>
              <w:bottom w:val="single" w:sz="8" w:color="auto"/>
            </w:tcBorders>
          </w:tcPr>
          <w:p>
            <w:pPr>
              <w:spacing w:after="0"/>
              <w:rPr>
                <w:sz w:val="24"/>
                <w:szCs w:val="24"/>
                <w:color w:val="auto"/>
              </w:rPr>
            </w:pPr>
          </w:p>
        </w:tc>
        <w:tc>
          <w:tcPr>
            <w:tcW w:w="900" w:type="dxa"/>
            <w:vAlign w:val="bottom"/>
          </w:tcPr>
          <w:p>
            <w:pPr>
              <w:spacing w:after="0"/>
              <w:rPr>
                <w:sz w:val="24"/>
                <w:szCs w:val="24"/>
                <w:color w:val="auto"/>
              </w:rPr>
            </w:pPr>
          </w:p>
        </w:tc>
        <w:tc>
          <w:tcPr>
            <w:tcW w:w="7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2017</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81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8180" w:type="dxa"/>
            <w:vAlign w:val="bottom"/>
            <w:shd w:val="clear" w:color="auto" w:fill="BFBFBF"/>
          </w:tcPr>
          <w:p>
            <w:pPr>
              <w:spacing w:after="0" w:line="202" w:lineRule="exact"/>
              <w:rPr>
                <w:sz w:val="20"/>
                <w:szCs w:val="20"/>
                <w:color w:val="auto"/>
              </w:rPr>
            </w:pPr>
            <w:r>
              <w:rPr>
                <w:rFonts w:ascii="Arial" w:cs="Arial" w:eastAsia="Arial" w:hAnsi="Arial"/>
                <w:sz w:val="18"/>
                <w:szCs w:val="18"/>
                <w:color w:val="auto"/>
              </w:rPr>
              <w:t>Net income</w:t>
            </w:r>
          </w:p>
        </w:tc>
        <w:tc>
          <w:tcPr>
            <w:tcW w:w="1580" w:type="dxa"/>
            <w:vAlign w:val="bottom"/>
            <w:gridSpan w:val="2"/>
            <w:shd w:val="clear" w:color="auto" w:fill="BFBFBF"/>
          </w:tcPr>
          <w:p>
            <w:pPr>
              <w:jc w:val="right"/>
              <w:ind w:right="120"/>
              <w:spacing w:after="0" w:line="202" w:lineRule="exact"/>
              <w:rPr>
                <w:sz w:val="20"/>
                <w:szCs w:val="20"/>
                <w:color w:val="auto"/>
              </w:rPr>
            </w:pPr>
            <w:r>
              <w:rPr>
                <w:rFonts w:ascii="Arial" w:cs="Arial" w:eastAsia="Arial" w:hAnsi="Arial"/>
                <w:sz w:val="18"/>
                <w:szCs w:val="18"/>
                <w:color w:val="auto"/>
              </w:rPr>
              <w:t>$10,482</w:t>
            </w:r>
          </w:p>
        </w:tc>
        <w:tc>
          <w:tcPr>
            <w:tcW w:w="900" w:type="dxa"/>
            <w:vAlign w:val="bottom"/>
            <w:shd w:val="clear" w:color="auto" w:fill="BFBFBF"/>
          </w:tcPr>
          <w:p>
            <w:pPr>
              <w:spacing w:after="0"/>
              <w:rPr>
                <w:sz w:val="17"/>
                <w:szCs w:val="17"/>
                <w:color w:val="auto"/>
              </w:rPr>
            </w:pPr>
          </w:p>
        </w:tc>
        <w:tc>
          <w:tcPr>
            <w:tcW w:w="740" w:type="dxa"/>
            <w:vAlign w:val="bottom"/>
            <w:tcBorders>
              <w:right w:val="single" w:sz="8" w:color="BFBFBF"/>
            </w:tcBorders>
            <w:shd w:val="clear" w:color="auto" w:fill="BFBFBF"/>
          </w:tcPr>
          <w:p>
            <w:pPr>
              <w:jc w:val="right"/>
              <w:spacing w:after="0" w:line="202" w:lineRule="exact"/>
              <w:rPr>
                <w:sz w:val="20"/>
                <w:szCs w:val="20"/>
                <w:color w:val="auto"/>
              </w:rPr>
            </w:pPr>
            <w:r>
              <w:rPr>
                <w:rFonts w:ascii="Arial" w:cs="Arial" w:eastAsia="Arial" w:hAnsi="Arial"/>
                <w:sz w:val="18"/>
                <w:szCs w:val="18"/>
                <w:color w:val="auto"/>
              </w:rPr>
              <w:t>$10,974</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81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8180" w:type="dxa"/>
            <w:vAlign w:val="bottom"/>
            <w:shd w:val="clear" w:color="auto" w:fill="BFBFBF"/>
          </w:tcPr>
          <w:p>
            <w:pPr>
              <w:spacing w:after="0" w:line="202" w:lineRule="exact"/>
              <w:rPr>
                <w:sz w:val="20"/>
                <w:szCs w:val="20"/>
                <w:color w:val="auto"/>
              </w:rPr>
            </w:pPr>
            <w:r>
              <w:rPr>
                <w:rFonts w:ascii="Arial" w:cs="Arial" w:eastAsia="Arial" w:hAnsi="Arial"/>
                <w:sz w:val="18"/>
                <w:szCs w:val="18"/>
                <w:color w:val="auto"/>
              </w:rPr>
              <w:t>Other comprehensive income/(loss), before tax:</w:t>
            </w:r>
          </w:p>
        </w:tc>
        <w:tc>
          <w:tcPr>
            <w:tcW w:w="1460" w:type="dxa"/>
            <w:vAlign w:val="bottom"/>
            <w:shd w:val="clear" w:color="auto" w:fill="BFBFBF"/>
          </w:tcPr>
          <w:p>
            <w:pPr>
              <w:spacing w:after="0"/>
              <w:rPr>
                <w:sz w:val="17"/>
                <w:szCs w:val="17"/>
                <w:color w:val="auto"/>
              </w:rPr>
            </w:pPr>
          </w:p>
        </w:tc>
        <w:tc>
          <w:tcPr>
            <w:tcW w:w="120" w:type="dxa"/>
            <w:vAlign w:val="bottom"/>
            <w:shd w:val="clear" w:color="auto" w:fill="BFBFBF"/>
          </w:tcPr>
          <w:p>
            <w:pPr>
              <w:spacing w:after="0"/>
              <w:rPr>
                <w:sz w:val="17"/>
                <w:szCs w:val="17"/>
                <w:color w:val="auto"/>
              </w:rPr>
            </w:pPr>
          </w:p>
        </w:tc>
        <w:tc>
          <w:tcPr>
            <w:tcW w:w="900" w:type="dxa"/>
            <w:vAlign w:val="bottom"/>
            <w:shd w:val="clear" w:color="auto" w:fill="BFBFBF"/>
          </w:tcPr>
          <w:p>
            <w:pPr>
              <w:spacing w:after="0"/>
              <w:rPr>
                <w:sz w:val="17"/>
                <w:szCs w:val="17"/>
                <w:color w:val="auto"/>
              </w:rPr>
            </w:pPr>
          </w:p>
        </w:tc>
        <w:tc>
          <w:tcPr>
            <w:tcW w:w="740" w:type="dxa"/>
            <w:vAlign w:val="bottom"/>
            <w:tcBorders>
              <w:right w:val="single" w:sz="8" w:color="BFBFBF"/>
            </w:tcBorders>
            <w:shd w:val="clear" w:color="auto" w:fill="BFBFB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180" w:type="dxa"/>
            <w:vAlign w:val="bottom"/>
          </w:tcPr>
          <w:p>
            <w:pPr>
              <w:ind w:left="160"/>
              <w:spacing w:after="0" w:line="202" w:lineRule="exact"/>
              <w:rPr>
                <w:sz w:val="20"/>
                <w:szCs w:val="20"/>
                <w:color w:val="auto"/>
              </w:rPr>
            </w:pPr>
            <w:r>
              <w:rPr>
                <w:rFonts w:ascii="Arial" w:cs="Arial" w:eastAsia="Arial" w:hAnsi="Arial"/>
                <w:sz w:val="18"/>
                <w:szCs w:val="18"/>
                <w:color w:val="auto"/>
              </w:rPr>
              <w:t>Foreign currency translation adjustments</w:t>
            </w:r>
          </w:p>
        </w:tc>
        <w:tc>
          <w:tcPr>
            <w:tcW w:w="158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17,505</w:t>
            </w:r>
          </w:p>
        </w:tc>
        <w:tc>
          <w:tcPr>
            <w:tcW w:w="90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9,938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180" w:type="dxa"/>
            <w:vAlign w:val="bottom"/>
            <w:shd w:val="clear" w:color="auto" w:fill="BFBFBF"/>
          </w:tcPr>
          <w:p>
            <w:pPr>
              <w:ind w:left="160"/>
              <w:spacing w:after="0" w:line="202" w:lineRule="exact"/>
              <w:rPr>
                <w:sz w:val="20"/>
                <w:szCs w:val="20"/>
                <w:color w:val="auto"/>
              </w:rPr>
            </w:pPr>
            <w:r>
              <w:rPr>
                <w:rFonts w:ascii="Arial" w:cs="Arial" w:eastAsia="Arial" w:hAnsi="Arial"/>
                <w:sz w:val="18"/>
                <w:szCs w:val="18"/>
                <w:color w:val="auto"/>
              </w:rPr>
              <w:t>Amortization of pension liability adjustments:</w:t>
            </w:r>
          </w:p>
        </w:tc>
        <w:tc>
          <w:tcPr>
            <w:tcW w:w="1460" w:type="dxa"/>
            <w:vAlign w:val="bottom"/>
            <w:shd w:val="clear" w:color="auto" w:fill="BFBFBF"/>
          </w:tcPr>
          <w:p>
            <w:pPr>
              <w:spacing w:after="0"/>
              <w:rPr>
                <w:sz w:val="17"/>
                <w:szCs w:val="17"/>
                <w:color w:val="auto"/>
              </w:rPr>
            </w:pPr>
          </w:p>
        </w:tc>
        <w:tc>
          <w:tcPr>
            <w:tcW w:w="120" w:type="dxa"/>
            <w:vAlign w:val="bottom"/>
            <w:shd w:val="clear" w:color="auto" w:fill="BFBFBF"/>
          </w:tcPr>
          <w:p>
            <w:pPr>
              <w:spacing w:after="0"/>
              <w:rPr>
                <w:sz w:val="17"/>
                <w:szCs w:val="17"/>
                <w:color w:val="auto"/>
              </w:rPr>
            </w:pPr>
          </w:p>
        </w:tc>
        <w:tc>
          <w:tcPr>
            <w:tcW w:w="900" w:type="dxa"/>
            <w:vAlign w:val="bottom"/>
            <w:shd w:val="clear" w:color="auto" w:fill="BFBFBF"/>
          </w:tcPr>
          <w:p>
            <w:pPr>
              <w:spacing w:after="0"/>
              <w:rPr>
                <w:sz w:val="17"/>
                <w:szCs w:val="17"/>
                <w:color w:val="auto"/>
              </w:rPr>
            </w:pPr>
          </w:p>
        </w:tc>
        <w:tc>
          <w:tcPr>
            <w:tcW w:w="740" w:type="dxa"/>
            <w:vAlign w:val="bottom"/>
            <w:tcBorders>
              <w:right w:val="single" w:sz="8" w:color="BFBFBF"/>
            </w:tcBorders>
            <w:shd w:val="clear" w:color="auto" w:fill="BFBFB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180" w:type="dxa"/>
            <w:vAlign w:val="bottom"/>
          </w:tcPr>
          <w:p>
            <w:pPr>
              <w:ind w:left="320"/>
              <w:spacing w:after="0" w:line="202" w:lineRule="exact"/>
              <w:rPr>
                <w:sz w:val="20"/>
                <w:szCs w:val="20"/>
                <w:color w:val="auto"/>
              </w:rPr>
            </w:pPr>
            <w:r>
              <w:rPr>
                <w:rFonts w:ascii="Arial" w:cs="Arial" w:eastAsia="Arial" w:hAnsi="Arial"/>
                <w:sz w:val="18"/>
                <w:szCs w:val="18"/>
                <w:color w:val="auto"/>
              </w:rPr>
              <w:t>Prior service credit</w:t>
            </w:r>
          </w:p>
        </w:tc>
        <w:tc>
          <w:tcPr>
            <w:tcW w:w="15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(1,114)</w:t>
            </w:r>
          </w:p>
        </w:tc>
        <w:tc>
          <w:tcPr>
            <w:tcW w:w="90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(1,113)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180" w:type="dxa"/>
            <w:vAlign w:val="bottom"/>
            <w:shd w:val="clear" w:color="auto" w:fill="BFBFBF"/>
          </w:tcPr>
          <w:p>
            <w:pPr>
              <w:ind w:left="320"/>
              <w:spacing w:after="0" w:line="202" w:lineRule="exact"/>
              <w:rPr>
                <w:sz w:val="20"/>
                <w:szCs w:val="20"/>
                <w:color w:val="auto"/>
              </w:rPr>
            </w:pPr>
            <w:r>
              <w:rPr>
                <w:rFonts w:ascii="Arial" w:cs="Arial" w:eastAsia="Arial" w:hAnsi="Arial"/>
                <w:sz w:val="18"/>
                <w:szCs w:val="18"/>
                <w:color w:val="auto"/>
              </w:rPr>
              <w:t>Net actuarial loss</w:t>
            </w:r>
          </w:p>
        </w:tc>
        <w:tc>
          <w:tcPr>
            <w:tcW w:w="1580" w:type="dxa"/>
            <w:vAlign w:val="bottom"/>
            <w:gridSpan w:val="2"/>
            <w:shd w:val="clear" w:color="auto" w:fill="BFBFBF"/>
          </w:tcPr>
          <w:p>
            <w:pPr>
              <w:jc w:val="right"/>
              <w:ind w:right="120"/>
              <w:spacing w:after="0" w:line="202" w:lineRule="exact"/>
              <w:rPr>
                <w:sz w:val="20"/>
                <w:szCs w:val="20"/>
                <w:color w:val="auto"/>
              </w:rPr>
            </w:pPr>
            <w:r>
              <w:rPr>
                <w:rFonts w:ascii="Arial" w:cs="Arial" w:eastAsia="Arial" w:hAnsi="Arial"/>
                <w:sz w:val="18"/>
                <w:szCs w:val="18"/>
                <w:color w:val="auto"/>
              </w:rPr>
              <w:t>1,297</w:t>
            </w:r>
          </w:p>
        </w:tc>
        <w:tc>
          <w:tcPr>
            <w:tcW w:w="900" w:type="dxa"/>
            <w:vAlign w:val="bottom"/>
            <w:shd w:val="clear" w:color="auto" w:fill="BFBFBF"/>
          </w:tcPr>
          <w:p>
            <w:pPr>
              <w:spacing w:after="0"/>
              <w:rPr>
                <w:sz w:val="17"/>
                <w:szCs w:val="17"/>
                <w:color w:val="auto"/>
              </w:rPr>
            </w:pPr>
          </w:p>
        </w:tc>
        <w:tc>
          <w:tcPr>
            <w:tcW w:w="740" w:type="dxa"/>
            <w:vAlign w:val="bottom"/>
            <w:tcBorders>
              <w:right w:val="single" w:sz="8" w:color="BFBFBF"/>
            </w:tcBorders>
            <w:shd w:val="clear" w:color="auto" w:fill="BFBFBF"/>
          </w:tcPr>
          <w:p>
            <w:pPr>
              <w:jc w:val="right"/>
              <w:spacing w:after="0" w:line="202" w:lineRule="exact"/>
              <w:rPr>
                <w:sz w:val="20"/>
                <w:szCs w:val="20"/>
                <w:color w:val="auto"/>
              </w:rPr>
            </w:pPr>
            <w:r>
              <w:rPr>
                <w:rFonts w:ascii="Arial" w:cs="Arial" w:eastAsia="Arial" w:hAnsi="Arial"/>
                <w:sz w:val="18"/>
                <w:szCs w:val="18"/>
                <w:color w:val="auto"/>
              </w:rPr>
              <w:t>1,347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180" w:type="dxa"/>
            <w:vAlign w:val="bottom"/>
          </w:tcPr>
          <w:p>
            <w:pPr>
              <w:ind w:left="160"/>
              <w:spacing w:after="0" w:line="202" w:lineRule="exact"/>
              <w:rPr>
                <w:sz w:val="20"/>
                <w:szCs w:val="20"/>
                <w:color w:val="auto"/>
              </w:rPr>
            </w:pPr>
            <w:r>
              <w:rPr>
                <w:rFonts w:ascii="Arial" w:cs="Arial" w:eastAsia="Arial" w:hAnsi="Arial"/>
                <w:sz w:val="18"/>
                <w:szCs w:val="18"/>
                <w:color w:val="auto"/>
              </w:rPr>
              <w:t>Payments related to interest rate swaps included in earnings</w:t>
            </w:r>
          </w:p>
        </w:tc>
        <w:tc>
          <w:tcPr>
            <w:tcW w:w="158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180</w:t>
            </w:r>
          </w:p>
        </w:tc>
        <w:tc>
          <w:tcPr>
            <w:tcW w:w="90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600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180" w:type="dxa"/>
            <w:vAlign w:val="bottom"/>
            <w:shd w:val="clear" w:color="auto" w:fill="BFBFBF"/>
          </w:tcPr>
          <w:p>
            <w:pPr>
              <w:ind w:left="160"/>
              <w:spacing w:after="0" w:line="202" w:lineRule="exact"/>
              <w:rPr>
                <w:sz w:val="20"/>
                <w:szCs w:val="20"/>
                <w:color w:val="auto"/>
              </w:rPr>
            </w:pPr>
            <w:r>
              <w:rPr>
                <w:rFonts w:ascii="Arial" w:cs="Arial" w:eastAsia="Arial" w:hAnsi="Arial"/>
                <w:sz w:val="18"/>
                <w:szCs w:val="18"/>
                <w:color w:val="auto"/>
              </w:rPr>
              <w:t>Derivative valuation adjustment</w:t>
            </w:r>
          </w:p>
        </w:tc>
        <w:tc>
          <w:tcPr>
            <w:tcW w:w="1580" w:type="dxa"/>
            <w:vAlign w:val="bottom"/>
            <w:gridSpan w:val="2"/>
            <w:shd w:val="clear" w:color="auto" w:fill="BFBFBF"/>
          </w:tcPr>
          <w:p>
            <w:pPr>
              <w:jc w:val="right"/>
              <w:ind w:right="120"/>
              <w:spacing w:after="0" w:line="202" w:lineRule="exact"/>
              <w:rPr>
                <w:sz w:val="20"/>
                <w:szCs w:val="20"/>
                <w:color w:val="auto"/>
              </w:rPr>
            </w:pPr>
            <w:r>
              <w:rPr>
                <w:rFonts w:ascii="Arial" w:cs="Arial" w:eastAsia="Arial" w:hAnsi="Arial"/>
                <w:sz w:val="18"/>
                <w:szCs w:val="18"/>
                <w:color w:val="auto"/>
              </w:rPr>
              <w:t>5,715</w:t>
            </w:r>
          </w:p>
        </w:tc>
        <w:tc>
          <w:tcPr>
            <w:tcW w:w="900" w:type="dxa"/>
            <w:vAlign w:val="bottom"/>
            <w:shd w:val="clear" w:color="auto" w:fill="BFBFBF"/>
          </w:tcPr>
          <w:p>
            <w:pPr>
              <w:spacing w:after="0"/>
              <w:rPr>
                <w:sz w:val="17"/>
                <w:szCs w:val="17"/>
                <w:color w:val="auto"/>
              </w:rPr>
            </w:pPr>
          </w:p>
        </w:tc>
        <w:tc>
          <w:tcPr>
            <w:tcW w:w="740" w:type="dxa"/>
            <w:vAlign w:val="bottom"/>
            <w:tcBorders>
              <w:right w:val="single" w:sz="8" w:color="BFBFBF"/>
            </w:tcBorders>
            <w:shd w:val="clear" w:color="auto" w:fill="BFBFBF"/>
          </w:tcPr>
          <w:p>
            <w:pPr>
              <w:jc w:val="right"/>
              <w:spacing w:after="0" w:line="202" w:lineRule="exact"/>
              <w:rPr>
                <w:sz w:val="20"/>
                <w:szCs w:val="20"/>
                <w:color w:val="auto"/>
              </w:rPr>
            </w:pPr>
            <w:r>
              <w:rPr>
                <w:rFonts w:ascii="Arial" w:cs="Arial" w:eastAsia="Arial" w:hAnsi="Arial"/>
                <w:sz w:val="18"/>
                <w:szCs w:val="18"/>
                <w:color w:val="auto"/>
              </w:rPr>
              <w:t>416</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81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8180" w:type="dxa"/>
            <w:vAlign w:val="bottom"/>
            <w:shd w:val="clear" w:color="auto" w:fill="BFBFBF"/>
          </w:tcPr>
          <w:p>
            <w:pPr>
              <w:spacing w:after="0" w:line="202" w:lineRule="exact"/>
              <w:rPr>
                <w:sz w:val="20"/>
                <w:szCs w:val="20"/>
                <w:color w:val="auto"/>
              </w:rPr>
            </w:pPr>
            <w:r>
              <w:rPr>
                <w:rFonts w:ascii="Arial" w:cs="Arial" w:eastAsia="Arial" w:hAnsi="Arial"/>
                <w:sz w:val="18"/>
                <w:szCs w:val="18"/>
                <w:color w:val="auto"/>
              </w:rPr>
              <w:t>Income taxes related to items of other comprehensive income/(loss):</w:t>
            </w:r>
          </w:p>
        </w:tc>
        <w:tc>
          <w:tcPr>
            <w:tcW w:w="1460" w:type="dxa"/>
            <w:vAlign w:val="bottom"/>
            <w:shd w:val="clear" w:color="auto" w:fill="BFBFBF"/>
          </w:tcPr>
          <w:p>
            <w:pPr>
              <w:spacing w:after="0"/>
              <w:rPr>
                <w:sz w:val="17"/>
                <w:szCs w:val="17"/>
                <w:color w:val="auto"/>
              </w:rPr>
            </w:pPr>
          </w:p>
        </w:tc>
        <w:tc>
          <w:tcPr>
            <w:tcW w:w="120" w:type="dxa"/>
            <w:vAlign w:val="bottom"/>
            <w:shd w:val="clear" w:color="auto" w:fill="BFBFBF"/>
          </w:tcPr>
          <w:p>
            <w:pPr>
              <w:spacing w:after="0"/>
              <w:rPr>
                <w:sz w:val="17"/>
                <w:szCs w:val="17"/>
                <w:color w:val="auto"/>
              </w:rPr>
            </w:pPr>
          </w:p>
        </w:tc>
        <w:tc>
          <w:tcPr>
            <w:tcW w:w="900" w:type="dxa"/>
            <w:vAlign w:val="bottom"/>
            <w:shd w:val="clear" w:color="auto" w:fill="BFBFBF"/>
          </w:tcPr>
          <w:p>
            <w:pPr>
              <w:spacing w:after="0"/>
              <w:rPr>
                <w:sz w:val="17"/>
                <w:szCs w:val="17"/>
                <w:color w:val="auto"/>
              </w:rPr>
            </w:pPr>
          </w:p>
        </w:tc>
        <w:tc>
          <w:tcPr>
            <w:tcW w:w="740" w:type="dxa"/>
            <w:vAlign w:val="bottom"/>
            <w:tcBorders>
              <w:right w:val="single" w:sz="8" w:color="BFBFBF"/>
            </w:tcBorders>
            <w:shd w:val="clear" w:color="auto" w:fill="BFBFB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180" w:type="dxa"/>
            <w:vAlign w:val="bottom"/>
          </w:tcPr>
          <w:p>
            <w:pPr>
              <w:ind w:left="160"/>
              <w:spacing w:after="0" w:line="202" w:lineRule="exact"/>
              <w:rPr>
                <w:sz w:val="20"/>
                <w:szCs w:val="20"/>
                <w:color w:val="auto"/>
              </w:rPr>
            </w:pPr>
            <w:r>
              <w:rPr>
                <w:rFonts w:ascii="Arial" w:cs="Arial" w:eastAsia="Arial" w:hAnsi="Arial"/>
                <w:sz w:val="18"/>
                <w:szCs w:val="18"/>
                <w:color w:val="auto"/>
              </w:rPr>
              <w:t>Amortization of pension liability adjustment</w:t>
            </w:r>
          </w:p>
        </w:tc>
        <w:tc>
          <w:tcPr>
            <w:tcW w:w="15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(55)</w:t>
            </w:r>
          </w:p>
        </w:tc>
        <w:tc>
          <w:tcPr>
            <w:tcW w:w="90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180" w:type="dxa"/>
            <w:vAlign w:val="bottom"/>
            <w:shd w:val="clear" w:color="auto" w:fill="BFBFBF"/>
          </w:tcPr>
          <w:p>
            <w:pPr>
              <w:ind w:left="160"/>
              <w:spacing w:after="0" w:line="202" w:lineRule="exact"/>
              <w:rPr>
                <w:sz w:val="20"/>
                <w:szCs w:val="20"/>
                <w:color w:val="auto"/>
              </w:rPr>
            </w:pPr>
            <w:r>
              <w:rPr>
                <w:rFonts w:ascii="Arial" w:cs="Arial" w:eastAsia="Arial" w:hAnsi="Arial"/>
                <w:sz w:val="18"/>
                <w:szCs w:val="18"/>
                <w:color w:val="auto"/>
              </w:rPr>
              <w:t>Payments related to interest rate swaps included in earnings</w:t>
            </w:r>
          </w:p>
        </w:tc>
        <w:tc>
          <w:tcPr>
            <w:tcW w:w="1580" w:type="dxa"/>
            <w:vAlign w:val="bottom"/>
            <w:gridSpan w:val="2"/>
            <w:shd w:val="clear" w:color="auto" w:fill="BFBFBF"/>
          </w:tcPr>
          <w:p>
            <w:pPr>
              <w:jc w:val="right"/>
              <w:ind w:right="60"/>
              <w:spacing w:after="0" w:line="202" w:lineRule="exact"/>
              <w:rPr>
                <w:sz w:val="20"/>
                <w:szCs w:val="20"/>
                <w:color w:val="auto"/>
              </w:rPr>
            </w:pPr>
            <w:r>
              <w:rPr>
                <w:rFonts w:ascii="Arial" w:cs="Arial" w:eastAsia="Arial" w:hAnsi="Arial"/>
                <w:sz w:val="18"/>
                <w:szCs w:val="18"/>
                <w:color w:val="auto"/>
              </w:rPr>
              <w:t>(43)</w:t>
            </w:r>
          </w:p>
        </w:tc>
        <w:tc>
          <w:tcPr>
            <w:tcW w:w="900" w:type="dxa"/>
            <w:vAlign w:val="bottom"/>
            <w:shd w:val="clear" w:color="auto" w:fill="BFBFBF"/>
          </w:tcPr>
          <w:p>
            <w:pPr>
              <w:spacing w:after="0"/>
              <w:rPr>
                <w:sz w:val="17"/>
                <w:szCs w:val="17"/>
                <w:color w:val="auto"/>
              </w:rPr>
            </w:pPr>
          </w:p>
        </w:tc>
        <w:tc>
          <w:tcPr>
            <w:tcW w:w="740" w:type="dxa"/>
            <w:vAlign w:val="bottom"/>
            <w:tcBorders>
              <w:right w:val="single" w:sz="8" w:color="BFBFBF"/>
            </w:tcBorders>
            <w:shd w:val="clear" w:color="auto" w:fill="BFBFBF"/>
          </w:tcPr>
          <w:p>
            <w:pPr>
              <w:jc w:val="right"/>
              <w:spacing w:after="0" w:line="202" w:lineRule="exact"/>
              <w:rPr>
                <w:sz w:val="20"/>
                <w:szCs w:val="20"/>
                <w:color w:val="auto"/>
              </w:rPr>
            </w:pPr>
            <w:r>
              <w:rPr>
                <w:rFonts w:ascii="Arial" w:cs="Arial" w:eastAsia="Arial" w:hAnsi="Arial"/>
                <w:sz w:val="18"/>
                <w:szCs w:val="18"/>
                <w:color w:val="auto"/>
              </w:rPr>
              <w:t>(228)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tcPr>
          <w:p>
            <w:pPr>
              <w:ind w:left="160"/>
              <w:spacing w:after="0"/>
              <w:rPr>
                <w:sz w:val="20"/>
                <w:szCs w:val="20"/>
                <w:color w:val="auto"/>
              </w:rPr>
            </w:pPr>
            <w:r>
              <w:rPr>
                <w:rFonts w:ascii="Arial" w:cs="Arial" w:eastAsia="Arial" w:hAnsi="Arial"/>
                <w:sz w:val="18"/>
                <w:szCs w:val="18"/>
                <w:color w:val="auto"/>
              </w:rPr>
              <w:t>Derivative valuation adjustment</w:t>
            </w:r>
          </w:p>
        </w:tc>
        <w:tc>
          <w:tcPr>
            <w:tcW w:w="1580" w:type="dxa"/>
            <w:vAlign w:val="bottom"/>
            <w:gridSpan w:val="2"/>
          </w:tcPr>
          <w:p>
            <w:pPr>
              <w:jc w:val="right"/>
              <w:ind w:right="60"/>
              <w:spacing w:after="0"/>
              <w:rPr>
                <w:sz w:val="20"/>
                <w:szCs w:val="20"/>
                <w:color w:val="auto"/>
              </w:rPr>
            </w:pPr>
            <w:r>
              <w:rPr>
                <w:rFonts w:ascii="Arial" w:cs="Arial" w:eastAsia="Arial" w:hAnsi="Arial"/>
                <w:sz w:val="18"/>
                <w:szCs w:val="18"/>
                <w:color w:val="auto"/>
              </w:rPr>
              <w:t>(1,372)</w:t>
            </w:r>
          </w:p>
        </w:tc>
        <w:tc>
          <w:tcPr>
            <w:tcW w:w="9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(158)</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180" w:type="dxa"/>
            <w:vAlign w:val="bottom"/>
            <w:tcBorders>
              <w:top w:val="single" w:sz="8" w:color="BFBFBF"/>
            </w:tcBorders>
            <w:shd w:val="clear" w:color="auto" w:fill="BFBFBF"/>
          </w:tcPr>
          <w:p>
            <w:pPr>
              <w:ind w:left="160"/>
              <w:spacing w:after="0" w:line="196" w:lineRule="exact"/>
              <w:rPr>
                <w:sz w:val="20"/>
                <w:szCs w:val="20"/>
                <w:color w:val="auto"/>
              </w:rPr>
            </w:pPr>
            <w:r>
              <w:rPr>
                <w:rFonts w:ascii="Arial" w:cs="Arial" w:eastAsia="Arial" w:hAnsi="Arial"/>
                <w:sz w:val="18"/>
                <w:szCs w:val="18"/>
                <w:color w:val="auto"/>
              </w:rPr>
              <w:t>Comprehensive income</w:t>
            </w:r>
          </w:p>
        </w:tc>
        <w:tc>
          <w:tcPr>
            <w:tcW w:w="1460" w:type="dxa"/>
            <w:vAlign w:val="bottom"/>
            <w:tcBorders>
              <w:top w:val="single" w:sz="8" w:color="auto"/>
            </w:tcBorders>
            <w:shd w:val="clear" w:color="auto" w:fill="BFBFBF"/>
          </w:tcPr>
          <w:p>
            <w:pPr>
              <w:jc w:val="right"/>
              <w:spacing w:after="0" w:line="196" w:lineRule="exact"/>
              <w:rPr>
                <w:sz w:val="20"/>
                <w:szCs w:val="20"/>
                <w:color w:val="auto"/>
              </w:rPr>
            </w:pPr>
            <w:r>
              <w:rPr>
                <w:rFonts w:ascii="Arial" w:cs="Arial" w:eastAsia="Arial" w:hAnsi="Arial"/>
                <w:sz w:val="18"/>
                <w:szCs w:val="18"/>
                <w:color w:val="auto"/>
              </w:rPr>
              <w:t>32,595</w:t>
            </w:r>
          </w:p>
        </w:tc>
        <w:tc>
          <w:tcPr>
            <w:tcW w:w="120" w:type="dxa"/>
            <w:vAlign w:val="bottom"/>
            <w:tcBorders>
              <w:top w:val="single" w:sz="8" w:color="BFBFBF"/>
            </w:tcBorders>
            <w:shd w:val="clear" w:color="auto" w:fill="BFBFBF"/>
          </w:tcPr>
          <w:p>
            <w:pPr>
              <w:spacing w:after="0"/>
              <w:rPr>
                <w:sz w:val="17"/>
                <w:szCs w:val="17"/>
                <w:color w:val="auto"/>
              </w:rPr>
            </w:pPr>
          </w:p>
        </w:tc>
        <w:tc>
          <w:tcPr>
            <w:tcW w:w="900" w:type="dxa"/>
            <w:vAlign w:val="bottom"/>
            <w:tcBorders>
              <w:top w:val="single" w:sz="8" w:color="BFBFBF"/>
            </w:tcBorders>
            <w:shd w:val="clear" w:color="auto" w:fill="BFBFBF"/>
          </w:tcPr>
          <w:p>
            <w:pPr>
              <w:spacing w:after="0"/>
              <w:rPr>
                <w:sz w:val="17"/>
                <w:szCs w:val="17"/>
                <w:color w:val="auto"/>
              </w:rPr>
            </w:pPr>
          </w:p>
        </w:tc>
        <w:tc>
          <w:tcPr>
            <w:tcW w:w="740" w:type="dxa"/>
            <w:vAlign w:val="bottom"/>
            <w:tcBorders>
              <w:top w:val="single" w:sz="8" w:color="auto"/>
              <w:right w:val="single" w:sz="8" w:color="BFBFBF"/>
            </w:tcBorders>
            <w:shd w:val="clear" w:color="auto" w:fill="BFBFBF"/>
          </w:tcPr>
          <w:p>
            <w:pPr>
              <w:jc w:val="right"/>
              <w:spacing w:after="0" w:line="196" w:lineRule="exact"/>
              <w:rPr>
                <w:sz w:val="20"/>
                <w:szCs w:val="20"/>
                <w:color w:val="auto"/>
              </w:rPr>
            </w:pPr>
            <w:r>
              <w:rPr>
                <w:rFonts w:ascii="Arial" w:cs="Arial" w:eastAsia="Arial" w:hAnsi="Arial"/>
                <w:sz w:val="18"/>
                <w:szCs w:val="18"/>
                <w:color w:val="auto"/>
              </w:rPr>
              <w:t>21,706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tcPr>
          <w:p>
            <w:pPr>
              <w:spacing w:after="0"/>
              <w:rPr>
                <w:sz w:val="20"/>
                <w:szCs w:val="20"/>
                <w:color w:val="auto"/>
              </w:rPr>
            </w:pPr>
            <w:r>
              <w:rPr>
                <w:rFonts w:ascii="Arial" w:cs="Arial" w:eastAsia="Arial" w:hAnsi="Arial"/>
                <w:sz w:val="18"/>
                <w:szCs w:val="18"/>
                <w:color w:val="auto"/>
              </w:rPr>
              <w:t>Comprehensive income attributable to the noncontrolling interest</w:t>
            </w:r>
          </w:p>
        </w:tc>
        <w:tc>
          <w:tcPr>
            <w:tcW w:w="1580" w:type="dxa"/>
            <w:vAlign w:val="bottom"/>
            <w:gridSpan w:val="2"/>
          </w:tcPr>
          <w:p>
            <w:pPr>
              <w:jc w:val="right"/>
              <w:ind w:right="120"/>
              <w:spacing w:after="0"/>
              <w:rPr>
                <w:sz w:val="20"/>
                <w:szCs w:val="20"/>
                <w:color w:val="auto"/>
              </w:rPr>
            </w:pPr>
            <w:r>
              <w:rPr>
                <w:rFonts w:ascii="Arial" w:cs="Arial" w:eastAsia="Arial" w:hAnsi="Arial"/>
                <w:sz w:val="18"/>
                <w:szCs w:val="18"/>
                <w:color w:val="auto"/>
              </w:rPr>
              <w:t>230</w:t>
            </w:r>
          </w:p>
        </w:tc>
        <w:tc>
          <w:tcPr>
            <w:tcW w:w="9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80" w:type="dxa"/>
            <w:vAlign w:val="bottom"/>
            <w:vMerge w:val="restart"/>
            <w:shd w:val="clear" w:color="auto" w:fill="BFBFBF"/>
          </w:tcPr>
          <w:p>
            <w:pPr>
              <w:spacing w:after="0"/>
              <w:rPr>
                <w:sz w:val="20"/>
                <w:szCs w:val="20"/>
                <w:color w:val="auto"/>
              </w:rPr>
            </w:pPr>
            <w:r>
              <w:rPr>
                <w:rFonts w:ascii="Arial" w:cs="Arial" w:eastAsia="Arial" w:hAnsi="Arial"/>
                <w:sz w:val="18"/>
                <w:szCs w:val="18"/>
                <w:color w:val="auto"/>
              </w:rPr>
              <w:t>Comprehensive income attributable to the Company</w:t>
            </w:r>
          </w:p>
        </w:tc>
        <w:tc>
          <w:tcPr>
            <w:tcW w:w="1460" w:type="dxa"/>
            <w:vAlign w:val="bottom"/>
            <w:shd w:val="clear" w:color="auto" w:fill="000000"/>
          </w:tcPr>
          <w:p>
            <w:pPr>
              <w:spacing w:after="0" w:line="20" w:lineRule="exact"/>
              <w:rPr>
                <w:sz w:val="1"/>
                <w:szCs w:val="1"/>
                <w:color w:val="auto"/>
              </w:rPr>
            </w:pPr>
          </w:p>
        </w:tc>
        <w:tc>
          <w:tcPr>
            <w:tcW w:w="120" w:type="dxa"/>
            <w:vAlign w:val="bottom"/>
            <w:shd w:val="clear" w:color="auto" w:fill="BFBFBF"/>
          </w:tcPr>
          <w:p>
            <w:pPr>
              <w:spacing w:after="0" w:line="20" w:lineRule="exact"/>
              <w:rPr>
                <w:sz w:val="1"/>
                <w:szCs w:val="1"/>
                <w:color w:val="auto"/>
              </w:rPr>
            </w:pPr>
          </w:p>
        </w:tc>
        <w:tc>
          <w:tcPr>
            <w:tcW w:w="900" w:type="dxa"/>
            <w:vAlign w:val="bottom"/>
            <w:shd w:val="clear" w:color="auto" w:fill="BFBFBF"/>
          </w:tcPr>
          <w:p>
            <w:pPr>
              <w:spacing w:after="0" w:line="20" w:lineRule="exact"/>
              <w:rPr>
                <w:sz w:val="1"/>
                <w:szCs w:val="1"/>
                <w:color w:val="auto"/>
              </w:rPr>
            </w:pPr>
          </w:p>
        </w:tc>
        <w:tc>
          <w:tcPr>
            <w:tcW w:w="740" w:type="dxa"/>
            <w:vAlign w:val="bottom"/>
            <w:tcBorders>
              <w:right w:val="single" w:sz="8" w:color="BFBFB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180" w:type="dxa"/>
            <w:vAlign w:val="bottom"/>
            <w:vMerge w:val="continue"/>
            <w:shd w:val="clear" w:color="auto" w:fill="BFBFBF"/>
          </w:tcPr>
          <w:p>
            <w:pPr>
              <w:spacing w:after="0"/>
              <w:rPr>
                <w:sz w:val="18"/>
                <w:szCs w:val="18"/>
                <w:color w:val="auto"/>
              </w:rPr>
            </w:pPr>
          </w:p>
        </w:tc>
        <w:tc>
          <w:tcPr>
            <w:tcW w:w="1580" w:type="dxa"/>
            <w:vAlign w:val="bottom"/>
            <w:gridSpan w:val="2"/>
            <w:shd w:val="clear" w:color="auto" w:fill="BFBFBF"/>
          </w:tcPr>
          <w:p>
            <w:pPr>
              <w:jc w:val="right"/>
              <w:ind w:right="120"/>
              <w:spacing w:after="0"/>
              <w:rPr>
                <w:sz w:val="20"/>
                <w:szCs w:val="20"/>
                <w:color w:val="auto"/>
              </w:rPr>
            </w:pPr>
            <w:r>
              <w:rPr>
                <w:rFonts w:ascii="Arial" w:cs="Arial" w:eastAsia="Arial" w:hAnsi="Arial"/>
                <w:sz w:val="18"/>
                <w:szCs w:val="18"/>
                <w:color w:val="auto"/>
              </w:rPr>
              <w:t>$32,365</w:t>
            </w:r>
          </w:p>
        </w:tc>
        <w:tc>
          <w:tcPr>
            <w:tcW w:w="900" w:type="dxa"/>
            <w:vAlign w:val="bottom"/>
            <w:shd w:val="clear" w:color="auto" w:fill="BFBFBF"/>
          </w:tcPr>
          <w:p>
            <w:pPr>
              <w:spacing w:after="0"/>
              <w:rPr>
                <w:sz w:val="18"/>
                <w:szCs w:val="18"/>
                <w:color w:val="auto"/>
              </w:rPr>
            </w:pPr>
          </w:p>
        </w:tc>
        <w:tc>
          <w:tcPr>
            <w:tcW w:w="740" w:type="dxa"/>
            <w:vAlign w:val="bottom"/>
            <w:tcBorders>
              <w:right w:val="single" w:sz="8" w:color="BFBFBF"/>
            </w:tcBorders>
            <w:shd w:val="clear" w:color="auto" w:fill="BFBFB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21,566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80" w:type="dxa"/>
            <w:vAlign w:val="bottom"/>
            <w:tcBorders>
              <w:top w:val="single" w:sz="8" w:color="BFBFBF"/>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BFBFBF"/>
            </w:tcBorders>
          </w:tcPr>
          <w:p>
            <w:pPr>
              <w:spacing w:after="0" w:line="20" w:lineRule="exact"/>
              <w:rPr>
                <w:sz w:val="1"/>
                <w:szCs w:val="1"/>
                <w:color w:val="auto"/>
              </w:rPr>
            </w:pPr>
          </w:p>
        </w:tc>
        <w:tc>
          <w:tcPr>
            <w:tcW w:w="900" w:type="dxa"/>
            <w:vAlign w:val="bottom"/>
            <w:tcBorders>
              <w:top w:val="single" w:sz="8" w:color="BFBFB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34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1012"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color w:val="auto"/>
        </w:rPr>
        <w:t>ALBANY INTERNATIONAL CORP.</w:t>
      </w:r>
    </w:p>
    <w:p>
      <w:pPr>
        <w:jc w:val="center"/>
        <w:spacing w:after="0" w:line="234" w:lineRule="auto"/>
        <w:rPr>
          <w:sz w:val="20"/>
          <w:szCs w:val="20"/>
          <w:color w:val="auto"/>
        </w:rPr>
      </w:pPr>
      <w:r>
        <w:rPr>
          <w:rFonts w:ascii="Arial" w:cs="Arial" w:eastAsia="Arial" w:hAnsi="Arial"/>
          <w:sz w:val="18"/>
          <w:szCs w:val="18"/>
          <w:color w:val="auto"/>
        </w:rPr>
        <w:t>CONSOLIDATED BALANCE SHEETS</w:t>
      </w:r>
    </w:p>
    <w:p>
      <w:pPr>
        <w:jc w:val="center"/>
        <w:spacing w:after="0" w:line="235" w:lineRule="auto"/>
        <w:rPr>
          <w:sz w:val="20"/>
          <w:szCs w:val="20"/>
          <w:color w:val="auto"/>
        </w:rPr>
      </w:pPr>
      <w:r>
        <w:rPr>
          <w:rFonts w:ascii="Arial" w:cs="Arial" w:eastAsia="Arial" w:hAnsi="Arial"/>
          <w:sz w:val="18"/>
          <w:szCs w:val="18"/>
          <w:color w:val="auto"/>
        </w:rPr>
        <w:t>(in thousands, except share data)</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4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520" w:type="dxa"/>
            <w:vAlign w:val="bottom"/>
            <w:gridSpan w:val="3"/>
          </w:tcPr>
          <w:p>
            <w:pPr>
              <w:ind w:left="420"/>
              <w:spacing w:after="0"/>
              <w:rPr>
                <w:sz w:val="20"/>
                <w:szCs w:val="20"/>
                <w:color w:val="auto"/>
              </w:rPr>
            </w:pPr>
            <w:r>
              <w:rPr>
                <w:rFonts w:ascii="Arial" w:cs="Arial" w:eastAsia="Arial" w:hAnsi="Arial"/>
                <w:sz w:val="18"/>
                <w:szCs w:val="18"/>
                <w:color w:val="auto"/>
              </w:rPr>
              <w:t>March 31,</w:t>
            </w:r>
          </w:p>
        </w:tc>
        <w:tc>
          <w:tcPr>
            <w:tcW w:w="1580" w:type="dxa"/>
            <w:vAlign w:val="bottom"/>
            <w:gridSpan w:val="3"/>
          </w:tcPr>
          <w:p>
            <w:pPr>
              <w:jc w:val="right"/>
              <w:ind w:right="220"/>
              <w:spacing w:after="0"/>
              <w:rPr>
                <w:sz w:val="20"/>
                <w:szCs w:val="20"/>
                <w:color w:val="auto"/>
              </w:rPr>
            </w:pPr>
            <w:r>
              <w:rPr>
                <w:rFonts w:ascii="Arial" w:cs="Arial" w:eastAsia="Arial" w:hAnsi="Arial"/>
                <w:sz w:val="18"/>
                <w:szCs w:val="18"/>
                <w:color w:val="auto"/>
              </w:rPr>
              <w:t>December 31,</w:t>
            </w:r>
          </w:p>
        </w:tc>
        <w:tc>
          <w:tcPr>
            <w:tcW w:w="0" w:type="dxa"/>
            <w:vAlign w:val="bottom"/>
          </w:tcPr>
          <w:p>
            <w:pPr>
              <w:spacing w:after="0"/>
              <w:rPr>
                <w:sz w:val="1"/>
                <w:szCs w:val="1"/>
                <w:color w:val="auto"/>
              </w:rPr>
            </w:pPr>
          </w:p>
        </w:tc>
      </w:tr>
      <w:tr>
        <w:trPr>
          <w:trHeight w:val="405"/>
        </w:trPr>
        <w:tc>
          <w:tcPr>
            <w:tcW w:w="6400" w:type="dxa"/>
            <w:vAlign w:val="bottom"/>
            <w:vMerge w:val="restart"/>
          </w:tcPr>
          <w:p>
            <w:pPr>
              <w:spacing w:after="0"/>
              <w:rPr>
                <w:sz w:val="20"/>
                <w:szCs w:val="20"/>
                <w:color w:val="auto"/>
              </w:rPr>
            </w:pPr>
            <w:r>
              <w:rPr>
                <w:rFonts w:ascii="Arial" w:cs="Arial" w:eastAsia="Arial" w:hAnsi="Arial"/>
                <w:sz w:val="18"/>
                <w:szCs w:val="18"/>
                <w:color w:val="auto"/>
              </w:rPr>
              <w:t>ASSETS</w:t>
            </w:r>
          </w:p>
        </w:tc>
        <w:tc>
          <w:tcPr>
            <w:tcW w:w="2420" w:type="dxa"/>
            <w:vAlign w:val="bottom"/>
            <w:gridSpan w:val="2"/>
          </w:tcPr>
          <w:p>
            <w:pPr>
              <w:jc w:val="right"/>
              <w:ind w:right="390"/>
              <w:spacing w:after="0"/>
              <w:rPr>
                <w:sz w:val="20"/>
                <w:szCs w:val="20"/>
                <w:color w:val="auto"/>
              </w:rPr>
            </w:pPr>
            <w:r>
              <w:rPr>
                <w:rFonts w:ascii="Arial" w:cs="Arial" w:eastAsia="Arial" w:hAnsi="Arial"/>
                <w:sz w:val="18"/>
                <w:szCs w:val="18"/>
                <w:color w:val="auto"/>
              </w:rPr>
              <w:t>2018</w:t>
            </w: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80" w:type="dxa"/>
            <w:vAlign w:val="bottom"/>
          </w:tcPr>
          <w:p>
            <w:pPr>
              <w:jc w:val="right"/>
              <w:ind w:right="390"/>
              <w:spacing w:after="0"/>
              <w:rPr>
                <w:sz w:val="20"/>
                <w:szCs w:val="20"/>
                <w:color w:val="auto"/>
              </w:rPr>
            </w:pPr>
            <w:r>
              <w:rPr>
                <w:rFonts w:ascii="Arial" w:cs="Arial" w:eastAsia="Arial" w:hAnsi="Arial"/>
                <w:sz w:val="18"/>
                <w:szCs w:val="18"/>
                <w:color w:val="auto"/>
              </w:rPr>
              <w:t>2017</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6400" w:type="dxa"/>
            <w:vAlign w:val="bottom"/>
            <w:vMerge w:val="continue"/>
          </w:tcPr>
          <w:p>
            <w:pPr>
              <w:spacing w:after="0"/>
              <w:rPr>
                <w:sz w:val="17"/>
                <w:szCs w:val="17"/>
                <w:color w:val="auto"/>
              </w:rPr>
            </w:pPr>
          </w:p>
        </w:tc>
        <w:tc>
          <w:tcPr>
            <w:tcW w:w="920" w:type="dxa"/>
            <w:vAlign w:val="bottom"/>
          </w:tcPr>
          <w:p>
            <w:pPr>
              <w:spacing w:after="0"/>
              <w:rPr>
                <w:sz w:val="17"/>
                <w:szCs w:val="17"/>
                <w:color w:val="auto"/>
              </w:rPr>
            </w:pPr>
          </w:p>
        </w:tc>
        <w:tc>
          <w:tcPr>
            <w:tcW w:w="150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00" w:type="dxa"/>
            <w:vAlign w:val="bottom"/>
          </w:tcPr>
          <w:p>
            <w:pPr>
              <w:spacing w:after="0"/>
              <w:rPr>
                <w:sz w:val="17"/>
                <w:szCs w:val="17"/>
                <w:color w:val="auto"/>
              </w:rPr>
            </w:pPr>
          </w:p>
        </w:tc>
        <w:tc>
          <w:tcPr>
            <w:tcW w:w="148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00" w:type="dxa"/>
            <w:vAlign w:val="bottom"/>
            <w:shd w:val="clear" w:color="auto" w:fill="C0C0C0"/>
          </w:tcPr>
          <w:p>
            <w:pPr>
              <w:ind w:left="100"/>
              <w:spacing w:after="0" w:line="202" w:lineRule="exact"/>
              <w:rPr>
                <w:sz w:val="20"/>
                <w:szCs w:val="20"/>
                <w:color w:val="auto"/>
              </w:rPr>
            </w:pPr>
            <w:r>
              <w:rPr>
                <w:rFonts w:ascii="Arial" w:cs="Arial" w:eastAsia="Arial" w:hAnsi="Arial"/>
                <w:sz w:val="18"/>
                <w:szCs w:val="18"/>
                <w:color w:val="auto"/>
              </w:rPr>
              <w:t>Cash and cash equivalents</w:t>
            </w:r>
          </w:p>
        </w:tc>
        <w:tc>
          <w:tcPr>
            <w:tcW w:w="2540" w:type="dxa"/>
            <w:vAlign w:val="bottom"/>
            <w:gridSpan w:val="3"/>
            <w:shd w:val="clear" w:color="auto" w:fill="C0C0C0"/>
          </w:tcPr>
          <w:p>
            <w:pPr>
              <w:jc w:val="right"/>
              <w:ind w:right="120"/>
              <w:spacing w:after="0" w:line="202" w:lineRule="exact"/>
              <w:rPr>
                <w:sz w:val="20"/>
                <w:szCs w:val="20"/>
                <w:color w:val="auto"/>
              </w:rPr>
            </w:pPr>
            <w:r>
              <w:rPr>
                <w:rFonts w:ascii="Arial" w:cs="Arial" w:eastAsia="Arial" w:hAnsi="Arial"/>
                <w:sz w:val="18"/>
                <w:szCs w:val="18"/>
                <w:color w:val="auto"/>
              </w:rPr>
              <w:t>$151,426</w:t>
            </w:r>
          </w:p>
        </w:tc>
        <w:tc>
          <w:tcPr>
            <w:tcW w:w="900" w:type="dxa"/>
            <w:vAlign w:val="bottom"/>
            <w:shd w:val="clear" w:color="auto" w:fill="C0C0C0"/>
          </w:tcPr>
          <w:p>
            <w:pPr>
              <w:spacing w:after="0"/>
              <w:rPr>
                <w:sz w:val="17"/>
                <w:szCs w:val="17"/>
                <w:color w:val="auto"/>
              </w:rPr>
            </w:pPr>
          </w:p>
        </w:tc>
        <w:tc>
          <w:tcPr>
            <w:tcW w:w="1500" w:type="dxa"/>
            <w:vAlign w:val="bottom"/>
            <w:gridSpan w:val="2"/>
            <w:shd w:val="clear" w:color="auto" w:fill="C0C0C0"/>
          </w:tcPr>
          <w:p>
            <w:pPr>
              <w:jc w:val="right"/>
              <w:ind w:right="20"/>
              <w:spacing w:after="0" w:line="202" w:lineRule="exact"/>
              <w:rPr>
                <w:sz w:val="20"/>
                <w:szCs w:val="20"/>
                <w:color w:val="auto"/>
              </w:rPr>
            </w:pPr>
            <w:r>
              <w:rPr>
                <w:rFonts w:ascii="Arial" w:cs="Arial" w:eastAsia="Arial" w:hAnsi="Arial"/>
                <w:sz w:val="18"/>
                <w:szCs w:val="18"/>
                <w:color w:val="auto"/>
              </w:rPr>
              <w:t>$183,727</w:t>
            </w:r>
          </w:p>
        </w:tc>
        <w:tc>
          <w:tcPr>
            <w:tcW w:w="80" w:type="dxa"/>
            <w:vAlign w:val="bottom"/>
            <w:shd w:val="clear" w:color="auto" w:fill="C0C0C0"/>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00" w:type="dxa"/>
            <w:vAlign w:val="bottom"/>
          </w:tcPr>
          <w:p>
            <w:pPr>
              <w:ind w:left="100"/>
              <w:spacing w:after="0" w:line="202" w:lineRule="exact"/>
              <w:rPr>
                <w:sz w:val="20"/>
                <w:szCs w:val="20"/>
                <w:color w:val="auto"/>
              </w:rPr>
            </w:pPr>
            <w:r>
              <w:rPr>
                <w:rFonts w:ascii="Arial" w:cs="Arial" w:eastAsia="Arial" w:hAnsi="Arial"/>
                <w:sz w:val="18"/>
                <w:szCs w:val="18"/>
                <w:color w:val="auto"/>
              </w:rPr>
              <w:t>Accounts receivable, net</w:t>
            </w:r>
          </w:p>
        </w:tc>
        <w:tc>
          <w:tcPr>
            <w:tcW w:w="2540" w:type="dxa"/>
            <w:vAlign w:val="bottom"/>
            <w:gridSpan w:val="3"/>
          </w:tcPr>
          <w:p>
            <w:pPr>
              <w:jc w:val="right"/>
              <w:ind w:right="120"/>
              <w:spacing w:after="0" w:line="202" w:lineRule="exact"/>
              <w:rPr>
                <w:sz w:val="20"/>
                <w:szCs w:val="20"/>
                <w:color w:val="auto"/>
              </w:rPr>
            </w:pPr>
            <w:r>
              <w:rPr>
                <w:rFonts w:ascii="Arial" w:cs="Arial" w:eastAsia="Arial" w:hAnsi="Arial"/>
                <w:sz w:val="18"/>
                <w:szCs w:val="18"/>
                <w:color w:val="auto"/>
              </w:rPr>
              <w:t>248,538</w:t>
            </w:r>
          </w:p>
        </w:tc>
        <w:tc>
          <w:tcPr>
            <w:tcW w:w="900" w:type="dxa"/>
            <w:vAlign w:val="bottom"/>
          </w:tcPr>
          <w:p>
            <w:pPr>
              <w:spacing w:after="0"/>
              <w:rPr>
                <w:sz w:val="17"/>
                <w:szCs w:val="17"/>
                <w:color w:val="auto"/>
              </w:rPr>
            </w:pPr>
          </w:p>
        </w:tc>
        <w:tc>
          <w:tcPr>
            <w:tcW w:w="15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202,675</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00" w:type="dxa"/>
            <w:vAlign w:val="bottom"/>
            <w:shd w:val="clear" w:color="auto" w:fill="C0C0C0"/>
          </w:tcPr>
          <w:p>
            <w:pPr>
              <w:ind w:left="100"/>
              <w:spacing w:after="0" w:line="202" w:lineRule="exact"/>
              <w:rPr>
                <w:sz w:val="20"/>
                <w:szCs w:val="20"/>
                <w:color w:val="auto"/>
              </w:rPr>
            </w:pPr>
            <w:r>
              <w:rPr>
                <w:rFonts w:ascii="Arial" w:cs="Arial" w:eastAsia="Arial" w:hAnsi="Arial"/>
                <w:sz w:val="18"/>
                <w:szCs w:val="18"/>
                <w:color w:val="auto"/>
              </w:rPr>
              <w:t>Contract assets</w:t>
            </w:r>
          </w:p>
        </w:tc>
        <w:tc>
          <w:tcPr>
            <w:tcW w:w="2540" w:type="dxa"/>
            <w:vAlign w:val="bottom"/>
            <w:gridSpan w:val="3"/>
            <w:shd w:val="clear" w:color="auto" w:fill="C0C0C0"/>
          </w:tcPr>
          <w:p>
            <w:pPr>
              <w:jc w:val="right"/>
              <w:ind w:right="120"/>
              <w:spacing w:after="0" w:line="202" w:lineRule="exact"/>
              <w:rPr>
                <w:sz w:val="20"/>
                <w:szCs w:val="20"/>
                <w:color w:val="auto"/>
              </w:rPr>
            </w:pPr>
            <w:r>
              <w:rPr>
                <w:rFonts w:ascii="Arial" w:cs="Arial" w:eastAsia="Arial" w:hAnsi="Arial"/>
                <w:sz w:val="18"/>
                <w:szCs w:val="18"/>
                <w:color w:val="auto"/>
              </w:rPr>
              <w:t>42,895</w:t>
            </w:r>
          </w:p>
        </w:tc>
        <w:tc>
          <w:tcPr>
            <w:tcW w:w="900" w:type="dxa"/>
            <w:vAlign w:val="bottom"/>
            <w:shd w:val="clear" w:color="auto" w:fill="C0C0C0"/>
          </w:tcPr>
          <w:p>
            <w:pPr>
              <w:spacing w:after="0"/>
              <w:rPr>
                <w:sz w:val="17"/>
                <w:szCs w:val="17"/>
                <w:color w:val="auto"/>
              </w:rPr>
            </w:pPr>
          </w:p>
        </w:tc>
        <w:tc>
          <w:tcPr>
            <w:tcW w:w="1500" w:type="dxa"/>
            <w:vAlign w:val="bottom"/>
            <w:gridSpan w:val="2"/>
            <w:shd w:val="clear" w:color="auto" w:fill="C0C0C0"/>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80" w:type="dxa"/>
            <w:vAlign w:val="bottom"/>
            <w:shd w:val="clear" w:color="auto" w:fill="C0C0C0"/>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00" w:type="dxa"/>
            <w:vAlign w:val="bottom"/>
          </w:tcPr>
          <w:p>
            <w:pPr>
              <w:ind w:left="100"/>
              <w:spacing w:after="0" w:line="202" w:lineRule="exact"/>
              <w:rPr>
                <w:sz w:val="20"/>
                <w:szCs w:val="20"/>
                <w:color w:val="auto"/>
              </w:rPr>
            </w:pPr>
            <w:r>
              <w:rPr>
                <w:rFonts w:ascii="Arial" w:cs="Arial" w:eastAsia="Arial" w:hAnsi="Arial"/>
                <w:sz w:val="18"/>
                <w:szCs w:val="18"/>
                <w:color w:val="auto"/>
              </w:rPr>
              <w:t>Inventories</w:t>
            </w:r>
          </w:p>
        </w:tc>
        <w:tc>
          <w:tcPr>
            <w:tcW w:w="2540" w:type="dxa"/>
            <w:vAlign w:val="bottom"/>
            <w:gridSpan w:val="3"/>
          </w:tcPr>
          <w:p>
            <w:pPr>
              <w:jc w:val="right"/>
              <w:ind w:right="120"/>
              <w:spacing w:after="0" w:line="202" w:lineRule="exact"/>
              <w:rPr>
                <w:sz w:val="20"/>
                <w:szCs w:val="20"/>
                <w:color w:val="auto"/>
              </w:rPr>
            </w:pPr>
            <w:r>
              <w:rPr>
                <w:rFonts w:ascii="Arial" w:cs="Arial" w:eastAsia="Arial" w:hAnsi="Arial"/>
                <w:sz w:val="18"/>
                <w:szCs w:val="18"/>
                <w:color w:val="auto"/>
              </w:rPr>
              <w:t>100,034</w:t>
            </w:r>
          </w:p>
        </w:tc>
        <w:tc>
          <w:tcPr>
            <w:tcW w:w="900" w:type="dxa"/>
            <w:vAlign w:val="bottom"/>
          </w:tcPr>
          <w:p>
            <w:pPr>
              <w:spacing w:after="0"/>
              <w:rPr>
                <w:sz w:val="17"/>
                <w:szCs w:val="17"/>
                <w:color w:val="auto"/>
              </w:rPr>
            </w:pPr>
          </w:p>
        </w:tc>
        <w:tc>
          <w:tcPr>
            <w:tcW w:w="15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136,519</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00" w:type="dxa"/>
            <w:vAlign w:val="bottom"/>
            <w:shd w:val="clear" w:color="auto" w:fill="C0C0C0"/>
          </w:tcPr>
          <w:p>
            <w:pPr>
              <w:ind w:left="100"/>
              <w:spacing w:after="0" w:line="202" w:lineRule="exact"/>
              <w:rPr>
                <w:sz w:val="20"/>
                <w:szCs w:val="20"/>
                <w:color w:val="auto"/>
              </w:rPr>
            </w:pPr>
            <w:r>
              <w:rPr>
                <w:rFonts w:ascii="Arial" w:cs="Arial" w:eastAsia="Arial" w:hAnsi="Arial"/>
                <w:sz w:val="18"/>
                <w:szCs w:val="18"/>
                <w:color w:val="auto"/>
              </w:rPr>
              <w:t>Income taxes prepaid and receivable</w:t>
            </w:r>
          </w:p>
        </w:tc>
        <w:tc>
          <w:tcPr>
            <w:tcW w:w="2540" w:type="dxa"/>
            <w:vAlign w:val="bottom"/>
            <w:gridSpan w:val="3"/>
            <w:shd w:val="clear" w:color="auto" w:fill="C0C0C0"/>
          </w:tcPr>
          <w:p>
            <w:pPr>
              <w:jc w:val="right"/>
              <w:ind w:right="120"/>
              <w:spacing w:after="0" w:line="202" w:lineRule="exact"/>
              <w:rPr>
                <w:sz w:val="20"/>
                <w:szCs w:val="20"/>
                <w:color w:val="auto"/>
              </w:rPr>
            </w:pPr>
            <w:r>
              <w:rPr>
                <w:rFonts w:ascii="Arial" w:cs="Arial" w:eastAsia="Arial" w:hAnsi="Arial"/>
                <w:sz w:val="18"/>
                <w:szCs w:val="18"/>
                <w:color w:val="auto"/>
              </w:rPr>
              <w:t>6,132</w:t>
            </w:r>
          </w:p>
        </w:tc>
        <w:tc>
          <w:tcPr>
            <w:tcW w:w="900" w:type="dxa"/>
            <w:vAlign w:val="bottom"/>
            <w:shd w:val="clear" w:color="auto" w:fill="C0C0C0"/>
          </w:tcPr>
          <w:p>
            <w:pPr>
              <w:spacing w:after="0"/>
              <w:rPr>
                <w:sz w:val="17"/>
                <w:szCs w:val="17"/>
                <w:color w:val="auto"/>
              </w:rPr>
            </w:pPr>
          </w:p>
        </w:tc>
        <w:tc>
          <w:tcPr>
            <w:tcW w:w="1500" w:type="dxa"/>
            <w:vAlign w:val="bottom"/>
            <w:gridSpan w:val="2"/>
            <w:shd w:val="clear" w:color="auto" w:fill="C0C0C0"/>
          </w:tcPr>
          <w:p>
            <w:pPr>
              <w:jc w:val="right"/>
              <w:ind w:right="20"/>
              <w:spacing w:after="0" w:line="202" w:lineRule="exact"/>
              <w:rPr>
                <w:sz w:val="20"/>
                <w:szCs w:val="20"/>
                <w:color w:val="auto"/>
              </w:rPr>
            </w:pPr>
            <w:r>
              <w:rPr>
                <w:rFonts w:ascii="Arial" w:cs="Arial" w:eastAsia="Arial" w:hAnsi="Arial"/>
                <w:sz w:val="18"/>
                <w:szCs w:val="18"/>
                <w:color w:val="auto"/>
              </w:rPr>
              <w:t>6,266</w:t>
            </w:r>
          </w:p>
        </w:tc>
        <w:tc>
          <w:tcPr>
            <w:tcW w:w="80" w:type="dxa"/>
            <w:vAlign w:val="bottom"/>
            <w:shd w:val="clear" w:color="auto" w:fill="C0C0C0"/>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400" w:type="dxa"/>
            <w:vAlign w:val="bottom"/>
          </w:tcPr>
          <w:p>
            <w:pPr>
              <w:ind w:left="100"/>
              <w:spacing w:after="0"/>
              <w:rPr>
                <w:sz w:val="20"/>
                <w:szCs w:val="20"/>
                <w:color w:val="auto"/>
              </w:rPr>
            </w:pPr>
            <w:r>
              <w:rPr>
                <w:rFonts w:ascii="Arial" w:cs="Arial" w:eastAsia="Arial" w:hAnsi="Arial"/>
                <w:sz w:val="18"/>
                <w:szCs w:val="18"/>
                <w:color w:val="auto"/>
              </w:rPr>
              <w:t>Prepaid expenses and other current assets</w:t>
            </w:r>
          </w:p>
        </w:tc>
        <w:tc>
          <w:tcPr>
            <w:tcW w:w="2540" w:type="dxa"/>
            <w:vAlign w:val="bottom"/>
            <w:gridSpan w:val="3"/>
          </w:tcPr>
          <w:p>
            <w:pPr>
              <w:jc w:val="right"/>
              <w:ind w:right="120"/>
              <w:spacing w:after="0"/>
              <w:rPr>
                <w:sz w:val="20"/>
                <w:szCs w:val="20"/>
                <w:color w:val="auto"/>
              </w:rPr>
            </w:pPr>
            <w:r>
              <w:rPr>
                <w:rFonts w:ascii="Arial" w:cs="Arial" w:eastAsia="Arial" w:hAnsi="Arial"/>
                <w:sz w:val="18"/>
                <w:szCs w:val="18"/>
                <w:color w:val="auto"/>
              </w:rPr>
              <w:t>18,675</w:t>
            </w:r>
          </w:p>
        </w:tc>
        <w:tc>
          <w:tcPr>
            <w:tcW w:w="900" w:type="dxa"/>
            <w:vAlign w:val="bottom"/>
          </w:tcPr>
          <w:p>
            <w:pPr>
              <w:spacing w:after="0"/>
              <w:rPr>
                <w:sz w:val="18"/>
                <w:szCs w:val="18"/>
                <w:color w:val="auto"/>
              </w:rPr>
            </w:pPr>
          </w:p>
        </w:tc>
        <w:tc>
          <w:tcPr>
            <w:tcW w:w="1580" w:type="dxa"/>
            <w:vAlign w:val="bottom"/>
            <w:gridSpan w:val="3"/>
          </w:tcPr>
          <w:p>
            <w:pPr>
              <w:jc w:val="right"/>
              <w:ind w:right="100"/>
              <w:spacing w:after="0"/>
              <w:rPr>
                <w:sz w:val="20"/>
                <w:szCs w:val="20"/>
                <w:color w:val="auto"/>
              </w:rPr>
            </w:pPr>
            <w:r>
              <w:rPr>
                <w:rFonts w:ascii="Arial" w:cs="Arial" w:eastAsia="Arial" w:hAnsi="Arial"/>
                <w:sz w:val="18"/>
                <w:szCs w:val="18"/>
                <w:color w:val="auto"/>
              </w:rPr>
              <w:t>14,520</w:t>
            </w:r>
          </w:p>
        </w:tc>
        <w:tc>
          <w:tcPr>
            <w:tcW w:w="0" w:type="dxa"/>
            <w:vAlign w:val="bottom"/>
          </w:tcPr>
          <w:p>
            <w:pPr>
              <w:spacing w:after="0"/>
              <w:rPr>
                <w:sz w:val="1"/>
                <w:szCs w:val="1"/>
                <w:color w:val="auto"/>
              </w:rPr>
            </w:pPr>
          </w:p>
        </w:tc>
      </w:tr>
      <w:tr>
        <w:trPr>
          <w:trHeight w:val="196"/>
        </w:trPr>
        <w:tc>
          <w:tcPr>
            <w:tcW w:w="6400" w:type="dxa"/>
            <w:vAlign w:val="bottom"/>
            <w:tcBorders>
              <w:top w:val="single" w:sz="8" w:color="C0C0C0"/>
            </w:tcBorders>
            <w:shd w:val="clear" w:color="auto" w:fill="C0C0C0"/>
          </w:tcPr>
          <w:p>
            <w:pPr>
              <w:ind w:left="300"/>
              <w:spacing w:after="0" w:line="196" w:lineRule="exact"/>
              <w:rPr>
                <w:sz w:val="20"/>
                <w:szCs w:val="20"/>
                <w:color w:val="auto"/>
              </w:rPr>
            </w:pPr>
            <w:r>
              <w:rPr>
                <w:rFonts w:ascii="Arial" w:cs="Arial" w:eastAsia="Arial" w:hAnsi="Arial"/>
                <w:sz w:val="18"/>
                <w:szCs w:val="18"/>
                <w:color w:val="auto"/>
              </w:rPr>
              <w:t>Total current assets</w:t>
            </w:r>
          </w:p>
        </w:tc>
        <w:tc>
          <w:tcPr>
            <w:tcW w:w="920" w:type="dxa"/>
            <w:vAlign w:val="bottom"/>
            <w:tcBorders>
              <w:top w:val="single" w:sz="8" w:color="C0C0C0"/>
            </w:tcBorders>
            <w:shd w:val="clear" w:color="auto" w:fill="C0C0C0"/>
          </w:tcPr>
          <w:p>
            <w:pPr>
              <w:spacing w:after="0"/>
              <w:rPr>
                <w:sz w:val="17"/>
                <w:szCs w:val="17"/>
                <w:color w:val="auto"/>
              </w:rPr>
            </w:pPr>
          </w:p>
        </w:tc>
        <w:tc>
          <w:tcPr>
            <w:tcW w:w="1500" w:type="dxa"/>
            <w:vAlign w:val="bottom"/>
            <w:tcBorders>
              <w:top w:val="single" w:sz="8" w:color="auto"/>
            </w:tcBorders>
            <w:shd w:val="clear" w:color="auto" w:fill="C0C0C0"/>
          </w:tcPr>
          <w:p>
            <w:pPr>
              <w:jc w:val="right"/>
              <w:spacing w:after="0" w:line="196" w:lineRule="exact"/>
              <w:rPr>
                <w:sz w:val="20"/>
                <w:szCs w:val="20"/>
                <w:color w:val="auto"/>
              </w:rPr>
            </w:pPr>
            <w:r>
              <w:rPr>
                <w:rFonts w:ascii="Arial" w:cs="Arial" w:eastAsia="Arial" w:hAnsi="Arial"/>
                <w:sz w:val="18"/>
                <w:szCs w:val="18"/>
                <w:color w:val="auto"/>
              </w:rPr>
              <w:t>567,700</w:t>
            </w:r>
          </w:p>
        </w:tc>
        <w:tc>
          <w:tcPr>
            <w:tcW w:w="120" w:type="dxa"/>
            <w:vAlign w:val="bottom"/>
            <w:tcBorders>
              <w:top w:val="single" w:sz="8" w:color="C0C0C0"/>
            </w:tcBorders>
            <w:shd w:val="clear" w:color="auto" w:fill="C0C0C0"/>
          </w:tcPr>
          <w:p>
            <w:pPr>
              <w:spacing w:after="0"/>
              <w:rPr>
                <w:sz w:val="17"/>
                <w:szCs w:val="17"/>
                <w:color w:val="auto"/>
              </w:rPr>
            </w:pPr>
          </w:p>
        </w:tc>
        <w:tc>
          <w:tcPr>
            <w:tcW w:w="900" w:type="dxa"/>
            <w:vAlign w:val="bottom"/>
            <w:tcBorders>
              <w:top w:val="single" w:sz="8" w:color="C0C0C0"/>
            </w:tcBorders>
            <w:shd w:val="clear" w:color="auto" w:fill="C0C0C0"/>
          </w:tcPr>
          <w:p>
            <w:pPr>
              <w:spacing w:after="0"/>
              <w:rPr>
                <w:sz w:val="17"/>
                <w:szCs w:val="17"/>
                <w:color w:val="auto"/>
              </w:rPr>
            </w:pPr>
          </w:p>
        </w:tc>
        <w:tc>
          <w:tcPr>
            <w:tcW w:w="1480" w:type="dxa"/>
            <w:vAlign w:val="bottom"/>
            <w:tcBorders>
              <w:top w:val="single" w:sz="8" w:color="auto"/>
            </w:tcBorders>
            <w:shd w:val="clear" w:color="auto" w:fill="C0C0C0"/>
          </w:tcPr>
          <w:p>
            <w:pPr>
              <w:jc w:val="right"/>
              <w:spacing w:after="0" w:line="196" w:lineRule="exact"/>
              <w:rPr>
                <w:sz w:val="20"/>
                <w:szCs w:val="20"/>
                <w:color w:val="auto"/>
              </w:rPr>
            </w:pPr>
            <w:r>
              <w:rPr>
                <w:rFonts w:ascii="Arial" w:cs="Arial" w:eastAsia="Arial" w:hAnsi="Arial"/>
                <w:sz w:val="18"/>
                <w:szCs w:val="18"/>
                <w:color w:val="auto"/>
              </w:rPr>
              <w:t>543,707</w:t>
            </w:r>
          </w:p>
        </w:tc>
        <w:tc>
          <w:tcPr>
            <w:tcW w:w="20" w:type="dxa"/>
            <w:vAlign w:val="bottom"/>
            <w:tcBorders>
              <w:top w:val="single" w:sz="8" w:color="C0C0C0"/>
            </w:tcBorders>
            <w:shd w:val="clear" w:color="auto" w:fill="C0C0C0"/>
          </w:tcPr>
          <w:p>
            <w:pPr>
              <w:spacing w:after="0"/>
              <w:rPr>
                <w:sz w:val="17"/>
                <w:szCs w:val="17"/>
                <w:color w:val="auto"/>
              </w:rPr>
            </w:pPr>
          </w:p>
        </w:tc>
        <w:tc>
          <w:tcPr>
            <w:tcW w:w="80" w:type="dxa"/>
            <w:vAlign w:val="bottom"/>
            <w:tcBorders>
              <w:top w:val="single" w:sz="8" w:color="C0C0C0"/>
            </w:tcBorders>
            <w:shd w:val="clear" w:color="auto" w:fill="C0C0C0"/>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00" w:type="dxa"/>
            <w:vAlign w:val="bottom"/>
            <w:shd w:val="clear" w:color="auto" w:fill="C0C0C0"/>
          </w:tcPr>
          <w:p>
            <w:pPr>
              <w:ind w:left="100"/>
              <w:spacing w:after="0" w:line="202" w:lineRule="exact"/>
              <w:rPr>
                <w:sz w:val="20"/>
                <w:szCs w:val="20"/>
                <w:color w:val="auto"/>
              </w:rPr>
            </w:pPr>
            <w:r>
              <w:rPr>
                <w:rFonts w:ascii="Arial" w:cs="Arial" w:eastAsia="Arial" w:hAnsi="Arial"/>
                <w:sz w:val="18"/>
                <w:szCs w:val="18"/>
                <w:color w:val="auto"/>
              </w:rPr>
              <w:t>Property, plant and equipment, net</w:t>
            </w:r>
          </w:p>
        </w:tc>
        <w:tc>
          <w:tcPr>
            <w:tcW w:w="2540" w:type="dxa"/>
            <w:vAlign w:val="bottom"/>
            <w:gridSpan w:val="3"/>
            <w:shd w:val="clear" w:color="auto" w:fill="C0C0C0"/>
          </w:tcPr>
          <w:p>
            <w:pPr>
              <w:jc w:val="right"/>
              <w:ind w:right="120"/>
              <w:spacing w:after="0" w:line="202" w:lineRule="exact"/>
              <w:rPr>
                <w:sz w:val="20"/>
                <w:szCs w:val="20"/>
                <w:color w:val="auto"/>
              </w:rPr>
            </w:pPr>
            <w:r>
              <w:rPr>
                <w:rFonts w:ascii="Arial" w:cs="Arial" w:eastAsia="Arial" w:hAnsi="Arial"/>
                <w:sz w:val="18"/>
                <w:szCs w:val="18"/>
                <w:color w:val="auto"/>
              </w:rPr>
              <w:t>459,388</w:t>
            </w:r>
          </w:p>
        </w:tc>
        <w:tc>
          <w:tcPr>
            <w:tcW w:w="900" w:type="dxa"/>
            <w:vAlign w:val="bottom"/>
            <w:shd w:val="clear" w:color="auto" w:fill="C0C0C0"/>
          </w:tcPr>
          <w:p>
            <w:pPr>
              <w:spacing w:after="0"/>
              <w:rPr>
                <w:sz w:val="17"/>
                <w:szCs w:val="17"/>
                <w:color w:val="auto"/>
              </w:rPr>
            </w:pPr>
          </w:p>
        </w:tc>
        <w:tc>
          <w:tcPr>
            <w:tcW w:w="1500" w:type="dxa"/>
            <w:vAlign w:val="bottom"/>
            <w:gridSpan w:val="2"/>
            <w:shd w:val="clear" w:color="auto" w:fill="C0C0C0"/>
          </w:tcPr>
          <w:p>
            <w:pPr>
              <w:jc w:val="right"/>
              <w:ind w:right="20"/>
              <w:spacing w:after="0" w:line="202" w:lineRule="exact"/>
              <w:rPr>
                <w:sz w:val="20"/>
                <w:szCs w:val="20"/>
                <w:color w:val="auto"/>
              </w:rPr>
            </w:pPr>
            <w:r>
              <w:rPr>
                <w:rFonts w:ascii="Arial" w:cs="Arial" w:eastAsia="Arial" w:hAnsi="Arial"/>
                <w:sz w:val="18"/>
                <w:szCs w:val="18"/>
                <w:color w:val="auto"/>
              </w:rPr>
              <w:t>454,302</w:t>
            </w:r>
          </w:p>
        </w:tc>
        <w:tc>
          <w:tcPr>
            <w:tcW w:w="80" w:type="dxa"/>
            <w:vAlign w:val="bottom"/>
            <w:shd w:val="clear" w:color="auto" w:fill="C0C0C0"/>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00" w:type="dxa"/>
            <w:vAlign w:val="bottom"/>
          </w:tcPr>
          <w:p>
            <w:pPr>
              <w:ind w:left="100"/>
              <w:spacing w:after="0" w:line="202" w:lineRule="exact"/>
              <w:rPr>
                <w:sz w:val="20"/>
                <w:szCs w:val="20"/>
                <w:color w:val="auto"/>
              </w:rPr>
            </w:pPr>
            <w:r>
              <w:rPr>
                <w:rFonts w:ascii="Arial" w:cs="Arial" w:eastAsia="Arial" w:hAnsi="Arial"/>
                <w:sz w:val="18"/>
                <w:szCs w:val="18"/>
                <w:color w:val="auto"/>
              </w:rPr>
              <w:t>Intangibles, net</w:t>
            </w:r>
          </w:p>
        </w:tc>
        <w:tc>
          <w:tcPr>
            <w:tcW w:w="2540" w:type="dxa"/>
            <w:vAlign w:val="bottom"/>
            <w:gridSpan w:val="3"/>
          </w:tcPr>
          <w:p>
            <w:pPr>
              <w:jc w:val="right"/>
              <w:ind w:right="120"/>
              <w:spacing w:after="0" w:line="202" w:lineRule="exact"/>
              <w:rPr>
                <w:sz w:val="20"/>
                <w:szCs w:val="20"/>
                <w:color w:val="auto"/>
              </w:rPr>
            </w:pPr>
            <w:r>
              <w:rPr>
                <w:rFonts w:ascii="Arial" w:cs="Arial" w:eastAsia="Arial" w:hAnsi="Arial"/>
                <w:sz w:val="18"/>
                <w:szCs w:val="18"/>
                <w:color w:val="auto"/>
              </w:rPr>
              <w:t>53,881</w:t>
            </w:r>
          </w:p>
        </w:tc>
        <w:tc>
          <w:tcPr>
            <w:tcW w:w="900" w:type="dxa"/>
            <w:vAlign w:val="bottom"/>
          </w:tcPr>
          <w:p>
            <w:pPr>
              <w:spacing w:after="0"/>
              <w:rPr>
                <w:sz w:val="17"/>
                <w:szCs w:val="17"/>
                <w:color w:val="auto"/>
              </w:rPr>
            </w:pPr>
          </w:p>
        </w:tc>
        <w:tc>
          <w:tcPr>
            <w:tcW w:w="1580" w:type="dxa"/>
            <w:vAlign w:val="bottom"/>
            <w:gridSpan w:val="3"/>
          </w:tcPr>
          <w:p>
            <w:pPr>
              <w:jc w:val="right"/>
              <w:ind w:right="100"/>
              <w:spacing w:after="0" w:line="202" w:lineRule="exact"/>
              <w:rPr>
                <w:sz w:val="20"/>
                <w:szCs w:val="20"/>
                <w:color w:val="auto"/>
              </w:rPr>
            </w:pPr>
            <w:r>
              <w:rPr>
                <w:rFonts w:ascii="Arial" w:cs="Arial" w:eastAsia="Arial" w:hAnsi="Arial"/>
                <w:sz w:val="18"/>
                <w:szCs w:val="18"/>
                <w:color w:val="auto"/>
              </w:rPr>
              <w:t>55,441</w:t>
            </w:r>
          </w:p>
        </w:tc>
        <w:tc>
          <w:tcPr>
            <w:tcW w:w="0" w:type="dxa"/>
            <w:vAlign w:val="bottom"/>
          </w:tcPr>
          <w:p>
            <w:pPr>
              <w:spacing w:after="0"/>
              <w:rPr>
                <w:sz w:val="1"/>
                <w:szCs w:val="1"/>
                <w:color w:val="auto"/>
              </w:rPr>
            </w:pPr>
          </w:p>
        </w:tc>
      </w:tr>
      <w:tr>
        <w:trPr>
          <w:trHeight w:val="203"/>
        </w:trPr>
        <w:tc>
          <w:tcPr>
            <w:tcW w:w="6400" w:type="dxa"/>
            <w:vAlign w:val="bottom"/>
            <w:shd w:val="clear" w:color="auto" w:fill="C0C0C0"/>
          </w:tcPr>
          <w:p>
            <w:pPr>
              <w:ind w:left="100"/>
              <w:spacing w:after="0" w:line="202" w:lineRule="exact"/>
              <w:rPr>
                <w:sz w:val="20"/>
                <w:szCs w:val="20"/>
                <w:color w:val="auto"/>
              </w:rPr>
            </w:pPr>
            <w:r>
              <w:rPr>
                <w:rFonts w:ascii="Arial" w:cs="Arial" w:eastAsia="Arial" w:hAnsi="Arial"/>
                <w:sz w:val="18"/>
                <w:szCs w:val="18"/>
                <w:color w:val="auto"/>
              </w:rPr>
              <w:t>Goodwill</w:t>
            </w:r>
          </w:p>
        </w:tc>
        <w:tc>
          <w:tcPr>
            <w:tcW w:w="2540" w:type="dxa"/>
            <w:vAlign w:val="bottom"/>
            <w:gridSpan w:val="3"/>
            <w:shd w:val="clear" w:color="auto" w:fill="C0C0C0"/>
          </w:tcPr>
          <w:p>
            <w:pPr>
              <w:jc w:val="right"/>
              <w:ind w:right="120"/>
              <w:spacing w:after="0" w:line="202" w:lineRule="exact"/>
              <w:rPr>
                <w:sz w:val="20"/>
                <w:szCs w:val="20"/>
                <w:color w:val="auto"/>
              </w:rPr>
            </w:pPr>
            <w:r>
              <w:rPr>
                <w:rFonts w:ascii="Arial" w:cs="Arial" w:eastAsia="Arial" w:hAnsi="Arial"/>
                <w:sz w:val="18"/>
                <w:szCs w:val="18"/>
                <w:color w:val="auto"/>
              </w:rPr>
              <w:t>168,311</w:t>
            </w:r>
          </w:p>
        </w:tc>
        <w:tc>
          <w:tcPr>
            <w:tcW w:w="900" w:type="dxa"/>
            <w:vAlign w:val="bottom"/>
            <w:shd w:val="clear" w:color="auto" w:fill="C0C0C0"/>
          </w:tcPr>
          <w:p>
            <w:pPr>
              <w:spacing w:after="0"/>
              <w:rPr>
                <w:sz w:val="17"/>
                <w:szCs w:val="17"/>
                <w:color w:val="auto"/>
              </w:rPr>
            </w:pPr>
          </w:p>
        </w:tc>
        <w:tc>
          <w:tcPr>
            <w:tcW w:w="1500" w:type="dxa"/>
            <w:vAlign w:val="bottom"/>
            <w:gridSpan w:val="2"/>
            <w:shd w:val="clear" w:color="auto" w:fill="C0C0C0"/>
          </w:tcPr>
          <w:p>
            <w:pPr>
              <w:jc w:val="right"/>
              <w:ind w:right="20"/>
              <w:spacing w:after="0" w:line="202" w:lineRule="exact"/>
              <w:rPr>
                <w:sz w:val="20"/>
                <w:szCs w:val="20"/>
                <w:color w:val="auto"/>
              </w:rPr>
            </w:pPr>
            <w:r>
              <w:rPr>
                <w:rFonts w:ascii="Arial" w:cs="Arial" w:eastAsia="Arial" w:hAnsi="Arial"/>
                <w:sz w:val="18"/>
                <w:szCs w:val="18"/>
                <w:color w:val="auto"/>
              </w:rPr>
              <w:t>166,796</w:t>
            </w:r>
          </w:p>
        </w:tc>
        <w:tc>
          <w:tcPr>
            <w:tcW w:w="80" w:type="dxa"/>
            <w:vAlign w:val="bottom"/>
            <w:shd w:val="clear" w:color="auto" w:fill="C0C0C0"/>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00" w:type="dxa"/>
            <w:vAlign w:val="bottom"/>
          </w:tcPr>
          <w:p>
            <w:pPr>
              <w:ind w:left="100"/>
              <w:spacing w:after="0" w:line="202" w:lineRule="exact"/>
              <w:rPr>
                <w:sz w:val="20"/>
                <w:szCs w:val="20"/>
                <w:color w:val="auto"/>
              </w:rPr>
            </w:pPr>
            <w:r>
              <w:rPr>
                <w:rFonts w:ascii="Arial" w:cs="Arial" w:eastAsia="Arial" w:hAnsi="Arial"/>
                <w:sz w:val="18"/>
                <w:szCs w:val="18"/>
                <w:color w:val="auto"/>
              </w:rPr>
              <w:t>Deferred income taxes</w:t>
            </w:r>
          </w:p>
        </w:tc>
        <w:tc>
          <w:tcPr>
            <w:tcW w:w="2540" w:type="dxa"/>
            <w:vAlign w:val="bottom"/>
            <w:gridSpan w:val="3"/>
          </w:tcPr>
          <w:p>
            <w:pPr>
              <w:jc w:val="right"/>
              <w:ind w:right="120"/>
              <w:spacing w:after="0" w:line="202" w:lineRule="exact"/>
              <w:rPr>
                <w:sz w:val="20"/>
                <w:szCs w:val="20"/>
                <w:color w:val="auto"/>
              </w:rPr>
            </w:pPr>
            <w:r>
              <w:rPr>
                <w:rFonts w:ascii="Arial" w:cs="Arial" w:eastAsia="Arial" w:hAnsi="Arial"/>
                <w:sz w:val="18"/>
                <w:szCs w:val="18"/>
                <w:color w:val="auto"/>
              </w:rPr>
              <w:t>70,174</w:t>
            </w:r>
          </w:p>
        </w:tc>
        <w:tc>
          <w:tcPr>
            <w:tcW w:w="900" w:type="dxa"/>
            <w:vAlign w:val="bottom"/>
          </w:tcPr>
          <w:p>
            <w:pPr>
              <w:spacing w:after="0"/>
              <w:rPr>
                <w:sz w:val="17"/>
                <w:szCs w:val="17"/>
                <w:color w:val="auto"/>
              </w:rPr>
            </w:pPr>
          </w:p>
        </w:tc>
        <w:tc>
          <w:tcPr>
            <w:tcW w:w="1580" w:type="dxa"/>
            <w:vAlign w:val="bottom"/>
            <w:gridSpan w:val="3"/>
          </w:tcPr>
          <w:p>
            <w:pPr>
              <w:jc w:val="right"/>
              <w:ind w:right="100"/>
              <w:spacing w:after="0" w:line="202" w:lineRule="exact"/>
              <w:rPr>
                <w:sz w:val="20"/>
                <w:szCs w:val="20"/>
                <w:color w:val="auto"/>
              </w:rPr>
            </w:pPr>
            <w:r>
              <w:rPr>
                <w:rFonts w:ascii="Arial" w:cs="Arial" w:eastAsia="Arial" w:hAnsi="Arial"/>
                <w:sz w:val="18"/>
                <w:szCs w:val="18"/>
                <w:color w:val="auto"/>
              </w:rPr>
              <w:t>68,648</w:t>
            </w:r>
          </w:p>
        </w:tc>
        <w:tc>
          <w:tcPr>
            <w:tcW w:w="0" w:type="dxa"/>
            <w:vAlign w:val="bottom"/>
          </w:tcPr>
          <w:p>
            <w:pPr>
              <w:spacing w:after="0"/>
              <w:rPr>
                <w:sz w:val="1"/>
                <w:szCs w:val="1"/>
                <w:color w:val="auto"/>
              </w:rPr>
            </w:pPr>
          </w:p>
        </w:tc>
      </w:tr>
      <w:tr>
        <w:trPr>
          <w:trHeight w:val="203"/>
        </w:trPr>
        <w:tc>
          <w:tcPr>
            <w:tcW w:w="6400" w:type="dxa"/>
            <w:vAlign w:val="bottom"/>
            <w:shd w:val="clear" w:color="auto" w:fill="C0C0C0"/>
          </w:tcPr>
          <w:p>
            <w:pPr>
              <w:ind w:left="100"/>
              <w:spacing w:after="0" w:line="202" w:lineRule="exact"/>
              <w:rPr>
                <w:sz w:val="20"/>
                <w:szCs w:val="20"/>
                <w:color w:val="auto"/>
              </w:rPr>
            </w:pPr>
            <w:r>
              <w:rPr>
                <w:rFonts w:ascii="Arial" w:cs="Arial" w:eastAsia="Arial" w:hAnsi="Arial"/>
                <w:sz w:val="18"/>
                <w:szCs w:val="18"/>
                <w:color w:val="auto"/>
              </w:rPr>
              <w:t>Noncurrent receivables</w:t>
            </w:r>
          </w:p>
        </w:tc>
        <w:tc>
          <w:tcPr>
            <w:tcW w:w="2540" w:type="dxa"/>
            <w:vAlign w:val="bottom"/>
            <w:gridSpan w:val="3"/>
            <w:shd w:val="clear" w:color="auto" w:fill="C0C0C0"/>
          </w:tcPr>
          <w:p>
            <w:pPr>
              <w:jc w:val="right"/>
              <w:ind w:right="120"/>
              <w:spacing w:after="0" w:line="202" w:lineRule="exact"/>
              <w:rPr>
                <w:sz w:val="20"/>
                <w:szCs w:val="20"/>
                <w:color w:val="auto"/>
              </w:rPr>
            </w:pPr>
            <w:r>
              <w:rPr>
                <w:rFonts w:ascii="Arial" w:cs="Arial" w:eastAsia="Arial" w:hAnsi="Arial"/>
                <w:sz w:val="18"/>
                <w:szCs w:val="18"/>
                <w:color w:val="auto"/>
              </w:rPr>
              <w:t>35,338</w:t>
            </w:r>
          </w:p>
        </w:tc>
        <w:tc>
          <w:tcPr>
            <w:tcW w:w="900" w:type="dxa"/>
            <w:vAlign w:val="bottom"/>
            <w:shd w:val="clear" w:color="auto" w:fill="C0C0C0"/>
          </w:tcPr>
          <w:p>
            <w:pPr>
              <w:spacing w:after="0"/>
              <w:rPr>
                <w:sz w:val="17"/>
                <w:szCs w:val="17"/>
                <w:color w:val="auto"/>
              </w:rPr>
            </w:pPr>
          </w:p>
        </w:tc>
        <w:tc>
          <w:tcPr>
            <w:tcW w:w="1580" w:type="dxa"/>
            <w:vAlign w:val="bottom"/>
            <w:gridSpan w:val="3"/>
            <w:shd w:val="clear" w:color="auto" w:fill="C0C0C0"/>
          </w:tcPr>
          <w:p>
            <w:pPr>
              <w:jc w:val="right"/>
              <w:ind w:right="100"/>
              <w:spacing w:after="0" w:line="202" w:lineRule="exact"/>
              <w:rPr>
                <w:sz w:val="20"/>
                <w:szCs w:val="20"/>
                <w:color w:val="auto"/>
              </w:rPr>
            </w:pPr>
            <w:r>
              <w:rPr>
                <w:rFonts w:ascii="Arial" w:cs="Arial" w:eastAsia="Arial" w:hAnsi="Arial"/>
                <w:sz w:val="18"/>
                <w:szCs w:val="18"/>
                <w:color w:val="auto"/>
              </w:rPr>
              <w:t>32,811</w:t>
            </w:r>
          </w:p>
        </w:tc>
        <w:tc>
          <w:tcPr>
            <w:tcW w:w="0" w:type="dxa"/>
            <w:vAlign w:val="bottom"/>
          </w:tcPr>
          <w:p>
            <w:pPr>
              <w:spacing w:after="0"/>
              <w:rPr>
                <w:sz w:val="1"/>
                <w:szCs w:val="1"/>
                <w:color w:val="auto"/>
              </w:rPr>
            </w:pPr>
          </w:p>
        </w:tc>
      </w:tr>
      <w:tr>
        <w:trPr>
          <w:trHeight w:val="216"/>
        </w:trPr>
        <w:tc>
          <w:tcPr>
            <w:tcW w:w="6400" w:type="dxa"/>
            <w:vAlign w:val="bottom"/>
            <w:tcBorders>
              <w:bottom w:val="single" w:sz="8" w:color="BFBFBF"/>
            </w:tcBorders>
          </w:tcPr>
          <w:p>
            <w:pPr>
              <w:ind w:left="100"/>
              <w:spacing w:after="0"/>
              <w:rPr>
                <w:sz w:val="20"/>
                <w:szCs w:val="20"/>
                <w:color w:val="auto"/>
              </w:rPr>
            </w:pPr>
            <w:r>
              <w:rPr>
                <w:rFonts w:ascii="Arial" w:cs="Arial" w:eastAsia="Arial" w:hAnsi="Arial"/>
                <w:sz w:val="18"/>
                <w:szCs w:val="18"/>
                <w:color w:val="auto"/>
              </w:rPr>
              <w:t>Other assets</w:t>
            </w:r>
          </w:p>
        </w:tc>
        <w:tc>
          <w:tcPr>
            <w:tcW w:w="920" w:type="dxa"/>
            <w:vAlign w:val="bottom"/>
            <w:tcBorders>
              <w:bottom w:val="single" w:sz="8" w:color="BFBFBF"/>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45,543</w:t>
            </w:r>
          </w:p>
        </w:tc>
        <w:tc>
          <w:tcPr>
            <w:tcW w:w="120" w:type="dxa"/>
            <w:vAlign w:val="bottom"/>
            <w:tcBorders>
              <w:bottom w:val="single" w:sz="8" w:color="BFBFBF"/>
            </w:tcBorders>
          </w:tcPr>
          <w:p>
            <w:pPr>
              <w:spacing w:after="0"/>
              <w:rPr>
                <w:sz w:val="18"/>
                <w:szCs w:val="18"/>
                <w:color w:val="auto"/>
              </w:rPr>
            </w:pPr>
          </w:p>
        </w:tc>
        <w:tc>
          <w:tcPr>
            <w:tcW w:w="900" w:type="dxa"/>
            <w:vAlign w:val="bottom"/>
            <w:tcBorders>
              <w:bottom w:val="single" w:sz="8" w:color="BFBFBF"/>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39,493</w:t>
            </w:r>
          </w:p>
        </w:tc>
        <w:tc>
          <w:tcPr>
            <w:tcW w:w="100" w:type="dxa"/>
            <w:vAlign w:val="bottom"/>
            <w:tcBorders>
              <w:bottom w:val="single" w:sz="8" w:color="BFBFBF"/>
            </w:tcBorders>
            <w:gridSpan w:val="2"/>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400" w:type="dxa"/>
            <w:vAlign w:val="bottom"/>
            <w:shd w:val="clear" w:color="auto" w:fill="BFBFBF"/>
          </w:tcPr>
          <w:p>
            <w:pPr>
              <w:ind w:left="300"/>
              <w:spacing w:after="0" w:line="197" w:lineRule="exact"/>
              <w:rPr>
                <w:sz w:val="20"/>
                <w:szCs w:val="20"/>
                <w:color w:val="auto"/>
              </w:rPr>
            </w:pPr>
            <w:r>
              <w:rPr>
                <w:rFonts w:ascii="Arial" w:cs="Arial" w:eastAsia="Arial" w:hAnsi="Arial"/>
                <w:sz w:val="18"/>
                <w:szCs w:val="18"/>
                <w:color w:val="auto"/>
              </w:rPr>
              <w:t>Total assets</w:t>
            </w:r>
          </w:p>
        </w:tc>
        <w:tc>
          <w:tcPr>
            <w:tcW w:w="2420" w:type="dxa"/>
            <w:vAlign w:val="bottom"/>
            <w:gridSpan w:val="2"/>
            <w:shd w:val="clear" w:color="auto" w:fill="BFBFBF"/>
          </w:tcPr>
          <w:p>
            <w:pPr>
              <w:jc w:val="right"/>
              <w:spacing w:after="0"/>
              <w:rPr>
                <w:sz w:val="20"/>
                <w:szCs w:val="20"/>
                <w:color w:val="auto"/>
              </w:rPr>
            </w:pPr>
            <w:r>
              <w:rPr>
                <w:rFonts w:ascii="Arial" w:cs="Arial" w:eastAsia="Arial" w:hAnsi="Arial"/>
                <w:sz w:val="18"/>
                <w:szCs w:val="18"/>
                <w:color w:val="auto"/>
              </w:rPr>
              <w:t>$1,400,335</w:t>
            </w:r>
          </w:p>
        </w:tc>
        <w:tc>
          <w:tcPr>
            <w:tcW w:w="120" w:type="dxa"/>
            <w:vAlign w:val="bottom"/>
            <w:shd w:val="clear" w:color="auto" w:fill="BFBFBF"/>
          </w:tcPr>
          <w:p>
            <w:pPr>
              <w:spacing w:after="0"/>
              <w:rPr>
                <w:sz w:val="18"/>
                <w:szCs w:val="18"/>
                <w:color w:val="auto"/>
              </w:rPr>
            </w:pPr>
          </w:p>
        </w:tc>
        <w:tc>
          <w:tcPr>
            <w:tcW w:w="900" w:type="dxa"/>
            <w:vAlign w:val="bottom"/>
            <w:shd w:val="clear" w:color="auto" w:fill="BFBFBF"/>
          </w:tcPr>
          <w:p>
            <w:pPr>
              <w:spacing w:after="0"/>
              <w:rPr>
                <w:sz w:val="18"/>
                <w:szCs w:val="18"/>
                <w:color w:val="auto"/>
              </w:rPr>
            </w:pPr>
          </w:p>
        </w:tc>
        <w:tc>
          <w:tcPr>
            <w:tcW w:w="1500" w:type="dxa"/>
            <w:vAlign w:val="bottom"/>
            <w:gridSpan w:val="2"/>
            <w:shd w:val="clear" w:color="auto" w:fill="BFBFBF"/>
          </w:tcPr>
          <w:p>
            <w:pPr>
              <w:jc w:val="right"/>
              <w:ind w:right="20"/>
              <w:spacing w:after="0"/>
              <w:rPr>
                <w:sz w:val="20"/>
                <w:szCs w:val="20"/>
                <w:color w:val="auto"/>
              </w:rPr>
            </w:pPr>
            <w:r>
              <w:rPr>
                <w:rFonts w:ascii="Arial" w:cs="Arial" w:eastAsia="Arial" w:hAnsi="Arial"/>
                <w:sz w:val="18"/>
                <w:szCs w:val="18"/>
                <w:color w:val="auto"/>
              </w:rPr>
              <w:t>$1,361,198</w:t>
            </w:r>
          </w:p>
        </w:tc>
        <w:tc>
          <w:tcPr>
            <w:tcW w:w="80" w:type="dxa"/>
            <w:vAlign w:val="bottom"/>
            <w:shd w:val="clear" w:color="auto" w:fill="BFBFB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400" w:type="dxa"/>
            <w:vAlign w:val="bottom"/>
            <w:tcBorders>
              <w:top w:val="single" w:sz="8" w:color="BFBFBF"/>
              <w:bottom w:val="single" w:sz="8" w:color="BFBFBF"/>
            </w:tcBorders>
            <w:vMerge w:val="restart"/>
          </w:tcPr>
          <w:p>
            <w:pPr>
              <w:spacing w:after="0"/>
              <w:rPr>
                <w:sz w:val="20"/>
                <w:szCs w:val="20"/>
                <w:color w:val="auto"/>
              </w:rPr>
            </w:pPr>
            <w:r>
              <w:rPr>
                <w:rFonts w:ascii="Arial" w:cs="Arial" w:eastAsia="Arial" w:hAnsi="Arial"/>
                <w:sz w:val="18"/>
                <w:szCs w:val="18"/>
                <w:color w:val="auto"/>
              </w:rPr>
              <w:t>LIABILITIES AND SHAREHOLDERS' EQUITY</w:t>
            </w:r>
          </w:p>
        </w:tc>
        <w:tc>
          <w:tcPr>
            <w:tcW w:w="920" w:type="dxa"/>
            <w:vAlign w:val="bottom"/>
            <w:tcBorders>
              <w:top w:val="single" w:sz="8" w:color="BFBFBF"/>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BFBFBF"/>
            </w:tcBorders>
          </w:tcPr>
          <w:p>
            <w:pPr>
              <w:spacing w:after="0" w:line="20" w:lineRule="exact"/>
              <w:rPr>
                <w:sz w:val="1"/>
                <w:szCs w:val="1"/>
                <w:color w:val="auto"/>
              </w:rPr>
            </w:pPr>
          </w:p>
        </w:tc>
        <w:tc>
          <w:tcPr>
            <w:tcW w:w="900" w:type="dxa"/>
            <w:vAlign w:val="bottom"/>
            <w:tcBorders>
              <w:top w:val="single" w:sz="8" w:color="BFBFB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BFBFBF"/>
            </w:tcBorders>
          </w:tcPr>
          <w:p>
            <w:pPr>
              <w:spacing w:after="0" w:line="20" w:lineRule="exact"/>
              <w:rPr>
                <w:sz w:val="1"/>
                <w:szCs w:val="1"/>
                <w:color w:val="auto"/>
              </w:rPr>
            </w:pPr>
          </w:p>
        </w:tc>
        <w:tc>
          <w:tcPr>
            <w:tcW w:w="80" w:type="dxa"/>
            <w:vAlign w:val="bottom"/>
            <w:tcBorders>
              <w:top w:val="single" w:sz="8" w:color="BFBFB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6400" w:type="dxa"/>
            <w:vAlign w:val="bottom"/>
            <w:vMerge w:val="continue"/>
          </w:tcPr>
          <w:p>
            <w:pPr>
              <w:spacing w:after="0"/>
              <w:rPr>
                <w:sz w:val="24"/>
                <w:szCs w:val="24"/>
                <w:color w:val="auto"/>
              </w:rPr>
            </w:pPr>
          </w:p>
        </w:tc>
        <w:tc>
          <w:tcPr>
            <w:tcW w:w="9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6400" w:type="dxa"/>
            <w:vAlign w:val="bottom"/>
            <w:shd w:val="clear" w:color="auto" w:fill="BFBFBF"/>
          </w:tcPr>
          <w:p>
            <w:pPr>
              <w:ind w:left="100"/>
              <w:spacing w:after="0" w:line="202" w:lineRule="exact"/>
              <w:rPr>
                <w:sz w:val="20"/>
                <w:szCs w:val="20"/>
                <w:color w:val="auto"/>
              </w:rPr>
            </w:pPr>
            <w:r>
              <w:rPr>
                <w:rFonts w:ascii="Arial" w:cs="Arial" w:eastAsia="Arial" w:hAnsi="Arial"/>
                <w:sz w:val="18"/>
                <w:szCs w:val="18"/>
                <w:color w:val="auto"/>
              </w:rPr>
              <w:t>Notes and loans payable</w:t>
            </w:r>
          </w:p>
        </w:tc>
        <w:tc>
          <w:tcPr>
            <w:tcW w:w="2540" w:type="dxa"/>
            <w:vAlign w:val="bottom"/>
            <w:gridSpan w:val="3"/>
            <w:shd w:val="clear" w:color="auto" w:fill="BFBFBF"/>
          </w:tcPr>
          <w:p>
            <w:pPr>
              <w:jc w:val="right"/>
              <w:ind w:right="120"/>
              <w:spacing w:after="0" w:line="202" w:lineRule="exact"/>
              <w:rPr>
                <w:sz w:val="20"/>
                <w:szCs w:val="20"/>
                <w:color w:val="auto"/>
              </w:rPr>
            </w:pPr>
            <w:r>
              <w:rPr>
                <w:rFonts w:ascii="Arial" w:cs="Arial" w:eastAsia="Arial" w:hAnsi="Arial"/>
                <w:sz w:val="18"/>
                <w:szCs w:val="18"/>
                <w:color w:val="auto"/>
              </w:rPr>
              <w:t>$226</w:t>
            </w:r>
          </w:p>
        </w:tc>
        <w:tc>
          <w:tcPr>
            <w:tcW w:w="900" w:type="dxa"/>
            <w:vAlign w:val="bottom"/>
            <w:shd w:val="clear" w:color="auto" w:fill="BFBFBF"/>
          </w:tcPr>
          <w:p>
            <w:pPr>
              <w:spacing w:after="0"/>
              <w:rPr>
                <w:sz w:val="17"/>
                <w:szCs w:val="17"/>
                <w:color w:val="auto"/>
              </w:rPr>
            </w:pPr>
          </w:p>
        </w:tc>
        <w:tc>
          <w:tcPr>
            <w:tcW w:w="1500" w:type="dxa"/>
            <w:vAlign w:val="bottom"/>
            <w:gridSpan w:val="2"/>
            <w:shd w:val="clear" w:color="auto" w:fill="BFBFBF"/>
          </w:tcPr>
          <w:p>
            <w:pPr>
              <w:jc w:val="right"/>
              <w:ind w:right="20"/>
              <w:spacing w:after="0" w:line="202" w:lineRule="exact"/>
              <w:rPr>
                <w:sz w:val="20"/>
                <w:szCs w:val="20"/>
                <w:color w:val="auto"/>
              </w:rPr>
            </w:pPr>
            <w:r>
              <w:rPr>
                <w:rFonts w:ascii="Arial" w:cs="Arial" w:eastAsia="Arial" w:hAnsi="Arial"/>
                <w:sz w:val="18"/>
                <w:szCs w:val="18"/>
                <w:color w:val="auto"/>
              </w:rPr>
              <w:t>$262</w:t>
            </w:r>
          </w:p>
        </w:tc>
        <w:tc>
          <w:tcPr>
            <w:tcW w:w="80" w:type="dxa"/>
            <w:vAlign w:val="bottom"/>
            <w:shd w:val="clear" w:color="auto" w:fill="BFBFB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00" w:type="dxa"/>
            <w:vAlign w:val="bottom"/>
          </w:tcPr>
          <w:p>
            <w:pPr>
              <w:ind w:left="100"/>
              <w:spacing w:after="0" w:line="202" w:lineRule="exact"/>
              <w:rPr>
                <w:sz w:val="20"/>
                <w:szCs w:val="20"/>
                <w:color w:val="auto"/>
              </w:rPr>
            </w:pPr>
            <w:r>
              <w:rPr>
                <w:rFonts w:ascii="Arial" w:cs="Arial" w:eastAsia="Arial" w:hAnsi="Arial"/>
                <w:sz w:val="18"/>
                <w:szCs w:val="18"/>
                <w:color w:val="auto"/>
              </w:rPr>
              <w:t>Accounts payable</w:t>
            </w:r>
          </w:p>
        </w:tc>
        <w:tc>
          <w:tcPr>
            <w:tcW w:w="2540" w:type="dxa"/>
            <w:vAlign w:val="bottom"/>
            <w:gridSpan w:val="3"/>
          </w:tcPr>
          <w:p>
            <w:pPr>
              <w:jc w:val="right"/>
              <w:ind w:right="120"/>
              <w:spacing w:after="0" w:line="202" w:lineRule="exact"/>
              <w:rPr>
                <w:sz w:val="20"/>
                <w:szCs w:val="20"/>
                <w:color w:val="auto"/>
              </w:rPr>
            </w:pPr>
            <w:r>
              <w:rPr>
                <w:rFonts w:ascii="Arial" w:cs="Arial" w:eastAsia="Arial" w:hAnsi="Arial"/>
                <w:sz w:val="18"/>
                <w:szCs w:val="18"/>
                <w:color w:val="auto"/>
              </w:rPr>
              <w:t>45,694</w:t>
            </w:r>
          </w:p>
        </w:tc>
        <w:tc>
          <w:tcPr>
            <w:tcW w:w="900" w:type="dxa"/>
            <w:vAlign w:val="bottom"/>
          </w:tcPr>
          <w:p>
            <w:pPr>
              <w:spacing w:after="0"/>
              <w:rPr>
                <w:sz w:val="17"/>
                <w:szCs w:val="17"/>
                <w:color w:val="auto"/>
              </w:rPr>
            </w:pPr>
          </w:p>
        </w:tc>
        <w:tc>
          <w:tcPr>
            <w:tcW w:w="1580" w:type="dxa"/>
            <w:vAlign w:val="bottom"/>
            <w:gridSpan w:val="3"/>
          </w:tcPr>
          <w:p>
            <w:pPr>
              <w:jc w:val="right"/>
              <w:ind w:right="100"/>
              <w:spacing w:after="0" w:line="202" w:lineRule="exact"/>
              <w:rPr>
                <w:sz w:val="20"/>
                <w:szCs w:val="20"/>
                <w:color w:val="auto"/>
              </w:rPr>
            </w:pPr>
            <w:r>
              <w:rPr>
                <w:rFonts w:ascii="Arial" w:cs="Arial" w:eastAsia="Arial" w:hAnsi="Arial"/>
                <w:sz w:val="18"/>
                <w:szCs w:val="18"/>
                <w:color w:val="auto"/>
              </w:rPr>
              <w:t>44,899</w:t>
            </w:r>
          </w:p>
        </w:tc>
        <w:tc>
          <w:tcPr>
            <w:tcW w:w="0" w:type="dxa"/>
            <w:vAlign w:val="bottom"/>
          </w:tcPr>
          <w:p>
            <w:pPr>
              <w:spacing w:after="0"/>
              <w:rPr>
                <w:sz w:val="1"/>
                <w:szCs w:val="1"/>
                <w:color w:val="auto"/>
              </w:rPr>
            </w:pPr>
          </w:p>
        </w:tc>
      </w:tr>
      <w:tr>
        <w:trPr>
          <w:trHeight w:val="203"/>
        </w:trPr>
        <w:tc>
          <w:tcPr>
            <w:tcW w:w="6400" w:type="dxa"/>
            <w:vAlign w:val="bottom"/>
            <w:shd w:val="clear" w:color="auto" w:fill="BFBFBF"/>
          </w:tcPr>
          <w:p>
            <w:pPr>
              <w:ind w:left="100"/>
              <w:spacing w:after="0" w:line="202" w:lineRule="exact"/>
              <w:rPr>
                <w:sz w:val="20"/>
                <w:szCs w:val="20"/>
                <w:color w:val="auto"/>
              </w:rPr>
            </w:pPr>
            <w:r>
              <w:rPr>
                <w:rFonts w:ascii="Arial" w:cs="Arial" w:eastAsia="Arial" w:hAnsi="Arial"/>
                <w:sz w:val="18"/>
                <w:szCs w:val="18"/>
                <w:color w:val="auto"/>
              </w:rPr>
              <w:t>Accrued liabilities</w:t>
            </w:r>
          </w:p>
        </w:tc>
        <w:tc>
          <w:tcPr>
            <w:tcW w:w="2540" w:type="dxa"/>
            <w:vAlign w:val="bottom"/>
            <w:gridSpan w:val="3"/>
            <w:shd w:val="clear" w:color="auto" w:fill="C0C0C0"/>
          </w:tcPr>
          <w:p>
            <w:pPr>
              <w:jc w:val="right"/>
              <w:ind w:right="120"/>
              <w:spacing w:after="0" w:line="202" w:lineRule="exact"/>
              <w:rPr>
                <w:sz w:val="20"/>
                <w:szCs w:val="20"/>
                <w:color w:val="auto"/>
              </w:rPr>
            </w:pPr>
            <w:r>
              <w:rPr>
                <w:rFonts w:ascii="Arial" w:cs="Arial" w:eastAsia="Arial" w:hAnsi="Arial"/>
                <w:sz w:val="18"/>
                <w:szCs w:val="18"/>
                <w:color w:val="auto"/>
              </w:rPr>
              <w:t>122,103</w:t>
            </w:r>
          </w:p>
        </w:tc>
        <w:tc>
          <w:tcPr>
            <w:tcW w:w="900" w:type="dxa"/>
            <w:vAlign w:val="bottom"/>
            <w:shd w:val="clear" w:color="auto" w:fill="C0C0C0"/>
          </w:tcPr>
          <w:p>
            <w:pPr>
              <w:spacing w:after="0"/>
              <w:rPr>
                <w:sz w:val="17"/>
                <w:szCs w:val="17"/>
                <w:color w:val="auto"/>
              </w:rPr>
            </w:pPr>
          </w:p>
        </w:tc>
        <w:tc>
          <w:tcPr>
            <w:tcW w:w="1500" w:type="dxa"/>
            <w:vAlign w:val="bottom"/>
            <w:gridSpan w:val="2"/>
            <w:shd w:val="clear" w:color="auto" w:fill="C0C0C0"/>
          </w:tcPr>
          <w:p>
            <w:pPr>
              <w:jc w:val="right"/>
              <w:ind w:right="20"/>
              <w:spacing w:after="0" w:line="202" w:lineRule="exact"/>
              <w:rPr>
                <w:sz w:val="20"/>
                <w:szCs w:val="20"/>
                <w:color w:val="auto"/>
              </w:rPr>
            </w:pPr>
            <w:r>
              <w:rPr>
                <w:rFonts w:ascii="Arial" w:cs="Arial" w:eastAsia="Arial" w:hAnsi="Arial"/>
                <w:sz w:val="18"/>
                <w:szCs w:val="18"/>
                <w:color w:val="auto"/>
              </w:rPr>
              <w:t>105,914</w:t>
            </w:r>
          </w:p>
        </w:tc>
        <w:tc>
          <w:tcPr>
            <w:tcW w:w="80" w:type="dxa"/>
            <w:vAlign w:val="bottom"/>
            <w:shd w:val="clear" w:color="auto" w:fill="C0C0C0"/>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00" w:type="dxa"/>
            <w:vAlign w:val="bottom"/>
          </w:tcPr>
          <w:p>
            <w:pPr>
              <w:ind w:left="100"/>
              <w:spacing w:after="0" w:line="202" w:lineRule="exact"/>
              <w:rPr>
                <w:sz w:val="20"/>
                <w:szCs w:val="20"/>
                <w:color w:val="auto"/>
              </w:rPr>
            </w:pPr>
            <w:r>
              <w:rPr>
                <w:rFonts w:ascii="Arial" w:cs="Arial" w:eastAsia="Arial" w:hAnsi="Arial"/>
                <w:sz w:val="18"/>
                <w:szCs w:val="18"/>
                <w:color w:val="auto"/>
              </w:rPr>
              <w:t>Current maturities of long-term debt</w:t>
            </w:r>
          </w:p>
        </w:tc>
        <w:tc>
          <w:tcPr>
            <w:tcW w:w="2540" w:type="dxa"/>
            <w:vAlign w:val="bottom"/>
            <w:gridSpan w:val="3"/>
          </w:tcPr>
          <w:p>
            <w:pPr>
              <w:jc w:val="right"/>
              <w:ind w:right="120"/>
              <w:spacing w:after="0" w:line="202" w:lineRule="exact"/>
              <w:rPr>
                <w:sz w:val="20"/>
                <w:szCs w:val="20"/>
                <w:color w:val="auto"/>
              </w:rPr>
            </w:pPr>
            <w:r>
              <w:rPr>
                <w:rFonts w:ascii="Arial" w:cs="Arial" w:eastAsia="Arial" w:hAnsi="Arial"/>
                <w:sz w:val="18"/>
                <w:szCs w:val="18"/>
                <w:color w:val="auto"/>
              </w:rPr>
              <w:t>1,821</w:t>
            </w:r>
          </w:p>
        </w:tc>
        <w:tc>
          <w:tcPr>
            <w:tcW w:w="900" w:type="dxa"/>
            <w:vAlign w:val="bottom"/>
          </w:tcPr>
          <w:p>
            <w:pPr>
              <w:spacing w:after="0"/>
              <w:rPr>
                <w:sz w:val="17"/>
                <w:szCs w:val="17"/>
                <w:color w:val="auto"/>
              </w:rPr>
            </w:pPr>
          </w:p>
        </w:tc>
        <w:tc>
          <w:tcPr>
            <w:tcW w:w="15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1,799</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400" w:type="dxa"/>
            <w:vAlign w:val="bottom"/>
            <w:shd w:val="clear" w:color="auto" w:fill="BFBFBF"/>
          </w:tcPr>
          <w:p>
            <w:pPr>
              <w:ind w:left="100"/>
              <w:spacing w:after="0"/>
              <w:rPr>
                <w:sz w:val="20"/>
                <w:szCs w:val="20"/>
                <w:color w:val="auto"/>
              </w:rPr>
            </w:pPr>
            <w:r>
              <w:rPr>
                <w:rFonts w:ascii="Arial" w:cs="Arial" w:eastAsia="Arial" w:hAnsi="Arial"/>
                <w:sz w:val="18"/>
                <w:szCs w:val="18"/>
                <w:color w:val="auto"/>
              </w:rPr>
              <w:t>Income taxes payable</w:t>
            </w:r>
          </w:p>
        </w:tc>
        <w:tc>
          <w:tcPr>
            <w:tcW w:w="2540" w:type="dxa"/>
            <w:vAlign w:val="bottom"/>
            <w:gridSpan w:val="3"/>
            <w:shd w:val="clear" w:color="auto" w:fill="C0C0C0"/>
          </w:tcPr>
          <w:p>
            <w:pPr>
              <w:jc w:val="right"/>
              <w:ind w:right="120"/>
              <w:spacing w:after="0"/>
              <w:rPr>
                <w:sz w:val="20"/>
                <w:szCs w:val="20"/>
                <w:color w:val="auto"/>
              </w:rPr>
            </w:pPr>
            <w:r>
              <w:rPr>
                <w:rFonts w:ascii="Arial" w:cs="Arial" w:eastAsia="Arial" w:hAnsi="Arial"/>
                <w:sz w:val="18"/>
                <w:szCs w:val="18"/>
                <w:color w:val="auto"/>
              </w:rPr>
              <w:t>5,182</w:t>
            </w:r>
          </w:p>
        </w:tc>
        <w:tc>
          <w:tcPr>
            <w:tcW w:w="900" w:type="dxa"/>
            <w:vAlign w:val="bottom"/>
            <w:shd w:val="clear" w:color="auto" w:fill="C0C0C0"/>
          </w:tcPr>
          <w:p>
            <w:pPr>
              <w:spacing w:after="0"/>
              <w:rPr>
                <w:sz w:val="18"/>
                <w:szCs w:val="18"/>
                <w:color w:val="auto"/>
              </w:rPr>
            </w:pPr>
          </w:p>
        </w:tc>
        <w:tc>
          <w:tcPr>
            <w:tcW w:w="1500" w:type="dxa"/>
            <w:vAlign w:val="bottom"/>
            <w:gridSpan w:val="2"/>
            <w:shd w:val="clear" w:color="auto" w:fill="C0C0C0"/>
          </w:tcPr>
          <w:p>
            <w:pPr>
              <w:jc w:val="right"/>
              <w:ind w:right="20"/>
              <w:spacing w:after="0"/>
              <w:rPr>
                <w:sz w:val="20"/>
                <w:szCs w:val="20"/>
                <w:color w:val="auto"/>
              </w:rPr>
            </w:pPr>
            <w:r>
              <w:rPr>
                <w:rFonts w:ascii="Arial" w:cs="Arial" w:eastAsia="Arial" w:hAnsi="Arial"/>
                <w:sz w:val="18"/>
                <w:szCs w:val="18"/>
                <w:color w:val="auto"/>
              </w:rPr>
              <w:t>8,643</w:t>
            </w:r>
          </w:p>
        </w:tc>
        <w:tc>
          <w:tcPr>
            <w:tcW w:w="80" w:type="dxa"/>
            <w:vAlign w:val="bottom"/>
            <w:shd w:val="clear" w:color="auto" w:fill="C0C0C0"/>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6400" w:type="dxa"/>
            <w:vAlign w:val="bottom"/>
          </w:tcPr>
          <w:p>
            <w:pPr>
              <w:ind w:left="300"/>
              <w:spacing w:after="0" w:line="196" w:lineRule="exact"/>
              <w:rPr>
                <w:sz w:val="20"/>
                <w:szCs w:val="20"/>
                <w:color w:val="auto"/>
              </w:rPr>
            </w:pPr>
            <w:r>
              <w:rPr>
                <w:rFonts w:ascii="Arial" w:cs="Arial" w:eastAsia="Arial" w:hAnsi="Arial"/>
                <w:sz w:val="18"/>
                <w:szCs w:val="18"/>
                <w:color w:val="auto"/>
              </w:rPr>
              <w:t>Total current liabilities</w:t>
            </w:r>
          </w:p>
        </w:tc>
        <w:tc>
          <w:tcPr>
            <w:tcW w:w="920" w:type="dxa"/>
            <w:vAlign w:val="bottom"/>
          </w:tcPr>
          <w:p>
            <w:pPr>
              <w:spacing w:after="0"/>
              <w:rPr>
                <w:sz w:val="17"/>
                <w:szCs w:val="17"/>
                <w:color w:val="auto"/>
              </w:rPr>
            </w:pPr>
          </w:p>
        </w:tc>
        <w:tc>
          <w:tcPr>
            <w:tcW w:w="150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175,026</w:t>
            </w: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8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161,517</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00" w:type="dxa"/>
            <w:vAlign w:val="bottom"/>
            <w:shd w:val="clear" w:color="auto" w:fill="BFBFBF"/>
          </w:tcPr>
          <w:p>
            <w:pPr>
              <w:spacing w:after="0"/>
              <w:rPr>
                <w:sz w:val="17"/>
                <w:szCs w:val="17"/>
                <w:color w:val="auto"/>
              </w:rPr>
            </w:pPr>
          </w:p>
        </w:tc>
        <w:tc>
          <w:tcPr>
            <w:tcW w:w="920" w:type="dxa"/>
            <w:vAlign w:val="bottom"/>
            <w:shd w:val="clear" w:color="auto" w:fill="BFBFBF"/>
          </w:tcPr>
          <w:p>
            <w:pPr>
              <w:spacing w:after="0"/>
              <w:rPr>
                <w:sz w:val="17"/>
                <w:szCs w:val="17"/>
                <w:color w:val="auto"/>
              </w:rPr>
            </w:pPr>
          </w:p>
        </w:tc>
        <w:tc>
          <w:tcPr>
            <w:tcW w:w="1500" w:type="dxa"/>
            <w:vAlign w:val="bottom"/>
            <w:shd w:val="clear" w:color="auto" w:fill="BFBFBF"/>
          </w:tcPr>
          <w:p>
            <w:pPr>
              <w:spacing w:after="0"/>
              <w:rPr>
                <w:sz w:val="17"/>
                <w:szCs w:val="17"/>
                <w:color w:val="auto"/>
              </w:rPr>
            </w:pPr>
          </w:p>
        </w:tc>
        <w:tc>
          <w:tcPr>
            <w:tcW w:w="120" w:type="dxa"/>
            <w:vAlign w:val="bottom"/>
            <w:shd w:val="clear" w:color="auto" w:fill="BFBFBF"/>
          </w:tcPr>
          <w:p>
            <w:pPr>
              <w:spacing w:after="0"/>
              <w:rPr>
                <w:sz w:val="17"/>
                <w:szCs w:val="17"/>
                <w:color w:val="auto"/>
              </w:rPr>
            </w:pPr>
          </w:p>
        </w:tc>
        <w:tc>
          <w:tcPr>
            <w:tcW w:w="900" w:type="dxa"/>
            <w:vAlign w:val="bottom"/>
            <w:shd w:val="clear" w:color="auto" w:fill="BFBFBF"/>
          </w:tcPr>
          <w:p>
            <w:pPr>
              <w:spacing w:after="0"/>
              <w:rPr>
                <w:sz w:val="17"/>
                <w:szCs w:val="17"/>
                <w:color w:val="auto"/>
              </w:rPr>
            </w:pPr>
          </w:p>
        </w:tc>
        <w:tc>
          <w:tcPr>
            <w:tcW w:w="1480" w:type="dxa"/>
            <w:vAlign w:val="bottom"/>
            <w:shd w:val="clear" w:color="auto" w:fill="BFBFBF"/>
          </w:tcPr>
          <w:p>
            <w:pPr>
              <w:spacing w:after="0"/>
              <w:rPr>
                <w:sz w:val="17"/>
                <w:szCs w:val="17"/>
                <w:color w:val="auto"/>
              </w:rPr>
            </w:pPr>
          </w:p>
        </w:tc>
        <w:tc>
          <w:tcPr>
            <w:tcW w:w="20" w:type="dxa"/>
            <w:vAlign w:val="bottom"/>
            <w:shd w:val="clear" w:color="auto" w:fill="BFBFBF"/>
          </w:tcPr>
          <w:p>
            <w:pPr>
              <w:spacing w:after="0"/>
              <w:rPr>
                <w:sz w:val="17"/>
                <w:szCs w:val="17"/>
                <w:color w:val="auto"/>
              </w:rPr>
            </w:pPr>
          </w:p>
        </w:tc>
        <w:tc>
          <w:tcPr>
            <w:tcW w:w="80" w:type="dxa"/>
            <w:vAlign w:val="bottom"/>
            <w:shd w:val="clear" w:color="auto" w:fill="BFBFB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00" w:type="dxa"/>
            <w:vAlign w:val="bottom"/>
          </w:tcPr>
          <w:p>
            <w:pPr>
              <w:ind w:left="100"/>
              <w:spacing w:after="0" w:line="202" w:lineRule="exact"/>
              <w:rPr>
                <w:sz w:val="20"/>
                <w:szCs w:val="20"/>
                <w:color w:val="auto"/>
              </w:rPr>
            </w:pPr>
            <w:r>
              <w:rPr>
                <w:rFonts w:ascii="Arial" w:cs="Arial" w:eastAsia="Arial" w:hAnsi="Arial"/>
                <w:sz w:val="18"/>
                <w:szCs w:val="18"/>
                <w:color w:val="auto"/>
              </w:rPr>
              <w:t>Long-term debt</w:t>
            </w:r>
          </w:p>
        </w:tc>
        <w:tc>
          <w:tcPr>
            <w:tcW w:w="2540" w:type="dxa"/>
            <w:vAlign w:val="bottom"/>
            <w:gridSpan w:val="3"/>
          </w:tcPr>
          <w:p>
            <w:pPr>
              <w:jc w:val="right"/>
              <w:ind w:right="120"/>
              <w:spacing w:after="0" w:line="202" w:lineRule="exact"/>
              <w:rPr>
                <w:sz w:val="20"/>
                <w:szCs w:val="20"/>
                <w:color w:val="auto"/>
              </w:rPr>
            </w:pPr>
            <w:r>
              <w:rPr>
                <w:rFonts w:ascii="Arial" w:cs="Arial" w:eastAsia="Arial" w:hAnsi="Arial"/>
                <w:sz w:val="18"/>
                <w:szCs w:val="18"/>
                <w:color w:val="auto"/>
              </w:rPr>
              <w:t>518,656</w:t>
            </w:r>
          </w:p>
        </w:tc>
        <w:tc>
          <w:tcPr>
            <w:tcW w:w="900" w:type="dxa"/>
            <w:vAlign w:val="bottom"/>
          </w:tcPr>
          <w:p>
            <w:pPr>
              <w:spacing w:after="0"/>
              <w:rPr>
                <w:sz w:val="17"/>
                <w:szCs w:val="17"/>
                <w:color w:val="auto"/>
              </w:rPr>
            </w:pPr>
          </w:p>
        </w:tc>
        <w:tc>
          <w:tcPr>
            <w:tcW w:w="15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514,120</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00" w:type="dxa"/>
            <w:vAlign w:val="bottom"/>
            <w:shd w:val="clear" w:color="auto" w:fill="BFBFBF"/>
          </w:tcPr>
          <w:p>
            <w:pPr>
              <w:ind w:left="100"/>
              <w:spacing w:after="0" w:line="202" w:lineRule="exact"/>
              <w:rPr>
                <w:sz w:val="20"/>
                <w:szCs w:val="20"/>
                <w:color w:val="auto"/>
              </w:rPr>
            </w:pPr>
            <w:r>
              <w:rPr>
                <w:rFonts w:ascii="Arial" w:cs="Arial" w:eastAsia="Arial" w:hAnsi="Arial"/>
                <w:sz w:val="18"/>
                <w:szCs w:val="18"/>
                <w:color w:val="auto"/>
              </w:rPr>
              <w:t>Other noncurrent liabilities</w:t>
            </w:r>
          </w:p>
        </w:tc>
        <w:tc>
          <w:tcPr>
            <w:tcW w:w="2540" w:type="dxa"/>
            <w:vAlign w:val="bottom"/>
            <w:gridSpan w:val="3"/>
            <w:shd w:val="clear" w:color="auto" w:fill="BFBFBF"/>
          </w:tcPr>
          <w:p>
            <w:pPr>
              <w:jc w:val="right"/>
              <w:ind w:right="120"/>
              <w:spacing w:after="0" w:line="202" w:lineRule="exact"/>
              <w:rPr>
                <w:sz w:val="20"/>
                <w:szCs w:val="20"/>
                <w:color w:val="auto"/>
              </w:rPr>
            </w:pPr>
            <w:r>
              <w:rPr>
                <w:rFonts w:ascii="Arial" w:cs="Arial" w:eastAsia="Arial" w:hAnsi="Arial"/>
                <w:sz w:val="18"/>
                <w:szCs w:val="18"/>
                <w:color w:val="auto"/>
              </w:rPr>
              <w:t>100,170</w:t>
            </w:r>
          </w:p>
        </w:tc>
        <w:tc>
          <w:tcPr>
            <w:tcW w:w="900" w:type="dxa"/>
            <w:vAlign w:val="bottom"/>
            <w:shd w:val="clear" w:color="auto" w:fill="BFBFBF"/>
          </w:tcPr>
          <w:p>
            <w:pPr>
              <w:spacing w:after="0"/>
              <w:rPr>
                <w:sz w:val="17"/>
                <w:szCs w:val="17"/>
                <w:color w:val="auto"/>
              </w:rPr>
            </w:pPr>
          </w:p>
        </w:tc>
        <w:tc>
          <w:tcPr>
            <w:tcW w:w="1500" w:type="dxa"/>
            <w:vAlign w:val="bottom"/>
            <w:gridSpan w:val="2"/>
            <w:shd w:val="clear" w:color="auto" w:fill="BFBFBF"/>
          </w:tcPr>
          <w:p>
            <w:pPr>
              <w:jc w:val="right"/>
              <w:ind w:right="20"/>
              <w:spacing w:after="0" w:line="202" w:lineRule="exact"/>
              <w:rPr>
                <w:sz w:val="20"/>
                <w:szCs w:val="20"/>
                <w:color w:val="auto"/>
              </w:rPr>
            </w:pPr>
            <w:r>
              <w:rPr>
                <w:rFonts w:ascii="Arial" w:cs="Arial" w:eastAsia="Arial" w:hAnsi="Arial"/>
                <w:sz w:val="18"/>
                <w:szCs w:val="18"/>
                <w:color w:val="auto"/>
              </w:rPr>
              <w:t>101,555</w:t>
            </w:r>
          </w:p>
        </w:tc>
        <w:tc>
          <w:tcPr>
            <w:tcW w:w="80" w:type="dxa"/>
            <w:vAlign w:val="bottom"/>
            <w:shd w:val="clear" w:color="auto" w:fill="BFBFB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400" w:type="dxa"/>
            <w:vAlign w:val="bottom"/>
          </w:tcPr>
          <w:p>
            <w:pPr>
              <w:ind w:left="100"/>
              <w:spacing w:after="0"/>
              <w:rPr>
                <w:sz w:val="20"/>
                <w:szCs w:val="20"/>
                <w:color w:val="auto"/>
              </w:rPr>
            </w:pPr>
            <w:r>
              <w:rPr>
                <w:rFonts w:ascii="Arial" w:cs="Arial" w:eastAsia="Arial" w:hAnsi="Arial"/>
                <w:sz w:val="18"/>
                <w:szCs w:val="18"/>
                <w:color w:val="auto"/>
              </w:rPr>
              <w:t>Deferred taxes and other liabilities</w:t>
            </w:r>
          </w:p>
        </w:tc>
        <w:tc>
          <w:tcPr>
            <w:tcW w:w="2540" w:type="dxa"/>
            <w:vAlign w:val="bottom"/>
            <w:gridSpan w:val="3"/>
          </w:tcPr>
          <w:p>
            <w:pPr>
              <w:jc w:val="right"/>
              <w:ind w:right="120"/>
              <w:spacing w:after="0"/>
              <w:rPr>
                <w:sz w:val="20"/>
                <w:szCs w:val="20"/>
                <w:color w:val="auto"/>
              </w:rPr>
            </w:pPr>
            <w:r>
              <w:rPr>
                <w:rFonts w:ascii="Arial" w:cs="Arial" w:eastAsia="Arial" w:hAnsi="Arial"/>
                <w:sz w:val="18"/>
                <w:szCs w:val="18"/>
                <w:color w:val="auto"/>
              </w:rPr>
              <w:t>11,339</w:t>
            </w:r>
          </w:p>
        </w:tc>
        <w:tc>
          <w:tcPr>
            <w:tcW w:w="900" w:type="dxa"/>
            <w:vAlign w:val="bottom"/>
          </w:tcPr>
          <w:p>
            <w:pPr>
              <w:spacing w:after="0"/>
              <w:rPr>
                <w:sz w:val="18"/>
                <w:szCs w:val="18"/>
                <w:color w:val="auto"/>
              </w:rPr>
            </w:pPr>
          </w:p>
        </w:tc>
        <w:tc>
          <w:tcPr>
            <w:tcW w:w="1580" w:type="dxa"/>
            <w:vAlign w:val="bottom"/>
            <w:gridSpan w:val="3"/>
          </w:tcPr>
          <w:p>
            <w:pPr>
              <w:jc w:val="right"/>
              <w:ind w:right="100"/>
              <w:spacing w:after="0"/>
              <w:rPr>
                <w:sz w:val="20"/>
                <w:szCs w:val="20"/>
                <w:color w:val="auto"/>
              </w:rPr>
            </w:pPr>
            <w:r>
              <w:rPr>
                <w:rFonts w:ascii="Arial" w:cs="Arial" w:eastAsia="Arial" w:hAnsi="Arial"/>
                <w:sz w:val="18"/>
                <w:szCs w:val="18"/>
                <w:color w:val="auto"/>
              </w:rPr>
              <w:t>10,991</w:t>
            </w:r>
          </w:p>
        </w:tc>
        <w:tc>
          <w:tcPr>
            <w:tcW w:w="0" w:type="dxa"/>
            <w:vAlign w:val="bottom"/>
          </w:tcPr>
          <w:p>
            <w:pPr>
              <w:spacing w:after="0"/>
              <w:rPr>
                <w:sz w:val="1"/>
                <w:szCs w:val="1"/>
                <w:color w:val="auto"/>
              </w:rPr>
            </w:pPr>
          </w:p>
        </w:tc>
      </w:tr>
      <w:tr>
        <w:trPr>
          <w:trHeight w:val="196"/>
        </w:trPr>
        <w:tc>
          <w:tcPr>
            <w:tcW w:w="6400" w:type="dxa"/>
            <w:vAlign w:val="bottom"/>
            <w:tcBorders>
              <w:top w:val="single" w:sz="8" w:color="BFBFBF"/>
            </w:tcBorders>
            <w:shd w:val="clear" w:color="auto" w:fill="BFBFBF"/>
          </w:tcPr>
          <w:p>
            <w:pPr>
              <w:ind w:left="300"/>
              <w:spacing w:after="0" w:line="196" w:lineRule="exact"/>
              <w:rPr>
                <w:sz w:val="20"/>
                <w:szCs w:val="20"/>
                <w:color w:val="auto"/>
              </w:rPr>
            </w:pPr>
            <w:r>
              <w:rPr>
                <w:rFonts w:ascii="Arial" w:cs="Arial" w:eastAsia="Arial" w:hAnsi="Arial"/>
                <w:sz w:val="18"/>
                <w:szCs w:val="18"/>
                <w:color w:val="auto"/>
              </w:rPr>
              <w:t>Total liabilities</w:t>
            </w:r>
          </w:p>
        </w:tc>
        <w:tc>
          <w:tcPr>
            <w:tcW w:w="920" w:type="dxa"/>
            <w:vAlign w:val="bottom"/>
            <w:tcBorders>
              <w:top w:val="single" w:sz="8" w:color="BFBFBF"/>
            </w:tcBorders>
            <w:shd w:val="clear" w:color="auto" w:fill="BFBFBF"/>
          </w:tcPr>
          <w:p>
            <w:pPr>
              <w:spacing w:after="0"/>
              <w:rPr>
                <w:sz w:val="17"/>
                <w:szCs w:val="17"/>
                <w:color w:val="auto"/>
              </w:rPr>
            </w:pPr>
          </w:p>
        </w:tc>
        <w:tc>
          <w:tcPr>
            <w:tcW w:w="1500" w:type="dxa"/>
            <w:vAlign w:val="bottom"/>
            <w:tcBorders>
              <w:top w:val="single" w:sz="8" w:color="auto"/>
              <w:bottom w:val="single" w:sz="8" w:color="auto"/>
            </w:tcBorders>
            <w:shd w:val="clear" w:color="auto" w:fill="BFBFBF"/>
          </w:tcPr>
          <w:p>
            <w:pPr>
              <w:jc w:val="right"/>
              <w:spacing w:after="0" w:line="196" w:lineRule="exact"/>
              <w:rPr>
                <w:sz w:val="20"/>
                <w:szCs w:val="20"/>
                <w:color w:val="auto"/>
              </w:rPr>
            </w:pPr>
            <w:r>
              <w:rPr>
                <w:rFonts w:ascii="Arial" w:cs="Arial" w:eastAsia="Arial" w:hAnsi="Arial"/>
                <w:sz w:val="18"/>
                <w:szCs w:val="18"/>
                <w:color w:val="auto"/>
              </w:rPr>
              <w:t>805,191</w:t>
            </w:r>
          </w:p>
        </w:tc>
        <w:tc>
          <w:tcPr>
            <w:tcW w:w="120" w:type="dxa"/>
            <w:vAlign w:val="bottom"/>
            <w:tcBorders>
              <w:top w:val="single" w:sz="8" w:color="BFBFBF"/>
            </w:tcBorders>
            <w:shd w:val="clear" w:color="auto" w:fill="BFBFBF"/>
          </w:tcPr>
          <w:p>
            <w:pPr>
              <w:spacing w:after="0"/>
              <w:rPr>
                <w:sz w:val="17"/>
                <w:szCs w:val="17"/>
                <w:color w:val="auto"/>
              </w:rPr>
            </w:pPr>
          </w:p>
        </w:tc>
        <w:tc>
          <w:tcPr>
            <w:tcW w:w="900" w:type="dxa"/>
            <w:vAlign w:val="bottom"/>
            <w:tcBorders>
              <w:top w:val="single" w:sz="8" w:color="BFBFBF"/>
            </w:tcBorders>
            <w:shd w:val="clear" w:color="auto" w:fill="BFBFBF"/>
          </w:tcPr>
          <w:p>
            <w:pPr>
              <w:spacing w:after="0"/>
              <w:rPr>
                <w:sz w:val="17"/>
                <w:szCs w:val="17"/>
                <w:color w:val="auto"/>
              </w:rPr>
            </w:pPr>
          </w:p>
        </w:tc>
        <w:tc>
          <w:tcPr>
            <w:tcW w:w="1480" w:type="dxa"/>
            <w:vAlign w:val="bottom"/>
            <w:tcBorders>
              <w:top w:val="single" w:sz="8" w:color="auto"/>
              <w:bottom w:val="single" w:sz="8" w:color="auto"/>
            </w:tcBorders>
            <w:shd w:val="clear" w:color="auto" w:fill="BFBFBF"/>
          </w:tcPr>
          <w:p>
            <w:pPr>
              <w:jc w:val="right"/>
              <w:spacing w:after="0" w:line="196" w:lineRule="exact"/>
              <w:rPr>
                <w:sz w:val="20"/>
                <w:szCs w:val="20"/>
                <w:color w:val="auto"/>
              </w:rPr>
            </w:pPr>
            <w:r>
              <w:rPr>
                <w:rFonts w:ascii="Arial" w:cs="Arial" w:eastAsia="Arial" w:hAnsi="Arial"/>
                <w:sz w:val="18"/>
                <w:szCs w:val="18"/>
                <w:color w:val="auto"/>
              </w:rPr>
              <w:t>788,183</w:t>
            </w:r>
          </w:p>
        </w:tc>
        <w:tc>
          <w:tcPr>
            <w:tcW w:w="20" w:type="dxa"/>
            <w:vAlign w:val="bottom"/>
            <w:tcBorders>
              <w:top w:val="single" w:sz="8" w:color="BFBFBF"/>
            </w:tcBorders>
            <w:shd w:val="clear" w:color="auto" w:fill="BFBFBF"/>
          </w:tcPr>
          <w:p>
            <w:pPr>
              <w:spacing w:after="0"/>
              <w:rPr>
                <w:sz w:val="17"/>
                <w:szCs w:val="17"/>
                <w:color w:val="auto"/>
              </w:rPr>
            </w:pPr>
          </w:p>
        </w:tc>
        <w:tc>
          <w:tcPr>
            <w:tcW w:w="80" w:type="dxa"/>
            <w:vAlign w:val="bottom"/>
            <w:tcBorders>
              <w:top w:val="single" w:sz="8" w:color="BFBFBF"/>
            </w:tcBorders>
            <w:shd w:val="clear" w:color="auto" w:fill="BFBFBF"/>
          </w:tcPr>
          <w:p>
            <w:pPr>
              <w:spacing w:after="0"/>
              <w:rPr>
                <w:sz w:val="17"/>
                <w:szCs w:val="17"/>
                <w:color w:val="auto"/>
              </w:rPr>
            </w:pPr>
          </w:p>
        </w:tc>
        <w:tc>
          <w:tcPr>
            <w:tcW w:w="0" w:type="dxa"/>
            <w:vAlign w:val="bottom"/>
          </w:tcPr>
          <w:p>
            <w:pPr>
              <w:spacing w:after="0"/>
              <w:rPr>
                <w:sz w:val="1"/>
                <w:szCs w:val="1"/>
                <w:color w:val="auto"/>
              </w:rPr>
            </w:pPr>
          </w:p>
        </w:tc>
      </w:tr>
      <w:tr>
        <w:trPr>
          <w:trHeight w:val="399"/>
        </w:trPr>
        <w:tc>
          <w:tcPr>
            <w:tcW w:w="6400" w:type="dxa"/>
            <w:vAlign w:val="bottom"/>
          </w:tcPr>
          <w:p>
            <w:pPr>
              <w:spacing w:after="0"/>
              <w:rPr>
                <w:sz w:val="20"/>
                <w:szCs w:val="20"/>
                <w:color w:val="auto"/>
              </w:rPr>
            </w:pPr>
            <w:r>
              <w:rPr>
                <w:rFonts w:ascii="Arial" w:cs="Arial" w:eastAsia="Arial" w:hAnsi="Arial"/>
                <w:sz w:val="18"/>
                <w:szCs w:val="18"/>
                <w:color w:val="auto"/>
              </w:rPr>
              <w:t>SHAREHOLDERS' EQUITY</w:t>
            </w:r>
          </w:p>
        </w:tc>
        <w:tc>
          <w:tcPr>
            <w:tcW w:w="9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6400" w:type="dxa"/>
            <w:vAlign w:val="bottom"/>
            <w:shd w:val="clear" w:color="auto" w:fill="BFBFBF"/>
          </w:tcPr>
          <w:p>
            <w:pPr>
              <w:ind w:left="180"/>
              <w:spacing w:after="0" w:line="201" w:lineRule="exact"/>
              <w:rPr>
                <w:sz w:val="20"/>
                <w:szCs w:val="20"/>
                <w:color w:val="auto"/>
              </w:rPr>
            </w:pPr>
            <w:r>
              <w:rPr>
                <w:rFonts w:ascii="Arial" w:cs="Arial" w:eastAsia="Arial" w:hAnsi="Arial"/>
                <w:sz w:val="18"/>
                <w:szCs w:val="18"/>
                <w:color w:val="auto"/>
              </w:rPr>
              <w:t>Preferred stock, par value $5.00 per share; authorized 2,000,000 shares;</w:t>
            </w:r>
          </w:p>
        </w:tc>
        <w:tc>
          <w:tcPr>
            <w:tcW w:w="920" w:type="dxa"/>
            <w:vAlign w:val="bottom"/>
            <w:shd w:val="clear" w:color="auto" w:fill="BFBFBF"/>
          </w:tcPr>
          <w:p>
            <w:pPr>
              <w:spacing w:after="0"/>
              <w:rPr>
                <w:sz w:val="17"/>
                <w:szCs w:val="17"/>
                <w:color w:val="auto"/>
              </w:rPr>
            </w:pPr>
          </w:p>
        </w:tc>
        <w:tc>
          <w:tcPr>
            <w:tcW w:w="1500" w:type="dxa"/>
            <w:vAlign w:val="bottom"/>
            <w:shd w:val="clear" w:color="auto" w:fill="BFBFBF"/>
          </w:tcPr>
          <w:p>
            <w:pPr>
              <w:spacing w:after="0"/>
              <w:rPr>
                <w:sz w:val="17"/>
                <w:szCs w:val="17"/>
                <w:color w:val="auto"/>
              </w:rPr>
            </w:pPr>
          </w:p>
        </w:tc>
        <w:tc>
          <w:tcPr>
            <w:tcW w:w="120" w:type="dxa"/>
            <w:vAlign w:val="bottom"/>
            <w:shd w:val="clear" w:color="auto" w:fill="BFBFBF"/>
          </w:tcPr>
          <w:p>
            <w:pPr>
              <w:spacing w:after="0"/>
              <w:rPr>
                <w:sz w:val="17"/>
                <w:szCs w:val="17"/>
                <w:color w:val="auto"/>
              </w:rPr>
            </w:pPr>
          </w:p>
        </w:tc>
        <w:tc>
          <w:tcPr>
            <w:tcW w:w="900" w:type="dxa"/>
            <w:vAlign w:val="bottom"/>
            <w:shd w:val="clear" w:color="auto" w:fill="BFBFBF"/>
          </w:tcPr>
          <w:p>
            <w:pPr>
              <w:spacing w:after="0"/>
              <w:rPr>
                <w:sz w:val="17"/>
                <w:szCs w:val="17"/>
                <w:color w:val="auto"/>
              </w:rPr>
            </w:pPr>
          </w:p>
        </w:tc>
        <w:tc>
          <w:tcPr>
            <w:tcW w:w="1480" w:type="dxa"/>
            <w:vAlign w:val="bottom"/>
            <w:shd w:val="clear" w:color="auto" w:fill="BFBFBF"/>
          </w:tcPr>
          <w:p>
            <w:pPr>
              <w:spacing w:after="0"/>
              <w:rPr>
                <w:sz w:val="17"/>
                <w:szCs w:val="17"/>
                <w:color w:val="auto"/>
              </w:rPr>
            </w:pPr>
          </w:p>
        </w:tc>
        <w:tc>
          <w:tcPr>
            <w:tcW w:w="20" w:type="dxa"/>
            <w:vAlign w:val="bottom"/>
            <w:shd w:val="clear" w:color="auto" w:fill="BFBFBF"/>
          </w:tcPr>
          <w:p>
            <w:pPr>
              <w:spacing w:after="0"/>
              <w:rPr>
                <w:sz w:val="17"/>
                <w:szCs w:val="17"/>
                <w:color w:val="auto"/>
              </w:rPr>
            </w:pPr>
          </w:p>
        </w:tc>
        <w:tc>
          <w:tcPr>
            <w:tcW w:w="80" w:type="dxa"/>
            <w:vAlign w:val="bottom"/>
            <w:shd w:val="clear" w:color="auto" w:fill="BFBFB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00" w:type="dxa"/>
            <w:vAlign w:val="bottom"/>
            <w:shd w:val="clear" w:color="auto" w:fill="BFBFBF"/>
          </w:tcPr>
          <w:p>
            <w:pPr>
              <w:ind w:left="340"/>
              <w:spacing w:after="0" w:line="203" w:lineRule="exact"/>
              <w:rPr>
                <w:sz w:val="20"/>
                <w:szCs w:val="20"/>
                <w:color w:val="auto"/>
              </w:rPr>
            </w:pPr>
            <w:r>
              <w:rPr>
                <w:rFonts w:ascii="Arial" w:cs="Arial" w:eastAsia="Arial" w:hAnsi="Arial"/>
                <w:sz w:val="18"/>
                <w:szCs w:val="18"/>
                <w:color w:val="auto"/>
              </w:rPr>
              <w:t>none issued</w:t>
            </w:r>
          </w:p>
        </w:tc>
        <w:tc>
          <w:tcPr>
            <w:tcW w:w="2420" w:type="dxa"/>
            <w:vAlign w:val="bottom"/>
            <w:gridSpan w:val="2"/>
            <w:shd w:val="clear" w:color="auto" w:fill="BFBFBF"/>
          </w:tcPr>
          <w:p>
            <w:pPr>
              <w:jc w:val="right"/>
              <w:spacing w:after="0" w:line="203" w:lineRule="exact"/>
              <w:rPr>
                <w:sz w:val="20"/>
                <w:szCs w:val="20"/>
                <w:color w:val="auto"/>
              </w:rPr>
            </w:pPr>
            <w:r>
              <w:rPr>
                <w:rFonts w:ascii="Arial" w:cs="Arial" w:eastAsia="Arial" w:hAnsi="Arial"/>
                <w:sz w:val="18"/>
                <w:szCs w:val="18"/>
                <w:color w:val="auto"/>
              </w:rPr>
              <w:t>-</w:t>
            </w:r>
          </w:p>
        </w:tc>
        <w:tc>
          <w:tcPr>
            <w:tcW w:w="120" w:type="dxa"/>
            <w:vAlign w:val="bottom"/>
            <w:shd w:val="clear" w:color="auto" w:fill="BFBFBF"/>
          </w:tcPr>
          <w:p>
            <w:pPr>
              <w:spacing w:after="0"/>
              <w:rPr>
                <w:sz w:val="17"/>
                <w:szCs w:val="17"/>
                <w:color w:val="auto"/>
              </w:rPr>
            </w:pPr>
          </w:p>
        </w:tc>
        <w:tc>
          <w:tcPr>
            <w:tcW w:w="900" w:type="dxa"/>
            <w:vAlign w:val="bottom"/>
            <w:shd w:val="clear" w:color="auto" w:fill="BFBFBF"/>
          </w:tcPr>
          <w:p>
            <w:pPr>
              <w:spacing w:after="0"/>
              <w:rPr>
                <w:sz w:val="17"/>
                <w:szCs w:val="17"/>
                <w:color w:val="auto"/>
              </w:rPr>
            </w:pPr>
          </w:p>
        </w:tc>
        <w:tc>
          <w:tcPr>
            <w:tcW w:w="1500" w:type="dxa"/>
            <w:vAlign w:val="bottom"/>
            <w:gridSpan w:val="2"/>
            <w:shd w:val="clear" w:color="auto" w:fill="BFBFBF"/>
          </w:tcPr>
          <w:p>
            <w:pPr>
              <w:jc w:val="right"/>
              <w:ind w:right="20"/>
              <w:spacing w:after="0" w:line="203" w:lineRule="exact"/>
              <w:rPr>
                <w:sz w:val="20"/>
                <w:szCs w:val="20"/>
                <w:color w:val="auto"/>
              </w:rPr>
            </w:pPr>
            <w:r>
              <w:rPr>
                <w:rFonts w:ascii="Arial" w:cs="Arial" w:eastAsia="Arial" w:hAnsi="Arial"/>
                <w:sz w:val="18"/>
                <w:szCs w:val="18"/>
                <w:color w:val="auto"/>
              </w:rPr>
              <w:t>-</w:t>
            </w:r>
          </w:p>
        </w:tc>
        <w:tc>
          <w:tcPr>
            <w:tcW w:w="80" w:type="dxa"/>
            <w:vAlign w:val="bottom"/>
            <w:shd w:val="clear" w:color="auto" w:fill="BFBFB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6400" w:type="dxa"/>
            <w:vAlign w:val="bottom"/>
          </w:tcPr>
          <w:p>
            <w:pPr>
              <w:ind w:left="180"/>
              <w:spacing w:after="0" w:line="201" w:lineRule="exact"/>
              <w:rPr>
                <w:sz w:val="20"/>
                <w:szCs w:val="20"/>
                <w:color w:val="auto"/>
              </w:rPr>
            </w:pPr>
            <w:r>
              <w:rPr>
                <w:rFonts w:ascii="Arial" w:cs="Arial" w:eastAsia="Arial" w:hAnsi="Arial"/>
                <w:sz w:val="18"/>
                <w:szCs w:val="18"/>
                <w:color w:val="auto"/>
              </w:rPr>
              <w:t>Class A Common Stock, par value $.001 per share; authorized 100,000,000</w:t>
            </w:r>
          </w:p>
        </w:tc>
        <w:tc>
          <w:tcPr>
            <w:tcW w:w="9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00" w:type="dxa"/>
            <w:vAlign w:val="bottom"/>
          </w:tcPr>
          <w:p>
            <w:pPr>
              <w:ind w:left="340"/>
              <w:spacing w:after="0" w:line="203" w:lineRule="exact"/>
              <w:rPr>
                <w:sz w:val="20"/>
                <w:szCs w:val="20"/>
                <w:color w:val="auto"/>
              </w:rPr>
            </w:pPr>
            <w:r>
              <w:rPr>
                <w:rFonts w:ascii="Arial" w:cs="Arial" w:eastAsia="Arial" w:hAnsi="Arial"/>
                <w:sz w:val="18"/>
                <w:szCs w:val="18"/>
                <w:color w:val="auto"/>
              </w:rPr>
              <w:t>shares; issued 37,447,669 in 2018 and 37,395,753 in 2017</w:t>
            </w:r>
          </w:p>
        </w:tc>
        <w:tc>
          <w:tcPr>
            <w:tcW w:w="2540" w:type="dxa"/>
            <w:vAlign w:val="bottom"/>
            <w:gridSpan w:val="3"/>
          </w:tcPr>
          <w:p>
            <w:pPr>
              <w:jc w:val="right"/>
              <w:ind w:right="120"/>
              <w:spacing w:after="0" w:line="203" w:lineRule="exact"/>
              <w:rPr>
                <w:sz w:val="20"/>
                <w:szCs w:val="20"/>
                <w:color w:val="auto"/>
              </w:rPr>
            </w:pPr>
            <w:r>
              <w:rPr>
                <w:rFonts w:ascii="Arial" w:cs="Arial" w:eastAsia="Arial" w:hAnsi="Arial"/>
                <w:sz w:val="18"/>
                <w:szCs w:val="18"/>
                <w:color w:val="auto"/>
              </w:rPr>
              <w:t>37</w:t>
            </w:r>
          </w:p>
        </w:tc>
        <w:tc>
          <w:tcPr>
            <w:tcW w:w="900" w:type="dxa"/>
            <w:vAlign w:val="bottom"/>
          </w:tcPr>
          <w:p>
            <w:pPr>
              <w:spacing w:after="0"/>
              <w:rPr>
                <w:sz w:val="17"/>
                <w:szCs w:val="17"/>
                <w:color w:val="auto"/>
              </w:rPr>
            </w:pPr>
          </w:p>
        </w:tc>
        <w:tc>
          <w:tcPr>
            <w:tcW w:w="1500" w:type="dxa"/>
            <w:vAlign w:val="bottom"/>
            <w:gridSpan w:val="2"/>
          </w:tcPr>
          <w:p>
            <w:pPr>
              <w:jc w:val="right"/>
              <w:ind w:right="20"/>
              <w:spacing w:after="0" w:line="203" w:lineRule="exact"/>
              <w:rPr>
                <w:sz w:val="20"/>
                <w:szCs w:val="20"/>
                <w:color w:val="auto"/>
              </w:rPr>
            </w:pPr>
            <w:r>
              <w:rPr>
                <w:rFonts w:ascii="Arial" w:cs="Arial" w:eastAsia="Arial" w:hAnsi="Arial"/>
                <w:sz w:val="18"/>
                <w:szCs w:val="18"/>
                <w:color w:val="auto"/>
              </w:rPr>
              <w:t>37</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6400" w:type="dxa"/>
            <w:vAlign w:val="bottom"/>
            <w:shd w:val="clear" w:color="auto" w:fill="BFBFBF"/>
          </w:tcPr>
          <w:p>
            <w:pPr>
              <w:ind w:left="180"/>
              <w:spacing w:after="0" w:line="201" w:lineRule="exact"/>
              <w:rPr>
                <w:sz w:val="20"/>
                <w:szCs w:val="20"/>
                <w:color w:val="auto"/>
              </w:rPr>
            </w:pPr>
            <w:r>
              <w:rPr>
                <w:rFonts w:ascii="Arial" w:cs="Arial" w:eastAsia="Arial" w:hAnsi="Arial"/>
                <w:sz w:val="18"/>
                <w:szCs w:val="18"/>
                <w:color w:val="auto"/>
              </w:rPr>
              <w:t>Class B Common Stock, par value $.001 per share; authorized 25,000,000</w:t>
            </w:r>
          </w:p>
        </w:tc>
        <w:tc>
          <w:tcPr>
            <w:tcW w:w="920" w:type="dxa"/>
            <w:vAlign w:val="bottom"/>
            <w:shd w:val="clear" w:color="auto" w:fill="BFBFBF"/>
          </w:tcPr>
          <w:p>
            <w:pPr>
              <w:spacing w:after="0"/>
              <w:rPr>
                <w:sz w:val="17"/>
                <w:szCs w:val="17"/>
                <w:color w:val="auto"/>
              </w:rPr>
            </w:pPr>
          </w:p>
        </w:tc>
        <w:tc>
          <w:tcPr>
            <w:tcW w:w="1500" w:type="dxa"/>
            <w:vAlign w:val="bottom"/>
            <w:shd w:val="clear" w:color="auto" w:fill="BFBFBF"/>
          </w:tcPr>
          <w:p>
            <w:pPr>
              <w:spacing w:after="0"/>
              <w:rPr>
                <w:sz w:val="17"/>
                <w:szCs w:val="17"/>
                <w:color w:val="auto"/>
              </w:rPr>
            </w:pPr>
          </w:p>
        </w:tc>
        <w:tc>
          <w:tcPr>
            <w:tcW w:w="120" w:type="dxa"/>
            <w:vAlign w:val="bottom"/>
            <w:shd w:val="clear" w:color="auto" w:fill="BFBFBF"/>
          </w:tcPr>
          <w:p>
            <w:pPr>
              <w:spacing w:after="0"/>
              <w:rPr>
                <w:sz w:val="17"/>
                <w:szCs w:val="17"/>
                <w:color w:val="auto"/>
              </w:rPr>
            </w:pPr>
          </w:p>
        </w:tc>
        <w:tc>
          <w:tcPr>
            <w:tcW w:w="900" w:type="dxa"/>
            <w:vAlign w:val="bottom"/>
            <w:shd w:val="clear" w:color="auto" w:fill="BFBFBF"/>
          </w:tcPr>
          <w:p>
            <w:pPr>
              <w:spacing w:after="0"/>
              <w:rPr>
                <w:sz w:val="17"/>
                <w:szCs w:val="17"/>
                <w:color w:val="auto"/>
              </w:rPr>
            </w:pPr>
          </w:p>
        </w:tc>
        <w:tc>
          <w:tcPr>
            <w:tcW w:w="1480" w:type="dxa"/>
            <w:vAlign w:val="bottom"/>
            <w:shd w:val="clear" w:color="auto" w:fill="BFBFBF"/>
          </w:tcPr>
          <w:p>
            <w:pPr>
              <w:spacing w:after="0"/>
              <w:rPr>
                <w:sz w:val="17"/>
                <w:szCs w:val="17"/>
                <w:color w:val="auto"/>
              </w:rPr>
            </w:pPr>
          </w:p>
        </w:tc>
        <w:tc>
          <w:tcPr>
            <w:tcW w:w="20" w:type="dxa"/>
            <w:vAlign w:val="bottom"/>
            <w:shd w:val="clear" w:color="auto" w:fill="BFBFBF"/>
          </w:tcPr>
          <w:p>
            <w:pPr>
              <w:spacing w:after="0"/>
              <w:rPr>
                <w:sz w:val="17"/>
                <w:szCs w:val="17"/>
                <w:color w:val="auto"/>
              </w:rPr>
            </w:pPr>
          </w:p>
        </w:tc>
        <w:tc>
          <w:tcPr>
            <w:tcW w:w="80" w:type="dxa"/>
            <w:vAlign w:val="bottom"/>
            <w:shd w:val="clear" w:color="auto" w:fill="BFBFB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00" w:type="dxa"/>
            <w:vAlign w:val="bottom"/>
            <w:shd w:val="clear" w:color="auto" w:fill="BFBFBF"/>
          </w:tcPr>
          <w:p>
            <w:pPr>
              <w:ind w:left="340"/>
              <w:spacing w:after="0" w:line="203" w:lineRule="exact"/>
              <w:rPr>
                <w:sz w:val="20"/>
                <w:szCs w:val="20"/>
                <w:color w:val="auto"/>
              </w:rPr>
            </w:pPr>
            <w:r>
              <w:rPr>
                <w:rFonts w:ascii="Arial" w:cs="Arial" w:eastAsia="Arial" w:hAnsi="Arial"/>
                <w:sz w:val="18"/>
                <w:szCs w:val="18"/>
                <w:color w:val="auto"/>
              </w:rPr>
              <w:t>shares; issued and outstanding 3,233,998 in 2018 and 2017</w:t>
            </w:r>
          </w:p>
        </w:tc>
        <w:tc>
          <w:tcPr>
            <w:tcW w:w="2540" w:type="dxa"/>
            <w:vAlign w:val="bottom"/>
            <w:gridSpan w:val="3"/>
            <w:shd w:val="clear" w:color="auto" w:fill="BFBFBF"/>
          </w:tcPr>
          <w:p>
            <w:pPr>
              <w:jc w:val="right"/>
              <w:ind w:right="120"/>
              <w:spacing w:after="0" w:line="203" w:lineRule="exact"/>
              <w:rPr>
                <w:sz w:val="20"/>
                <w:szCs w:val="20"/>
                <w:color w:val="auto"/>
              </w:rPr>
            </w:pPr>
            <w:r>
              <w:rPr>
                <w:rFonts w:ascii="Arial" w:cs="Arial" w:eastAsia="Arial" w:hAnsi="Arial"/>
                <w:sz w:val="18"/>
                <w:szCs w:val="18"/>
                <w:color w:val="auto"/>
              </w:rPr>
              <w:t>3</w:t>
            </w:r>
          </w:p>
        </w:tc>
        <w:tc>
          <w:tcPr>
            <w:tcW w:w="900" w:type="dxa"/>
            <w:vAlign w:val="bottom"/>
            <w:shd w:val="clear" w:color="auto" w:fill="BFBFBF"/>
          </w:tcPr>
          <w:p>
            <w:pPr>
              <w:spacing w:after="0"/>
              <w:rPr>
                <w:sz w:val="17"/>
                <w:szCs w:val="17"/>
                <w:color w:val="auto"/>
              </w:rPr>
            </w:pPr>
          </w:p>
        </w:tc>
        <w:tc>
          <w:tcPr>
            <w:tcW w:w="1500" w:type="dxa"/>
            <w:vAlign w:val="bottom"/>
            <w:gridSpan w:val="2"/>
            <w:shd w:val="clear" w:color="auto" w:fill="BFBFBF"/>
          </w:tcPr>
          <w:p>
            <w:pPr>
              <w:jc w:val="right"/>
              <w:ind w:right="20"/>
              <w:spacing w:after="0" w:line="203" w:lineRule="exact"/>
              <w:rPr>
                <w:sz w:val="20"/>
                <w:szCs w:val="20"/>
                <w:color w:val="auto"/>
              </w:rPr>
            </w:pPr>
            <w:r>
              <w:rPr>
                <w:rFonts w:ascii="Arial" w:cs="Arial" w:eastAsia="Arial" w:hAnsi="Arial"/>
                <w:sz w:val="18"/>
                <w:szCs w:val="18"/>
                <w:color w:val="auto"/>
              </w:rPr>
              <w:t>3</w:t>
            </w:r>
          </w:p>
        </w:tc>
        <w:tc>
          <w:tcPr>
            <w:tcW w:w="80" w:type="dxa"/>
            <w:vAlign w:val="bottom"/>
            <w:shd w:val="clear" w:color="auto" w:fill="BFBFB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00" w:type="dxa"/>
            <w:vAlign w:val="bottom"/>
          </w:tcPr>
          <w:p>
            <w:pPr>
              <w:ind w:left="100"/>
              <w:spacing w:after="0" w:line="202" w:lineRule="exact"/>
              <w:rPr>
                <w:sz w:val="20"/>
                <w:szCs w:val="20"/>
                <w:color w:val="auto"/>
              </w:rPr>
            </w:pPr>
            <w:r>
              <w:rPr>
                <w:rFonts w:ascii="Arial" w:cs="Arial" w:eastAsia="Arial" w:hAnsi="Arial"/>
                <w:sz w:val="18"/>
                <w:szCs w:val="18"/>
                <w:color w:val="auto"/>
              </w:rPr>
              <w:t>Additional paid in capital</w:t>
            </w:r>
          </w:p>
        </w:tc>
        <w:tc>
          <w:tcPr>
            <w:tcW w:w="2540" w:type="dxa"/>
            <w:vAlign w:val="bottom"/>
            <w:gridSpan w:val="3"/>
          </w:tcPr>
          <w:p>
            <w:pPr>
              <w:jc w:val="right"/>
              <w:ind w:right="120"/>
              <w:spacing w:after="0" w:line="202" w:lineRule="exact"/>
              <w:rPr>
                <w:sz w:val="20"/>
                <w:szCs w:val="20"/>
                <w:color w:val="auto"/>
              </w:rPr>
            </w:pPr>
            <w:r>
              <w:rPr>
                <w:rFonts w:ascii="Arial" w:cs="Arial" w:eastAsia="Arial" w:hAnsi="Arial"/>
                <w:sz w:val="18"/>
                <w:szCs w:val="18"/>
                <w:color w:val="auto"/>
              </w:rPr>
              <w:t>428,859</w:t>
            </w:r>
          </w:p>
        </w:tc>
        <w:tc>
          <w:tcPr>
            <w:tcW w:w="900" w:type="dxa"/>
            <w:vAlign w:val="bottom"/>
          </w:tcPr>
          <w:p>
            <w:pPr>
              <w:spacing w:after="0"/>
              <w:rPr>
                <w:sz w:val="17"/>
                <w:szCs w:val="17"/>
                <w:color w:val="auto"/>
              </w:rPr>
            </w:pPr>
          </w:p>
        </w:tc>
        <w:tc>
          <w:tcPr>
            <w:tcW w:w="15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428,423</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00" w:type="dxa"/>
            <w:vAlign w:val="bottom"/>
            <w:shd w:val="clear" w:color="auto" w:fill="BFBFBF"/>
          </w:tcPr>
          <w:p>
            <w:pPr>
              <w:ind w:left="100"/>
              <w:spacing w:after="0" w:line="202" w:lineRule="exact"/>
              <w:rPr>
                <w:sz w:val="20"/>
                <w:szCs w:val="20"/>
                <w:color w:val="auto"/>
              </w:rPr>
            </w:pPr>
            <w:r>
              <w:rPr>
                <w:rFonts w:ascii="Arial" w:cs="Arial" w:eastAsia="Arial" w:hAnsi="Arial"/>
                <w:sz w:val="18"/>
                <w:szCs w:val="18"/>
                <w:color w:val="auto"/>
              </w:rPr>
              <w:t>Retained earnings</w:t>
            </w:r>
          </w:p>
        </w:tc>
        <w:tc>
          <w:tcPr>
            <w:tcW w:w="2540" w:type="dxa"/>
            <w:vAlign w:val="bottom"/>
            <w:gridSpan w:val="3"/>
            <w:shd w:val="clear" w:color="auto" w:fill="BFBFBF"/>
          </w:tcPr>
          <w:p>
            <w:pPr>
              <w:jc w:val="right"/>
              <w:ind w:right="120"/>
              <w:spacing w:after="0" w:line="202" w:lineRule="exact"/>
              <w:rPr>
                <w:sz w:val="20"/>
                <w:szCs w:val="20"/>
                <w:color w:val="auto"/>
              </w:rPr>
            </w:pPr>
            <w:r>
              <w:rPr>
                <w:rFonts w:ascii="Arial" w:cs="Arial" w:eastAsia="Arial" w:hAnsi="Arial"/>
                <w:sz w:val="18"/>
                <w:szCs w:val="18"/>
                <w:color w:val="auto"/>
              </w:rPr>
              <w:t>533,759</w:t>
            </w:r>
          </w:p>
        </w:tc>
        <w:tc>
          <w:tcPr>
            <w:tcW w:w="900" w:type="dxa"/>
            <w:vAlign w:val="bottom"/>
            <w:shd w:val="clear" w:color="auto" w:fill="BFBFBF"/>
          </w:tcPr>
          <w:p>
            <w:pPr>
              <w:spacing w:after="0"/>
              <w:rPr>
                <w:sz w:val="17"/>
                <w:szCs w:val="17"/>
                <w:color w:val="auto"/>
              </w:rPr>
            </w:pPr>
          </w:p>
        </w:tc>
        <w:tc>
          <w:tcPr>
            <w:tcW w:w="1500" w:type="dxa"/>
            <w:vAlign w:val="bottom"/>
            <w:gridSpan w:val="2"/>
            <w:shd w:val="clear" w:color="auto" w:fill="BFBFBF"/>
          </w:tcPr>
          <w:p>
            <w:pPr>
              <w:jc w:val="right"/>
              <w:ind w:right="20"/>
              <w:spacing w:after="0" w:line="202" w:lineRule="exact"/>
              <w:rPr>
                <w:sz w:val="20"/>
                <w:szCs w:val="20"/>
                <w:color w:val="auto"/>
              </w:rPr>
            </w:pPr>
            <w:r>
              <w:rPr>
                <w:rFonts w:ascii="Arial" w:cs="Arial" w:eastAsia="Arial" w:hAnsi="Arial"/>
                <w:sz w:val="18"/>
                <w:szCs w:val="18"/>
                <w:color w:val="auto"/>
              </w:rPr>
              <w:t>534,082</w:t>
            </w:r>
          </w:p>
        </w:tc>
        <w:tc>
          <w:tcPr>
            <w:tcW w:w="80" w:type="dxa"/>
            <w:vAlign w:val="bottom"/>
            <w:shd w:val="clear" w:color="auto" w:fill="BFBFB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00" w:type="dxa"/>
            <w:vAlign w:val="bottom"/>
          </w:tcPr>
          <w:p>
            <w:pPr>
              <w:ind w:left="100"/>
              <w:spacing w:after="0" w:line="202" w:lineRule="exact"/>
              <w:rPr>
                <w:sz w:val="20"/>
                <w:szCs w:val="20"/>
                <w:color w:val="auto"/>
              </w:rPr>
            </w:pPr>
            <w:r>
              <w:rPr>
                <w:rFonts w:ascii="Arial" w:cs="Arial" w:eastAsia="Arial" w:hAnsi="Arial"/>
                <w:sz w:val="18"/>
                <w:szCs w:val="18"/>
                <w:color w:val="auto"/>
              </w:rPr>
              <w:t>Accumulated items of other comprehensive income:</w:t>
            </w:r>
          </w:p>
        </w:tc>
        <w:tc>
          <w:tcPr>
            <w:tcW w:w="9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00" w:type="dxa"/>
            <w:vAlign w:val="bottom"/>
            <w:shd w:val="clear" w:color="auto" w:fill="BFBFBF"/>
          </w:tcPr>
          <w:p>
            <w:pPr>
              <w:ind w:left="200"/>
              <w:spacing w:after="0" w:line="202" w:lineRule="exact"/>
              <w:rPr>
                <w:sz w:val="20"/>
                <w:szCs w:val="20"/>
                <w:color w:val="auto"/>
              </w:rPr>
            </w:pPr>
            <w:r>
              <w:rPr>
                <w:rFonts w:ascii="Arial" w:cs="Arial" w:eastAsia="Arial" w:hAnsi="Arial"/>
                <w:sz w:val="18"/>
                <w:szCs w:val="18"/>
                <w:color w:val="auto"/>
              </w:rPr>
              <w:t>Translation adjustments</w:t>
            </w:r>
          </w:p>
        </w:tc>
        <w:tc>
          <w:tcPr>
            <w:tcW w:w="2540" w:type="dxa"/>
            <w:vAlign w:val="bottom"/>
            <w:gridSpan w:val="3"/>
            <w:shd w:val="clear" w:color="auto" w:fill="BFBFBF"/>
          </w:tcPr>
          <w:p>
            <w:pPr>
              <w:jc w:val="right"/>
              <w:ind w:right="60"/>
              <w:spacing w:after="0" w:line="202" w:lineRule="exact"/>
              <w:rPr>
                <w:sz w:val="20"/>
                <w:szCs w:val="20"/>
                <w:color w:val="auto"/>
              </w:rPr>
            </w:pPr>
            <w:r>
              <w:rPr>
                <w:rFonts w:ascii="Arial" w:cs="Arial" w:eastAsia="Arial" w:hAnsi="Arial"/>
                <w:sz w:val="18"/>
                <w:szCs w:val="18"/>
                <w:color w:val="auto"/>
              </w:rPr>
              <w:t>(69,672)</w:t>
            </w:r>
          </w:p>
        </w:tc>
        <w:tc>
          <w:tcPr>
            <w:tcW w:w="900" w:type="dxa"/>
            <w:vAlign w:val="bottom"/>
            <w:shd w:val="clear" w:color="auto" w:fill="BFBFBF"/>
          </w:tcPr>
          <w:p>
            <w:pPr>
              <w:spacing w:after="0"/>
              <w:rPr>
                <w:sz w:val="17"/>
                <w:szCs w:val="17"/>
                <w:color w:val="auto"/>
              </w:rPr>
            </w:pPr>
          </w:p>
        </w:tc>
        <w:tc>
          <w:tcPr>
            <w:tcW w:w="1580" w:type="dxa"/>
            <w:vAlign w:val="bottom"/>
            <w:gridSpan w:val="3"/>
            <w:shd w:val="clear" w:color="auto" w:fill="BFBFBF"/>
          </w:tcPr>
          <w:p>
            <w:pPr>
              <w:jc w:val="right"/>
              <w:ind w:right="40"/>
              <w:spacing w:after="0" w:line="202" w:lineRule="exact"/>
              <w:rPr>
                <w:sz w:val="20"/>
                <w:szCs w:val="20"/>
                <w:color w:val="auto"/>
              </w:rPr>
            </w:pPr>
            <w:r>
              <w:rPr>
                <w:rFonts w:ascii="Arial" w:cs="Arial" w:eastAsia="Arial" w:hAnsi="Arial"/>
                <w:sz w:val="18"/>
                <w:szCs w:val="18"/>
                <w:color w:val="auto"/>
              </w:rPr>
              <w:t>(87,318)</w:t>
            </w:r>
          </w:p>
        </w:tc>
        <w:tc>
          <w:tcPr>
            <w:tcW w:w="0" w:type="dxa"/>
            <w:vAlign w:val="bottom"/>
          </w:tcPr>
          <w:p>
            <w:pPr>
              <w:spacing w:after="0"/>
              <w:rPr>
                <w:sz w:val="1"/>
                <w:szCs w:val="1"/>
                <w:color w:val="auto"/>
              </w:rPr>
            </w:pPr>
          </w:p>
        </w:tc>
      </w:tr>
      <w:tr>
        <w:trPr>
          <w:trHeight w:val="203"/>
        </w:trPr>
        <w:tc>
          <w:tcPr>
            <w:tcW w:w="6400" w:type="dxa"/>
            <w:vAlign w:val="bottom"/>
          </w:tcPr>
          <w:p>
            <w:pPr>
              <w:ind w:left="200"/>
              <w:spacing w:after="0" w:line="202" w:lineRule="exact"/>
              <w:rPr>
                <w:sz w:val="20"/>
                <w:szCs w:val="20"/>
                <w:color w:val="auto"/>
              </w:rPr>
            </w:pPr>
            <w:r>
              <w:rPr>
                <w:rFonts w:ascii="Arial" w:cs="Arial" w:eastAsia="Arial" w:hAnsi="Arial"/>
                <w:sz w:val="18"/>
                <w:szCs w:val="18"/>
                <w:color w:val="auto"/>
              </w:rPr>
              <w:t>Pension and postretirement liability adjustments</w:t>
            </w:r>
          </w:p>
        </w:tc>
        <w:tc>
          <w:tcPr>
            <w:tcW w:w="2540" w:type="dxa"/>
            <w:vAlign w:val="bottom"/>
            <w:gridSpan w:val="3"/>
          </w:tcPr>
          <w:p>
            <w:pPr>
              <w:jc w:val="right"/>
              <w:ind w:right="60"/>
              <w:spacing w:after="0" w:line="202" w:lineRule="exact"/>
              <w:rPr>
                <w:sz w:val="20"/>
                <w:szCs w:val="20"/>
                <w:color w:val="auto"/>
              </w:rPr>
            </w:pPr>
            <w:r>
              <w:rPr>
                <w:rFonts w:ascii="Arial" w:cs="Arial" w:eastAsia="Arial" w:hAnsi="Arial"/>
                <w:sz w:val="18"/>
                <w:szCs w:val="18"/>
                <w:color w:val="auto"/>
              </w:rPr>
              <w:t>(50,549)</w:t>
            </w:r>
          </w:p>
        </w:tc>
        <w:tc>
          <w:tcPr>
            <w:tcW w:w="900" w:type="dxa"/>
            <w:vAlign w:val="bottom"/>
          </w:tcPr>
          <w:p>
            <w:pPr>
              <w:spacing w:after="0"/>
              <w:rPr>
                <w:sz w:val="17"/>
                <w:szCs w:val="17"/>
                <w:color w:val="auto"/>
              </w:rPr>
            </w:pPr>
          </w:p>
        </w:tc>
        <w:tc>
          <w:tcPr>
            <w:tcW w:w="1580" w:type="dxa"/>
            <w:vAlign w:val="bottom"/>
            <w:gridSpan w:val="3"/>
          </w:tcPr>
          <w:p>
            <w:pPr>
              <w:jc w:val="right"/>
              <w:ind w:right="40"/>
              <w:spacing w:after="0" w:line="202" w:lineRule="exact"/>
              <w:rPr>
                <w:sz w:val="20"/>
                <w:szCs w:val="20"/>
                <w:color w:val="auto"/>
              </w:rPr>
            </w:pPr>
            <w:r>
              <w:rPr>
                <w:rFonts w:ascii="Arial" w:cs="Arial" w:eastAsia="Arial" w:hAnsi="Arial"/>
                <w:sz w:val="18"/>
                <w:szCs w:val="18"/>
                <w:color w:val="auto"/>
              </w:rPr>
              <w:t>(50,536)</w:t>
            </w:r>
          </w:p>
        </w:tc>
        <w:tc>
          <w:tcPr>
            <w:tcW w:w="0" w:type="dxa"/>
            <w:vAlign w:val="bottom"/>
          </w:tcPr>
          <w:p>
            <w:pPr>
              <w:spacing w:after="0"/>
              <w:rPr>
                <w:sz w:val="1"/>
                <w:szCs w:val="1"/>
                <w:color w:val="auto"/>
              </w:rPr>
            </w:pPr>
          </w:p>
        </w:tc>
      </w:tr>
      <w:tr>
        <w:trPr>
          <w:trHeight w:val="203"/>
        </w:trPr>
        <w:tc>
          <w:tcPr>
            <w:tcW w:w="6400" w:type="dxa"/>
            <w:vAlign w:val="bottom"/>
            <w:shd w:val="clear" w:color="auto" w:fill="BFBFBF"/>
          </w:tcPr>
          <w:p>
            <w:pPr>
              <w:ind w:left="200"/>
              <w:spacing w:after="0" w:line="202" w:lineRule="exact"/>
              <w:rPr>
                <w:sz w:val="20"/>
                <w:szCs w:val="20"/>
                <w:color w:val="auto"/>
              </w:rPr>
            </w:pPr>
            <w:r>
              <w:rPr>
                <w:rFonts w:ascii="Arial" w:cs="Arial" w:eastAsia="Arial" w:hAnsi="Arial"/>
                <w:sz w:val="18"/>
                <w:szCs w:val="18"/>
                <w:color w:val="auto"/>
              </w:rPr>
              <w:t>Derivative valuation adjustment</w:t>
            </w:r>
          </w:p>
        </w:tc>
        <w:tc>
          <w:tcPr>
            <w:tcW w:w="2540" w:type="dxa"/>
            <w:vAlign w:val="bottom"/>
            <w:gridSpan w:val="3"/>
            <w:shd w:val="clear" w:color="auto" w:fill="BFBFBF"/>
          </w:tcPr>
          <w:p>
            <w:pPr>
              <w:jc w:val="right"/>
              <w:ind w:right="120"/>
              <w:spacing w:after="0" w:line="202" w:lineRule="exact"/>
              <w:rPr>
                <w:sz w:val="20"/>
                <w:szCs w:val="20"/>
                <w:color w:val="auto"/>
              </w:rPr>
            </w:pPr>
            <w:r>
              <w:rPr>
                <w:rFonts w:ascii="Arial" w:cs="Arial" w:eastAsia="Arial" w:hAnsi="Arial"/>
                <w:sz w:val="18"/>
                <w:szCs w:val="18"/>
                <w:color w:val="auto"/>
              </w:rPr>
              <w:t>6,433</w:t>
            </w:r>
          </w:p>
        </w:tc>
        <w:tc>
          <w:tcPr>
            <w:tcW w:w="900" w:type="dxa"/>
            <w:vAlign w:val="bottom"/>
            <w:shd w:val="clear" w:color="auto" w:fill="BFBFBF"/>
          </w:tcPr>
          <w:p>
            <w:pPr>
              <w:spacing w:after="0"/>
              <w:rPr>
                <w:sz w:val="17"/>
                <w:szCs w:val="17"/>
                <w:color w:val="auto"/>
              </w:rPr>
            </w:pPr>
          </w:p>
        </w:tc>
        <w:tc>
          <w:tcPr>
            <w:tcW w:w="1500" w:type="dxa"/>
            <w:vAlign w:val="bottom"/>
            <w:gridSpan w:val="2"/>
            <w:shd w:val="clear" w:color="auto" w:fill="BFBFBF"/>
          </w:tcPr>
          <w:p>
            <w:pPr>
              <w:jc w:val="right"/>
              <w:ind w:right="20"/>
              <w:spacing w:after="0" w:line="202" w:lineRule="exact"/>
              <w:rPr>
                <w:sz w:val="20"/>
                <w:szCs w:val="20"/>
                <w:color w:val="auto"/>
              </w:rPr>
            </w:pPr>
            <w:r>
              <w:rPr>
                <w:rFonts w:ascii="Arial" w:cs="Arial" w:eastAsia="Arial" w:hAnsi="Arial"/>
                <w:sz w:val="18"/>
                <w:szCs w:val="18"/>
                <w:color w:val="auto"/>
              </w:rPr>
              <w:t>1,953</w:t>
            </w:r>
          </w:p>
        </w:tc>
        <w:tc>
          <w:tcPr>
            <w:tcW w:w="80" w:type="dxa"/>
            <w:vAlign w:val="bottom"/>
            <w:shd w:val="clear" w:color="auto" w:fill="BFBFB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400" w:type="dxa"/>
            <w:vAlign w:val="bottom"/>
          </w:tcPr>
          <w:p>
            <w:pPr>
              <w:ind w:left="320"/>
              <w:spacing w:after="0"/>
              <w:rPr>
                <w:sz w:val="20"/>
                <w:szCs w:val="20"/>
                <w:color w:val="auto"/>
              </w:rPr>
            </w:pPr>
            <w:r>
              <w:rPr>
                <w:rFonts w:ascii="Arial" w:cs="Arial" w:eastAsia="Arial" w:hAnsi="Arial"/>
                <w:sz w:val="18"/>
                <w:szCs w:val="18"/>
                <w:color w:val="auto"/>
              </w:rPr>
              <w:t>Treasury stock (Class A), at cost 8,431,335 shares in 2018 and 2017</w:t>
            </w:r>
          </w:p>
        </w:tc>
        <w:tc>
          <w:tcPr>
            <w:tcW w:w="2540" w:type="dxa"/>
            <w:vAlign w:val="bottom"/>
            <w:gridSpan w:val="3"/>
          </w:tcPr>
          <w:p>
            <w:pPr>
              <w:jc w:val="right"/>
              <w:ind w:right="60"/>
              <w:spacing w:after="0"/>
              <w:rPr>
                <w:sz w:val="20"/>
                <w:szCs w:val="20"/>
                <w:color w:val="auto"/>
              </w:rPr>
            </w:pPr>
            <w:r>
              <w:rPr>
                <w:rFonts w:ascii="Arial" w:cs="Arial" w:eastAsia="Arial" w:hAnsi="Arial"/>
                <w:sz w:val="18"/>
                <w:szCs w:val="18"/>
                <w:color w:val="auto"/>
              </w:rPr>
              <w:t>(256,876)</w:t>
            </w:r>
          </w:p>
        </w:tc>
        <w:tc>
          <w:tcPr>
            <w:tcW w:w="900" w:type="dxa"/>
            <w:vAlign w:val="bottom"/>
          </w:tcPr>
          <w:p>
            <w:pPr>
              <w:spacing w:after="0"/>
              <w:rPr>
                <w:sz w:val="18"/>
                <w:szCs w:val="18"/>
                <w:color w:val="auto"/>
              </w:rPr>
            </w:pPr>
          </w:p>
        </w:tc>
        <w:tc>
          <w:tcPr>
            <w:tcW w:w="1580" w:type="dxa"/>
            <w:vAlign w:val="bottom"/>
            <w:gridSpan w:val="3"/>
          </w:tcPr>
          <w:p>
            <w:pPr>
              <w:jc w:val="right"/>
              <w:ind w:right="40"/>
              <w:spacing w:after="0"/>
              <w:rPr>
                <w:sz w:val="20"/>
                <w:szCs w:val="20"/>
                <w:color w:val="auto"/>
              </w:rPr>
            </w:pPr>
            <w:r>
              <w:rPr>
                <w:rFonts w:ascii="Arial" w:cs="Arial" w:eastAsia="Arial" w:hAnsi="Arial"/>
                <w:sz w:val="18"/>
                <w:szCs w:val="18"/>
                <w:color w:val="auto"/>
              </w:rPr>
              <w:t>(256,876)</w:t>
            </w:r>
          </w:p>
        </w:tc>
        <w:tc>
          <w:tcPr>
            <w:tcW w:w="0" w:type="dxa"/>
            <w:vAlign w:val="bottom"/>
          </w:tcPr>
          <w:p>
            <w:pPr>
              <w:spacing w:after="0"/>
              <w:rPr>
                <w:sz w:val="1"/>
                <w:szCs w:val="1"/>
                <w:color w:val="auto"/>
              </w:rPr>
            </w:pPr>
          </w:p>
        </w:tc>
      </w:tr>
      <w:tr>
        <w:trPr>
          <w:trHeight w:val="196"/>
        </w:trPr>
        <w:tc>
          <w:tcPr>
            <w:tcW w:w="6400" w:type="dxa"/>
            <w:vAlign w:val="bottom"/>
            <w:tcBorders>
              <w:top w:val="single" w:sz="8" w:color="BFBFBF"/>
            </w:tcBorders>
            <w:shd w:val="clear" w:color="auto" w:fill="BFBFBF"/>
          </w:tcPr>
          <w:p>
            <w:pPr>
              <w:ind w:left="300"/>
              <w:spacing w:after="0" w:line="196" w:lineRule="exact"/>
              <w:rPr>
                <w:sz w:val="20"/>
                <w:szCs w:val="20"/>
                <w:color w:val="auto"/>
              </w:rPr>
            </w:pPr>
            <w:r>
              <w:rPr>
                <w:rFonts w:ascii="Arial" w:cs="Arial" w:eastAsia="Arial" w:hAnsi="Arial"/>
                <w:sz w:val="18"/>
                <w:szCs w:val="18"/>
                <w:color w:val="auto"/>
              </w:rPr>
              <w:t>Total Company shareholders' equity</w:t>
            </w:r>
          </w:p>
        </w:tc>
        <w:tc>
          <w:tcPr>
            <w:tcW w:w="920" w:type="dxa"/>
            <w:vAlign w:val="bottom"/>
            <w:tcBorders>
              <w:top w:val="single" w:sz="8" w:color="BFBFBF"/>
            </w:tcBorders>
            <w:shd w:val="clear" w:color="auto" w:fill="BFBFBF"/>
          </w:tcPr>
          <w:p>
            <w:pPr>
              <w:spacing w:after="0"/>
              <w:rPr>
                <w:sz w:val="17"/>
                <w:szCs w:val="17"/>
                <w:color w:val="auto"/>
              </w:rPr>
            </w:pPr>
          </w:p>
        </w:tc>
        <w:tc>
          <w:tcPr>
            <w:tcW w:w="1500" w:type="dxa"/>
            <w:vAlign w:val="bottom"/>
            <w:tcBorders>
              <w:top w:val="single" w:sz="8" w:color="auto"/>
            </w:tcBorders>
            <w:shd w:val="clear" w:color="auto" w:fill="BFBFBF"/>
          </w:tcPr>
          <w:p>
            <w:pPr>
              <w:jc w:val="right"/>
              <w:spacing w:after="0" w:line="196" w:lineRule="exact"/>
              <w:rPr>
                <w:sz w:val="20"/>
                <w:szCs w:val="20"/>
                <w:color w:val="auto"/>
              </w:rPr>
            </w:pPr>
            <w:r>
              <w:rPr>
                <w:rFonts w:ascii="Arial" w:cs="Arial" w:eastAsia="Arial" w:hAnsi="Arial"/>
                <w:sz w:val="18"/>
                <w:szCs w:val="18"/>
                <w:color w:val="auto"/>
              </w:rPr>
              <w:t>591,994</w:t>
            </w:r>
          </w:p>
        </w:tc>
        <w:tc>
          <w:tcPr>
            <w:tcW w:w="120" w:type="dxa"/>
            <w:vAlign w:val="bottom"/>
            <w:tcBorders>
              <w:top w:val="single" w:sz="8" w:color="BFBFBF"/>
            </w:tcBorders>
            <w:shd w:val="clear" w:color="auto" w:fill="BFBFBF"/>
          </w:tcPr>
          <w:p>
            <w:pPr>
              <w:spacing w:after="0"/>
              <w:rPr>
                <w:sz w:val="17"/>
                <w:szCs w:val="17"/>
                <w:color w:val="auto"/>
              </w:rPr>
            </w:pPr>
          </w:p>
        </w:tc>
        <w:tc>
          <w:tcPr>
            <w:tcW w:w="900" w:type="dxa"/>
            <w:vAlign w:val="bottom"/>
            <w:tcBorders>
              <w:top w:val="single" w:sz="8" w:color="BFBFBF"/>
            </w:tcBorders>
            <w:shd w:val="clear" w:color="auto" w:fill="BFBFBF"/>
          </w:tcPr>
          <w:p>
            <w:pPr>
              <w:spacing w:after="0"/>
              <w:rPr>
                <w:sz w:val="17"/>
                <w:szCs w:val="17"/>
                <w:color w:val="auto"/>
              </w:rPr>
            </w:pPr>
          </w:p>
        </w:tc>
        <w:tc>
          <w:tcPr>
            <w:tcW w:w="1480" w:type="dxa"/>
            <w:vAlign w:val="bottom"/>
            <w:tcBorders>
              <w:top w:val="single" w:sz="8" w:color="auto"/>
            </w:tcBorders>
            <w:shd w:val="clear" w:color="auto" w:fill="BFBFBF"/>
          </w:tcPr>
          <w:p>
            <w:pPr>
              <w:jc w:val="right"/>
              <w:spacing w:after="0" w:line="196" w:lineRule="exact"/>
              <w:rPr>
                <w:sz w:val="20"/>
                <w:szCs w:val="20"/>
                <w:color w:val="auto"/>
              </w:rPr>
            </w:pPr>
            <w:r>
              <w:rPr>
                <w:rFonts w:ascii="Arial" w:cs="Arial" w:eastAsia="Arial" w:hAnsi="Arial"/>
                <w:sz w:val="18"/>
                <w:szCs w:val="18"/>
                <w:color w:val="auto"/>
              </w:rPr>
              <w:t>569,768</w:t>
            </w:r>
          </w:p>
        </w:tc>
        <w:tc>
          <w:tcPr>
            <w:tcW w:w="20" w:type="dxa"/>
            <w:vAlign w:val="bottom"/>
            <w:tcBorders>
              <w:top w:val="single" w:sz="8" w:color="BFBFBF"/>
            </w:tcBorders>
            <w:shd w:val="clear" w:color="auto" w:fill="BFBFBF"/>
          </w:tcPr>
          <w:p>
            <w:pPr>
              <w:spacing w:after="0"/>
              <w:rPr>
                <w:sz w:val="17"/>
                <w:szCs w:val="17"/>
                <w:color w:val="auto"/>
              </w:rPr>
            </w:pPr>
          </w:p>
        </w:tc>
        <w:tc>
          <w:tcPr>
            <w:tcW w:w="80" w:type="dxa"/>
            <w:vAlign w:val="bottom"/>
            <w:tcBorders>
              <w:top w:val="single" w:sz="8" w:color="BFBFBF"/>
            </w:tcBorders>
            <w:shd w:val="clear" w:color="auto" w:fill="BFBFB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400" w:type="dxa"/>
            <w:vAlign w:val="bottom"/>
          </w:tcPr>
          <w:p>
            <w:pPr>
              <w:ind w:left="100"/>
              <w:spacing w:after="0"/>
              <w:rPr>
                <w:sz w:val="20"/>
                <w:szCs w:val="20"/>
                <w:color w:val="auto"/>
              </w:rPr>
            </w:pPr>
            <w:r>
              <w:rPr>
                <w:rFonts w:ascii="Arial" w:cs="Arial" w:eastAsia="Arial" w:hAnsi="Arial"/>
                <w:sz w:val="18"/>
                <w:szCs w:val="18"/>
                <w:color w:val="auto"/>
              </w:rPr>
              <w:t>Noncontrolling interest</w:t>
            </w:r>
          </w:p>
        </w:tc>
        <w:tc>
          <w:tcPr>
            <w:tcW w:w="2540" w:type="dxa"/>
            <w:vAlign w:val="bottom"/>
            <w:gridSpan w:val="3"/>
          </w:tcPr>
          <w:p>
            <w:pPr>
              <w:jc w:val="right"/>
              <w:ind w:right="120"/>
              <w:spacing w:after="0"/>
              <w:rPr>
                <w:sz w:val="20"/>
                <w:szCs w:val="20"/>
                <w:color w:val="auto"/>
              </w:rPr>
            </w:pPr>
            <w:r>
              <w:rPr>
                <w:rFonts w:ascii="Arial" w:cs="Arial" w:eastAsia="Arial" w:hAnsi="Arial"/>
                <w:sz w:val="18"/>
                <w:szCs w:val="18"/>
                <w:color w:val="auto"/>
              </w:rPr>
              <w:t>3,150</w:t>
            </w:r>
          </w:p>
        </w:tc>
        <w:tc>
          <w:tcPr>
            <w:tcW w:w="900" w:type="dxa"/>
            <w:vAlign w:val="bottom"/>
          </w:tcPr>
          <w:p>
            <w:pPr>
              <w:spacing w:after="0"/>
              <w:rPr>
                <w:sz w:val="18"/>
                <w:szCs w:val="18"/>
                <w:color w:val="auto"/>
              </w:rPr>
            </w:pPr>
          </w:p>
        </w:tc>
        <w:tc>
          <w:tcPr>
            <w:tcW w:w="1500" w:type="dxa"/>
            <w:vAlign w:val="bottom"/>
            <w:gridSpan w:val="2"/>
          </w:tcPr>
          <w:p>
            <w:pPr>
              <w:jc w:val="right"/>
              <w:ind w:right="20"/>
              <w:spacing w:after="0"/>
              <w:rPr>
                <w:sz w:val="20"/>
                <w:szCs w:val="20"/>
                <w:color w:val="auto"/>
              </w:rPr>
            </w:pPr>
            <w:r>
              <w:rPr>
                <w:rFonts w:ascii="Arial" w:cs="Arial" w:eastAsia="Arial" w:hAnsi="Arial"/>
                <w:sz w:val="18"/>
                <w:szCs w:val="18"/>
                <w:color w:val="auto"/>
              </w:rPr>
              <w:t>3,247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6400" w:type="dxa"/>
            <w:vAlign w:val="bottom"/>
            <w:tcBorders>
              <w:top w:val="single" w:sz="8" w:color="BFBFBF"/>
            </w:tcBorders>
            <w:shd w:val="clear" w:color="auto" w:fill="BFBFBF"/>
          </w:tcPr>
          <w:p>
            <w:pPr>
              <w:ind w:left="100"/>
              <w:spacing w:after="0" w:line="196" w:lineRule="exact"/>
              <w:rPr>
                <w:sz w:val="20"/>
                <w:szCs w:val="20"/>
                <w:color w:val="auto"/>
              </w:rPr>
            </w:pPr>
            <w:r>
              <w:rPr>
                <w:rFonts w:ascii="Arial" w:cs="Arial" w:eastAsia="Arial" w:hAnsi="Arial"/>
                <w:sz w:val="18"/>
                <w:szCs w:val="18"/>
                <w:color w:val="auto"/>
              </w:rPr>
              <w:t>Total equity</w:t>
            </w:r>
          </w:p>
        </w:tc>
        <w:tc>
          <w:tcPr>
            <w:tcW w:w="920" w:type="dxa"/>
            <w:vAlign w:val="bottom"/>
            <w:tcBorders>
              <w:top w:val="single" w:sz="8" w:color="BFBFBF"/>
            </w:tcBorders>
            <w:shd w:val="clear" w:color="auto" w:fill="BFBFBF"/>
          </w:tcPr>
          <w:p>
            <w:pPr>
              <w:spacing w:after="0"/>
              <w:rPr>
                <w:sz w:val="17"/>
                <w:szCs w:val="17"/>
                <w:color w:val="auto"/>
              </w:rPr>
            </w:pPr>
          </w:p>
        </w:tc>
        <w:tc>
          <w:tcPr>
            <w:tcW w:w="1500" w:type="dxa"/>
            <w:vAlign w:val="bottom"/>
            <w:tcBorders>
              <w:top w:val="single" w:sz="8" w:color="auto"/>
              <w:bottom w:val="single" w:sz="8" w:color="auto"/>
            </w:tcBorders>
            <w:shd w:val="clear" w:color="auto" w:fill="BFBFBF"/>
          </w:tcPr>
          <w:p>
            <w:pPr>
              <w:jc w:val="right"/>
              <w:spacing w:after="0" w:line="196" w:lineRule="exact"/>
              <w:rPr>
                <w:sz w:val="20"/>
                <w:szCs w:val="20"/>
                <w:color w:val="auto"/>
              </w:rPr>
            </w:pPr>
            <w:r>
              <w:rPr>
                <w:rFonts w:ascii="Arial" w:cs="Arial" w:eastAsia="Arial" w:hAnsi="Arial"/>
                <w:sz w:val="18"/>
                <w:szCs w:val="18"/>
                <w:color w:val="auto"/>
              </w:rPr>
              <w:t>595,144</w:t>
            </w:r>
          </w:p>
        </w:tc>
        <w:tc>
          <w:tcPr>
            <w:tcW w:w="120" w:type="dxa"/>
            <w:vAlign w:val="bottom"/>
            <w:tcBorders>
              <w:top w:val="single" w:sz="8" w:color="BFBFBF"/>
            </w:tcBorders>
            <w:shd w:val="clear" w:color="auto" w:fill="BFBFBF"/>
          </w:tcPr>
          <w:p>
            <w:pPr>
              <w:spacing w:after="0"/>
              <w:rPr>
                <w:sz w:val="17"/>
                <w:szCs w:val="17"/>
                <w:color w:val="auto"/>
              </w:rPr>
            </w:pPr>
          </w:p>
        </w:tc>
        <w:tc>
          <w:tcPr>
            <w:tcW w:w="900" w:type="dxa"/>
            <w:vAlign w:val="bottom"/>
            <w:tcBorders>
              <w:top w:val="single" w:sz="8" w:color="BFBFBF"/>
            </w:tcBorders>
            <w:shd w:val="clear" w:color="auto" w:fill="BFBFBF"/>
          </w:tcPr>
          <w:p>
            <w:pPr>
              <w:spacing w:after="0"/>
              <w:rPr>
                <w:sz w:val="17"/>
                <w:szCs w:val="17"/>
                <w:color w:val="auto"/>
              </w:rPr>
            </w:pPr>
          </w:p>
        </w:tc>
        <w:tc>
          <w:tcPr>
            <w:tcW w:w="1480" w:type="dxa"/>
            <w:vAlign w:val="bottom"/>
            <w:tcBorders>
              <w:top w:val="single" w:sz="8" w:color="auto"/>
              <w:bottom w:val="single" w:sz="8" w:color="auto"/>
            </w:tcBorders>
            <w:shd w:val="clear" w:color="auto" w:fill="BFBFBF"/>
          </w:tcPr>
          <w:p>
            <w:pPr>
              <w:jc w:val="right"/>
              <w:spacing w:after="0" w:line="196" w:lineRule="exact"/>
              <w:rPr>
                <w:sz w:val="20"/>
                <w:szCs w:val="20"/>
                <w:color w:val="auto"/>
              </w:rPr>
            </w:pPr>
            <w:r>
              <w:rPr>
                <w:rFonts w:ascii="Arial" w:cs="Arial" w:eastAsia="Arial" w:hAnsi="Arial"/>
                <w:sz w:val="18"/>
                <w:szCs w:val="18"/>
                <w:color w:val="auto"/>
              </w:rPr>
              <w:t>573,015</w:t>
            </w:r>
          </w:p>
        </w:tc>
        <w:tc>
          <w:tcPr>
            <w:tcW w:w="20" w:type="dxa"/>
            <w:vAlign w:val="bottom"/>
            <w:tcBorders>
              <w:top w:val="single" w:sz="8" w:color="BFBFBF"/>
            </w:tcBorders>
            <w:shd w:val="clear" w:color="auto" w:fill="BFBFBF"/>
          </w:tcPr>
          <w:p>
            <w:pPr>
              <w:spacing w:after="0"/>
              <w:rPr>
                <w:sz w:val="17"/>
                <w:szCs w:val="17"/>
                <w:color w:val="auto"/>
              </w:rPr>
            </w:pPr>
          </w:p>
        </w:tc>
        <w:tc>
          <w:tcPr>
            <w:tcW w:w="80" w:type="dxa"/>
            <w:vAlign w:val="bottom"/>
            <w:tcBorders>
              <w:top w:val="single" w:sz="8" w:color="BFBFBF"/>
            </w:tcBorders>
            <w:shd w:val="clear" w:color="auto" w:fill="BFBFB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400" w:type="dxa"/>
            <w:vAlign w:val="bottom"/>
          </w:tcPr>
          <w:p>
            <w:pPr>
              <w:ind w:left="300"/>
              <w:spacing w:after="0" w:line="197" w:lineRule="exact"/>
              <w:rPr>
                <w:sz w:val="20"/>
                <w:szCs w:val="20"/>
                <w:color w:val="auto"/>
              </w:rPr>
            </w:pPr>
            <w:r>
              <w:rPr>
                <w:rFonts w:ascii="Arial" w:cs="Arial" w:eastAsia="Arial" w:hAnsi="Arial"/>
                <w:sz w:val="18"/>
                <w:szCs w:val="18"/>
                <w:color w:val="auto"/>
              </w:rPr>
              <w:t>Total liabilities and shareholders' equity</w:t>
            </w:r>
          </w:p>
        </w:tc>
        <w:tc>
          <w:tcPr>
            <w:tcW w:w="2420" w:type="dxa"/>
            <w:vAlign w:val="bottom"/>
            <w:gridSpan w:val="2"/>
          </w:tcPr>
          <w:p>
            <w:pPr>
              <w:jc w:val="right"/>
              <w:spacing w:after="0"/>
              <w:rPr>
                <w:sz w:val="20"/>
                <w:szCs w:val="20"/>
                <w:color w:val="auto"/>
              </w:rPr>
            </w:pPr>
            <w:r>
              <w:rPr>
                <w:rFonts w:ascii="Arial" w:cs="Arial" w:eastAsia="Arial" w:hAnsi="Arial"/>
                <w:sz w:val="18"/>
                <w:szCs w:val="18"/>
                <w:color w:val="auto"/>
              </w:rPr>
              <w:t>$1,400,335</w:t>
            </w: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500" w:type="dxa"/>
            <w:vAlign w:val="bottom"/>
            <w:gridSpan w:val="2"/>
          </w:tcPr>
          <w:p>
            <w:pPr>
              <w:jc w:val="right"/>
              <w:ind w:right="20"/>
              <w:spacing w:after="0"/>
              <w:rPr>
                <w:sz w:val="20"/>
                <w:szCs w:val="20"/>
                <w:color w:val="auto"/>
              </w:rPr>
            </w:pPr>
            <w:r>
              <w:rPr>
                <w:rFonts w:ascii="Arial" w:cs="Arial" w:eastAsia="Arial" w:hAnsi="Arial"/>
                <w:sz w:val="18"/>
                <w:szCs w:val="18"/>
                <w:color w:val="auto"/>
              </w:rPr>
              <w:t>$1,361,198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4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color w:val="auto"/>
        </w:rPr>
        <w:t>ALBANY INTERNATIONAL CORP.</w:t>
      </w:r>
    </w:p>
    <w:p>
      <w:pPr>
        <w:jc w:val="center"/>
        <w:spacing w:after="0" w:line="234" w:lineRule="auto"/>
        <w:rPr>
          <w:sz w:val="20"/>
          <w:szCs w:val="20"/>
          <w:color w:val="auto"/>
        </w:rPr>
      </w:pPr>
      <w:r>
        <w:rPr>
          <w:rFonts w:ascii="Arial" w:cs="Arial" w:eastAsia="Arial" w:hAnsi="Arial"/>
          <w:sz w:val="18"/>
          <w:szCs w:val="18"/>
          <w:color w:val="auto"/>
        </w:rPr>
        <w:t>CONSOLIDATED STATEMENTS OF CASH FLOW</w:t>
      </w:r>
    </w:p>
    <w:p>
      <w:pPr>
        <w:jc w:val="center"/>
        <w:spacing w:after="0" w:line="235" w:lineRule="auto"/>
        <w:rPr>
          <w:sz w:val="20"/>
          <w:szCs w:val="20"/>
          <w:color w:val="auto"/>
        </w:rPr>
      </w:pPr>
      <w:r>
        <w:rPr>
          <w:rFonts w:ascii="Arial" w:cs="Arial" w:eastAsia="Arial" w:hAnsi="Arial"/>
          <w:sz w:val="18"/>
          <w:szCs w:val="18"/>
          <w:color w:val="auto"/>
        </w:rPr>
        <w:t>(in thousands)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8100" w:type="dxa"/>
            <w:vAlign w:val="bottom"/>
          </w:tcPr>
          <w:p>
            <w:pPr>
              <w:spacing w:after="0"/>
              <w:rPr>
                <w:sz w:val="17"/>
                <w:szCs w:val="17"/>
                <w:color w:val="auto"/>
              </w:rPr>
            </w:pPr>
          </w:p>
        </w:tc>
        <w:tc>
          <w:tcPr>
            <w:tcW w:w="3300" w:type="dxa"/>
            <w:vAlign w:val="bottom"/>
            <w:gridSpan w:val="6"/>
          </w:tcPr>
          <w:p>
            <w:pPr>
              <w:jc w:val="center"/>
              <w:ind w:right="20"/>
              <w:spacing w:after="0"/>
              <w:rPr>
                <w:sz w:val="20"/>
                <w:szCs w:val="20"/>
                <w:color w:val="auto"/>
              </w:rPr>
            </w:pPr>
            <w:r>
              <w:rPr>
                <w:rFonts w:ascii="Arial" w:cs="Arial" w:eastAsia="Arial" w:hAnsi="Arial"/>
                <w:sz w:val="18"/>
                <w:szCs w:val="18"/>
                <w:color w:val="auto"/>
                <w:w w:val="99"/>
              </w:rPr>
              <w:t>Three Months Ended</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100" w:type="dxa"/>
            <w:vAlign w:val="bottom"/>
          </w:tcPr>
          <w:p>
            <w:pPr>
              <w:spacing w:after="0"/>
              <w:rPr>
                <w:sz w:val="18"/>
                <w:szCs w:val="18"/>
                <w:color w:val="auto"/>
              </w:rPr>
            </w:pPr>
          </w:p>
        </w:tc>
        <w:tc>
          <w:tcPr>
            <w:tcW w:w="2480" w:type="dxa"/>
            <w:vAlign w:val="bottom"/>
            <w:gridSpan w:val="3"/>
          </w:tcPr>
          <w:p>
            <w:pPr>
              <w:jc w:val="center"/>
              <w:ind w:left="710"/>
              <w:spacing w:after="0"/>
              <w:rPr>
                <w:sz w:val="20"/>
                <w:szCs w:val="20"/>
                <w:color w:val="auto"/>
              </w:rPr>
            </w:pPr>
            <w:r>
              <w:rPr>
                <w:rFonts w:ascii="Arial" w:cs="Arial" w:eastAsia="Arial" w:hAnsi="Arial"/>
                <w:sz w:val="18"/>
                <w:szCs w:val="18"/>
                <w:color w:val="auto"/>
                <w:w w:val="99"/>
              </w:rPr>
              <w:t>March 31,</w:t>
            </w: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05"/>
        </w:trPr>
        <w:tc>
          <w:tcPr>
            <w:tcW w:w="8120" w:type="dxa"/>
            <w:vAlign w:val="bottom"/>
            <w:gridSpan w:val="2"/>
            <w:vMerge w:val="restart"/>
          </w:tcPr>
          <w:p>
            <w:pPr>
              <w:spacing w:after="0"/>
              <w:rPr>
                <w:sz w:val="20"/>
                <w:szCs w:val="20"/>
                <w:color w:val="auto"/>
              </w:rPr>
            </w:pPr>
            <w:r>
              <w:rPr>
                <w:rFonts w:ascii="Arial" w:cs="Arial" w:eastAsia="Arial" w:hAnsi="Arial"/>
                <w:sz w:val="18"/>
                <w:szCs w:val="18"/>
                <w:color w:val="auto"/>
              </w:rPr>
              <w:t>OPERATING ACTIVITIES</w:t>
            </w:r>
          </w:p>
        </w:tc>
        <w:tc>
          <w:tcPr>
            <w:tcW w:w="14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2018</w:t>
            </w:r>
          </w:p>
        </w:tc>
        <w:tc>
          <w:tcPr>
            <w:tcW w:w="120" w:type="dxa"/>
            <w:vAlign w:val="bottom"/>
            <w:tcBorders>
              <w:bottom w:val="single" w:sz="8" w:color="auto"/>
            </w:tcBorders>
          </w:tcPr>
          <w:p>
            <w:pPr>
              <w:spacing w:after="0"/>
              <w:rPr>
                <w:sz w:val="24"/>
                <w:szCs w:val="24"/>
                <w:color w:val="auto"/>
              </w:rPr>
            </w:pPr>
          </w:p>
        </w:tc>
        <w:tc>
          <w:tcPr>
            <w:tcW w:w="900" w:type="dxa"/>
            <w:vAlign w:val="bottom"/>
          </w:tcPr>
          <w:p>
            <w:pPr>
              <w:spacing w:after="0"/>
              <w:rPr>
                <w:sz w:val="24"/>
                <w:szCs w:val="24"/>
                <w:color w:val="auto"/>
              </w:rPr>
            </w:pPr>
          </w:p>
        </w:tc>
        <w:tc>
          <w:tcPr>
            <w:tcW w:w="7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2017</w:t>
            </w: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120" w:type="dxa"/>
            <w:vAlign w:val="bottom"/>
            <w:gridSpan w:val="2"/>
            <w:vMerge w:val="continue"/>
          </w:tcPr>
          <w:p>
            <w:pPr>
              <w:spacing w:after="0"/>
              <w:rPr>
                <w:sz w:val="17"/>
                <w:szCs w:val="17"/>
                <w:color w:val="auto"/>
              </w:rPr>
            </w:pPr>
          </w:p>
        </w:tc>
        <w:tc>
          <w:tcPr>
            <w:tcW w:w="1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100" w:type="dxa"/>
            <w:vAlign w:val="bottom"/>
            <w:shd w:val="clear" w:color="auto" w:fill="BFBFBF"/>
          </w:tcPr>
          <w:p>
            <w:pPr>
              <w:spacing w:after="0" w:line="202" w:lineRule="exact"/>
              <w:rPr>
                <w:sz w:val="20"/>
                <w:szCs w:val="20"/>
                <w:color w:val="auto"/>
              </w:rPr>
            </w:pPr>
            <w:r>
              <w:rPr>
                <w:rFonts w:ascii="Arial" w:cs="Arial" w:eastAsia="Arial" w:hAnsi="Arial"/>
                <w:sz w:val="18"/>
                <w:szCs w:val="18"/>
                <w:color w:val="auto"/>
              </w:rPr>
              <w:t>Net income</w:t>
            </w:r>
          </w:p>
        </w:tc>
        <w:tc>
          <w:tcPr>
            <w:tcW w:w="1580" w:type="dxa"/>
            <w:vAlign w:val="bottom"/>
            <w:gridSpan w:val="2"/>
            <w:shd w:val="clear" w:color="auto" w:fill="BFBFBF"/>
          </w:tcPr>
          <w:p>
            <w:pPr>
              <w:jc w:val="right"/>
              <w:ind w:right="40"/>
              <w:spacing w:after="0" w:line="202" w:lineRule="exact"/>
              <w:rPr>
                <w:sz w:val="20"/>
                <w:szCs w:val="20"/>
                <w:color w:val="auto"/>
              </w:rPr>
            </w:pPr>
            <w:r>
              <w:rPr>
                <w:rFonts w:ascii="Arial" w:cs="Arial" w:eastAsia="Arial" w:hAnsi="Arial"/>
                <w:sz w:val="18"/>
                <w:szCs w:val="18"/>
                <w:color w:val="auto"/>
              </w:rPr>
              <w:t>$10,482</w:t>
            </w:r>
          </w:p>
        </w:tc>
        <w:tc>
          <w:tcPr>
            <w:tcW w:w="900" w:type="dxa"/>
            <w:vAlign w:val="bottom"/>
            <w:shd w:val="clear" w:color="auto" w:fill="BFBFBF"/>
          </w:tcPr>
          <w:p>
            <w:pPr>
              <w:spacing w:after="0"/>
              <w:rPr>
                <w:sz w:val="17"/>
                <w:szCs w:val="17"/>
                <w:color w:val="auto"/>
              </w:rPr>
            </w:pPr>
          </w:p>
        </w:tc>
        <w:tc>
          <w:tcPr>
            <w:tcW w:w="760" w:type="dxa"/>
            <w:vAlign w:val="bottom"/>
            <w:shd w:val="clear" w:color="auto" w:fill="BFBFBF"/>
          </w:tcPr>
          <w:p>
            <w:pPr>
              <w:jc w:val="right"/>
              <w:spacing w:after="0" w:line="202" w:lineRule="exact"/>
              <w:rPr>
                <w:sz w:val="20"/>
                <w:szCs w:val="20"/>
                <w:color w:val="auto"/>
              </w:rPr>
            </w:pPr>
            <w:r>
              <w:rPr>
                <w:rFonts w:ascii="Arial" w:cs="Arial" w:eastAsia="Arial" w:hAnsi="Arial"/>
                <w:sz w:val="18"/>
                <w:szCs w:val="18"/>
                <w:color w:val="auto"/>
              </w:rPr>
              <w:t>$10,974</w:t>
            </w:r>
          </w:p>
        </w:tc>
        <w:tc>
          <w:tcPr>
            <w:tcW w:w="20" w:type="dxa"/>
            <w:vAlign w:val="bottom"/>
            <w:shd w:val="clear" w:color="auto" w:fill="BFBFBF"/>
          </w:tcPr>
          <w:p>
            <w:pPr>
              <w:spacing w:after="0"/>
              <w:rPr>
                <w:sz w:val="17"/>
                <w:szCs w:val="17"/>
                <w:color w:val="auto"/>
              </w:rPr>
            </w:pPr>
          </w:p>
        </w:tc>
        <w:tc>
          <w:tcPr>
            <w:tcW w:w="40" w:type="dxa"/>
            <w:vAlign w:val="bottom"/>
            <w:shd w:val="clear" w:color="auto" w:fill="BFBFB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100" w:type="dxa"/>
            <w:vAlign w:val="bottom"/>
          </w:tcPr>
          <w:p>
            <w:pPr>
              <w:spacing w:after="0" w:line="202" w:lineRule="exact"/>
              <w:rPr>
                <w:sz w:val="20"/>
                <w:szCs w:val="20"/>
                <w:color w:val="auto"/>
              </w:rPr>
            </w:pPr>
            <w:r>
              <w:rPr>
                <w:rFonts w:ascii="Arial" w:cs="Arial" w:eastAsia="Arial" w:hAnsi="Arial"/>
                <w:sz w:val="18"/>
                <w:szCs w:val="18"/>
                <w:color w:val="auto"/>
              </w:rPr>
              <w:t>Adjustments to reconcile net income to net cash used in operating activities:</w:t>
            </w:r>
          </w:p>
        </w:tc>
        <w:tc>
          <w:tcPr>
            <w:tcW w:w="1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100" w:type="dxa"/>
            <w:vAlign w:val="bottom"/>
            <w:shd w:val="clear" w:color="auto" w:fill="BFBFBF"/>
          </w:tcPr>
          <w:p>
            <w:pPr>
              <w:ind w:left="160"/>
              <w:spacing w:after="0" w:line="202" w:lineRule="exact"/>
              <w:rPr>
                <w:sz w:val="20"/>
                <w:szCs w:val="20"/>
                <w:color w:val="auto"/>
              </w:rPr>
            </w:pPr>
            <w:r>
              <w:rPr>
                <w:rFonts w:ascii="Arial" w:cs="Arial" w:eastAsia="Arial" w:hAnsi="Arial"/>
                <w:sz w:val="18"/>
                <w:szCs w:val="18"/>
                <w:color w:val="auto"/>
              </w:rPr>
              <w:t>Depreciation</w:t>
            </w:r>
          </w:p>
        </w:tc>
        <w:tc>
          <w:tcPr>
            <w:tcW w:w="1580" w:type="dxa"/>
            <w:vAlign w:val="bottom"/>
            <w:gridSpan w:val="2"/>
            <w:shd w:val="clear" w:color="auto" w:fill="BFBFBF"/>
          </w:tcPr>
          <w:p>
            <w:pPr>
              <w:jc w:val="right"/>
              <w:ind w:right="40"/>
              <w:spacing w:after="0" w:line="202" w:lineRule="exact"/>
              <w:rPr>
                <w:sz w:val="20"/>
                <w:szCs w:val="20"/>
                <w:color w:val="auto"/>
              </w:rPr>
            </w:pPr>
            <w:r>
              <w:rPr>
                <w:rFonts w:ascii="Arial" w:cs="Arial" w:eastAsia="Arial" w:hAnsi="Arial"/>
                <w:sz w:val="18"/>
                <w:szCs w:val="18"/>
                <w:color w:val="auto"/>
              </w:rPr>
              <w:t>18,302</w:t>
            </w:r>
          </w:p>
        </w:tc>
        <w:tc>
          <w:tcPr>
            <w:tcW w:w="900" w:type="dxa"/>
            <w:vAlign w:val="bottom"/>
            <w:shd w:val="clear" w:color="auto" w:fill="BFBFBF"/>
          </w:tcPr>
          <w:p>
            <w:pPr>
              <w:spacing w:after="0"/>
              <w:rPr>
                <w:sz w:val="17"/>
                <w:szCs w:val="17"/>
                <w:color w:val="auto"/>
              </w:rPr>
            </w:pPr>
          </w:p>
        </w:tc>
        <w:tc>
          <w:tcPr>
            <w:tcW w:w="780" w:type="dxa"/>
            <w:vAlign w:val="bottom"/>
            <w:gridSpan w:val="2"/>
            <w:shd w:val="clear" w:color="auto" w:fill="BFBFBF"/>
          </w:tcPr>
          <w:p>
            <w:pPr>
              <w:jc w:val="right"/>
              <w:spacing w:after="0" w:line="202" w:lineRule="exact"/>
              <w:rPr>
                <w:sz w:val="20"/>
                <w:szCs w:val="20"/>
                <w:color w:val="auto"/>
              </w:rPr>
            </w:pPr>
            <w:r>
              <w:rPr>
                <w:rFonts w:ascii="Arial" w:cs="Arial" w:eastAsia="Arial" w:hAnsi="Arial"/>
                <w:sz w:val="18"/>
                <w:szCs w:val="18"/>
                <w:color w:val="auto"/>
              </w:rPr>
              <w:t>14,644</w:t>
            </w:r>
          </w:p>
        </w:tc>
        <w:tc>
          <w:tcPr>
            <w:tcW w:w="40" w:type="dxa"/>
            <w:vAlign w:val="bottom"/>
            <w:shd w:val="clear" w:color="auto" w:fill="BFBFB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100" w:type="dxa"/>
            <w:vAlign w:val="bottom"/>
          </w:tcPr>
          <w:p>
            <w:pPr>
              <w:ind w:left="160"/>
              <w:spacing w:after="0" w:line="202" w:lineRule="exact"/>
              <w:rPr>
                <w:sz w:val="20"/>
                <w:szCs w:val="20"/>
                <w:color w:val="auto"/>
              </w:rPr>
            </w:pPr>
            <w:r>
              <w:rPr>
                <w:rFonts w:ascii="Arial" w:cs="Arial" w:eastAsia="Arial" w:hAnsi="Arial"/>
                <w:sz w:val="18"/>
                <w:szCs w:val="18"/>
                <w:color w:val="auto"/>
              </w:rPr>
              <w:t>Amortization</w:t>
            </w:r>
          </w:p>
        </w:tc>
        <w:tc>
          <w:tcPr>
            <w:tcW w:w="158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2,646</w:t>
            </w:r>
          </w:p>
        </w:tc>
        <w:tc>
          <w:tcPr>
            <w:tcW w:w="900" w:type="dxa"/>
            <w:vAlign w:val="bottom"/>
          </w:tcPr>
          <w:p>
            <w:pPr>
              <w:spacing w:after="0"/>
              <w:rPr>
                <w:sz w:val="17"/>
                <w:szCs w:val="17"/>
                <w:color w:val="auto"/>
              </w:rPr>
            </w:pPr>
          </w:p>
        </w:tc>
        <w:tc>
          <w:tcPr>
            <w:tcW w:w="7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2,649</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100" w:type="dxa"/>
            <w:vAlign w:val="bottom"/>
            <w:shd w:val="clear" w:color="auto" w:fill="BFBFBF"/>
          </w:tcPr>
          <w:p>
            <w:pPr>
              <w:ind w:left="160"/>
              <w:spacing w:after="0" w:line="202" w:lineRule="exact"/>
              <w:rPr>
                <w:sz w:val="20"/>
                <w:szCs w:val="20"/>
                <w:color w:val="auto"/>
              </w:rPr>
            </w:pPr>
            <w:r>
              <w:rPr>
                <w:rFonts w:ascii="Arial" w:cs="Arial" w:eastAsia="Arial" w:hAnsi="Arial"/>
                <w:sz w:val="18"/>
                <w:szCs w:val="18"/>
                <w:color w:val="auto"/>
              </w:rPr>
              <w:t>Change in other noncurrent liabilities</w:t>
            </w:r>
          </w:p>
        </w:tc>
        <w:tc>
          <w:tcPr>
            <w:tcW w:w="1580" w:type="dxa"/>
            <w:vAlign w:val="bottom"/>
            <w:gridSpan w:val="2"/>
            <w:shd w:val="clear" w:color="auto" w:fill="BFBFBF"/>
          </w:tcPr>
          <w:p>
            <w:pPr>
              <w:jc w:val="right"/>
              <w:spacing w:after="0" w:line="202" w:lineRule="exact"/>
              <w:rPr>
                <w:sz w:val="20"/>
                <w:szCs w:val="20"/>
                <w:color w:val="auto"/>
              </w:rPr>
            </w:pPr>
            <w:r>
              <w:rPr>
                <w:rFonts w:ascii="Arial" w:cs="Arial" w:eastAsia="Arial" w:hAnsi="Arial"/>
                <w:sz w:val="18"/>
                <w:szCs w:val="18"/>
                <w:color w:val="auto"/>
              </w:rPr>
              <w:t>(377)</w:t>
            </w:r>
          </w:p>
        </w:tc>
        <w:tc>
          <w:tcPr>
            <w:tcW w:w="900" w:type="dxa"/>
            <w:vAlign w:val="bottom"/>
            <w:shd w:val="clear" w:color="auto" w:fill="BFBFBF"/>
          </w:tcPr>
          <w:p>
            <w:pPr>
              <w:spacing w:after="0"/>
              <w:rPr>
                <w:sz w:val="17"/>
                <w:szCs w:val="17"/>
                <w:color w:val="auto"/>
              </w:rPr>
            </w:pPr>
          </w:p>
        </w:tc>
        <w:tc>
          <w:tcPr>
            <w:tcW w:w="820" w:type="dxa"/>
            <w:vAlign w:val="bottom"/>
            <w:gridSpan w:val="3"/>
            <w:shd w:val="clear" w:color="auto" w:fill="BFBFBF"/>
          </w:tcPr>
          <w:p>
            <w:pPr>
              <w:jc w:val="right"/>
              <w:spacing w:after="0" w:line="202" w:lineRule="exact"/>
              <w:rPr>
                <w:sz w:val="20"/>
                <w:szCs w:val="20"/>
                <w:color w:val="auto"/>
              </w:rPr>
            </w:pPr>
            <w:r>
              <w:rPr>
                <w:rFonts w:ascii="Arial" w:cs="Arial" w:eastAsia="Arial" w:hAnsi="Arial"/>
                <w:sz w:val="18"/>
                <w:szCs w:val="18"/>
                <w:color w:val="auto"/>
              </w:rPr>
              <w:t>(1,596)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100" w:type="dxa"/>
            <w:vAlign w:val="bottom"/>
          </w:tcPr>
          <w:p>
            <w:pPr>
              <w:ind w:left="160"/>
              <w:spacing w:after="0" w:line="202" w:lineRule="exact"/>
              <w:rPr>
                <w:sz w:val="20"/>
                <w:szCs w:val="20"/>
                <w:color w:val="auto"/>
              </w:rPr>
            </w:pPr>
            <w:r>
              <w:rPr>
                <w:rFonts w:ascii="Arial" w:cs="Arial" w:eastAsia="Arial" w:hAnsi="Arial"/>
                <w:sz w:val="18"/>
                <w:szCs w:val="18"/>
                <w:color w:val="auto"/>
              </w:rPr>
              <w:t>Change in deferred taxes and other liabilities</w:t>
            </w:r>
          </w:p>
        </w:tc>
        <w:tc>
          <w:tcPr>
            <w:tcW w:w="15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(784)</w:t>
            </w:r>
          </w:p>
        </w:tc>
        <w:tc>
          <w:tcPr>
            <w:tcW w:w="900" w:type="dxa"/>
            <w:vAlign w:val="bottom"/>
          </w:tcPr>
          <w:p>
            <w:pPr>
              <w:spacing w:after="0"/>
              <w:rPr>
                <w:sz w:val="17"/>
                <w:szCs w:val="17"/>
                <w:color w:val="auto"/>
              </w:rPr>
            </w:pPr>
          </w:p>
        </w:tc>
        <w:tc>
          <w:tcPr>
            <w:tcW w:w="82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(612)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100" w:type="dxa"/>
            <w:vAlign w:val="bottom"/>
            <w:shd w:val="clear" w:color="auto" w:fill="BFBFBF"/>
          </w:tcPr>
          <w:p>
            <w:pPr>
              <w:ind w:left="160"/>
              <w:spacing w:after="0" w:line="202" w:lineRule="exact"/>
              <w:rPr>
                <w:sz w:val="20"/>
                <w:szCs w:val="20"/>
                <w:color w:val="auto"/>
              </w:rPr>
            </w:pPr>
            <w:r>
              <w:rPr>
                <w:rFonts w:ascii="Arial" w:cs="Arial" w:eastAsia="Arial" w:hAnsi="Arial"/>
                <w:sz w:val="18"/>
                <w:szCs w:val="18"/>
                <w:color w:val="auto"/>
              </w:rPr>
              <w:t>Provision for write-off of property, plant and equipment</w:t>
            </w:r>
          </w:p>
        </w:tc>
        <w:tc>
          <w:tcPr>
            <w:tcW w:w="1460" w:type="dxa"/>
            <w:vAlign w:val="bottom"/>
            <w:shd w:val="clear" w:color="auto" w:fill="BFBFBF"/>
          </w:tcPr>
          <w:p>
            <w:pPr>
              <w:jc w:val="right"/>
              <w:spacing w:after="0" w:line="202" w:lineRule="exact"/>
              <w:rPr>
                <w:sz w:val="20"/>
                <w:szCs w:val="20"/>
                <w:color w:val="auto"/>
              </w:rPr>
            </w:pPr>
            <w:r>
              <w:rPr>
                <w:rFonts w:ascii="Arial" w:cs="Arial" w:eastAsia="Arial" w:hAnsi="Arial"/>
                <w:sz w:val="18"/>
                <w:szCs w:val="18"/>
                <w:color w:val="auto"/>
              </w:rPr>
              <w:t>271</w:t>
            </w:r>
          </w:p>
        </w:tc>
        <w:tc>
          <w:tcPr>
            <w:tcW w:w="120" w:type="dxa"/>
            <w:vAlign w:val="bottom"/>
            <w:shd w:val="clear" w:color="auto" w:fill="BFBFBF"/>
          </w:tcPr>
          <w:p>
            <w:pPr>
              <w:spacing w:after="0"/>
              <w:rPr>
                <w:sz w:val="17"/>
                <w:szCs w:val="17"/>
                <w:color w:val="auto"/>
              </w:rPr>
            </w:pPr>
          </w:p>
        </w:tc>
        <w:tc>
          <w:tcPr>
            <w:tcW w:w="900" w:type="dxa"/>
            <w:vAlign w:val="bottom"/>
            <w:shd w:val="clear" w:color="auto" w:fill="BFBFBF"/>
          </w:tcPr>
          <w:p>
            <w:pPr>
              <w:spacing w:after="0"/>
              <w:rPr>
                <w:sz w:val="17"/>
                <w:szCs w:val="17"/>
                <w:color w:val="auto"/>
              </w:rPr>
            </w:pPr>
          </w:p>
        </w:tc>
        <w:tc>
          <w:tcPr>
            <w:tcW w:w="760" w:type="dxa"/>
            <w:vAlign w:val="bottom"/>
            <w:shd w:val="clear" w:color="auto" w:fill="BFBFBF"/>
          </w:tcPr>
          <w:p>
            <w:pPr>
              <w:jc w:val="right"/>
              <w:spacing w:after="0" w:line="202" w:lineRule="exact"/>
              <w:rPr>
                <w:sz w:val="20"/>
                <w:szCs w:val="20"/>
                <w:color w:val="auto"/>
              </w:rPr>
            </w:pPr>
            <w:r>
              <w:rPr>
                <w:rFonts w:ascii="Arial" w:cs="Arial" w:eastAsia="Arial" w:hAnsi="Arial"/>
                <w:sz w:val="18"/>
                <w:szCs w:val="18"/>
                <w:color w:val="auto"/>
              </w:rPr>
              <w:t>296</w:t>
            </w:r>
          </w:p>
        </w:tc>
        <w:tc>
          <w:tcPr>
            <w:tcW w:w="20" w:type="dxa"/>
            <w:vAlign w:val="bottom"/>
            <w:shd w:val="clear" w:color="auto" w:fill="BFBFBF"/>
          </w:tcPr>
          <w:p>
            <w:pPr>
              <w:spacing w:after="0"/>
              <w:rPr>
                <w:sz w:val="17"/>
                <w:szCs w:val="17"/>
                <w:color w:val="auto"/>
              </w:rPr>
            </w:pPr>
          </w:p>
        </w:tc>
        <w:tc>
          <w:tcPr>
            <w:tcW w:w="40" w:type="dxa"/>
            <w:vAlign w:val="bottom"/>
            <w:shd w:val="clear" w:color="auto" w:fill="BFBFB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100" w:type="dxa"/>
            <w:vAlign w:val="bottom"/>
          </w:tcPr>
          <w:p>
            <w:pPr>
              <w:ind w:left="160"/>
              <w:spacing w:after="0" w:line="202" w:lineRule="exact"/>
              <w:rPr>
                <w:sz w:val="20"/>
                <w:szCs w:val="20"/>
                <w:color w:val="auto"/>
              </w:rPr>
            </w:pPr>
            <w:r>
              <w:rPr>
                <w:rFonts w:ascii="Arial" w:cs="Arial" w:eastAsia="Arial" w:hAnsi="Arial"/>
                <w:sz w:val="18"/>
                <w:szCs w:val="18"/>
                <w:color w:val="auto"/>
              </w:rPr>
              <w:t>Non-cash interest expense</w:t>
            </w:r>
          </w:p>
        </w:tc>
        <w:tc>
          <w:tcPr>
            <w:tcW w:w="14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211</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100" w:type="dxa"/>
            <w:vAlign w:val="bottom"/>
            <w:shd w:val="clear" w:color="auto" w:fill="BFBFBF"/>
          </w:tcPr>
          <w:p>
            <w:pPr>
              <w:ind w:left="160"/>
              <w:spacing w:after="0" w:line="202" w:lineRule="exact"/>
              <w:rPr>
                <w:sz w:val="20"/>
                <w:szCs w:val="20"/>
                <w:color w:val="auto"/>
              </w:rPr>
            </w:pPr>
            <w:r>
              <w:rPr>
                <w:rFonts w:ascii="Arial" w:cs="Arial" w:eastAsia="Arial" w:hAnsi="Arial"/>
                <w:sz w:val="18"/>
                <w:szCs w:val="18"/>
                <w:color w:val="auto"/>
              </w:rPr>
              <w:t>Compensation and benefits paid or payable in Class A Common Stock</w:t>
            </w:r>
          </w:p>
        </w:tc>
        <w:tc>
          <w:tcPr>
            <w:tcW w:w="1460" w:type="dxa"/>
            <w:vAlign w:val="bottom"/>
            <w:shd w:val="clear" w:color="auto" w:fill="BFBFBF"/>
          </w:tcPr>
          <w:p>
            <w:pPr>
              <w:jc w:val="right"/>
              <w:spacing w:after="0" w:line="202" w:lineRule="exact"/>
              <w:rPr>
                <w:sz w:val="20"/>
                <w:szCs w:val="20"/>
                <w:color w:val="auto"/>
              </w:rPr>
            </w:pPr>
            <w:r>
              <w:rPr>
                <w:rFonts w:ascii="Arial" w:cs="Arial" w:eastAsia="Arial" w:hAnsi="Arial"/>
                <w:sz w:val="18"/>
                <w:szCs w:val="18"/>
                <w:color w:val="auto"/>
              </w:rPr>
              <w:t>289</w:t>
            </w:r>
          </w:p>
        </w:tc>
        <w:tc>
          <w:tcPr>
            <w:tcW w:w="120" w:type="dxa"/>
            <w:vAlign w:val="bottom"/>
            <w:shd w:val="clear" w:color="auto" w:fill="BFBFBF"/>
          </w:tcPr>
          <w:p>
            <w:pPr>
              <w:spacing w:after="0"/>
              <w:rPr>
                <w:sz w:val="17"/>
                <w:szCs w:val="17"/>
                <w:color w:val="auto"/>
              </w:rPr>
            </w:pPr>
          </w:p>
        </w:tc>
        <w:tc>
          <w:tcPr>
            <w:tcW w:w="900" w:type="dxa"/>
            <w:vAlign w:val="bottom"/>
            <w:shd w:val="clear" w:color="auto" w:fill="BFBFBF"/>
          </w:tcPr>
          <w:p>
            <w:pPr>
              <w:spacing w:after="0"/>
              <w:rPr>
                <w:sz w:val="17"/>
                <w:szCs w:val="17"/>
                <w:color w:val="auto"/>
              </w:rPr>
            </w:pPr>
          </w:p>
        </w:tc>
        <w:tc>
          <w:tcPr>
            <w:tcW w:w="760" w:type="dxa"/>
            <w:vAlign w:val="bottom"/>
            <w:shd w:val="clear" w:color="auto" w:fill="BFBFBF"/>
          </w:tcPr>
          <w:p>
            <w:pPr>
              <w:jc w:val="right"/>
              <w:spacing w:after="0" w:line="202" w:lineRule="exact"/>
              <w:rPr>
                <w:sz w:val="20"/>
                <w:szCs w:val="20"/>
                <w:color w:val="auto"/>
              </w:rPr>
            </w:pPr>
            <w:r>
              <w:rPr>
                <w:rFonts w:ascii="Arial" w:cs="Arial" w:eastAsia="Arial" w:hAnsi="Arial"/>
                <w:sz w:val="18"/>
                <w:szCs w:val="18"/>
                <w:color w:val="auto"/>
              </w:rPr>
              <w:t>989</w:t>
            </w:r>
          </w:p>
        </w:tc>
        <w:tc>
          <w:tcPr>
            <w:tcW w:w="20" w:type="dxa"/>
            <w:vAlign w:val="bottom"/>
            <w:shd w:val="clear" w:color="auto" w:fill="BFBFBF"/>
          </w:tcPr>
          <w:p>
            <w:pPr>
              <w:spacing w:after="0"/>
              <w:rPr>
                <w:sz w:val="17"/>
                <w:szCs w:val="17"/>
                <w:color w:val="auto"/>
              </w:rPr>
            </w:pPr>
          </w:p>
        </w:tc>
        <w:tc>
          <w:tcPr>
            <w:tcW w:w="40" w:type="dxa"/>
            <w:vAlign w:val="bottom"/>
            <w:shd w:val="clear" w:color="auto" w:fill="BFBFB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100" w:type="dxa"/>
            <w:vAlign w:val="bottom"/>
          </w:tcPr>
          <w:p>
            <w:pPr>
              <w:ind w:left="160"/>
              <w:spacing w:after="0" w:line="202" w:lineRule="exact"/>
              <w:rPr>
                <w:sz w:val="20"/>
                <w:szCs w:val="20"/>
                <w:color w:val="auto"/>
              </w:rPr>
            </w:pPr>
            <w:r>
              <w:rPr>
                <w:rFonts w:ascii="Arial" w:cs="Arial" w:eastAsia="Arial" w:hAnsi="Arial"/>
                <w:sz w:val="18"/>
                <w:szCs w:val="18"/>
                <w:color w:val="auto"/>
              </w:rPr>
              <w:t>Fair value adjustment on foreign currency option</w:t>
            </w:r>
          </w:p>
        </w:tc>
        <w:tc>
          <w:tcPr>
            <w:tcW w:w="158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37</w:t>
            </w:r>
          </w:p>
        </w:tc>
        <w:tc>
          <w:tcPr>
            <w:tcW w:w="900" w:type="dxa"/>
            <w:vAlign w:val="bottom"/>
          </w:tcPr>
          <w:p>
            <w:pPr>
              <w:spacing w:after="0"/>
              <w:rPr>
                <w:sz w:val="17"/>
                <w:szCs w:val="17"/>
                <w:color w:val="auto"/>
              </w:rPr>
            </w:pPr>
          </w:p>
        </w:tc>
        <w:tc>
          <w:tcPr>
            <w:tcW w:w="7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54</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100" w:type="dxa"/>
            <w:vAlign w:val="bottom"/>
            <w:shd w:val="clear" w:color="auto" w:fill="BFBFBF"/>
          </w:tcPr>
          <w:p>
            <w:pPr>
              <w:spacing w:after="0"/>
              <w:rPr>
                <w:sz w:val="17"/>
                <w:szCs w:val="17"/>
                <w:color w:val="auto"/>
              </w:rPr>
            </w:pPr>
          </w:p>
        </w:tc>
        <w:tc>
          <w:tcPr>
            <w:tcW w:w="1460" w:type="dxa"/>
            <w:vAlign w:val="bottom"/>
            <w:shd w:val="clear" w:color="auto" w:fill="BFBFBF"/>
          </w:tcPr>
          <w:p>
            <w:pPr>
              <w:spacing w:after="0"/>
              <w:rPr>
                <w:sz w:val="17"/>
                <w:szCs w:val="17"/>
                <w:color w:val="auto"/>
              </w:rPr>
            </w:pPr>
          </w:p>
        </w:tc>
        <w:tc>
          <w:tcPr>
            <w:tcW w:w="120" w:type="dxa"/>
            <w:vAlign w:val="bottom"/>
            <w:shd w:val="clear" w:color="auto" w:fill="BFBFBF"/>
          </w:tcPr>
          <w:p>
            <w:pPr>
              <w:spacing w:after="0"/>
              <w:rPr>
                <w:sz w:val="17"/>
                <w:szCs w:val="17"/>
                <w:color w:val="auto"/>
              </w:rPr>
            </w:pPr>
          </w:p>
        </w:tc>
        <w:tc>
          <w:tcPr>
            <w:tcW w:w="900" w:type="dxa"/>
            <w:vAlign w:val="bottom"/>
            <w:shd w:val="clear" w:color="auto" w:fill="BFBFBF"/>
          </w:tcPr>
          <w:p>
            <w:pPr>
              <w:spacing w:after="0"/>
              <w:rPr>
                <w:sz w:val="17"/>
                <w:szCs w:val="17"/>
                <w:color w:val="auto"/>
              </w:rPr>
            </w:pPr>
          </w:p>
        </w:tc>
        <w:tc>
          <w:tcPr>
            <w:tcW w:w="760" w:type="dxa"/>
            <w:vAlign w:val="bottom"/>
            <w:shd w:val="clear" w:color="auto" w:fill="BFBFBF"/>
          </w:tcPr>
          <w:p>
            <w:pPr>
              <w:spacing w:after="0"/>
              <w:rPr>
                <w:sz w:val="17"/>
                <w:szCs w:val="17"/>
                <w:color w:val="auto"/>
              </w:rPr>
            </w:pPr>
          </w:p>
        </w:tc>
        <w:tc>
          <w:tcPr>
            <w:tcW w:w="20" w:type="dxa"/>
            <w:vAlign w:val="bottom"/>
            <w:shd w:val="clear" w:color="auto" w:fill="BFBFBF"/>
          </w:tcPr>
          <w:p>
            <w:pPr>
              <w:spacing w:after="0"/>
              <w:rPr>
                <w:sz w:val="17"/>
                <w:szCs w:val="17"/>
                <w:color w:val="auto"/>
              </w:rPr>
            </w:pPr>
          </w:p>
        </w:tc>
        <w:tc>
          <w:tcPr>
            <w:tcW w:w="40" w:type="dxa"/>
            <w:vAlign w:val="bottom"/>
            <w:shd w:val="clear" w:color="auto" w:fill="BFBFB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100" w:type="dxa"/>
            <w:vAlign w:val="bottom"/>
          </w:tcPr>
          <w:p>
            <w:pPr>
              <w:ind w:left="40"/>
              <w:spacing w:after="0" w:line="202" w:lineRule="exact"/>
              <w:rPr>
                <w:sz w:val="20"/>
                <w:szCs w:val="20"/>
                <w:color w:val="auto"/>
              </w:rPr>
            </w:pPr>
            <w:r>
              <w:rPr>
                <w:rFonts w:ascii="Arial" w:cs="Arial" w:eastAsia="Arial" w:hAnsi="Arial"/>
                <w:sz w:val="18"/>
                <w:szCs w:val="18"/>
                <w:color w:val="auto"/>
              </w:rPr>
              <w:t>Changes in operating assets and liabilities that (used)/provided cash:</w:t>
            </w:r>
          </w:p>
        </w:tc>
        <w:tc>
          <w:tcPr>
            <w:tcW w:w="1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100" w:type="dxa"/>
            <w:vAlign w:val="bottom"/>
            <w:shd w:val="clear" w:color="auto" w:fill="BFBFBF"/>
          </w:tcPr>
          <w:p>
            <w:pPr>
              <w:ind w:left="160"/>
              <w:spacing w:after="0" w:line="202" w:lineRule="exact"/>
              <w:rPr>
                <w:sz w:val="20"/>
                <w:szCs w:val="20"/>
                <w:color w:val="auto"/>
              </w:rPr>
            </w:pPr>
            <w:r>
              <w:rPr>
                <w:rFonts w:ascii="Arial" w:cs="Arial" w:eastAsia="Arial" w:hAnsi="Arial"/>
                <w:sz w:val="18"/>
                <w:szCs w:val="18"/>
                <w:color w:val="auto"/>
              </w:rPr>
              <w:t>Accounts receivable</w:t>
            </w:r>
          </w:p>
        </w:tc>
        <w:tc>
          <w:tcPr>
            <w:tcW w:w="1580" w:type="dxa"/>
            <w:vAlign w:val="bottom"/>
            <w:gridSpan w:val="2"/>
            <w:shd w:val="clear" w:color="auto" w:fill="BFBFBF"/>
          </w:tcPr>
          <w:p>
            <w:pPr>
              <w:jc w:val="right"/>
              <w:spacing w:after="0" w:line="202" w:lineRule="exact"/>
              <w:rPr>
                <w:sz w:val="20"/>
                <w:szCs w:val="20"/>
                <w:color w:val="auto"/>
              </w:rPr>
            </w:pPr>
            <w:r>
              <w:rPr>
                <w:rFonts w:ascii="Arial" w:cs="Arial" w:eastAsia="Arial" w:hAnsi="Arial"/>
                <w:sz w:val="18"/>
                <w:szCs w:val="18"/>
                <w:color w:val="auto"/>
              </w:rPr>
              <w:t>(31,467)</w:t>
            </w:r>
          </w:p>
        </w:tc>
        <w:tc>
          <w:tcPr>
            <w:tcW w:w="900" w:type="dxa"/>
            <w:vAlign w:val="bottom"/>
            <w:shd w:val="clear" w:color="auto" w:fill="BFBFBF"/>
          </w:tcPr>
          <w:p>
            <w:pPr>
              <w:spacing w:after="0"/>
              <w:rPr>
                <w:sz w:val="17"/>
                <w:szCs w:val="17"/>
                <w:color w:val="auto"/>
              </w:rPr>
            </w:pPr>
          </w:p>
        </w:tc>
        <w:tc>
          <w:tcPr>
            <w:tcW w:w="820" w:type="dxa"/>
            <w:vAlign w:val="bottom"/>
            <w:gridSpan w:val="3"/>
            <w:shd w:val="clear" w:color="auto" w:fill="BFBFBF"/>
          </w:tcPr>
          <w:p>
            <w:pPr>
              <w:jc w:val="right"/>
              <w:spacing w:after="0" w:line="202" w:lineRule="exact"/>
              <w:rPr>
                <w:sz w:val="20"/>
                <w:szCs w:val="20"/>
                <w:color w:val="auto"/>
              </w:rPr>
            </w:pPr>
            <w:r>
              <w:rPr>
                <w:rFonts w:ascii="Arial" w:cs="Arial" w:eastAsia="Arial" w:hAnsi="Arial"/>
                <w:sz w:val="18"/>
                <w:szCs w:val="18"/>
                <w:color w:val="auto"/>
              </w:rPr>
              <w:t>(741)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100" w:type="dxa"/>
            <w:vAlign w:val="bottom"/>
          </w:tcPr>
          <w:p>
            <w:pPr>
              <w:ind w:left="160"/>
              <w:spacing w:after="0" w:line="202" w:lineRule="exact"/>
              <w:rPr>
                <w:sz w:val="20"/>
                <w:szCs w:val="20"/>
                <w:color w:val="auto"/>
              </w:rPr>
            </w:pPr>
            <w:r>
              <w:rPr>
                <w:rFonts w:ascii="Arial" w:cs="Arial" w:eastAsia="Arial" w:hAnsi="Arial"/>
                <w:sz w:val="18"/>
                <w:szCs w:val="18"/>
                <w:color w:val="auto"/>
              </w:rPr>
              <w:t>Contract assets</w:t>
            </w:r>
          </w:p>
        </w:tc>
        <w:tc>
          <w:tcPr>
            <w:tcW w:w="158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2,116</w:t>
            </w:r>
          </w:p>
        </w:tc>
        <w:tc>
          <w:tcPr>
            <w:tcW w:w="90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100" w:type="dxa"/>
            <w:vAlign w:val="bottom"/>
            <w:shd w:val="clear" w:color="auto" w:fill="BFBFBF"/>
          </w:tcPr>
          <w:p>
            <w:pPr>
              <w:ind w:left="160"/>
              <w:spacing w:after="0" w:line="202" w:lineRule="exact"/>
              <w:rPr>
                <w:sz w:val="20"/>
                <w:szCs w:val="20"/>
                <w:color w:val="auto"/>
              </w:rPr>
            </w:pPr>
            <w:r>
              <w:rPr>
                <w:rFonts w:ascii="Arial" w:cs="Arial" w:eastAsia="Arial" w:hAnsi="Arial"/>
                <w:sz w:val="18"/>
                <w:szCs w:val="18"/>
                <w:color w:val="auto"/>
              </w:rPr>
              <w:t>Inventories</w:t>
            </w:r>
          </w:p>
        </w:tc>
        <w:tc>
          <w:tcPr>
            <w:tcW w:w="1580" w:type="dxa"/>
            <w:vAlign w:val="bottom"/>
            <w:gridSpan w:val="2"/>
            <w:shd w:val="clear" w:color="auto" w:fill="BFBFBF"/>
          </w:tcPr>
          <w:p>
            <w:pPr>
              <w:jc w:val="right"/>
              <w:spacing w:after="0" w:line="202" w:lineRule="exact"/>
              <w:rPr>
                <w:sz w:val="20"/>
                <w:szCs w:val="20"/>
                <w:color w:val="auto"/>
              </w:rPr>
            </w:pPr>
            <w:r>
              <w:rPr>
                <w:rFonts w:ascii="Arial" w:cs="Arial" w:eastAsia="Arial" w:hAnsi="Arial"/>
                <w:sz w:val="18"/>
                <w:szCs w:val="18"/>
                <w:color w:val="auto"/>
              </w:rPr>
              <w:t>(9,244)</w:t>
            </w:r>
          </w:p>
        </w:tc>
        <w:tc>
          <w:tcPr>
            <w:tcW w:w="900" w:type="dxa"/>
            <w:vAlign w:val="bottom"/>
            <w:shd w:val="clear" w:color="auto" w:fill="BFBFBF"/>
          </w:tcPr>
          <w:p>
            <w:pPr>
              <w:spacing w:after="0"/>
              <w:rPr>
                <w:sz w:val="17"/>
                <w:szCs w:val="17"/>
                <w:color w:val="auto"/>
              </w:rPr>
            </w:pPr>
          </w:p>
        </w:tc>
        <w:tc>
          <w:tcPr>
            <w:tcW w:w="820" w:type="dxa"/>
            <w:vAlign w:val="bottom"/>
            <w:gridSpan w:val="3"/>
            <w:shd w:val="clear" w:color="auto" w:fill="BFBFBF"/>
          </w:tcPr>
          <w:p>
            <w:pPr>
              <w:jc w:val="right"/>
              <w:spacing w:after="0" w:line="202" w:lineRule="exact"/>
              <w:rPr>
                <w:sz w:val="20"/>
                <w:szCs w:val="20"/>
                <w:color w:val="auto"/>
              </w:rPr>
            </w:pPr>
            <w:r>
              <w:rPr>
                <w:rFonts w:ascii="Arial" w:cs="Arial" w:eastAsia="Arial" w:hAnsi="Arial"/>
                <w:sz w:val="18"/>
                <w:szCs w:val="18"/>
                <w:color w:val="auto"/>
              </w:rPr>
              <w:t>(14,921)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100" w:type="dxa"/>
            <w:vAlign w:val="bottom"/>
          </w:tcPr>
          <w:p>
            <w:pPr>
              <w:ind w:left="160"/>
              <w:spacing w:after="0" w:line="202" w:lineRule="exact"/>
              <w:rPr>
                <w:sz w:val="20"/>
                <w:szCs w:val="20"/>
                <w:color w:val="auto"/>
              </w:rPr>
            </w:pPr>
            <w:r>
              <w:rPr>
                <w:rFonts w:ascii="Arial" w:cs="Arial" w:eastAsia="Arial" w:hAnsi="Arial"/>
                <w:sz w:val="18"/>
                <w:szCs w:val="18"/>
                <w:color w:val="auto"/>
              </w:rPr>
              <w:t>Prepaid expenses and other current assets</w:t>
            </w:r>
          </w:p>
        </w:tc>
        <w:tc>
          <w:tcPr>
            <w:tcW w:w="15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(4,063)</w:t>
            </w:r>
          </w:p>
        </w:tc>
        <w:tc>
          <w:tcPr>
            <w:tcW w:w="900" w:type="dxa"/>
            <w:vAlign w:val="bottom"/>
          </w:tcPr>
          <w:p>
            <w:pPr>
              <w:spacing w:after="0"/>
              <w:rPr>
                <w:sz w:val="17"/>
                <w:szCs w:val="17"/>
                <w:color w:val="auto"/>
              </w:rPr>
            </w:pPr>
          </w:p>
        </w:tc>
        <w:tc>
          <w:tcPr>
            <w:tcW w:w="82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(1,917)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100" w:type="dxa"/>
            <w:vAlign w:val="bottom"/>
            <w:shd w:val="clear" w:color="auto" w:fill="BFBFBF"/>
          </w:tcPr>
          <w:p>
            <w:pPr>
              <w:ind w:left="160"/>
              <w:spacing w:after="0" w:line="202" w:lineRule="exact"/>
              <w:rPr>
                <w:sz w:val="20"/>
                <w:szCs w:val="20"/>
                <w:color w:val="auto"/>
              </w:rPr>
            </w:pPr>
            <w:r>
              <w:rPr>
                <w:rFonts w:ascii="Arial" w:cs="Arial" w:eastAsia="Arial" w:hAnsi="Arial"/>
                <w:sz w:val="18"/>
                <w:szCs w:val="18"/>
                <w:color w:val="auto"/>
              </w:rPr>
              <w:t>Income taxes prepaid and receivable</w:t>
            </w:r>
          </w:p>
        </w:tc>
        <w:tc>
          <w:tcPr>
            <w:tcW w:w="1460" w:type="dxa"/>
            <w:vAlign w:val="bottom"/>
            <w:shd w:val="clear" w:color="auto" w:fill="BFBFBF"/>
          </w:tcPr>
          <w:p>
            <w:pPr>
              <w:jc w:val="right"/>
              <w:spacing w:after="0" w:line="202" w:lineRule="exact"/>
              <w:rPr>
                <w:sz w:val="20"/>
                <w:szCs w:val="20"/>
                <w:color w:val="auto"/>
              </w:rPr>
            </w:pPr>
            <w:r>
              <w:rPr>
                <w:rFonts w:ascii="Arial" w:cs="Arial" w:eastAsia="Arial" w:hAnsi="Arial"/>
                <w:sz w:val="18"/>
                <w:szCs w:val="18"/>
                <w:color w:val="auto"/>
              </w:rPr>
              <w:t>102</w:t>
            </w:r>
          </w:p>
        </w:tc>
        <w:tc>
          <w:tcPr>
            <w:tcW w:w="120" w:type="dxa"/>
            <w:vAlign w:val="bottom"/>
            <w:shd w:val="clear" w:color="auto" w:fill="BFBFBF"/>
          </w:tcPr>
          <w:p>
            <w:pPr>
              <w:spacing w:after="0"/>
              <w:rPr>
                <w:sz w:val="17"/>
                <w:szCs w:val="17"/>
                <w:color w:val="auto"/>
              </w:rPr>
            </w:pPr>
          </w:p>
        </w:tc>
        <w:tc>
          <w:tcPr>
            <w:tcW w:w="900" w:type="dxa"/>
            <w:vAlign w:val="bottom"/>
            <w:shd w:val="clear" w:color="auto" w:fill="BFBFBF"/>
          </w:tcPr>
          <w:p>
            <w:pPr>
              <w:spacing w:after="0"/>
              <w:rPr>
                <w:sz w:val="17"/>
                <w:szCs w:val="17"/>
                <w:color w:val="auto"/>
              </w:rPr>
            </w:pPr>
          </w:p>
        </w:tc>
        <w:tc>
          <w:tcPr>
            <w:tcW w:w="760" w:type="dxa"/>
            <w:vAlign w:val="bottom"/>
            <w:shd w:val="clear" w:color="auto" w:fill="BFBFBF"/>
          </w:tcPr>
          <w:p>
            <w:pPr>
              <w:jc w:val="right"/>
              <w:spacing w:after="0" w:line="202" w:lineRule="exact"/>
              <w:rPr>
                <w:sz w:val="20"/>
                <w:szCs w:val="20"/>
                <w:color w:val="auto"/>
              </w:rPr>
            </w:pPr>
            <w:r>
              <w:rPr>
                <w:rFonts w:ascii="Arial" w:cs="Arial" w:eastAsia="Arial" w:hAnsi="Arial"/>
                <w:sz w:val="18"/>
                <w:szCs w:val="18"/>
                <w:color w:val="auto"/>
              </w:rPr>
              <w:t>-</w:t>
            </w:r>
          </w:p>
        </w:tc>
        <w:tc>
          <w:tcPr>
            <w:tcW w:w="20" w:type="dxa"/>
            <w:vAlign w:val="bottom"/>
            <w:shd w:val="clear" w:color="auto" w:fill="BFBFBF"/>
          </w:tcPr>
          <w:p>
            <w:pPr>
              <w:spacing w:after="0"/>
              <w:rPr>
                <w:sz w:val="17"/>
                <w:szCs w:val="17"/>
                <w:color w:val="auto"/>
              </w:rPr>
            </w:pPr>
          </w:p>
        </w:tc>
        <w:tc>
          <w:tcPr>
            <w:tcW w:w="40" w:type="dxa"/>
            <w:vAlign w:val="bottom"/>
            <w:shd w:val="clear" w:color="auto" w:fill="BFBFB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100" w:type="dxa"/>
            <w:vAlign w:val="bottom"/>
          </w:tcPr>
          <w:p>
            <w:pPr>
              <w:ind w:left="160"/>
              <w:spacing w:after="0" w:line="202" w:lineRule="exact"/>
              <w:rPr>
                <w:sz w:val="20"/>
                <w:szCs w:val="20"/>
                <w:color w:val="auto"/>
              </w:rPr>
            </w:pPr>
            <w:r>
              <w:rPr>
                <w:rFonts w:ascii="Arial" w:cs="Arial" w:eastAsia="Arial" w:hAnsi="Arial"/>
                <w:sz w:val="18"/>
                <w:szCs w:val="18"/>
                <w:color w:val="auto"/>
              </w:rPr>
              <w:t>Accounts payable</w:t>
            </w:r>
          </w:p>
        </w:tc>
        <w:tc>
          <w:tcPr>
            <w:tcW w:w="15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(2,538)</w:t>
            </w:r>
          </w:p>
        </w:tc>
        <w:tc>
          <w:tcPr>
            <w:tcW w:w="900" w:type="dxa"/>
            <w:vAlign w:val="bottom"/>
          </w:tcPr>
          <w:p>
            <w:pPr>
              <w:spacing w:after="0"/>
              <w:rPr>
                <w:sz w:val="17"/>
                <w:szCs w:val="17"/>
                <w:color w:val="auto"/>
              </w:rPr>
            </w:pPr>
          </w:p>
        </w:tc>
        <w:tc>
          <w:tcPr>
            <w:tcW w:w="7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3,524</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100" w:type="dxa"/>
            <w:vAlign w:val="bottom"/>
            <w:shd w:val="clear" w:color="auto" w:fill="BFBFBF"/>
          </w:tcPr>
          <w:p>
            <w:pPr>
              <w:ind w:left="160"/>
              <w:spacing w:after="0" w:line="202" w:lineRule="exact"/>
              <w:rPr>
                <w:sz w:val="20"/>
                <w:szCs w:val="20"/>
                <w:color w:val="auto"/>
              </w:rPr>
            </w:pPr>
            <w:r>
              <w:rPr>
                <w:rFonts w:ascii="Arial" w:cs="Arial" w:eastAsia="Arial" w:hAnsi="Arial"/>
                <w:sz w:val="18"/>
                <w:szCs w:val="18"/>
                <w:color w:val="auto"/>
              </w:rPr>
              <w:t>Accrued liabilities</w:t>
            </w:r>
          </w:p>
        </w:tc>
        <w:tc>
          <w:tcPr>
            <w:tcW w:w="1580" w:type="dxa"/>
            <w:vAlign w:val="bottom"/>
            <w:gridSpan w:val="2"/>
            <w:shd w:val="clear" w:color="auto" w:fill="BFBFBF"/>
          </w:tcPr>
          <w:p>
            <w:pPr>
              <w:jc w:val="right"/>
              <w:spacing w:after="0" w:line="202" w:lineRule="exact"/>
              <w:rPr>
                <w:sz w:val="20"/>
                <w:szCs w:val="20"/>
                <w:color w:val="auto"/>
              </w:rPr>
            </w:pPr>
            <w:r>
              <w:rPr>
                <w:rFonts w:ascii="Arial" w:cs="Arial" w:eastAsia="Arial" w:hAnsi="Arial"/>
                <w:sz w:val="18"/>
                <w:szCs w:val="18"/>
                <w:color w:val="auto"/>
              </w:rPr>
              <w:t>(1,185)</w:t>
            </w:r>
          </w:p>
        </w:tc>
        <w:tc>
          <w:tcPr>
            <w:tcW w:w="900" w:type="dxa"/>
            <w:vAlign w:val="bottom"/>
            <w:shd w:val="clear" w:color="auto" w:fill="BFBFBF"/>
          </w:tcPr>
          <w:p>
            <w:pPr>
              <w:spacing w:after="0"/>
              <w:rPr>
                <w:sz w:val="17"/>
                <w:szCs w:val="17"/>
                <w:color w:val="auto"/>
              </w:rPr>
            </w:pPr>
          </w:p>
        </w:tc>
        <w:tc>
          <w:tcPr>
            <w:tcW w:w="820" w:type="dxa"/>
            <w:vAlign w:val="bottom"/>
            <w:gridSpan w:val="3"/>
            <w:shd w:val="clear" w:color="auto" w:fill="BFBFBF"/>
          </w:tcPr>
          <w:p>
            <w:pPr>
              <w:jc w:val="right"/>
              <w:spacing w:after="0" w:line="202" w:lineRule="exact"/>
              <w:rPr>
                <w:sz w:val="20"/>
                <w:szCs w:val="20"/>
                <w:color w:val="auto"/>
              </w:rPr>
            </w:pPr>
            <w:r>
              <w:rPr>
                <w:rFonts w:ascii="Arial" w:cs="Arial" w:eastAsia="Arial" w:hAnsi="Arial"/>
                <w:sz w:val="18"/>
                <w:szCs w:val="18"/>
                <w:color w:val="auto"/>
              </w:rPr>
              <w:t>(10,971)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100" w:type="dxa"/>
            <w:vAlign w:val="bottom"/>
          </w:tcPr>
          <w:p>
            <w:pPr>
              <w:ind w:left="160"/>
              <w:spacing w:after="0" w:line="202" w:lineRule="exact"/>
              <w:rPr>
                <w:sz w:val="20"/>
                <w:szCs w:val="20"/>
                <w:color w:val="auto"/>
              </w:rPr>
            </w:pPr>
            <w:r>
              <w:rPr>
                <w:rFonts w:ascii="Arial" w:cs="Arial" w:eastAsia="Arial" w:hAnsi="Arial"/>
                <w:sz w:val="18"/>
                <w:szCs w:val="18"/>
                <w:color w:val="auto"/>
              </w:rPr>
              <w:t>Income taxes payable</w:t>
            </w:r>
          </w:p>
        </w:tc>
        <w:tc>
          <w:tcPr>
            <w:tcW w:w="15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(3,431)</w:t>
            </w:r>
          </w:p>
        </w:tc>
        <w:tc>
          <w:tcPr>
            <w:tcW w:w="900" w:type="dxa"/>
            <w:vAlign w:val="bottom"/>
          </w:tcPr>
          <w:p>
            <w:pPr>
              <w:spacing w:after="0"/>
              <w:rPr>
                <w:sz w:val="17"/>
                <w:szCs w:val="17"/>
                <w:color w:val="auto"/>
              </w:rPr>
            </w:pPr>
          </w:p>
        </w:tc>
        <w:tc>
          <w:tcPr>
            <w:tcW w:w="82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(2,486)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100" w:type="dxa"/>
            <w:vAlign w:val="bottom"/>
            <w:shd w:val="clear" w:color="auto" w:fill="BFBFBF"/>
          </w:tcPr>
          <w:p>
            <w:pPr>
              <w:ind w:left="160"/>
              <w:spacing w:after="0" w:line="202" w:lineRule="exact"/>
              <w:rPr>
                <w:sz w:val="20"/>
                <w:szCs w:val="20"/>
                <w:color w:val="auto"/>
              </w:rPr>
            </w:pPr>
            <w:r>
              <w:rPr>
                <w:rFonts w:ascii="Arial" w:cs="Arial" w:eastAsia="Arial" w:hAnsi="Arial"/>
                <w:sz w:val="18"/>
                <w:szCs w:val="18"/>
                <w:color w:val="auto"/>
              </w:rPr>
              <w:t>Noncurrent receivables</w:t>
            </w:r>
          </w:p>
        </w:tc>
        <w:tc>
          <w:tcPr>
            <w:tcW w:w="1580" w:type="dxa"/>
            <w:vAlign w:val="bottom"/>
            <w:gridSpan w:val="2"/>
            <w:shd w:val="clear" w:color="auto" w:fill="BFBFBF"/>
          </w:tcPr>
          <w:p>
            <w:pPr>
              <w:jc w:val="right"/>
              <w:ind w:right="40"/>
              <w:spacing w:after="0" w:line="202" w:lineRule="exact"/>
              <w:rPr>
                <w:sz w:val="20"/>
                <w:szCs w:val="20"/>
                <w:color w:val="auto"/>
              </w:rPr>
            </w:pPr>
            <w:r>
              <w:rPr>
                <w:rFonts w:ascii="Arial" w:cs="Arial" w:eastAsia="Arial" w:hAnsi="Arial"/>
                <w:sz w:val="18"/>
                <w:szCs w:val="18"/>
                <w:color w:val="auto"/>
              </w:rPr>
              <w:t>2,527</w:t>
            </w:r>
          </w:p>
        </w:tc>
        <w:tc>
          <w:tcPr>
            <w:tcW w:w="900" w:type="dxa"/>
            <w:vAlign w:val="bottom"/>
            <w:shd w:val="clear" w:color="auto" w:fill="BFBFBF"/>
          </w:tcPr>
          <w:p>
            <w:pPr>
              <w:spacing w:after="0"/>
              <w:rPr>
                <w:sz w:val="17"/>
                <w:szCs w:val="17"/>
                <w:color w:val="auto"/>
              </w:rPr>
            </w:pPr>
          </w:p>
        </w:tc>
        <w:tc>
          <w:tcPr>
            <w:tcW w:w="820" w:type="dxa"/>
            <w:vAlign w:val="bottom"/>
            <w:gridSpan w:val="3"/>
            <w:shd w:val="clear" w:color="auto" w:fill="BFBFBF"/>
          </w:tcPr>
          <w:p>
            <w:pPr>
              <w:jc w:val="right"/>
              <w:spacing w:after="0" w:line="202" w:lineRule="exact"/>
              <w:rPr>
                <w:sz w:val="20"/>
                <w:szCs w:val="20"/>
                <w:color w:val="auto"/>
              </w:rPr>
            </w:pPr>
            <w:r>
              <w:rPr>
                <w:rFonts w:ascii="Arial" w:cs="Arial" w:eastAsia="Arial" w:hAnsi="Arial"/>
                <w:sz w:val="18"/>
                <w:szCs w:val="18"/>
                <w:color w:val="auto"/>
              </w:rPr>
              <w:t>(3,915)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160"/>
              <w:spacing w:after="0"/>
              <w:rPr>
                <w:sz w:val="20"/>
                <w:szCs w:val="20"/>
                <w:color w:val="auto"/>
              </w:rPr>
            </w:pPr>
            <w:r>
              <w:rPr>
                <w:rFonts w:ascii="Arial" w:cs="Arial" w:eastAsia="Arial" w:hAnsi="Arial"/>
                <w:sz w:val="18"/>
                <w:szCs w:val="18"/>
                <w:color w:val="auto"/>
              </w:rPr>
              <w:t>Other, net</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(2,630)</w:t>
            </w:r>
          </w:p>
        </w:tc>
        <w:tc>
          <w:tcPr>
            <w:tcW w:w="900" w:type="dxa"/>
            <w:vAlign w:val="bottom"/>
          </w:tcPr>
          <w:p>
            <w:pPr>
              <w:spacing w:after="0"/>
              <w:rPr>
                <w:sz w:val="18"/>
                <w:szCs w:val="18"/>
                <w:color w:val="auto"/>
              </w:rPr>
            </w:pPr>
          </w:p>
        </w:tc>
        <w:tc>
          <w:tcPr>
            <w:tcW w:w="820" w:type="dxa"/>
            <w:vAlign w:val="bottom"/>
            <w:gridSpan w:val="3"/>
          </w:tcPr>
          <w:p>
            <w:pPr>
              <w:jc w:val="right"/>
              <w:spacing w:after="0"/>
              <w:rPr>
                <w:sz w:val="20"/>
                <w:szCs w:val="20"/>
                <w:color w:val="auto"/>
              </w:rPr>
            </w:pPr>
            <w:r>
              <w:rPr>
                <w:rFonts w:ascii="Arial" w:cs="Arial" w:eastAsia="Arial" w:hAnsi="Arial"/>
                <w:sz w:val="18"/>
                <w:szCs w:val="18"/>
                <w:color w:val="auto"/>
              </w:rPr>
              <w:t>(754)</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100" w:type="dxa"/>
            <w:vAlign w:val="bottom"/>
            <w:tcBorders>
              <w:top w:val="single" w:sz="8" w:color="BFBFBF"/>
            </w:tcBorders>
            <w:shd w:val="clear" w:color="auto" w:fill="BFBFBF"/>
          </w:tcPr>
          <w:p>
            <w:pPr>
              <w:ind w:left="160"/>
              <w:spacing w:after="0" w:line="196" w:lineRule="exact"/>
              <w:rPr>
                <w:sz w:val="20"/>
                <w:szCs w:val="20"/>
                <w:color w:val="auto"/>
              </w:rPr>
            </w:pPr>
            <w:r>
              <w:rPr>
                <w:rFonts w:ascii="Arial" w:cs="Arial" w:eastAsia="Arial" w:hAnsi="Arial"/>
                <w:sz w:val="18"/>
                <w:szCs w:val="18"/>
                <w:color w:val="auto"/>
              </w:rPr>
              <w:t>Net cash used in operating activities</w:t>
            </w:r>
          </w:p>
        </w:tc>
        <w:tc>
          <w:tcPr>
            <w:tcW w:w="1460" w:type="dxa"/>
            <w:vAlign w:val="bottom"/>
            <w:tcBorders>
              <w:top w:val="single" w:sz="8" w:color="auto"/>
              <w:bottom w:val="single" w:sz="8" w:color="auto"/>
            </w:tcBorders>
            <w:shd w:val="clear" w:color="auto" w:fill="BFBFBF"/>
          </w:tcPr>
          <w:p>
            <w:pPr>
              <w:jc w:val="right"/>
              <w:spacing w:after="0" w:line="196" w:lineRule="exact"/>
              <w:rPr>
                <w:sz w:val="20"/>
                <w:szCs w:val="20"/>
                <w:color w:val="auto"/>
              </w:rPr>
            </w:pPr>
            <w:r>
              <w:rPr>
                <w:rFonts w:ascii="Arial" w:cs="Arial" w:eastAsia="Arial" w:hAnsi="Arial"/>
                <w:sz w:val="18"/>
                <w:szCs w:val="18"/>
                <w:color w:val="auto"/>
              </w:rPr>
              <w:t>(18,947</w:t>
            </w:r>
          </w:p>
        </w:tc>
        <w:tc>
          <w:tcPr>
            <w:tcW w:w="120" w:type="dxa"/>
            <w:vAlign w:val="bottom"/>
            <w:tcBorders>
              <w:top w:val="single" w:sz="8" w:color="BFBFBF"/>
            </w:tcBorders>
            <w:shd w:val="clear" w:color="auto" w:fill="BFBFBF"/>
          </w:tcPr>
          <w:p>
            <w:pPr>
              <w:jc w:val="right"/>
              <w:spacing w:after="0"/>
              <w:rPr>
                <w:sz w:val="20"/>
                <w:szCs w:val="20"/>
                <w:color w:val="auto"/>
              </w:rPr>
            </w:pPr>
            <w:r>
              <w:rPr>
                <w:rFonts w:ascii="Arial" w:cs="Arial" w:eastAsia="Arial" w:hAnsi="Arial"/>
                <w:sz w:val="16"/>
                <w:szCs w:val="16"/>
                <w:color w:val="auto"/>
                <w:w w:val="74"/>
              </w:rPr>
              <w:t>)</w:t>
            </w:r>
          </w:p>
        </w:tc>
        <w:tc>
          <w:tcPr>
            <w:tcW w:w="900" w:type="dxa"/>
            <w:vAlign w:val="bottom"/>
            <w:tcBorders>
              <w:top w:val="single" w:sz="8" w:color="BFBFBF"/>
            </w:tcBorders>
            <w:shd w:val="clear" w:color="auto" w:fill="BFBFBF"/>
          </w:tcPr>
          <w:p>
            <w:pPr>
              <w:spacing w:after="0"/>
              <w:rPr>
                <w:sz w:val="17"/>
                <w:szCs w:val="17"/>
                <w:color w:val="auto"/>
              </w:rPr>
            </w:pPr>
          </w:p>
        </w:tc>
        <w:tc>
          <w:tcPr>
            <w:tcW w:w="760" w:type="dxa"/>
            <w:vAlign w:val="bottom"/>
            <w:tcBorders>
              <w:top w:val="single" w:sz="8" w:color="auto"/>
              <w:bottom w:val="single" w:sz="8" w:color="auto"/>
            </w:tcBorders>
            <w:shd w:val="clear" w:color="auto" w:fill="BFBFBF"/>
          </w:tcPr>
          <w:p>
            <w:pPr>
              <w:jc w:val="right"/>
              <w:spacing w:after="0" w:line="196" w:lineRule="exact"/>
              <w:rPr>
                <w:sz w:val="20"/>
                <w:szCs w:val="20"/>
                <w:color w:val="auto"/>
              </w:rPr>
            </w:pPr>
            <w:r>
              <w:rPr>
                <w:rFonts w:ascii="Arial" w:cs="Arial" w:eastAsia="Arial" w:hAnsi="Arial"/>
                <w:sz w:val="18"/>
                <w:szCs w:val="18"/>
                <w:color w:val="auto"/>
              </w:rPr>
              <w:t>(4,572</w:t>
            </w:r>
          </w:p>
        </w:tc>
        <w:tc>
          <w:tcPr>
            <w:tcW w:w="60" w:type="dxa"/>
            <w:vAlign w:val="bottom"/>
            <w:tcBorders>
              <w:top w:val="single" w:sz="8" w:color="BFBFBF"/>
            </w:tcBorders>
            <w:gridSpan w:val="2"/>
            <w:shd w:val="clear" w:color="auto" w:fill="BFBFB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399"/>
        </w:trPr>
        <w:tc>
          <w:tcPr>
            <w:tcW w:w="8120" w:type="dxa"/>
            <w:vAlign w:val="bottom"/>
            <w:gridSpan w:val="2"/>
          </w:tcPr>
          <w:p>
            <w:pPr>
              <w:spacing w:after="0"/>
              <w:rPr>
                <w:sz w:val="20"/>
                <w:szCs w:val="20"/>
                <w:color w:val="auto"/>
              </w:rPr>
            </w:pPr>
            <w:r>
              <w:rPr>
                <w:rFonts w:ascii="Arial" w:cs="Arial" w:eastAsia="Arial" w:hAnsi="Arial"/>
                <w:sz w:val="18"/>
                <w:szCs w:val="18"/>
                <w:color w:val="auto"/>
              </w:rPr>
              <w:t>INVESTING ACTIVITIES</w:t>
            </w:r>
          </w:p>
        </w:tc>
        <w:tc>
          <w:tcPr>
            <w:tcW w:w="1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100" w:type="dxa"/>
            <w:vAlign w:val="bottom"/>
            <w:shd w:val="clear" w:color="auto" w:fill="BFBFBF"/>
          </w:tcPr>
          <w:p>
            <w:pPr>
              <w:ind w:left="160"/>
              <w:spacing w:after="0" w:line="202" w:lineRule="exact"/>
              <w:rPr>
                <w:sz w:val="20"/>
                <w:szCs w:val="20"/>
                <w:color w:val="auto"/>
              </w:rPr>
            </w:pPr>
            <w:r>
              <w:rPr>
                <w:rFonts w:ascii="Arial" w:cs="Arial" w:eastAsia="Arial" w:hAnsi="Arial"/>
                <w:sz w:val="18"/>
                <w:szCs w:val="18"/>
                <w:color w:val="auto"/>
              </w:rPr>
              <w:t>Purchases of property, plant and equipment</w:t>
            </w:r>
          </w:p>
        </w:tc>
        <w:tc>
          <w:tcPr>
            <w:tcW w:w="1580" w:type="dxa"/>
            <w:vAlign w:val="bottom"/>
            <w:gridSpan w:val="2"/>
            <w:shd w:val="clear" w:color="auto" w:fill="BFBFBF"/>
          </w:tcPr>
          <w:p>
            <w:pPr>
              <w:jc w:val="right"/>
              <w:spacing w:after="0" w:line="202" w:lineRule="exact"/>
              <w:rPr>
                <w:sz w:val="20"/>
                <w:szCs w:val="20"/>
                <w:color w:val="auto"/>
              </w:rPr>
            </w:pPr>
            <w:r>
              <w:rPr>
                <w:rFonts w:ascii="Arial" w:cs="Arial" w:eastAsia="Arial" w:hAnsi="Arial"/>
                <w:sz w:val="18"/>
                <w:szCs w:val="18"/>
                <w:color w:val="auto"/>
              </w:rPr>
              <w:t>(15,771)</w:t>
            </w:r>
          </w:p>
        </w:tc>
        <w:tc>
          <w:tcPr>
            <w:tcW w:w="900" w:type="dxa"/>
            <w:vAlign w:val="bottom"/>
            <w:shd w:val="clear" w:color="auto" w:fill="BFBFBF"/>
          </w:tcPr>
          <w:p>
            <w:pPr>
              <w:spacing w:after="0"/>
              <w:rPr>
                <w:sz w:val="17"/>
                <w:szCs w:val="17"/>
                <w:color w:val="auto"/>
              </w:rPr>
            </w:pPr>
          </w:p>
        </w:tc>
        <w:tc>
          <w:tcPr>
            <w:tcW w:w="820" w:type="dxa"/>
            <w:vAlign w:val="bottom"/>
            <w:gridSpan w:val="3"/>
            <w:shd w:val="clear" w:color="auto" w:fill="BFBFBF"/>
          </w:tcPr>
          <w:p>
            <w:pPr>
              <w:jc w:val="right"/>
              <w:spacing w:after="0" w:line="202" w:lineRule="exact"/>
              <w:rPr>
                <w:sz w:val="20"/>
                <w:szCs w:val="20"/>
                <w:color w:val="auto"/>
              </w:rPr>
            </w:pPr>
            <w:r>
              <w:rPr>
                <w:rFonts w:ascii="Arial" w:cs="Arial" w:eastAsia="Arial" w:hAnsi="Arial"/>
                <w:sz w:val="18"/>
                <w:szCs w:val="18"/>
                <w:color w:val="auto"/>
              </w:rPr>
              <w:t>(25,045)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160"/>
              <w:spacing w:after="0"/>
              <w:rPr>
                <w:sz w:val="20"/>
                <w:szCs w:val="20"/>
                <w:color w:val="auto"/>
              </w:rPr>
            </w:pPr>
            <w:r>
              <w:rPr>
                <w:rFonts w:ascii="Arial" w:cs="Arial" w:eastAsia="Arial" w:hAnsi="Arial"/>
                <w:sz w:val="18"/>
                <w:szCs w:val="18"/>
                <w:color w:val="auto"/>
              </w:rPr>
              <w:t>Purchased software</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(29)</w:t>
            </w:r>
          </w:p>
        </w:tc>
        <w:tc>
          <w:tcPr>
            <w:tcW w:w="900" w:type="dxa"/>
            <w:vAlign w:val="bottom"/>
          </w:tcPr>
          <w:p>
            <w:pPr>
              <w:spacing w:after="0"/>
              <w:rPr>
                <w:sz w:val="18"/>
                <w:szCs w:val="18"/>
                <w:color w:val="auto"/>
              </w:rPr>
            </w:pPr>
          </w:p>
        </w:tc>
        <w:tc>
          <w:tcPr>
            <w:tcW w:w="820" w:type="dxa"/>
            <w:vAlign w:val="bottom"/>
            <w:gridSpan w:val="3"/>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100" w:type="dxa"/>
            <w:vAlign w:val="bottom"/>
            <w:tcBorders>
              <w:top w:val="single" w:sz="8" w:color="BFBFBF"/>
            </w:tcBorders>
            <w:shd w:val="clear" w:color="auto" w:fill="BFBFBF"/>
          </w:tcPr>
          <w:p>
            <w:pPr>
              <w:ind w:left="160"/>
              <w:spacing w:after="0" w:line="196" w:lineRule="exact"/>
              <w:rPr>
                <w:sz w:val="20"/>
                <w:szCs w:val="20"/>
                <w:color w:val="auto"/>
              </w:rPr>
            </w:pPr>
            <w:r>
              <w:rPr>
                <w:rFonts w:ascii="Arial" w:cs="Arial" w:eastAsia="Arial" w:hAnsi="Arial"/>
                <w:sz w:val="18"/>
                <w:szCs w:val="18"/>
                <w:color w:val="auto"/>
              </w:rPr>
              <w:t>Net cash used in investing activities</w:t>
            </w:r>
          </w:p>
        </w:tc>
        <w:tc>
          <w:tcPr>
            <w:tcW w:w="1460" w:type="dxa"/>
            <w:vAlign w:val="bottom"/>
            <w:tcBorders>
              <w:top w:val="single" w:sz="8" w:color="auto"/>
              <w:bottom w:val="single" w:sz="8" w:color="auto"/>
            </w:tcBorders>
            <w:shd w:val="clear" w:color="auto" w:fill="BFBFBF"/>
          </w:tcPr>
          <w:p>
            <w:pPr>
              <w:jc w:val="right"/>
              <w:spacing w:after="0" w:line="196" w:lineRule="exact"/>
              <w:rPr>
                <w:sz w:val="20"/>
                <w:szCs w:val="20"/>
                <w:color w:val="auto"/>
              </w:rPr>
            </w:pPr>
            <w:r>
              <w:rPr>
                <w:rFonts w:ascii="Arial" w:cs="Arial" w:eastAsia="Arial" w:hAnsi="Arial"/>
                <w:sz w:val="18"/>
                <w:szCs w:val="18"/>
                <w:color w:val="auto"/>
              </w:rPr>
              <w:t>(15,800</w:t>
            </w:r>
          </w:p>
        </w:tc>
        <w:tc>
          <w:tcPr>
            <w:tcW w:w="120" w:type="dxa"/>
            <w:vAlign w:val="bottom"/>
            <w:tcBorders>
              <w:top w:val="single" w:sz="8" w:color="BFBFBF"/>
            </w:tcBorders>
            <w:shd w:val="clear" w:color="auto" w:fill="BFBFBF"/>
          </w:tcPr>
          <w:p>
            <w:pPr>
              <w:jc w:val="right"/>
              <w:spacing w:after="0"/>
              <w:rPr>
                <w:sz w:val="20"/>
                <w:szCs w:val="20"/>
                <w:color w:val="auto"/>
              </w:rPr>
            </w:pPr>
            <w:r>
              <w:rPr>
                <w:rFonts w:ascii="Arial" w:cs="Arial" w:eastAsia="Arial" w:hAnsi="Arial"/>
                <w:sz w:val="16"/>
                <w:szCs w:val="16"/>
                <w:color w:val="auto"/>
                <w:w w:val="74"/>
              </w:rPr>
              <w:t>)</w:t>
            </w:r>
          </w:p>
        </w:tc>
        <w:tc>
          <w:tcPr>
            <w:tcW w:w="900" w:type="dxa"/>
            <w:vAlign w:val="bottom"/>
            <w:tcBorders>
              <w:top w:val="single" w:sz="8" w:color="BFBFBF"/>
            </w:tcBorders>
            <w:shd w:val="clear" w:color="auto" w:fill="BFBFBF"/>
          </w:tcPr>
          <w:p>
            <w:pPr>
              <w:spacing w:after="0"/>
              <w:rPr>
                <w:sz w:val="17"/>
                <w:szCs w:val="17"/>
                <w:color w:val="auto"/>
              </w:rPr>
            </w:pPr>
          </w:p>
        </w:tc>
        <w:tc>
          <w:tcPr>
            <w:tcW w:w="760" w:type="dxa"/>
            <w:vAlign w:val="bottom"/>
            <w:tcBorders>
              <w:top w:val="single" w:sz="8" w:color="auto"/>
              <w:bottom w:val="single" w:sz="8" w:color="auto"/>
            </w:tcBorders>
            <w:shd w:val="clear" w:color="auto" w:fill="BFBFBF"/>
          </w:tcPr>
          <w:p>
            <w:pPr>
              <w:jc w:val="right"/>
              <w:spacing w:after="0" w:line="196" w:lineRule="exact"/>
              <w:rPr>
                <w:sz w:val="20"/>
                <w:szCs w:val="20"/>
                <w:color w:val="auto"/>
              </w:rPr>
            </w:pPr>
            <w:r>
              <w:rPr>
                <w:rFonts w:ascii="Arial" w:cs="Arial" w:eastAsia="Arial" w:hAnsi="Arial"/>
                <w:sz w:val="18"/>
                <w:szCs w:val="18"/>
                <w:color w:val="auto"/>
              </w:rPr>
              <w:t>(25,083</w:t>
            </w:r>
          </w:p>
        </w:tc>
        <w:tc>
          <w:tcPr>
            <w:tcW w:w="60" w:type="dxa"/>
            <w:vAlign w:val="bottom"/>
            <w:tcBorders>
              <w:top w:val="single" w:sz="8" w:color="BFBFBF"/>
            </w:tcBorders>
            <w:gridSpan w:val="2"/>
            <w:shd w:val="clear" w:color="auto" w:fill="BFBFB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399"/>
        </w:trPr>
        <w:tc>
          <w:tcPr>
            <w:tcW w:w="8120" w:type="dxa"/>
            <w:vAlign w:val="bottom"/>
            <w:gridSpan w:val="2"/>
          </w:tcPr>
          <w:p>
            <w:pPr>
              <w:spacing w:after="0"/>
              <w:rPr>
                <w:sz w:val="20"/>
                <w:szCs w:val="20"/>
                <w:color w:val="auto"/>
              </w:rPr>
            </w:pPr>
            <w:r>
              <w:rPr>
                <w:rFonts w:ascii="Arial" w:cs="Arial" w:eastAsia="Arial" w:hAnsi="Arial"/>
                <w:sz w:val="18"/>
                <w:szCs w:val="18"/>
                <w:color w:val="auto"/>
              </w:rPr>
              <w:t>FINANCING ACTIVITIES</w:t>
            </w:r>
          </w:p>
        </w:tc>
        <w:tc>
          <w:tcPr>
            <w:tcW w:w="1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100" w:type="dxa"/>
            <w:vAlign w:val="bottom"/>
            <w:shd w:val="clear" w:color="auto" w:fill="BFBFBF"/>
          </w:tcPr>
          <w:p>
            <w:pPr>
              <w:ind w:left="160"/>
              <w:spacing w:after="0" w:line="202" w:lineRule="exact"/>
              <w:rPr>
                <w:sz w:val="20"/>
                <w:szCs w:val="20"/>
                <w:color w:val="auto"/>
              </w:rPr>
            </w:pPr>
            <w:r>
              <w:rPr>
                <w:rFonts w:ascii="Arial" w:cs="Arial" w:eastAsia="Arial" w:hAnsi="Arial"/>
                <w:sz w:val="18"/>
                <w:szCs w:val="18"/>
                <w:color w:val="auto"/>
              </w:rPr>
              <w:t>Proceeds from borrowings</w:t>
            </w:r>
          </w:p>
        </w:tc>
        <w:tc>
          <w:tcPr>
            <w:tcW w:w="1580" w:type="dxa"/>
            <w:vAlign w:val="bottom"/>
            <w:gridSpan w:val="2"/>
            <w:shd w:val="clear" w:color="auto" w:fill="BFBFBF"/>
          </w:tcPr>
          <w:p>
            <w:pPr>
              <w:jc w:val="right"/>
              <w:ind w:right="40"/>
              <w:spacing w:after="0" w:line="202" w:lineRule="exact"/>
              <w:rPr>
                <w:sz w:val="20"/>
                <w:szCs w:val="20"/>
                <w:color w:val="auto"/>
              </w:rPr>
            </w:pPr>
            <w:r>
              <w:rPr>
                <w:rFonts w:ascii="Arial" w:cs="Arial" w:eastAsia="Arial" w:hAnsi="Arial"/>
                <w:sz w:val="18"/>
                <w:szCs w:val="18"/>
                <w:color w:val="auto"/>
              </w:rPr>
              <w:t>13,011</w:t>
            </w:r>
          </w:p>
        </w:tc>
        <w:tc>
          <w:tcPr>
            <w:tcW w:w="900" w:type="dxa"/>
            <w:vAlign w:val="bottom"/>
            <w:shd w:val="clear" w:color="auto" w:fill="BFBFBF"/>
          </w:tcPr>
          <w:p>
            <w:pPr>
              <w:spacing w:after="0"/>
              <w:rPr>
                <w:sz w:val="17"/>
                <w:szCs w:val="17"/>
                <w:color w:val="auto"/>
              </w:rPr>
            </w:pPr>
          </w:p>
        </w:tc>
        <w:tc>
          <w:tcPr>
            <w:tcW w:w="780" w:type="dxa"/>
            <w:vAlign w:val="bottom"/>
            <w:gridSpan w:val="2"/>
            <w:shd w:val="clear" w:color="auto" w:fill="BFBFBF"/>
          </w:tcPr>
          <w:p>
            <w:pPr>
              <w:jc w:val="right"/>
              <w:spacing w:after="0" w:line="202" w:lineRule="exact"/>
              <w:rPr>
                <w:sz w:val="20"/>
                <w:szCs w:val="20"/>
                <w:color w:val="auto"/>
              </w:rPr>
            </w:pPr>
            <w:r>
              <w:rPr>
                <w:rFonts w:ascii="Arial" w:cs="Arial" w:eastAsia="Arial" w:hAnsi="Arial"/>
                <w:sz w:val="18"/>
                <w:szCs w:val="18"/>
                <w:color w:val="auto"/>
              </w:rPr>
              <w:t>16,145</w:t>
            </w:r>
          </w:p>
        </w:tc>
        <w:tc>
          <w:tcPr>
            <w:tcW w:w="40" w:type="dxa"/>
            <w:vAlign w:val="bottom"/>
            <w:shd w:val="clear" w:color="auto" w:fill="BFBFB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100" w:type="dxa"/>
            <w:vAlign w:val="bottom"/>
          </w:tcPr>
          <w:p>
            <w:pPr>
              <w:ind w:left="160"/>
              <w:spacing w:after="0" w:line="202" w:lineRule="exact"/>
              <w:rPr>
                <w:sz w:val="20"/>
                <w:szCs w:val="20"/>
                <w:color w:val="auto"/>
              </w:rPr>
            </w:pPr>
            <w:r>
              <w:rPr>
                <w:rFonts w:ascii="Arial" w:cs="Arial" w:eastAsia="Arial" w:hAnsi="Arial"/>
                <w:sz w:val="18"/>
                <w:szCs w:val="18"/>
                <w:color w:val="auto"/>
              </w:rPr>
              <w:t>Principal payments on debt</w:t>
            </w:r>
          </w:p>
        </w:tc>
        <w:tc>
          <w:tcPr>
            <w:tcW w:w="15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(8,490)</w:t>
            </w:r>
          </w:p>
        </w:tc>
        <w:tc>
          <w:tcPr>
            <w:tcW w:w="900" w:type="dxa"/>
            <w:vAlign w:val="bottom"/>
          </w:tcPr>
          <w:p>
            <w:pPr>
              <w:spacing w:after="0"/>
              <w:rPr>
                <w:sz w:val="17"/>
                <w:szCs w:val="17"/>
                <w:color w:val="auto"/>
              </w:rPr>
            </w:pPr>
          </w:p>
        </w:tc>
        <w:tc>
          <w:tcPr>
            <w:tcW w:w="82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(20,602)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100" w:type="dxa"/>
            <w:vAlign w:val="bottom"/>
            <w:shd w:val="clear" w:color="auto" w:fill="BFBFBF"/>
          </w:tcPr>
          <w:p>
            <w:pPr>
              <w:ind w:left="160"/>
              <w:spacing w:after="0" w:line="202" w:lineRule="exact"/>
              <w:rPr>
                <w:sz w:val="20"/>
                <w:szCs w:val="20"/>
                <w:color w:val="auto"/>
              </w:rPr>
            </w:pPr>
            <w:r>
              <w:rPr>
                <w:rFonts w:ascii="Arial" w:cs="Arial" w:eastAsia="Arial" w:hAnsi="Arial"/>
                <w:sz w:val="18"/>
                <w:szCs w:val="18"/>
                <w:color w:val="auto"/>
              </w:rPr>
              <w:t>Taxes paid in lieu of share issuance</w:t>
            </w:r>
          </w:p>
        </w:tc>
        <w:tc>
          <w:tcPr>
            <w:tcW w:w="1580" w:type="dxa"/>
            <w:vAlign w:val="bottom"/>
            <w:gridSpan w:val="2"/>
            <w:shd w:val="clear" w:color="auto" w:fill="BFBFBF"/>
          </w:tcPr>
          <w:p>
            <w:pPr>
              <w:jc w:val="right"/>
              <w:spacing w:after="0" w:line="202" w:lineRule="exact"/>
              <w:rPr>
                <w:sz w:val="20"/>
                <w:szCs w:val="20"/>
                <w:color w:val="auto"/>
              </w:rPr>
            </w:pPr>
            <w:r>
              <w:rPr>
                <w:rFonts w:ascii="Arial" w:cs="Arial" w:eastAsia="Arial" w:hAnsi="Arial"/>
                <w:sz w:val="18"/>
                <w:szCs w:val="18"/>
                <w:color w:val="auto"/>
              </w:rPr>
              <w:t>(1,652)</w:t>
            </w:r>
          </w:p>
        </w:tc>
        <w:tc>
          <w:tcPr>
            <w:tcW w:w="900" w:type="dxa"/>
            <w:vAlign w:val="bottom"/>
            <w:shd w:val="clear" w:color="auto" w:fill="BFBFBF"/>
          </w:tcPr>
          <w:p>
            <w:pPr>
              <w:spacing w:after="0"/>
              <w:rPr>
                <w:sz w:val="17"/>
                <w:szCs w:val="17"/>
                <w:color w:val="auto"/>
              </w:rPr>
            </w:pPr>
          </w:p>
        </w:tc>
        <w:tc>
          <w:tcPr>
            <w:tcW w:w="820" w:type="dxa"/>
            <w:vAlign w:val="bottom"/>
            <w:gridSpan w:val="3"/>
            <w:shd w:val="clear" w:color="auto" w:fill="BFBFBF"/>
          </w:tcPr>
          <w:p>
            <w:pPr>
              <w:jc w:val="right"/>
              <w:spacing w:after="0" w:line="202" w:lineRule="exact"/>
              <w:rPr>
                <w:sz w:val="20"/>
                <w:szCs w:val="20"/>
                <w:color w:val="auto"/>
              </w:rPr>
            </w:pPr>
            <w:r>
              <w:rPr>
                <w:rFonts w:ascii="Arial" w:cs="Arial" w:eastAsia="Arial" w:hAnsi="Arial"/>
                <w:sz w:val="18"/>
                <w:szCs w:val="18"/>
                <w:color w:val="auto"/>
              </w:rPr>
              <w:t>(1,364)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100" w:type="dxa"/>
            <w:vAlign w:val="bottom"/>
          </w:tcPr>
          <w:p>
            <w:pPr>
              <w:ind w:left="160"/>
              <w:spacing w:after="0" w:line="202" w:lineRule="exact"/>
              <w:rPr>
                <w:sz w:val="20"/>
                <w:szCs w:val="20"/>
                <w:color w:val="auto"/>
              </w:rPr>
            </w:pPr>
            <w:r>
              <w:rPr>
                <w:rFonts w:ascii="Arial" w:cs="Arial" w:eastAsia="Arial" w:hAnsi="Arial"/>
                <w:sz w:val="18"/>
                <w:szCs w:val="18"/>
                <w:color w:val="auto"/>
              </w:rPr>
              <w:t>Proceeds from options exercised</w:t>
            </w:r>
          </w:p>
        </w:tc>
        <w:tc>
          <w:tcPr>
            <w:tcW w:w="1460" w:type="dxa"/>
            <w:vAlign w:val="bottom"/>
          </w:tcPr>
          <w:p>
            <w:pPr>
              <w:jc w:val="right"/>
              <w:spacing w:after="0" w:line="202" w:lineRule="exact"/>
              <w:rPr>
                <w:sz w:val="20"/>
                <w:szCs w:val="20"/>
                <w:color w:val="auto"/>
              </w:rPr>
            </w:pPr>
            <w:r>
              <w:rPr>
                <w:rFonts w:ascii="Arial" w:cs="Arial" w:eastAsia="Arial" w:hAnsi="Arial"/>
                <w:sz w:val="18"/>
                <w:szCs w:val="18"/>
                <w:color w:val="auto"/>
              </w:rPr>
              <w:t>147</w:t>
            </w: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7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75</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BFBFBF"/>
          </w:tcPr>
          <w:p>
            <w:pPr>
              <w:ind w:left="160"/>
              <w:spacing w:after="0"/>
              <w:rPr>
                <w:sz w:val="20"/>
                <w:szCs w:val="20"/>
                <w:color w:val="auto"/>
              </w:rPr>
            </w:pPr>
            <w:r>
              <w:rPr>
                <w:rFonts w:ascii="Arial" w:cs="Arial" w:eastAsia="Arial" w:hAnsi="Arial"/>
                <w:sz w:val="18"/>
                <w:szCs w:val="18"/>
                <w:color w:val="auto"/>
              </w:rPr>
              <w:t>Dividends paid</w:t>
            </w:r>
          </w:p>
        </w:tc>
        <w:tc>
          <w:tcPr>
            <w:tcW w:w="1580" w:type="dxa"/>
            <w:vAlign w:val="bottom"/>
            <w:gridSpan w:val="2"/>
            <w:shd w:val="clear" w:color="auto" w:fill="BFBFBF"/>
          </w:tcPr>
          <w:p>
            <w:pPr>
              <w:jc w:val="right"/>
              <w:spacing w:after="0"/>
              <w:rPr>
                <w:sz w:val="20"/>
                <w:szCs w:val="20"/>
                <w:color w:val="auto"/>
              </w:rPr>
            </w:pPr>
            <w:r>
              <w:rPr>
                <w:rFonts w:ascii="Arial" w:cs="Arial" w:eastAsia="Arial" w:hAnsi="Arial"/>
                <w:sz w:val="18"/>
                <w:szCs w:val="18"/>
                <w:color w:val="auto"/>
              </w:rPr>
              <w:t>(5,474)</w:t>
            </w:r>
          </w:p>
        </w:tc>
        <w:tc>
          <w:tcPr>
            <w:tcW w:w="900" w:type="dxa"/>
            <w:vAlign w:val="bottom"/>
            <w:shd w:val="clear" w:color="auto" w:fill="BFBFBF"/>
          </w:tcPr>
          <w:p>
            <w:pPr>
              <w:spacing w:after="0"/>
              <w:rPr>
                <w:sz w:val="18"/>
                <w:szCs w:val="18"/>
                <w:color w:val="auto"/>
              </w:rPr>
            </w:pPr>
          </w:p>
        </w:tc>
        <w:tc>
          <w:tcPr>
            <w:tcW w:w="820" w:type="dxa"/>
            <w:vAlign w:val="bottom"/>
            <w:gridSpan w:val="3"/>
            <w:shd w:val="clear" w:color="auto" w:fill="BFBFBF"/>
          </w:tcPr>
          <w:p>
            <w:pPr>
              <w:jc w:val="right"/>
              <w:spacing w:after="0"/>
              <w:rPr>
                <w:sz w:val="20"/>
                <w:szCs w:val="20"/>
                <w:color w:val="auto"/>
              </w:rPr>
            </w:pPr>
            <w:r>
              <w:rPr>
                <w:rFonts w:ascii="Arial" w:cs="Arial" w:eastAsia="Arial" w:hAnsi="Arial"/>
                <w:sz w:val="18"/>
                <w:szCs w:val="18"/>
                <w:color w:val="auto"/>
              </w:rPr>
              <w:t>(5,459)</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100" w:type="dxa"/>
            <w:vAlign w:val="bottom"/>
          </w:tcPr>
          <w:p>
            <w:pPr>
              <w:ind w:left="160"/>
              <w:spacing w:after="0" w:line="196" w:lineRule="exact"/>
              <w:rPr>
                <w:sz w:val="20"/>
                <w:szCs w:val="20"/>
                <w:color w:val="auto"/>
              </w:rPr>
            </w:pPr>
            <w:r>
              <w:rPr>
                <w:rFonts w:ascii="Arial" w:cs="Arial" w:eastAsia="Arial" w:hAnsi="Arial"/>
                <w:sz w:val="18"/>
                <w:szCs w:val="18"/>
                <w:color w:val="auto"/>
              </w:rPr>
              <w:t>Net cash used in financing activities</w:t>
            </w:r>
          </w:p>
        </w:tc>
        <w:tc>
          <w:tcPr>
            <w:tcW w:w="14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(2,458</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900" w:type="dxa"/>
            <w:vAlign w:val="bottom"/>
          </w:tcPr>
          <w:p>
            <w:pPr>
              <w:spacing w:after="0"/>
              <w:rPr>
                <w:sz w:val="17"/>
                <w:szCs w:val="17"/>
                <w:color w:val="auto"/>
              </w:rPr>
            </w:pPr>
          </w:p>
        </w:tc>
        <w:tc>
          <w:tcPr>
            <w:tcW w:w="7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(11,205</w:t>
            </w:r>
          </w:p>
        </w:tc>
        <w:tc>
          <w:tcPr>
            <w:tcW w:w="60" w:type="dxa"/>
            <w:vAlign w:val="bottom"/>
            <w:gridSpan w:val="2"/>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81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00" w:type="dxa"/>
            <w:vAlign w:val="bottom"/>
            <w:shd w:val="clear" w:color="auto" w:fill="BFBFBF"/>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1580" w:type="dxa"/>
            <w:vAlign w:val="bottom"/>
            <w:gridSpan w:val="2"/>
            <w:shd w:val="clear" w:color="auto" w:fill="BFBFBF"/>
          </w:tcPr>
          <w:p>
            <w:pPr>
              <w:jc w:val="right"/>
              <w:ind w:right="40"/>
              <w:spacing w:after="0"/>
              <w:rPr>
                <w:sz w:val="20"/>
                <w:szCs w:val="20"/>
                <w:color w:val="auto"/>
              </w:rPr>
            </w:pPr>
            <w:r>
              <w:rPr>
                <w:rFonts w:ascii="Arial" w:cs="Arial" w:eastAsia="Arial" w:hAnsi="Arial"/>
                <w:sz w:val="18"/>
                <w:szCs w:val="18"/>
                <w:color w:val="auto"/>
              </w:rPr>
              <w:t>4,904</w:t>
            </w:r>
          </w:p>
        </w:tc>
        <w:tc>
          <w:tcPr>
            <w:tcW w:w="900" w:type="dxa"/>
            <w:vAlign w:val="bottom"/>
            <w:shd w:val="clear" w:color="auto" w:fill="BFBFBF"/>
          </w:tcPr>
          <w:p>
            <w:pPr>
              <w:spacing w:after="0"/>
              <w:rPr>
                <w:sz w:val="18"/>
                <w:szCs w:val="18"/>
                <w:color w:val="auto"/>
              </w:rPr>
            </w:pPr>
          </w:p>
        </w:tc>
        <w:tc>
          <w:tcPr>
            <w:tcW w:w="780" w:type="dxa"/>
            <w:vAlign w:val="bottom"/>
            <w:gridSpan w:val="2"/>
            <w:shd w:val="clear" w:color="auto" w:fill="BFBFBF"/>
          </w:tcPr>
          <w:p>
            <w:pPr>
              <w:jc w:val="right"/>
              <w:spacing w:after="0"/>
              <w:rPr>
                <w:sz w:val="20"/>
                <w:szCs w:val="20"/>
                <w:color w:val="auto"/>
              </w:rPr>
            </w:pPr>
            <w:r>
              <w:rPr>
                <w:rFonts w:ascii="Arial" w:cs="Arial" w:eastAsia="Arial" w:hAnsi="Arial"/>
                <w:sz w:val="18"/>
                <w:szCs w:val="18"/>
                <w:color w:val="auto"/>
              </w:rPr>
              <w:t>2,451</w:t>
            </w:r>
          </w:p>
        </w:tc>
        <w:tc>
          <w:tcPr>
            <w:tcW w:w="40" w:type="dxa"/>
            <w:vAlign w:val="bottom"/>
            <w:shd w:val="clear" w:color="auto" w:fill="BFBFB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120" w:type="dxa"/>
            <w:vAlign w:val="bottom"/>
            <w:gridSpan w:val="2"/>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8120" w:type="dxa"/>
            <w:vAlign w:val="bottom"/>
            <w:gridSpan w:val="2"/>
          </w:tcPr>
          <w:p>
            <w:pPr>
              <w:spacing w:after="0"/>
              <w:rPr>
                <w:sz w:val="20"/>
                <w:szCs w:val="20"/>
                <w:color w:val="auto"/>
              </w:rPr>
            </w:pPr>
            <w:r>
              <w:rPr>
                <w:rFonts w:ascii="Arial" w:cs="Arial" w:eastAsia="Arial" w:hAnsi="Arial"/>
                <w:sz w:val="18"/>
                <w:szCs w:val="18"/>
                <w:color w:val="auto"/>
              </w:rPr>
              <w:t>Decrease in cash and cash equivalents</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(32,301)</w:t>
            </w:r>
          </w:p>
        </w:tc>
        <w:tc>
          <w:tcPr>
            <w:tcW w:w="900" w:type="dxa"/>
            <w:vAlign w:val="bottom"/>
          </w:tcPr>
          <w:p>
            <w:pPr>
              <w:spacing w:after="0"/>
              <w:rPr>
                <w:sz w:val="24"/>
                <w:szCs w:val="24"/>
                <w:color w:val="auto"/>
              </w:rPr>
            </w:pPr>
          </w:p>
        </w:tc>
        <w:tc>
          <w:tcPr>
            <w:tcW w:w="820" w:type="dxa"/>
            <w:vAlign w:val="bottom"/>
            <w:gridSpan w:val="3"/>
          </w:tcPr>
          <w:p>
            <w:pPr>
              <w:jc w:val="right"/>
              <w:spacing w:after="0"/>
              <w:rPr>
                <w:sz w:val="20"/>
                <w:szCs w:val="20"/>
                <w:color w:val="auto"/>
              </w:rPr>
            </w:pPr>
            <w:r>
              <w:rPr>
                <w:rFonts w:ascii="Arial" w:cs="Arial" w:eastAsia="Arial" w:hAnsi="Arial"/>
                <w:sz w:val="18"/>
                <w:szCs w:val="18"/>
                <w:color w:val="auto"/>
              </w:rPr>
              <w:t>(38,409)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BFBFBF"/>
          </w:tcPr>
          <w:p>
            <w:pPr>
              <w:spacing w:after="0"/>
              <w:rPr>
                <w:sz w:val="20"/>
                <w:szCs w:val="20"/>
                <w:color w:val="auto"/>
              </w:rPr>
            </w:pPr>
            <w:r>
              <w:rPr>
                <w:rFonts w:ascii="Arial" w:cs="Arial" w:eastAsia="Arial" w:hAnsi="Arial"/>
                <w:sz w:val="18"/>
                <w:szCs w:val="18"/>
                <w:color w:val="auto"/>
              </w:rPr>
              <w:t>Cash and cash equivalents at beginning of period</w:t>
            </w:r>
          </w:p>
        </w:tc>
        <w:tc>
          <w:tcPr>
            <w:tcW w:w="1580" w:type="dxa"/>
            <w:vAlign w:val="bottom"/>
            <w:gridSpan w:val="2"/>
            <w:shd w:val="clear" w:color="auto" w:fill="BFBFBF"/>
          </w:tcPr>
          <w:p>
            <w:pPr>
              <w:jc w:val="right"/>
              <w:ind w:right="40"/>
              <w:spacing w:after="0"/>
              <w:rPr>
                <w:sz w:val="20"/>
                <w:szCs w:val="20"/>
                <w:color w:val="auto"/>
              </w:rPr>
            </w:pPr>
            <w:r>
              <w:rPr>
                <w:rFonts w:ascii="Arial" w:cs="Arial" w:eastAsia="Arial" w:hAnsi="Arial"/>
                <w:sz w:val="18"/>
                <w:szCs w:val="18"/>
                <w:color w:val="auto"/>
              </w:rPr>
              <w:t>183,727</w:t>
            </w:r>
          </w:p>
        </w:tc>
        <w:tc>
          <w:tcPr>
            <w:tcW w:w="900" w:type="dxa"/>
            <w:vAlign w:val="bottom"/>
            <w:shd w:val="clear" w:color="auto" w:fill="BFBFBF"/>
          </w:tcPr>
          <w:p>
            <w:pPr>
              <w:spacing w:after="0"/>
              <w:rPr>
                <w:sz w:val="18"/>
                <w:szCs w:val="18"/>
                <w:color w:val="auto"/>
              </w:rPr>
            </w:pPr>
          </w:p>
        </w:tc>
        <w:tc>
          <w:tcPr>
            <w:tcW w:w="760" w:type="dxa"/>
            <w:vAlign w:val="bottom"/>
            <w:shd w:val="clear" w:color="auto" w:fill="BFBFBF"/>
          </w:tcPr>
          <w:p>
            <w:pPr>
              <w:jc w:val="right"/>
              <w:spacing w:after="0"/>
              <w:rPr>
                <w:sz w:val="20"/>
                <w:szCs w:val="20"/>
                <w:color w:val="auto"/>
              </w:rPr>
            </w:pPr>
            <w:r>
              <w:rPr>
                <w:rFonts w:ascii="Arial" w:cs="Arial" w:eastAsia="Arial" w:hAnsi="Arial"/>
                <w:sz w:val="18"/>
                <w:szCs w:val="18"/>
                <w:color w:val="auto"/>
              </w:rPr>
              <w:t>181,742</w:t>
            </w:r>
          </w:p>
        </w:tc>
        <w:tc>
          <w:tcPr>
            <w:tcW w:w="20" w:type="dxa"/>
            <w:vAlign w:val="bottom"/>
            <w:shd w:val="clear" w:color="auto" w:fill="BFBFBF"/>
          </w:tcPr>
          <w:p>
            <w:pPr>
              <w:spacing w:after="0"/>
              <w:rPr>
                <w:sz w:val="18"/>
                <w:szCs w:val="18"/>
                <w:color w:val="auto"/>
              </w:rPr>
            </w:pPr>
          </w:p>
        </w:tc>
        <w:tc>
          <w:tcPr>
            <w:tcW w:w="40" w:type="dxa"/>
            <w:vAlign w:val="bottom"/>
            <w:shd w:val="clear" w:color="auto" w:fill="BFBFB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00" w:type="dxa"/>
            <w:vAlign w:val="bottom"/>
            <w:vMerge w:val="restart"/>
          </w:tcPr>
          <w:p>
            <w:pPr>
              <w:spacing w:after="0"/>
              <w:rPr>
                <w:sz w:val="20"/>
                <w:szCs w:val="20"/>
                <w:color w:val="auto"/>
              </w:rPr>
            </w:pPr>
            <w:r>
              <w:rPr>
                <w:rFonts w:ascii="Arial" w:cs="Arial" w:eastAsia="Arial" w:hAnsi="Arial"/>
                <w:sz w:val="18"/>
                <w:szCs w:val="18"/>
                <w:color w:val="auto"/>
              </w:rPr>
              <w:t>Cash and cash equivalents at end of period</w:t>
            </w:r>
          </w:p>
        </w:tc>
        <w:tc>
          <w:tcPr>
            <w:tcW w:w="14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vMerge w:val="continue"/>
          </w:tcPr>
          <w:p>
            <w:pPr>
              <w:spacing w:after="0"/>
              <w:rPr>
                <w:sz w:val="18"/>
                <w:szCs w:val="18"/>
                <w:color w:val="auto"/>
              </w:rPr>
            </w:pPr>
          </w:p>
        </w:tc>
        <w:tc>
          <w:tcPr>
            <w:tcW w:w="1580" w:type="dxa"/>
            <w:vAlign w:val="bottom"/>
            <w:gridSpan w:val="2"/>
          </w:tcPr>
          <w:p>
            <w:pPr>
              <w:jc w:val="right"/>
              <w:ind w:right="40"/>
              <w:spacing w:after="0"/>
              <w:rPr>
                <w:sz w:val="20"/>
                <w:szCs w:val="20"/>
                <w:color w:val="auto"/>
              </w:rPr>
            </w:pPr>
            <w:r>
              <w:rPr>
                <w:rFonts w:ascii="Arial" w:cs="Arial" w:eastAsia="Arial" w:hAnsi="Arial"/>
                <w:sz w:val="18"/>
                <w:szCs w:val="18"/>
                <w:color w:val="auto"/>
              </w:rPr>
              <w:t>$151,426</w:t>
            </w:r>
          </w:p>
        </w:tc>
        <w:tc>
          <w:tcPr>
            <w:tcW w:w="90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143,333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00" w:type="dxa"/>
            <w:vAlign w:val="bottom"/>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985" w:right="239" w:bottom="1440" w:gutter="0" w:footer="0" w:header="0"/>
        </w:sectPr>
      </w:pPr>
    </w:p>
    <w:bookmarkStart w:id="6" w:name="page7"/>
    <w:bookmarkEnd w:id="6"/>
    <w:p>
      <w:pPr>
        <w:jc w:val="center"/>
        <w:ind w:right="-19"/>
        <w:spacing w:after="0"/>
        <w:rPr>
          <w:sz w:val="20"/>
          <w:szCs w:val="20"/>
          <w:color w:val="auto"/>
        </w:rPr>
      </w:pPr>
      <w:r>
        <w:rPr>
          <w:rFonts w:ascii="Arial" w:cs="Arial" w:eastAsia="Arial" w:hAnsi="Arial"/>
          <w:sz w:val="18"/>
          <w:szCs w:val="18"/>
          <w:color w:val="auto"/>
        </w:rPr>
        <w:t>ALBANY INTERNATIONAL CORP.</w:t>
      </w:r>
    </w:p>
    <w:p>
      <w:pPr>
        <w:jc w:val="center"/>
        <w:ind w:right="-19"/>
        <w:spacing w:after="0" w:line="234" w:lineRule="auto"/>
        <w:rPr>
          <w:sz w:val="20"/>
          <w:szCs w:val="20"/>
          <w:color w:val="auto"/>
        </w:rPr>
      </w:pPr>
      <w:r>
        <w:rPr>
          <w:rFonts w:ascii="Arial" w:cs="Arial" w:eastAsia="Arial" w:hAnsi="Arial"/>
          <w:sz w:val="18"/>
          <w:szCs w:val="18"/>
          <w:color w:val="auto"/>
        </w:rPr>
        <w:t>NOTES TO CONSOLIDATED FINANCIAL STATEMENTS</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341" w:lineRule="exact"/>
        <w:rPr>
          <w:sz w:val="20"/>
          <w:szCs w:val="20"/>
          <w:color w:val="auto"/>
        </w:rPr>
      </w:pPr>
    </w:p>
    <w:p>
      <w:pPr>
        <w:ind w:right="8500" w:firstLine="8"/>
        <w:spacing w:after="0" w:line="451" w:lineRule="auto"/>
        <w:tabs>
          <w:tab w:leader="none" w:pos="200" w:val="left"/>
        </w:tabs>
        <w:numPr>
          <w:ilvl w:val="0"/>
          <w:numId w:val="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Significant Accounting Policies Basis of Presentation</w:t>
      </w:r>
    </w:p>
    <w:p>
      <w:pPr>
        <w:ind w:right="20" w:firstLine="648"/>
        <w:spacing w:after="0" w:line="239" w:lineRule="auto"/>
        <w:rPr>
          <w:sz w:val="20"/>
          <w:szCs w:val="20"/>
          <w:color w:val="auto"/>
        </w:rPr>
      </w:pPr>
      <w:r>
        <w:rPr>
          <w:rFonts w:ascii="Arial" w:cs="Arial" w:eastAsia="Arial" w:hAnsi="Arial"/>
          <w:sz w:val="18"/>
          <w:szCs w:val="18"/>
          <w:color w:val="auto"/>
        </w:rPr>
        <w:t>In the opinion of management, the accompanying unaudited consolidated financial statements contain all adjustments necessary for a fair presentation of results for such periods. Albany International Corp. (Albany, the Registrant, the Company, we, us, or our) consolidates the financial results of its subsidiaries for all periods presented. The results for any interim period are not necessarily indicative of results for the full year.</w:t>
      </w:r>
    </w:p>
    <w:p>
      <w:pPr>
        <w:spacing w:after="0" w:line="175" w:lineRule="exact"/>
        <w:rPr>
          <w:sz w:val="20"/>
          <w:szCs w:val="20"/>
          <w:color w:val="auto"/>
        </w:rPr>
      </w:pPr>
    </w:p>
    <w:p>
      <w:pPr>
        <w:ind w:right="500" w:firstLine="648"/>
        <w:spacing w:after="0"/>
        <w:rPr>
          <w:sz w:val="20"/>
          <w:szCs w:val="20"/>
          <w:color w:val="auto"/>
        </w:rPr>
      </w:pPr>
      <w:r>
        <w:rPr>
          <w:rFonts w:ascii="Arial" w:cs="Arial" w:eastAsia="Arial" w:hAnsi="Arial"/>
          <w:sz w:val="18"/>
          <w:szCs w:val="18"/>
          <w:color w:val="auto"/>
        </w:rPr>
        <w:t>The preparation of financial statements in accordance with U.S. generally accepted accounting principles (“GAAP”) requires management to make estimates and assumptions that affect the amounts reported in Albany International Corp.’s Consolidated Financial Statements and accompanying Notes. Actual results could differ materially from those estimates.</w:t>
      </w:r>
    </w:p>
    <w:p>
      <w:pPr>
        <w:spacing w:after="0" w:line="162" w:lineRule="exact"/>
        <w:rPr>
          <w:sz w:val="20"/>
          <w:szCs w:val="20"/>
          <w:color w:val="auto"/>
        </w:rPr>
      </w:pPr>
    </w:p>
    <w:p>
      <w:pPr>
        <w:ind w:firstLine="648"/>
        <w:spacing w:after="0" w:line="239" w:lineRule="auto"/>
        <w:rPr>
          <w:sz w:val="20"/>
          <w:szCs w:val="20"/>
          <w:color w:val="auto"/>
        </w:rPr>
      </w:pPr>
      <w:r>
        <w:rPr>
          <w:rFonts w:ascii="Arial" w:cs="Arial" w:eastAsia="Arial" w:hAnsi="Arial"/>
          <w:sz w:val="18"/>
          <w:szCs w:val="18"/>
          <w:color w:val="auto"/>
        </w:rPr>
        <w:t>The information included in this Quarterly Report on Form 10-Q should be read in conjunction with “Risk Factors,” “Legal Proceedings,” “Management’s Discussion and Analysis of Financial Condition and Results of Operation,” “Quantitative and Qualitative Disclosures about Market Risk” and the Consolidated Financial Statements and Notes thereto included in Items 1A, 3, 7, 7A and 8, respectively, of the Albany International Corp. Annual Report on Form 10-K for the year ended December 31, 2017.</w:t>
      </w:r>
    </w:p>
    <w:p>
      <w:pPr>
        <w:spacing w:after="0" w:line="143" w:lineRule="exact"/>
        <w:rPr>
          <w:sz w:val="20"/>
          <w:szCs w:val="20"/>
          <w:color w:val="auto"/>
        </w:rPr>
      </w:pPr>
    </w:p>
    <w:p>
      <w:pPr>
        <w:ind w:firstLine="648"/>
        <w:spacing w:after="0" w:line="251" w:lineRule="auto"/>
        <w:rPr>
          <w:sz w:val="20"/>
          <w:szCs w:val="20"/>
          <w:color w:val="auto"/>
        </w:rPr>
      </w:pPr>
      <w:r>
        <w:rPr>
          <w:rFonts w:ascii="Arial" w:cs="Arial" w:eastAsia="Arial" w:hAnsi="Arial"/>
          <w:sz w:val="18"/>
          <w:szCs w:val="18"/>
          <w:color w:val="auto"/>
        </w:rPr>
        <w:t xml:space="preserve">Effective January 1, 2018, we adopted the provisions of ASC 606,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using the modified retrospective method for transition as discussed in Note 2, Revenue Recognition. Accounting policies have been applied consistently to periods presented, except for the application of ASC 606, as described in Note 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00"/>
          </w:cols>
          <w:pgMar w:left="240" w:top="1026" w:right="25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i w:val="1"/>
          <w:iCs w:val="1"/>
          <w:color w:val="auto"/>
        </w:rPr>
        <w:t>2. Revenue Recognition</w:t>
      </w:r>
    </w:p>
    <w:p>
      <w:pPr>
        <w:spacing w:after="0" w:line="202" w:lineRule="exact"/>
        <w:rPr>
          <w:sz w:val="20"/>
          <w:szCs w:val="20"/>
          <w:color w:val="auto"/>
        </w:rPr>
      </w:pPr>
    </w:p>
    <w:p>
      <w:pPr>
        <w:ind w:right="240" w:firstLine="648"/>
        <w:spacing w:after="0" w:line="241" w:lineRule="auto"/>
        <w:rPr>
          <w:sz w:val="20"/>
          <w:szCs w:val="20"/>
          <w:color w:val="auto"/>
        </w:rPr>
      </w:pPr>
      <w:r>
        <w:rPr>
          <w:rFonts w:ascii="Arial" w:cs="Arial" w:eastAsia="Arial" w:hAnsi="Arial"/>
          <w:sz w:val="18"/>
          <w:szCs w:val="18"/>
          <w:color w:val="auto"/>
        </w:rPr>
        <w:t xml:space="preserve">Effective January 1, 2018, the Company adopted the provisions of ASC 606,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using the modified retrospective (or cumulative effect) method for transition. Under this transition method, periods prior to 2018 have not been restated and the cumulative effect of initially applying the new standard was recorded as an adjustment to Retained earnings. The standard replaces numerous requirements in U.S. GAAP, including industry-specific requirements, and provides companies with a single model for recognizing revenue from contracts with customers. We applied the new accounting standard to contracts which were not completed by December 31, 2017.</w:t>
      </w:r>
    </w:p>
    <w:p>
      <w:pPr>
        <w:spacing w:after="0" w:line="189" w:lineRule="exact"/>
        <w:rPr>
          <w:sz w:val="20"/>
          <w:szCs w:val="20"/>
          <w:color w:val="auto"/>
        </w:rPr>
      </w:pPr>
    </w:p>
    <w:p>
      <w:pPr>
        <w:ind w:right="40" w:firstLine="648"/>
        <w:spacing w:after="0" w:line="237" w:lineRule="auto"/>
        <w:rPr>
          <w:sz w:val="20"/>
          <w:szCs w:val="20"/>
          <w:color w:val="auto"/>
        </w:rPr>
      </w:pPr>
      <w:r>
        <w:rPr>
          <w:rFonts w:ascii="Arial" w:cs="Arial" w:eastAsia="Arial" w:hAnsi="Arial"/>
          <w:sz w:val="18"/>
          <w:szCs w:val="18"/>
          <w:color w:val="auto"/>
        </w:rPr>
        <w:t>In our Machine Clothing (MC) business segment, prior to 2018, we recorded revenue from the sale of a product when persuasive evidence of an arrangement existed, delivery had occurred, title was transferred, the selling price was fixed, and collectability was reasonably assured. Under the new standard, we recognize MC revenue when we satisfy our performance obligations related to the manufacture and delivery of a product, which, in certain cases, results in earlier recognition of revenue associated with these contracts. For the MC segment, the cumulative effect of adopting ASC 606 included an increase to Accounts receivable, a decrease to Inventories, and an increase to Retained earnings.</w:t>
      </w:r>
    </w:p>
    <w:p>
      <w:pPr>
        <w:spacing w:after="0" w:line="192" w:lineRule="exact"/>
        <w:rPr>
          <w:sz w:val="20"/>
          <w:szCs w:val="20"/>
          <w:color w:val="auto"/>
        </w:rPr>
      </w:pPr>
    </w:p>
    <w:p>
      <w:pPr>
        <w:ind w:firstLine="648"/>
        <w:spacing w:after="0" w:line="236" w:lineRule="auto"/>
        <w:rPr>
          <w:sz w:val="20"/>
          <w:szCs w:val="20"/>
          <w:color w:val="auto"/>
        </w:rPr>
      </w:pPr>
      <w:r>
        <w:rPr>
          <w:rFonts w:ascii="Arial" w:cs="Arial" w:eastAsia="Arial" w:hAnsi="Arial"/>
          <w:sz w:val="18"/>
          <w:szCs w:val="18"/>
          <w:color w:val="auto"/>
        </w:rPr>
        <w:t>In our Albany Engineered Composites (AEC) business segment, revenue from a number of long-term contracts was, prior to 2018, recorded on the basis of the units-of-delivery method, which is considered an output method. Under the new standard, revenue from most of these contracts is recognized over time using an input method as the measure of progress, which generally results in earlier recognition of revenue. Prior to adoption of the new standard, the classification of revenue in excess of progress billings on long -term contracts was included in Accounts receivable. Under the new standard, such assets are considered Contract assets, which are rights to consideration that are conditional on something other than the passage of time, such as completion of remaining performance obligations. As a result of adoption of the new standard, such assets were reclassified at transition from Accounts receivable to Contract assets. In addition, under the new standard, we are required to limit our estimate of contract values to the period of the legally enforceable contract, which in many cases is considerably shorter than the contract period used under the former standard. While certain contracts are expected to be profitable over the course of the program life when including expected renewals, under the new standard, our estimate of contract revenues and costs is limited to the estimated value of enforceable rights and obligations, excluding anticipated renewals. In some cases, this shorter contract period may result in a loss contract provision, and our transition adjustment included such loss accruals. Expected losses on projects includes losses on contract options that are probable of exercise, excluding profitable options that often follow. For AEC, the cumulative effect of adopting ASC 606 included increases to Contract assets and Accrued liabilities, and decreases to Accounts receivable, Inventories and Retained earnings.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967" w:right="239" w:bottom="1440" w:gutter="0" w:footer="0" w:header="0"/>
        </w:sectPr>
      </w:pPr>
    </w:p>
    <w:bookmarkStart w:id="8" w:name="page9"/>
    <w:bookmarkEnd w:id="8"/>
    <w:p>
      <w:pPr>
        <w:ind w:right="140" w:firstLine="648"/>
        <w:spacing w:after="0" w:line="246" w:lineRule="auto"/>
        <w:rPr>
          <w:sz w:val="20"/>
          <w:szCs w:val="20"/>
          <w:color w:val="auto"/>
        </w:rPr>
      </w:pPr>
      <w:r>
        <w:rPr>
          <w:rFonts w:ascii="Arial" w:cs="Arial" w:eastAsia="Arial" w:hAnsi="Arial"/>
          <w:sz w:val="18"/>
          <w:szCs w:val="18"/>
          <w:color w:val="auto"/>
        </w:rPr>
        <w:t>The table below presents the cumulative effect of changes made to our December 31, 2017 Consolidated Balance Sheet as the result of adoption of ASC 606:</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ALBANY INTERNATIONAL CORP.</w:t>
      </w:r>
    </w:p>
    <w:p>
      <w:pPr>
        <w:jc w:val="center"/>
        <w:spacing w:after="0" w:line="234" w:lineRule="auto"/>
        <w:rPr>
          <w:sz w:val="20"/>
          <w:szCs w:val="20"/>
          <w:color w:val="auto"/>
        </w:rPr>
      </w:pPr>
      <w:r>
        <w:rPr>
          <w:rFonts w:ascii="Arial" w:cs="Arial" w:eastAsia="Arial" w:hAnsi="Arial"/>
          <w:sz w:val="18"/>
          <w:szCs w:val="18"/>
          <w:color w:val="auto"/>
        </w:rPr>
        <w:t>CONSOLIDATED BALANCE SHEET</w:t>
      </w:r>
    </w:p>
    <w:p>
      <w:pPr>
        <w:jc w:val="center"/>
        <w:spacing w:after="0" w:line="235" w:lineRule="auto"/>
        <w:rPr>
          <w:sz w:val="20"/>
          <w:szCs w:val="20"/>
          <w:color w:val="auto"/>
        </w:rPr>
      </w:pPr>
      <w:r>
        <w:rPr>
          <w:rFonts w:ascii="Arial" w:cs="Arial" w:eastAsia="Arial" w:hAnsi="Arial"/>
          <w:sz w:val="18"/>
          <w:szCs w:val="18"/>
          <w:color w:val="auto"/>
        </w:rPr>
        <w:t>(in thousands, except share data)</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80" w:type="dxa"/>
            <w:vAlign w:val="bottom"/>
            <w:gridSpan w:val="2"/>
          </w:tcPr>
          <w:p>
            <w:pPr>
              <w:jc w:val="center"/>
              <w:spacing w:after="0"/>
              <w:rPr>
                <w:sz w:val="20"/>
                <w:szCs w:val="20"/>
                <w:color w:val="auto"/>
              </w:rPr>
            </w:pPr>
            <w:r>
              <w:rPr>
                <w:rFonts w:ascii="Arial" w:cs="Arial" w:eastAsia="Arial" w:hAnsi="Arial"/>
                <w:sz w:val="18"/>
                <w:szCs w:val="18"/>
                <w:color w:val="auto"/>
              </w:rPr>
              <w:t>As previously</w:t>
            </w:r>
          </w:p>
        </w:tc>
        <w:tc>
          <w:tcPr>
            <w:tcW w:w="5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80" w:type="dxa"/>
            <w:vAlign w:val="bottom"/>
            <w:gridSpan w:val="2"/>
          </w:tcPr>
          <w:p>
            <w:pPr>
              <w:jc w:val="center"/>
              <w:spacing w:after="0" w:line="202" w:lineRule="exact"/>
              <w:rPr>
                <w:sz w:val="20"/>
                <w:szCs w:val="20"/>
                <w:color w:val="auto"/>
              </w:rPr>
            </w:pPr>
            <w:r>
              <w:rPr>
                <w:rFonts w:ascii="Arial" w:cs="Arial" w:eastAsia="Arial" w:hAnsi="Arial"/>
                <w:sz w:val="18"/>
                <w:szCs w:val="18"/>
                <w:color w:val="auto"/>
              </w:rPr>
              <w:t>reported at</w:t>
            </w:r>
          </w:p>
        </w:tc>
        <w:tc>
          <w:tcPr>
            <w:tcW w:w="5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80" w:type="dxa"/>
            <w:vAlign w:val="bottom"/>
            <w:gridSpan w:val="2"/>
          </w:tcPr>
          <w:p>
            <w:pPr>
              <w:jc w:val="center"/>
              <w:spacing w:after="0" w:line="202" w:lineRule="exact"/>
              <w:rPr>
                <w:sz w:val="20"/>
                <w:szCs w:val="20"/>
                <w:color w:val="auto"/>
              </w:rPr>
            </w:pPr>
            <w:r>
              <w:rPr>
                <w:rFonts w:ascii="Arial" w:cs="Arial" w:eastAsia="Arial" w:hAnsi="Arial"/>
                <w:sz w:val="18"/>
                <w:szCs w:val="18"/>
                <w:color w:val="auto"/>
                <w:w w:val="99"/>
              </w:rPr>
              <w:t>Opening balance,</w:t>
            </w:r>
          </w:p>
        </w:tc>
        <w:tc>
          <w:tcPr>
            <w:tcW w:w="0" w:type="dxa"/>
            <w:vAlign w:val="bottom"/>
          </w:tcPr>
          <w:p>
            <w:pPr>
              <w:spacing w:after="0"/>
              <w:rPr>
                <w:sz w:val="1"/>
                <w:szCs w:val="1"/>
                <w:color w:val="auto"/>
              </w:rPr>
            </w:pPr>
          </w:p>
        </w:tc>
      </w:tr>
      <w:tr>
        <w:trPr>
          <w:trHeight w:val="203"/>
        </w:trPr>
        <w:tc>
          <w:tcPr>
            <w:tcW w:w="5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80" w:type="dxa"/>
            <w:vAlign w:val="bottom"/>
            <w:gridSpan w:val="2"/>
          </w:tcPr>
          <w:p>
            <w:pPr>
              <w:jc w:val="center"/>
              <w:spacing w:after="0" w:line="202" w:lineRule="exact"/>
              <w:rPr>
                <w:sz w:val="20"/>
                <w:szCs w:val="20"/>
                <w:color w:val="auto"/>
              </w:rPr>
            </w:pPr>
            <w:r>
              <w:rPr>
                <w:rFonts w:ascii="Arial" w:cs="Arial" w:eastAsia="Arial" w:hAnsi="Arial"/>
                <w:sz w:val="18"/>
                <w:szCs w:val="18"/>
                <w:color w:val="auto"/>
                <w:w w:val="99"/>
              </w:rPr>
              <w:t>December 31,</w:t>
            </w:r>
          </w:p>
        </w:tc>
        <w:tc>
          <w:tcPr>
            <w:tcW w:w="560" w:type="dxa"/>
            <w:vAlign w:val="bottom"/>
          </w:tcPr>
          <w:p>
            <w:pPr>
              <w:spacing w:after="0"/>
              <w:rPr>
                <w:sz w:val="17"/>
                <w:szCs w:val="17"/>
                <w:color w:val="auto"/>
              </w:rPr>
            </w:pPr>
          </w:p>
        </w:tc>
        <w:tc>
          <w:tcPr>
            <w:tcW w:w="2160" w:type="dxa"/>
            <w:vAlign w:val="bottom"/>
            <w:gridSpan w:val="4"/>
          </w:tcPr>
          <w:p>
            <w:pPr>
              <w:jc w:val="center"/>
              <w:ind w:right="560"/>
              <w:spacing w:after="0" w:line="202" w:lineRule="exact"/>
              <w:rPr>
                <w:sz w:val="20"/>
                <w:szCs w:val="20"/>
                <w:color w:val="auto"/>
              </w:rPr>
            </w:pPr>
            <w:r>
              <w:rPr>
                <w:rFonts w:ascii="Arial" w:cs="Arial" w:eastAsia="Arial" w:hAnsi="Arial"/>
                <w:sz w:val="18"/>
                <w:szCs w:val="18"/>
                <w:color w:val="auto"/>
              </w:rPr>
              <w:t>Adjustments</w:t>
            </w:r>
          </w:p>
        </w:tc>
        <w:tc>
          <w:tcPr>
            <w:tcW w:w="1480" w:type="dxa"/>
            <w:vAlign w:val="bottom"/>
            <w:gridSpan w:val="2"/>
          </w:tcPr>
          <w:p>
            <w:pPr>
              <w:jc w:val="center"/>
              <w:spacing w:after="0" w:line="202" w:lineRule="exact"/>
              <w:rPr>
                <w:sz w:val="20"/>
                <w:szCs w:val="20"/>
                <w:color w:val="auto"/>
              </w:rPr>
            </w:pPr>
            <w:r>
              <w:rPr>
                <w:rFonts w:ascii="Arial" w:cs="Arial" w:eastAsia="Arial" w:hAnsi="Arial"/>
                <w:sz w:val="18"/>
                <w:szCs w:val="18"/>
                <w:color w:val="auto"/>
                <w:w w:val="98"/>
              </w:rPr>
              <w:t>as adjusted,</w:t>
            </w:r>
          </w:p>
        </w:tc>
        <w:tc>
          <w:tcPr>
            <w:tcW w:w="0" w:type="dxa"/>
            <w:vAlign w:val="bottom"/>
          </w:tcPr>
          <w:p>
            <w:pPr>
              <w:spacing w:after="0"/>
              <w:rPr>
                <w:sz w:val="1"/>
                <w:szCs w:val="1"/>
                <w:color w:val="auto"/>
              </w:rPr>
            </w:pPr>
          </w:p>
        </w:tc>
      </w:tr>
      <w:tr>
        <w:trPr>
          <w:trHeight w:val="203"/>
        </w:trPr>
        <w:tc>
          <w:tcPr>
            <w:tcW w:w="5180" w:type="dxa"/>
            <w:vAlign w:val="bottom"/>
            <w:vMerge w:val="restart"/>
          </w:tcPr>
          <w:p>
            <w:pPr>
              <w:spacing w:after="0"/>
              <w:rPr>
                <w:sz w:val="20"/>
                <w:szCs w:val="20"/>
                <w:color w:val="auto"/>
              </w:rPr>
            </w:pPr>
            <w:r>
              <w:rPr>
                <w:rFonts w:ascii="Arial" w:cs="Arial" w:eastAsia="Arial" w:hAnsi="Arial"/>
                <w:sz w:val="18"/>
                <w:szCs w:val="18"/>
                <w:color w:val="auto"/>
              </w:rPr>
              <w:t>ASSETS</w:t>
            </w:r>
          </w:p>
        </w:tc>
        <w:tc>
          <w:tcPr>
            <w:tcW w:w="1940" w:type="dxa"/>
            <w:vAlign w:val="bottom"/>
            <w:gridSpan w:val="2"/>
          </w:tcPr>
          <w:p>
            <w:pPr>
              <w:jc w:val="center"/>
              <w:ind w:left="570"/>
              <w:spacing w:after="0" w:line="203" w:lineRule="exact"/>
              <w:rPr>
                <w:sz w:val="20"/>
                <w:szCs w:val="20"/>
                <w:color w:val="auto"/>
              </w:rPr>
            </w:pPr>
            <w:r>
              <w:rPr>
                <w:rFonts w:ascii="Arial" w:cs="Arial" w:eastAsia="Arial" w:hAnsi="Arial"/>
                <w:sz w:val="18"/>
                <w:szCs w:val="18"/>
                <w:color w:val="auto"/>
                <w:w w:val="99"/>
              </w:rPr>
              <w:t>2017</w:t>
            </w:r>
          </w:p>
        </w:tc>
        <w:tc>
          <w:tcPr>
            <w:tcW w:w="100" w:type="dxa"/>
            <w:vAlign w:val="bottom"/>
          </w:tcPr>
          <w:p>
            <w:pPr>
              <w:spacing w:after="0"/>
              <w:rPr>
                <w:sz w:val="17"/>
                <w:szCs w:val="17"/>
                <w:color w:val="auto"/>
              </w:rPr>
            </w:pPr>
          </w:p>
        </w:tc>
        <w:tc>
          <w:tcPr>
            <w:tcW w:w="2720" w:type="dxa"/>
            <w:vAlign w:val="bottom"/>
            <w:gridSpan w:val="5"/>
          </w:tcPr>
          <w:p>
            <w:pPr>
              <w:jc w:val="center"/>
              <w:spacing w:after="0" w:line="203" w:lineRule="exact"/>
              <w:rPr>
                <w:sz w:val="20"/>
                <w:szCs w:val="20"/>
                <w:color w:val="auto"/>
              </w:rPr>
            </w:pPr>
            <w:r>
              <w:rPr>
                <w:rFonts w:ascii="Arial" w:cs="Arial" w:eastAsia="Arial" w:hAnsi="Arial"/>
                <w:sz w:val="18"/>
                <w:szCs w:val="18"/>
                <w:color w:val="auto"/>
                <w:w w:val="99"/>
              </w:rPr>
              <w:t>Increase/(decrease)</w:t>
            </w:r>
          </w:p>
        </w:tc>
        <w:tc>
          <w:tcPr>
            <w:tcW w:w="1480" w:type="dxa"/>
            <w:vAlign w:val="bottom"/>
            <w:gridSpan w:val="2"/>
          </w:tcPr>
          <w:p>
            <w:pPr>
              <w:jc w:val="center"/>
              <w:spacing w:after="0" w:line="203" w:lineRule="exact"/>
              <w:rPr>
                <w:sz w:val="20"/>
                <w:szCs w:val="20"/>
                <w:color w:val="auto"/>
              </w:rPr>
            </w:pPr>
            <w:r>
              <w:rPr>
                <w:rFonts w:ascii="Arial" w:cs="Arial" w:eastAsia="Arial" w:hAnsi="Arial"/>
                <w:sz w:val="18"/>
                <w:szCs w:val="18"/>
                <w:color w:val="auto"/>
                <w:w w:val="99"/>
              </w:rPr>
              <w:t>January 1, 2018</w:t>
            </w:r>
          </w:p>
        </w:tc>
        <w:tc>
          <w:tcPr>
            <w:tcW w:w="0" w:type="dxa"/>
            <w:vAlign w:val="bottom"/>
          </w:tcPr>
          <w:p>
            <w:pPr>
              <w:spacing w:after="0"/>
              <w:rPr>
                <w:sz w:val="1"/>
                <w:szCs w:val="1"/>
                <w:color w:val="auto"/>
              </w:rPr>
            </w:pPr>
          </w:p>
        </w:tc>
      </w:tr>
      <w:tr>
        <w:trPr>
          <w:trHeight w:val="196"/>
        </w:trPr>
        <w:tc>
          <w:tcPr>
            <w:tcW w:w="5180" w:type="dxa"/>
            <w:vAlign w:val="bottom"/>
            <w:vMerge w:val="continue"/>
          </w:tcPr>
          <w:p>
            <w:pPr>
              <w:spacing w:after="0"/>
              <w:rPr>
                <w:sz w:val="17"/>
                <w:szCs w:val="17"/>
                <w:color w:val="auto"/>
              </w:rPr>
            </w:pPr>
          </w:p>
        </w:tc>
        <w:tc>
          <w:tcPr>
            <w:tcW w:w="560" w:type="dxa"/>
            <w:vAlign w:val="bottom"/>
          </w:tcPr>
          <w:p>
            <w:pPr>
              <w:spacing w:after="0"/>
              <w:rPr>
                <w:sz w:val="17"/>
                <w:szCs w:val="17"/>
                <w:color w:val="auto"/>
              </w:rPr>
            </w:pPr>
          </w:p>
        </w:tc>
        <w:tc>
          <w:tcPr>
            <w:tcW w:w="138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560" w:type="dxa"/>
            <w:vAlign w:val="bottom"/>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560" w:type="dxa"/>
            <w:vAlign w:val="bottom"/>
          </w:tcPr>
          <w:p>
            <w:pPr>
              <w:spacing w:after="0"/>
              <w:rPr>
                <w:sz w:val="17"/>
                <w:szCs w:val="17"/>
                <w:color w:val="auto"/>
              </w:rPr>
            </w:pPr>
          </w:p>
        </w:tc>
        <w:tc>
          <w:tcPr>
            <w:tcW w:w="138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80" w:type="dxa"/>
            <w:vAlign w:val="bottom"/>
            <w:shd w:val="clear" w:color="auto" w:fill="C0C0C0"/>
          </w:tcPr>
          <w:p>
            <w:pPr>
              <w:ind w:left="100"/>
              <w:spacing w:after="0" w:line="202" w:lineRule="exact"/>
              <w:rPr>
                <w:sz w:val="20"/>
                <w:szCs w:val="20"/>
                <w:color w:val="auto"/>
              </w:rPr>
            </w:pPr>
            <w:r>
              <w:rPr>
                <w:rFonts w:ascii="Arial" w:cs="Arial" w:eastAsia="Arial" w:hAnsi="Arial"/>
                <w:sz w:val="18"/>
                <w:szCs w:val="18"/>
                <w:color w:val="auto"/>
              </w:rPr>
              <w:t>Cash and cash equivalents</w:t>
            </w:r>
          </w:p>
        </w:tc>
        <w:tc>
          <w:tcPr>
            <w:tcW w:w="2040" w:type="dxa"/>
            <w:vAlign w:val="bottom"/>
            <w:gridSpan w:val="3"/>
            <w:shd w:val="clear" w:color="auto" w:fill="C0C0C0"/>
          </w:tcPr>
          <w:p>
            <w:pPr>
              <w:jc w:val="right"/>
              <w:ind w:right="100"/>
              <w:spacing w:after="0" w:line="202" w:lineRule="exact"/>
              <w:rPr>
                <w:sz w:val="20"/>
                <w:szCs w:val="20"/>
                <w:color w:val="auto"/>
              </w:rPr>
            </w:pPr>
            <w:r>
              <w:rPr>
                <w:rFonts w:ascii="Arial" w:cs="Arial" w:eastAsia="Arial" w:hAnsi="Arial"/>
                <w:sz w:val="18"/>
                <w:szCs w:val="18"/>
                <w:color w:val="auto"/>
              </w:rPr>
              <w:t>$183,727</w:t>
            </w:r>
          </w:p>
        </w:tc>
        <w:tc>
          <w:tcPr>
            <w:tcW w:w="1780" w:type="dxa"/>
            <w:vAlign w:val="bottom"/>
            <w:gridSpan w:val="2"/>
            <w:shd w:val="clear" w:color="auto" w:fill="C0C0C0"/>
          </w:tcPr>
          <w:p>
            <w:pPr>
              <w:jc w:val="right"/>
              <w:spacing w:after="0" w:line="202" w:lineRule="exact"/>
              <w:rPr>
                <w:sz w:val="20"/>
                <w:szCs w:val="20"/>
                <w:color w:val="auto"/>
              </w:rPr>
            </w:pPr>
            <w:r>
              <w:rPr>
                <w:rFonts w:ascii="Arial" w:cs="Arial" w:eastAsia="Arial" w:hAnsi="Arial"/>
                <w:sz w:val="18"/>
                <w:szCs w:val="18"/>
                <w:color w:val="auto"/>
              </w:rPr>
              <w:t>$</w:t>
            </w:r>
          </w:p>
        </w:tc>
        <w:tc>
          <w:tcPr>
            <w:tcW w:w="380" w:type="dxa"/>
            <w:vAlign w:val="bottom"/>
            <w:gridSpan w:val="2"/>
            <w:shd w:val="clear" w:color="auto" w:fill="C0C0C0"/>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560" w:type="dxa"/>
            <w:vAlign w:val="bottom"/>
            <w:shd w:val="clear" w:color="auto" w:fill="C0C0C0"/>
          </w:tcPr>
          <w:p>
            <w:pPr>
              <w:spacing w:after="0"/>
              <w:rPr>
                <w:sz w:val="17"/>
                <w:szCs w:val="17"/>
                <w:color w:val="auto"/>
              </w:rPr>
            </w:pPr>
          </w:p>
        </w:tc>
        <w:tc>
          <w:tcPr>
            <w:tcW w:w="1480" w:type="dxa"/>
            <w:vAlign w:val="bottom"/>
            <w:gridSpan w:val="2"/>
            <w:shd w:val="clear" w:color="auto" w:fill="C0C0C0"/>
          </w:tcPr>
          <w:p>
            <w:pPr>
              <w:jc w:val="right"/>
              <w:ind w:right="100"/>
              <w:spacing w:after="0" w:line="202" w:lineRule="exact"/>
              <w:rPr>
                <w:sz w:val="20"/>
                <w:szCs w:val="20"/>
                <w:color w:val="auto"/>
              </w:rPr>
            </w:pPr>
            <w:r>
              <w:rPr>
                <w:rFonts w:ascii="Arial" w:cs="Arial" w:eastAsia="Arial" w:hAnsi="Arial"/>
                <w:sz w:val="18"/>
                <w:szCs w:val="18"/>
                <w:color w:val="auto"/>
              </w:rPr>
              <w:t>$183,727</w:t>
            </w:r>
          </w:p>
        </w:tc>
        <w:tc>
          <w:tcPr>
            <w:tcW w:w="0" w:type="dxa"/>
            <w:vAlign w:val="bottom"/>
          </w:tcPr>
          <w:p>
            <w:pPr>
              <w:spacing w:after="0"/>
              <w:rPr>
                <w:sz w:val="1"/>
                <w:szCs w:val="1"/>
                <w:color w:val="auto"/>
              </w:rPr>
            </w:pPr>
          </w:p>
        </w:tc>
      </w:tr>
      <w:tr>
        <w:trPr>
          <w:trHeight w:val="203"/>
        </w:trPr>
        <w:tc>
          <w:tcPr>
            <w:tcW w:w="5180" w:type="dxa"/>
            <w:vAlign w:val="bottom"/>
          </w:tcPr>
          <w:p>
            <w:pPr>
              <w:ind w:left="100"/>
              <w:spacing w:after="0" w:line="202" w:lineRule="exact"/>
              <w:rPr>
                <w:sz w:val="20"/>
                <w:szCs w:val="20"/>
                <w:color w:val="auto"/>
              </w:rPr>
            </w:pPr>
            <w:r>
              <w:rPr>
                <w:rFonts w:ascii="Arial" w:cs="Arial" w:eastAsia="Arial" w:hAnsi="Arial"/>
                <w:sz w:val="18"/>
                <w:szCs w:val="18"/>
                <w:color w:val="auto"/>
              </w:rPr>
              <w:t>Accounts receivable, net</w:t>
            </w:r>
          </w:p>
        </w:tc>
        <w:tc>
          <w:tcPr>
            <w:tcW w:w="2040" w:type="dxa"/>
            <w:vAlign w:val="bottom"/>
            <w:gridSpan w:val="3"/>
          </w:tcPr>
          <w:p>
            <w:pPr>
              <w:jc w:val="right"/>
              <w:ind w:right="100"/>
              <w:spacing w:after="0" w:line="202" w:lineRule="exact"/>
              <w:rPr>
                <w:sz w:val="20"/>
                <w:szCs w:val="20"/>
                <w:color w:val="auto"/>
              </w:rPr>
            </w:pPr>
            <w:r>
              <w:rPr>
                <w:rFonts w:ascii="Arial" w:cs="Arial" w:eastAsia="Arial" w:hAnsi="Arial"/>
                <w:sz w:val="18"/>
                <w:szCs w:val="18"/>
                <w:color w:val="auto"/>
              </w:rPr>
              <w:t>202,675</w:t>
            </w:r>
          </w:p>
        </w:tc>
        <w:tc>
          <w:tcPr>
            <w:tcW w:w="2160" w:type="dxa"/>
            <w:vAlign w:val="bottom"/>
            <w:gridSpan w:val="4"/>
          </w:tcPr>
          <w:p>
            <w:pPr>
              <w:jc w:val="right"/>
              <w:ind w:right="40"/>
              <w:spacing w:after="0" w:line="202" w:lineRule="exact"/>
              <w:rPr>
                <w:sz w:val="20"/>
                <w:szCs w:val="20"/>
                <w:color w:val="auto"/>
              </w:rPr>
            </w:pPr>
            <w:r>
              <w:rPr>
                <w:rFonts w:ascii="Arial" w:cs="Arial" w:eastAsia="Arial" w:hAnsi="Arial"/>
                <w:sz w:val="18"/>
                <w:szCs w:val="18"/>
                <w:color w:val="auto"/>
              </w:rPr>
              <w:t>10,210</w:t>
            </w:r>
          </w:p>
        </w:tc>
        <w:tc>
          <w:tcPr>
            <w:tcW w:w="560" w:type="dxa"/>
            <w:vAlign w:val="bottom"/>
          </w:tcPr>
          <w:p>
            <w:pPr>
              <w:spacing w:after="0"/>
              <w:rPr>
                <w:sz w:val="17"/>
                <w:szCs w:val="17"/>
                <w:color w:val="auto"/>
              </w:rPr>
            </w:pPr>
          </w:p>
        </w:tc>
        <w:tc>
          <w:tcPr>
            <w:tcW w:w="14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212,885</w:t>
            </w:r>
          </w:p>
        </w:tc>
        <w:tc>
          <w:tcPr>
            <w:tcW w:w="0" w:type="dxa"/>
            <w:vAlign w:val="bottom"/>
          </w:tcPr>
          <w:p>
            <w:pPr>
              <w:spacing w:after="0"/>
              <w:rPr>
                <w:sz w:val="1"/>
                <w:szCs w:val="1"/>
                <w:color w:val="auto"/>
              </w:rPr>
            </w:pPr>
          </w:p>
        </w:tc>
      </w:tr>
      <w:tr>
        <w:trPr>
          <w:trHeight w:val="203"/>
        </w:trPr>
        <w:tc>
          <w:tcPr>
            <w:tcW w:w="5180" w:type="dxa"/>
            <w:vAlign w:val="bottom"/>
            <w:shd w:val="clear" w:color="auto" w:fill="C0C0C0"/>
          </w:tcPr>
          <w:p>
            <w:pPr>
              <w:ind w:left="100"/>
              <w:spacing w:after="0" w:line="202" w:lineRule="exact"/>
              <w:rPr>
                <w:sz w:val="20"/>
                <w:szCs w:val="20"/>
                <w:color w:val="auto"/>
              </w:rPr>
            </w:pPr>
            <w:r>
              <w:rPr>
                <w:rFonts w:ascii="Arial" w:cs="Arial" w:eastAsia="Arial" w:hAnsi="Arial"/>
                <w:sz w:val="18"/>
                <w:szCs w:val="18"/>
                <w:color w:val="auto"/>
              </w:rPr>
              <w:t>Contract assets</w:t>
            </w:r>
          </w:p>
        </w:tc>
        <w:tc>
          <w:tcPr>
            <w:tcW w:w="2040" w:type="dxa"/>
            <w:vAlign w:val="bottom"/>
            <w:gridSpan w:val="3"/>
            <w:shd w:val="clear" w:color="auto" w:fill="C0C0C0"/>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2160" w:type="dxa"/>
            <w:vAlign w:val="bottom"/>
            <w:gridSpan w:val="4"/>
            <w:shd w:val="clear" w:color="auto" w:fill="C0C0C0"/>
          </w:tcPr>
          <w:p>
            <w:pPr>
              <w:jc w:val="right"/>
              <w:ind w:right="40"/>
              <w:spacing w:after="0" w:line="202" w:lineRule="exact"/>
              <w:rPr>
                <w:sz w:val="20"/>
                <w:szCs w:val="20"/>
                <w:color w:val="auto"/>
              </w:rPr>
            </w:pPr>
            <w:r>
              <w:rPr>
                <w:rFonts w:ascii="Arial" w:cs="Arial" w:eastAsia="Arial" w:hAnsi="Arial"/>
                <w:sz w:val="18"/>
                <w:szCs w:val="18"/>
                <w:color w:val="auto"/>
              </w:rPr>
              <w:t>44,872</w:t>
            </w:r>
          </w:p>
        </w:tc>
        <w:tc>
          <w:tcPr>
            <w:tcW w:w="560" w:type="dxa"/>
            <w:vAlign w:val="bottom"/>
            <w:shd w:val="clear" w:color="auto" w:fill="C0C0C0"/>
          </w:tcPr>
          <w:p>
            <w:pPr>
              <w:spacing w:after="0"/>
              <w:rPr>
                <w:sz w:val="17"/>
                <w:szCs w:val="17"/>
                <w:color w:val="auto"/>
              </w:rPr>
            </w:pPr>
          </w:p>
        </w:tc>
        <w:tc>
          <w:tcPr>
            <w:tcW w:w="1480" w:type="dxa"/>
            <w:vAlign w:val="bottom"/>
            <w:gridSpan w:val="2"/>
            <w:shd w:val="clear" w:color="auto" w:fill="C0C0C0"/>
          </w:tcPr>
          <w:p>
            <w:pPr>
              <w:jc w:val="right"/>
              <w:ind w:right="100"/>
              <w:spacing w:after="0" w:line="202" w:lineRule="exact"/>
              <w:rPr>
                <w:sz w:val="20"/>
                <w:szCs w:val="20"/>
                <w:color w:val="auto"/>
              </w:rPr>
            </w:pPr>
            <w:r>
              <w:rPr>
                <w:rFonts w:ascii="Arial" w:cs="Arial" w:eastAsia="Arial" w:hAnsi="Arial"/>
                <w:sz w:val="18"/>
                <w:szCs w:val="18"/>
                <w:color w:val="auto"/>
              </w:rPr>
              <w:t>44,872</w:t>
            </w:r>
          </w:p>
        </w:tc>
        <w:tc>
          <w:tcPr>
            <w:tcW w:w="0" w:type="dxa"/>
            <w:vAlign w:val="bottom"/>
          </w:tcPr>
          <w:p>
            <w:pPr>
              <w:spacing w:after="0"/>
              <w:rPr>
                <w:sz w:val="1"/>
                <w:szCs w:val="1"/>
                <w:color w:val="auto"/>
              </w:rPr>
            </w:pPr>
          </w:p>
        </w:tc>
      </w:tr>
      <w:tr>
        <w:trPr>
          <w:trHeight w:val="203"/>
        </w:trPr>
        <w:tc>
          <w:tcPr>
            <w:tcW w:w="5180" w:type="dxa"/>
            <w:vAlign w:val="bottom"/>
          </w:tcPr>
          <w:p>
            <w:pPr>
              <w:ind w:left="100"/>
              <w:spacing w:after="0" w:line="202" w:lineRule="exact"/>
              <w:rPr>
                <w:sz w:val="20"/>
                <w:szCs w:val="20"/>
                <w:color w:val="auto"/>
              </w:rPr>
            </w:pPr>
            <w:r>
              <w:rPr>
                <w:rFonts w:ascii="Arial" w:cs="Arial" w:eastAsia="Arial" w:hAnsi="Arial"/>
                <w:sz w:val="18"/>
                <w:szCs w:val="18"/>
                <w:color w:val="auto"/>
              </w:rPr>
              <w:t>Inventories</w:t>
            </w:r>
          </w:p>
        </w:tc>
        <w:tc>
          <w:tcPr>
            <w:tcW w:w="2040" w:type="dxa"/>
            <w:vAlign w:val="bottom"/>
            <w:gridSpan w:val="3"/>
          </w:tcPr>
          <w:p>
            <w:pPr>
              <w:jc w:val="right"/>
              <w:ind w:right="100"/>
              <w:spacing w:after="0" w:line="202" w:lineRule="exact"/>
              <w:rPr>
                <w:sz w:val="20"/>
                <w:szCs w:val="20"/>
                <w:color w:val="auto"/>
              </w:rPr>
            </w:pPr>
            <w:r>
              <w:rPr>
                <w:rFonts w:ascii="Arial" w:cs="Arial" w:eastAsia="Arial" w:hAnsi="Arial"/>
                <w:sz w:val="18"/>
                <w:szCs w:val="18"/>
                <w:color w:val="auto"/>
              </w:rPr>
              <w:t>136,519</w:t>
            </w:r>
          </w:p>
        </w:tc>
        <w:tc>
          <w:tcPr>
            <w:tcW w:w="2160" w:type="dxa"/>
            <w:vAlign w:val="bottom"/>
            <w:gridSpan w:val="4"/>
          </w:tcPr>
          <w:p>
            <w:pPr>
              <w:jc w:val="right"/>
              <w:spacing w:after="0" w:line="202" w:lineRule="exact"/>
              <w:rPr>
                <w:sz w:val="20"/>
                <w:szCs w:val="20"/>
                <w:color w:val="auto"/>
              </w:rPr>
            </w:pPr>
            <w:r>
              <w:rPr>
                <w:rFonts w:ascii="Arial" w:cs="Arial" w:eastAsia="Arial" w:hAnsi="Arial"/>
                <w:sz w:val="18"/>
                <w:szCs w:val="18"/>
                <w:color w:val="auto"/>
              </w:rPr>
              <w:t>(47,054)</w:t>
            </w:r>
          </w:p>
        </w:tc>
        <w:tc>
          <w:tcPr>
            <w:tcW w:w="560" w:type="dxa"/>
            <w:vAlign w:val="bottom"/>
          </w:tcPr>
          <w:p>
            <w:pPr>
              <w:spacing w:after="0"/>
              <w:rPr>
                <w:sz w:val="17"/>
                <w:szCs w:val="17"/>
                <w:color w:val="auto"/>
              </w:rPr>
            </w:pPr>
          </w:p>
        </w:tc>
        <w:tc>
          <w:tcPr>
            <w:tcW w:w="14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89,465</w:t>
            </w:r>
          </w:p>
        </w:tc>
        <w:tc>
          <w:tcPr>
            <w:tcW w:w="0" w:type="dxa"/>
            <w:vAlign w:val="bottom"/>
          </w:tcPr>
          <w:p>
            <w:pPr>
              <w:spacing w:after="0"/>
              <w:rPr>
                <w:sz w:val="1"/>
                <w:szCs w:val="1"/>
                <w:color w:val="auto"/>
              </w:rPr>
            </w:pPr>
          </w:p>
        </w:tc>
      </w:tr>
      <w:tr>
        <w:trPr>
          <w:trHeight w:val="203"/>
        </w:trPr>
        <w:tc>
          <w:tcPr>
            <w:tcW w:w="5180" w:type="dxa"/>
            <w:vAlign w:val="bottom"/>
            <w:shd w:val="clear" w:color="auto" w:fill="C0C0C0"/>
          </w:tcPr>
          <w:p>
            <w:pPr>
              <w:ind w:left="100"/>
              <w:spacing w:after="0" w:line="202" w:lineRule="exact"/>
              <w:rPr>
                <w:sz w:val="20"/>
                <w:szCs w:val="20"/>
                <w:color w:val="auto"/>
              </w:rPr>
            </w:pPr>
            <w:r>
              <w:rPr>
                <w:rFonts w:ascii="Arial" w:cs="Arial" w:eastAsia="Arial" w:hAnsi="Arial"/>
                <w:sz w:val="18"/>
                <w:szCs w:val="18"/>
                <w:color w:val="auto"/>
              </w:rPr>
              <w:t>Income taxes prepaid and receivable</w:t>
            </w:r>
          </w:p>
        </w:tc>
        <w:tc>
          <w:tcPr>
            <w:tcW w:w="2040" w:type="dxa"/>
            <w:vAlign w:val="bottom"/>
            <w:gridSpan w:val="3"/>
            <w:shd w:val="clear" w:color="auto" w:fill="C0C0C0"/>
          </w:tcPr>
          <w:p>
            <w:pPr>
              <w:jc w:val="right"/>
              <w:ind w:right="100"/>
              <w:spacing w:after="0" w:line="202" w:lineRule="exact"/>
              <w:rPr>
                <w:sz w:val="20"/>
                <w:szCs w:val="20"/>
                <w:color w:val="auto"/>
              </w:rPr>
            </w:pPr>
            <w:r>
              <w:rPr>
                <w:rFonts w:ascii="Arial" w:cs="Arial" w:eastAsia="Arial" w:hAnsi="Arial"/>
                <w:sz w:val="18"/>
                <w:szCs w:val="18"/>
                <w:color w:val="auto"/>
              </w:rPr>
              <w:t>6,266</w:t>
            </w:r>
          </w:p>
        </w:tc>
        <w:tc>
          <w:tcPr>
            <w:tcW w:w="560" w:type="dxa"/>
            <w:vAlign w:val="bottom"/>
            <w:shd w:val="clear" w:color="auto" w:fill="C0C0C0"/>
          </w:tcPr>
          <w:p>
            <w:pPr>
              <w:spacing w:after="0"/>
              <w:rPr>
                <w:sz w:val="17"/>
                <w:szCs w:val="17"/>
                <w:color w:val="auto"/>
              </w:rPr>
            </w:pPr>
          </w:p>
        </w:tc>
        <w:tc>
          <w:tcPr>
            <w:tcW w:w="1220" w:type="dxa"/>
            <w:vAlign w:val="bottom"/>
            <w:shd w:val="clear" w:color="auto" w:fill="C0C0C0"/>
          </w:tcPr>
          <w:p>
            <w:pPr>
              <w:spacing w:after="0"/>
              <w:rPr>
                <w:sz w:val="17"/>
                <w:szCs w:val="17"/>
                <w:color w:val="auto"/>
              </w:rPr>
            </w:pPr>
          </w:p>
        </w:tc>
        <w:tc>
          <w:tcPr>
            <w:tcW w:w="380" w:type="dxa"/>
            <w:vAlign w:val="bottom"/>
            <w:gridSpan w:val="2"/>
            <w:shd w:val="clear" w:color="auto" w:fill="C0C0C0"/>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560" w:type="dxa"/>
            <w:vAlign w:val="bottom"/>
            <w:shd w:val="clear" w:color="auto" w:fill="C0C0C0"/>
          </w:tcPr>
          <w:p>
            <w:pPr>
              <w:spacing w:after="0"/>
              <w:rPr>
                <w:sz w:val="17"/>
                <w:szCs w:val="17"/>
                <w:color w:val="auto"/>
              </w:rPr>
            </w:pPr>
          </w:p>
        </w:tc>
        <w:tc>
          <w:tcPr>
            <w:tcW w:w="1480" w:type="dxa"/>
            <w:vAlign w:val="bottom"/>
            <w:gridSpan w:val="2"/>
            <w:shd w:val="clear" w:color="auto" w:fill="C0C0C0"/>
          </w:tcPr>
          <w:p>
            <w:pPr>
              <w:jc w:val="right"/>
              <w:ind w:right="100"/>
              <w:spacing w:after="0" w:line="202" w:lineRule="exact"/>
              <w:rPr>
                <w:sz w:val="20"/>
                <w:szCs w:val="20"/>
                <w:color w:val="auto"/>
              </w:rPr>
            </w:pPr>
            <w:r>
              <w:rPr>
                <w:rFonts w:ascii="Arial" w:cs="Arial" w:eastAsia="Arial" w:hAnsi="Arial"/>
                <w:sz w:val="18"/>
                <w:szCs w:val="18"/>
                <w:color w:val="auto"/>
              </w:rPr>
              <w:t>6,266</w:t>
            </w:r>
          </w:p>
        </w:tc>
        <w:tc>
          <w:tcPr>
            <w:tcW w:w="0" w:type="dxa"/>
            <w:vAlign w:val="bottom"/>
          </w:tcPr>
          <w:p>
            <w:pPr>
              <w:spacing w:after="0"/>
              <w:rPr>
                <w:sz w:val="1"/>
                <w:szCs w:val="1"/>
                <w:color w:val="auto"/>
              </w:rPr>
            </w:pPr>
          </w:p>
        </w:tc>
      </w:tr>
      <w:tr>
        <w:trPr>
          <w:trHeight w:val="216"/>
        </w:trPr>
        <w:tc>
          <w:tcPr>
            <w:tcW w:w="5180" w:type="dxa"/>
            <w:vAlign w:val="bottom"/>
          </w:tcPr>
          <w:p>
            <w:pPr>
              <w:ind w:left="100"/>
              <w:spacing w:after="0"/>
              <w:rPr>
                <w:sz w:val="20"/>
                <w:szCs w:val="20"/>
                <w:color w:val="auto"/>
              </w:rPr>
            </w:pPr>
            <w:r>
              <w:rPr>
                <w:rFonts w:ascii="Arial" w:cs="Arial" w:eastAsia="Arial" w:hAnsi="Arial"/>
                <w:sz w:val="18"/>
                <w:szCs w:val="18"/>
                <w:color w:val="auto"/>
              </w:rPr>
              <w:t>Prepaid expenses and other current assets</w:t>
            </w:r>
          </w:p>
        </w:tc>
        <w:tc>
          <w:tcPr>
            <w:tcW w:w="2040" w:type="dxa"/>
            <w:vAlign w:val="bottom"/>
            <w:gridSpan w:val="3"/>
          </w:tcPr>
          <w:p>
            <w:pPr>
              <w:jc w:val="right"/>
              <w:ind w:right="100"/>
              <w:spacing w:after="0"/>
              <w:rPr>
                <w:sz w:val="20"/>
                <w:szCs w:val="20"/>
                <w:color w:val="auto"/>
              </w:rPr>
            </w:pPr>
            <w:r>
              <w:rPr>
                <w:rFonts w:ascii="Arial" w:cs="Arial" w:eastAsia="Arial" w:hAnsi="Arial"/>
                <w:sz w:val="18"/>
                <w:szCs w:val="18"/>
                <w:color w:val="auto"/>
              </w:rPr>
              <w:t>14,520</w:t>
            </w:r>
          </w:p>
        </w:tc>
        <w:tc>
          <w:tcPr>
            <w:tcW w:w="5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14,520</w:t>
            </w:r>
          </w:p>
        </w:tc>
        <w:tc>
          <w:tcPr>
            <w:tcW w:w="0" w:type="dxa"/>
            <w:vAlign w:val="bottom"/>
          </w:tcPr>
          <w:p>
            <w:pPr>
              <w:spacing w:after="0"/>
              <w:rPr>
                <w:sz w:val="1"/>
                <w:szCs w:val="1"/>
                <w:color w:val="auto"/>
              </w:rPr>
            </w:pPr>
          </w:p>
        </w:tc>
      </w:tr>
      <w:tr>
        <w:trPr>
          <w:trHeight w:val="196"/>
        </w:trPr>
        <w:tc>
          <w:tcPr>
            <w:tcW w:w="5180" w:type="dxa"/>
            <w:vAlign w:val="bottom"/>
            <w:tcBorders>
              <w:top w:val="single" w:sz="8" w:color="C0C0C0"/>
            </w:tcBorders>
            <w:shd w:val="clear" w:color="auto" w:fill="C0C0C0"/>
          </w:tcPr>
          <w:p>
            <w:pPr>
              <w:ind w:left="300"/>
              <w:spacing w:after="0" w:line="196" w:lineRule="exact"/>
              <w:rPr>
                <w:sz w:val="20"/>
                <w:szCs w:val="20"/>
                <w:color w:val="auto"/>
              </w:rPr>
            </w:pPr>
            <w:r>
              <w:rPr>
                <w:rFonts w:ascii="Arial" w:cs="Arial" w:eastAsia="Arial" w:hAnsi="Arial"/>
                <w:sz w:val="18"/>
                <w:szCs w:val="18"/>
                <w:color w:val="auto"/>
              </w:rPr>
              <w:t>Total current assets</w:t>
            </w:r>
          </w:p>
        </w:tc>
        <w:tc>
          <w:tcPr>
            <w:tcW w:w="560" w:type="dxa"/>
            <w:vAlign w:val="bottom"/>
            <w:tcBorders>
              <w:top w:val="single" w:sz="8" w:color="C0C0C0"/>
            </w:tcBorders>
            <w:shd w:val="clear" w:color="auto" w:fill="C0C0C0"/>
          </w:tcPr>
          <w:p>
            <w:pPr>
              <w:spacing w:after="0"/>
              <w:rPr>
                <w:sz w:val="17"/>
                <w:szCs w:val="17"/>
                <w:color w:val="auto"/>
              </w:rPr>
            </w:pPr>
          </w:p>
        </w:tc>
        <w:tc>
          <w:tcPr>
            <w:tcW w:w="1380" w:type="dxa"/>
            <w:vAlign w:val="bottom"/>
            <w:tcBorders>
              <w:top w:val="single" w:sz="8" w:color="auto"/>
            </w:tcBorders>
            <w:shd w:val="clear" w:color="auto" w:fill="C0C0C0"/>
          </w:tcPr>
          <w:p>
            <w:pPr>
              <w:jc w:val="right"/>
              <w:spacing w:after="0" w:line="196" w:lineRule="exact"/>
              <w:rPr>
                <w:sz w:val="20"/>
                <w:szCs w:val="20"/>
                <w:color w:val="auto"/>
              </w:rPr>
            </w:pPr>
            <w:r>
              <w:rPr>
                <w:rFonts w:ascii="Arial" w:cs="Arial" w:eastAsia="Arial" w:hAnsi="Arial"/>
                <w:sz w:val="18"/>
                <w:szCs w:val="18"/>
                <w:color w:val="auto"/>
              </w:rPr>
              <w:t>543,707</w:t>
            </w:r>
          </w:p>
        </w:tc>
        <w:tc>
          <w:tcPr>
            <w:tcW w:w="100" w:type="dxa"/>
            <w:vAlign w:val="bottom"/>
            <w:tcBorders>
              <w:top w:val="single" w:sz="8" w:color="C0C0C0"/>
            </w:tcBorders>
            <w:shd w:val="clear" w:color="auto" w:fill="C0C0C0"/>
          </w:tcPr>
          <w:p>
            <w:pPr>
              <w:spacing w:after="0"/>
              <w:rPr>
                <w:sz w:val="17"/>
                <w:szCs w:val="17"/>
                <w:color w:val="auto"/>
              </w:rPr>
            </w:pPr>
          </w:p>
        </w:tc>
        <w:tc>
          <w:tcPr>
            <w:tcW w:w="560" w:type="dxa"/>
            <w:vAlign w:val="bottom"/>
            <w:tcBorders>
              <w:top w:val="single" w:sz="8" w:color="C0C0C0"/>
            </w:tcBorders>
            <w:shd w:val="clear" w:color="auto" w:fill="C0C0C0"/>
          </w:tcPr>
          <w:p>
            <w:pPr>
              <w:spacing w:after="0"/>
              <w:rPr>
                <w:sz w:val="17"/>
                <w:szCs w:val="17"/>
                <w:color w:val="auto"/>
              </w:rPr>
            </w:pPr>
          </w:p>
        </w:tc>
        <w:tc>
          <w:tcPr>
            <w:tcW w:w="1480" w:type="dxa"/>
            <w:vAlign w:val="bottom"/>
            <w:tcBorders>
              <w:top w:val="single" w:sz="8" w:color="auto"/>
            </w:tcBorders>
            <w:gridSpan w:val="2"/>
            <w:shd w:val="clear" w:color="auto" w:fill="C0C0C0"/>
          </w:tcPr>
          <w:p>
            <w:pPr>
              <w:jc w:val="right"/>
              <w:spacing w:after="0" w:line="196" w:lineRule="exact"/>
              <w:rPr>
                <w:sz w:val="20"/>
                <w:szCs w:val="20"/>
                <w:color w:val="auto"/>
              </w:rPr>
            </w:pPr>
            <w:r>
              <w:rPr>
                <w:rFonts w:ascii="Arial" w:cs="Arial" w:eastAsia="Arial" w:hAnsi="Arial"/>
                <w:sz w:val="18"/>
                <w:szCs w:val="18"/>
                <w:color w:val="auto"/>
              </w:rPr>
              <w:t>8,028</w:t>
            </w:r>
          </w:p>
        </w:tc>
        <w:tc>
          <w:tcPr>
            <w:tcW w:w="120" w:type="dxa"/>
            <w:vAlign w:val="bottom"/>
            <w:tcBorders>
              <w:top w:val="single" w:sz="8" w:color="C0C0C0"/>
            </w:tcBorders>
            <w:shd w:val="clear" w:color="auto" w:fill="C0C0C0"/>
          </w:tcPr>
          <w:p>
            <w:pPr>
              <w:spacing w:after="0"/>
              <w:rPr>
                <w:sz w:val="17"/>
                <w:szCs w:val="17"/>
                <w:color w:val="auto"/>
              </w:rPr>
            </w:pPr>
          </w:p>
        </w:tc>
        <w:tc>
          <w:tcPr>
            <w:tcW w:w="560" w:type="dxa"/>
            <w:vAlign w:val="bottom"/>
            <w:tcBorders>
              <w:top w:val="single" w:sz="8" w:color="C0C0C0"/>
            </w:tcBorders>
            <w:shd w:val="clear" w:color="auto" w:fill="C0C0C0"/>
          </w:tcPr>
          <w:p>
            <w:pPr>
              <w:spacing w:after="0"/>
              <w:rPr>
                <w:sz w:val="17"/>
                <w:szCs w:val="17"/>
                <w:color w:val="auto"/>
              </w:rPr>
            </w:pPr>
          </w:p>
        </w:tc>
        <w:tc>
          <w:tcPr>
            <w:tcW w:w="1380" w:type="dxa"/>
            <w:vAlign w:val="bottom"/>
            <w:tcBorders>
              <w:top w:val="single" w:sz="8" w:color="auto"/>
            </w:tcBorders>
            <w:shd w:val="clear" w:color="auto" w:fill="C0C0C0"/>
          </w:tcPr>
          <w:p>
            <w:pPr>
              <w:jc w:val="right"/>
              <w:spacing w:after="0" w:line="196" w:lineRule="exact"/>
              <w:rPr>
                <w:sz w:val="20"/>
                <w:szCs w:val="20"/>
                <w:color w:val="auto"/>
              </w:rPr>
            </w:pPr>
            <w:r>
              <w:rPr>
                <w:rFonts w:ascii="Arial" w:cs="Arial" w:eastAsia="Arial" w:hAnsi="Arial"/>
                <w:sz w:val="18"/>
                <w:szCs w:val="18"/>
                <w:color w:val="auto"/>
              </w:rPr>
              <w:t>551,735</w:t>
            </w:r>
          </w:p>
        </w:tc>
        <w:tc>
          <w:tcPr>
            <w:tcW w:w="100" w:type="dxa"/>
            <w:vAlign w:val="bottom"/>
            <w:tcBorders>
              <w:top w:val="single" w:sz="8" w:color="C0C0C0"/>
            </w:tcBorders>
            <w:shd w:val="clear" w:color="auto" w:fill="C0C0C0"/>
          </w:tcPr>
          <w:p>
            <w:pPr>
              <w:spacing w:after="0"/>
              <w:rPr>
                <w:sz w:val="17"/>
                <w:szCs w:val="17"/>
                <w:color w:val="auto"/>
              </w:rPr>
            </w:pPr>
          </w:p>
        </w:tc>
        <w:tc>
          <w:tcPr>
            <w:tcW w:w="0" w:type="dxa"/>
            <w:vAlign w:val="bottom"/>
          </w:tcPr>
          <w:p>
            <w:pPr>
              <w:spacing w:after="0"/>
              <w:rPr>
                <w:sz w:val="1"/>
                <w:szCs w:val="1"/>
                <w:color w:val="auto"/>
              </w:rPr>
            </w:pPr>
          </w:p>
        </w:tc>
      </w:tr>
      <w:tr>
        <w:trPr>
          <w:trHeight w:val="405"/>
        </w:trPr>
        <w:tc>
          <w:tcPr>
            <w:tcW w:w="5180" w:type="dxa"/>
            <w:vAlign w:val="bottom"/>
          </w:tcPr>
          <w:p>
            <w:pPr>
              <w:ind w:left="100"/>
              <w:spacing w:after="0"/>
              <w:rPr>
                <w:sz w:val="20"/>
                <w:szCs w:val="20"/>
                <w:color w:val="auto"/>
              </w:rPr>
            </w:pPr>
            <w:r>
              <w:rPr>
                <w:rFonts w:ascii="Arial" w:cs="Arial" w:eastAsia="Arial" w:hAnsi="Arial"/>
                <w:sz w:val="18"/>
                <w:szCs w:val="18"/>
                <w:color w:val="auto"/>
              </w:rPr>
              <w:t>Property, plant and equipment, net</w:t>
            </w:r>
          </w:p>
        </w:tc>
        <w:tc>
          <w:tcPr>
            <w:tcW w:w="2040" w:type="dxa"/>
            <w:vAlign w:val="bottom"/>
            <w:gridSpan w:val="3"/>
          </w:tcPr>
          <w:p>
            <w:pPr>
              <w:jc w:val="right"/>
              <w:ind w:right="100"/>
              <w:spacing w:after="0"/>
              <w:rPr>
                <w:sz w:val="20"/>
                <w:szCs w:val="20"/>
                <w:color w:val="auto"/>
              </w:rPr>
            </w:pPr>
            <w:r>
              <w:rPr>
                <w:rFonts w:ascii="Arial" w:cs="Arial" w:eastAsia="Arial" w:hAnsi="Arial"/>
                <w:sz w:val="18"/>
                <w:szCs w:val="18"/>
                <w:color w:val="auto"/>
              </w:rPr>
              <w:t>454,302</w:t>
            </w:r>
          </w:p>
        </w:tc>
        <w:tc>
          <w:tcPr>
            <w:tcW w:w="5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24"/>
                <w:szCs w:val="24"/>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454,302</w:t>
            </w:r>
          </w:p>
        </w:tc>
        <w:tc>
          <w:tcPr>
            <w:tcW w:w="0" w:type="dxa"/>
            <w:vAlign w:val="bottom"/>
          </w:tcPr>
          <w:p>
            <w:pPr>
              <w:spacing w:after="0"/>
              <w:rPr>
                <w:sz w:val="1"/>
                <w:szCs w:val="1"/>
                <w:color w:val="auto"/>
              </w:rPr>
            </w:pPr>
          </w:p>
        </w:tc>
      </w:tr>
      <w:tr>
        <w:trPr>
          <w:trHeight w:val="203"/>
        </w:trPr>
        <w:tc>
          <w:tcPr>
            <w:tcW w:w="5180" w:type="dxa"/>
            <w:vAlign w:val="bottom"/>
            <w:shd w:val="clear" w:color="auto" w:fill="C0C0C0"/>
          </w:tcPr>
          <w:p>
            <w:pPr>
              <w:ind w:left="100"/>
              <w:spacing w:after="0" w:line="202" w:lineRule="exact"/>
              <w:rPr>
                <w:sz w:val="20"/>
                <w:szCs w:val="20"/>
                <w:color w:val="auto"/>
              </w:rPr>
            </w:pPr>
            <w:r>
              <w:rPr>
                <w:rFonts w:ascii="Arial" w:cs="Arial" w:eastAsia="Arial" w:hAnsi="Arial"/>
                <w:sz w:val="18"/>
                <w:szCs w:val="18"/>
                <w:color w:val="auto"/>
              </w:rPr>
              <w:t>Intangibles, net</w:t>
            </w:r>
          </w:p>
        </w:tc>
        <w:tc>
          <w:tcPr>
            <w:tcW w:w="2040" w:type="dxa"/>
            <w:vAlign w:val="bottom"/>
            <w:gridSpan w:val="3"/>
            <w:shd w:val="clear" w:color="auto" w:fill="C0C0C0"/>
          </w:tcPr>
          <w:p>
            <w:pPr>
              <w:jc w:val="right"/>
              <w:ind w:right="100"/>
              <w:spacing w:after="0" w:line="202" w:lineRule="exact"/>
              <w:rPr>
                <w:sz w:val="20"/>
                <w:szCs w:val="20"/>
                <w:color w:val="auto"/>
              </w:rPr>
            </w:pPr>
            <w:r>
              <w:rPr>
                <w:rFonts w:ascii="Arial" w:cs="Arial" w:eastAsia="Arial" w:hAnsi="Arial"/>
                <w:sz w:val="18"/>
                <w:szCs w:val="18"/>
                <w:color w:val="auto"/>
              </w:rPr>
              <w:t>55,441</w:t>
            </w:r>
          </w:p>
        </w:tc>
        <w:tc>
          <w:tcPr>
            <w:tcW w:w="560" w:type="dxa"/>
            <w:vAlign w:val="bottom"/>
            <w:shd w:val="clear" w:color="auto" w:fill="C0C0C0"/>
          </w:tcPr>
          <w:p>
            <w:pPr>
              <w:spacing w:after="0"/>
              <w:rPr>
                <w:sz w:val="17"/>
                <w:szCs w:val="17"/>
                <w:color w:val="auto"/>
              </w:rPr>
            </w:pPr>
          </w:p>
        </w:tc>
        <w:tc>
          <w:tcPr>
            <w:tcW w:w="1220" w:type="dxa"/>
            <w:vAlign w:val="bottom"/>
            <w:shd w:val="clear" w:color="auto" w:fill="C0C0C0"/>
          </w:tcPr>
          <w:p>
            <w:pPr>
              <w:spacing w:after="0"/>
              <w:rPr>
                <w:sz w:val="17"/>
                <w:szCs w:val="17"/>
                <w:color w:val="auto"/>
              </w:rPr>
            </w:pPr>
          </w:p>
        </w:tc>
        <w:tc>
          <w:tcPr>
            <w:tcW w:w="380" w:type="dxa"/>
            <w:vAlign w:val="bottom"/>
            <w:gridSpan w:val="2"/>
            <w:shd w:val="clear" w:color="auto" w:fill="C0C0C0"/>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560" w:type="dxa"/>
            <w:vAlign w:val="bottom"/>
            <w:shd w:val="clear" w:color="auto" w:fill="C0C0C0"/>
          </w:tcPr>
          <w:p>
            <w:pPr>
              <w:spacing w:after="0"/>
              <w:rPr>
                <w:sz w:val="17"/>
                <w:szCs w:val="17"/>
                <w:color w:val="auto"/>
              </w:rPr>
            </w:pPr>
          </w:p>
        </w:tc>
        <w:tc>
          <w:tcPr>
            <w:tcW w:w="1480" w:type="dxa"/>
            <w:vAlign w:val="bottom"/>
            <w:gridSpan w:val="2"/>
            <w:shd w:val="clear" w:color="auto" w:fill="C0C0C0"/>
          </w:tcPr>
          <w:p>
            <w:pPr>
              <w:jc w:val="right"/>
              <w:ind w:right="100"/>
              <w:spacing w:after="0" w:line="202" w:lineRule="exact"/>
              <w:rPr>
                <w:sz w:val="20"/>
                <w:szCs w:val="20"/>
                <w:color w:val="auto"/>
              </w:rPr>
            </w:pPr>
            <w:r>
              <w:rPr>
                <w:rFonts w:ascii="Arial" w:cs="Arial" w:eastAsia="Arial" w:hAnsi="Arial"/>
                <w:sz w:val="18"/>
                <w:szCs w:val="18"/>
                <w:color w:val="auto"/>
              </w:rPr>
              <w:t>55,441</w:t>
            </w:r>
          </w:p>
        </w:tc>
        <w:tc>
          <w:tcPr>
            <w:tcW w:w="0" w:type="dxa"/>
            <w:vAlign w:val="bottom"/>
          </w:tcPr>
          <w:p>
            <w:pPr>
              <w:spacing w:after="0"/>
              <w:rPr>
                <w:sz w:val="1"/>
                <w:szCs w:val="1"/>
                <w:color w:val="auto"/>
              </w:rPr>
            </w:pPr>
          </w:p>
        </w:tc>
      </w:tr>
      <w:tr>
        <w:trPr>
          <w:trHeight w:val="203"/>
        </w:trPr>
        <w:tc>
          <w:tcPr>
            <w:tcW w:w="5180" w:type="dxa"/>
            <w:vAlign w:val="bottom"/>
          </w:tcPr>
          <w:p>
            <w:pPr>
              <w:ind w:left="100"/>
              <w:spacing w:after="0" w:line="202" w:lineRule="exact"/>
              <w:rPr>
                <w:sz w:val="20"/>
                <w:szCs w:val="20"/>
                <w:color w:val="auto"/>
              </w:rPr>
            </w:pPr>
            <w:r>
              <w:rPr>
                <w:rFonts w:ascii="Arial" w:cs="Arial" w:eastAsia="Arial" w:hAnsi="Arial"/>
                <w:sz w:val="18"/>
                <w:szCs w:val="18"/>
                <w:color w:val="auto"/>
              </w:rPr>
              <w:t>Goodwill</w:t>
            </w:r>
          </w:p>
        </w:tc>
        <w:tc>
          <w:tcPr>
            <w:tcW w:w="2040" w:type="dxa"/>
            <w:vAlign w:val="bottom"/>
            <w:gridSpan w:val="3"/>
          </w:tcPr>
          <w:p>
            <w:pPr>
              <w:jc w:val="right"/>
              <w:ind w:right="100"/>
              <w:spacing w:after="0" w:line="202" w:lineRule="exact"/>
              <w:rPr>
                <w:sz w:val="20"/>
                <w:szCs w:val="20"/>
                <w:color w:val="auto"/>
              </w:rPr>
            </w:pPr>
            <w:r>
              <w:rPr>
                <w:rFonts w:ascii="Arial" w:cs="Arial" w:eastAsia="Arial" w:hAnsi="Arial"/>
                <w:sz w:val="18"/>
                <w:szCs w:val="18"/>
                <w:color w:val="auto"/>
              </w:rPr>
              <w:t>166,796</w:t>
            </w:r>
          </w:p>
        </w:tc>
        <w:tc>
          <w:tcPr>
            <w:tcW w:w="5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8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560" w:type="dxa"/>
            <w:vAlign w:val="bottom"/>
          </w:tcPr>
          <w:p>
            <w:pPr>
              <w:spacing w:after="0"/>
              <w:rPr>
                <w:sz w:val="17"/>
                <w:szCs w:val="17"/>
                <w:color w:val="auto"/>
              </w:rPr>
            </w:pPr>
          </w:p>
        </w:tc>
        <w:tc>
          <w:tcPr>
            <w:tcW w:w="14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166,796</w:t>
            </w:r>
          </w:p>
        </w:tc>
        <w:tc>
          <w:tcPr>
            <w:tcW w:w="0" w:type="dxa"/>
            <w:vAlign w:val="bottom"/>
          </w:tcPr>
          <w:p>
            <w:pPr>
              <w:spacing w:after="0"/>
              <w:rPr>
                <w:sz w:val="1"/>
                <w:szCs w:val="1"/>
                <w:color w:val="auto"/>
              </w:rPr>
            </w:pPr>
          </w:p>
        </w:tc>
      </w:tr>
      <w:tr>
        <w:trPr>
          <w:trHeight w:val="203"/>
        </w:trPr>
        <w:tc>
          <w:tcPr>
            <w:tcW w:w="5180" w:type="dxa"/>
            <w:vAlign w:val="bottom"/>
            <w:shd w:val="clear" w:color="auto" w:fill="C0C0C0"/>
          </w:tcPr>
          <w:p>
            <w:pPr>
              <w:ind w:left="100"/>
              <w:spacing w:after="0" w:line="202" w:lineRule="exact"/>
              <w:rPr>
                <w:sz w:val="20"/>
                <w:szCs w:val="20"/>
                <w:color w:val="auto"/>
              </w:rPr>
            </w:pPr>
            <w:r>
              <w:rPr>
                <w:rFonts w:ascii="Arial" w:cs="Arial" w:eastAsia="Arial" w:hAnsi="Arial"/>
                <w:sz w:val="18"/>
                <w:szCs w:val="18"/>
                <w:color w:val="auto"/>
              </w:rPr>
              <w:t>Deferred income taxes</w:t>
            </w:r>
          </w:p>
        </w:tc>
        <w:tc>
          <w:tcPr>
            <w:tcW w:w="2040" w:type="dxa"/>
            <w:vAlign w:val="bottom"/>
            <w:gridSpan w:val="3"/>
            <w:shd w:val="clear" w:color="auto" w:fill="C0C0C0"/>
          </w:tcPr>
          <w:p>
            <w:pPr>
              <w:jc w:val="right"/>
              <w:ind w:right="100"/>
              <w:spacing w:after="0" w:line="202" w:lineRule="exact"/>
              <w:rPr>
                <w:sz w:val="20"/>
                <w:szCs w:val="20"/>
                <w:color w:val="auto"/>
              </w:rPr>
            </w:pPr>
            <w:r>
              <w:rPr>
                <w:rFonts w:ascii="Arial" w:cs="Arial" w:eastAsia="Arial" w:hAnsi="Arial"/>
                <w:sz w:val="18"/>
                <w:szCs w:val="18"/>
                <w:color w:val="auto"/>
              </w:rPr>
              <w:t>68,648</w:t>
            </w:r>
          </w:p>
        </w:tc>
        <w:tc>
          <w:tcPr>
            <w:tcW w:w="2160" w:type="dxa"/>
            <w:vAlign w:val="bottom"/>
            <w:gridSpan w:val="4"/>
            <w:shd w:val="clear" w:color="auto" w:fill="C0C0C0"/>
          </w:tcPr>
          <w:p>
            <w:pPr>
              <w:jc w:val="right"/>
              <w:ind w:right="40"/>
              <w:spacing w:after="0" w:line="202" w:lineRule="exact"/>
              <w:rPr>
                <w:sz w:val="20"/>
                <w:szCs w:val="20"/>
                <w:color w:val="auto"/>
              </w:rPr>
            </w:pPr>
            <w:r>
              <w:rPr>
                <w:rFonts w:ascii="Arial" w:cs="Arial" w:eastAsia="Arial" w:hAnsi="Arial"/>
                <w:sz w:val="18"/>
                <w:szCs w:val="18"/>
                <w:color w:val="auto"/>
              </w:rPr>
              <w:t>1,756</w:t>
            </w:r>
          </w:p>
        </w:tc>
        <w:tc>
          <w:tcPr>
            <w:tcW w:w="560" w:type="dxa"/>
            <w:vAlign w:val="bottom"/>
            <w:shd w:val="clear" w:color="auto" w:fill="C0C0C0"/>
          </w:tcPr>
          <w:p>
            <w:pPr>
              <w:spacing w:after="0"/>
              <w:rPr>
                <w:sz w:val="17"/>
                <w:szCs w:val="17"/>
                <w:color w:val="auto"/>
              </w:rPr>
            </w:pPr>
          </w:p>
        </w:tc>
        <w:tc>
          <w:tcPr>
            <w:tcW w:w="1480" w:type="dxa"/>
            <w:vAlign w:val="bottom"/>
            <w:gridSpan w:val="2"/>
            <w:shd w:val="clear" w:color="auto" w:fill="C0C0C0"/>
          </w:tcPr>
          <w:p>
            <w:pPr>
              <w:jc w:val="right"/>
              <w:ind w:right="100"/>
              <w:spacing w:after="0" w:line="202" w:lineRule="exact"/>
              <w:rPr>
                <w:sz w:val="20"/>
                <w:szCs w:val="20"/>
                <w:color w:val="auto"/>
              </w:rPr>
            </w:pPr>
            <w:r>
              <w:rPr>
                <w:rFonts w:ascii="Arial" w:cs="Arial" w:eastAsia="Arial" w:hAnsi="Arial"/>
                <w:sz w:val="18"/>
                <w:szCs w:val="18"/>
                <w:color w:val="auto"/>
              </w:rPr>
              <w:t>70,404</w:t>
            </w:r>
          </w:p>
        </w:tc>
        <w:tc>
          <w:tcPr>
            <w:tcW w:w="0" w:type="dxa"/>
            <w:vAlign w:val="bottom"/>
          </w:tcPr>
          <w:p>
            <w:pPr>
              <w:spacing w:after="0"/>
              <w:rPr>
                <w:sz w:val="1"/>
                <w:szCs w:val="1"/>
                <w:color w:val="auto"/>
              </w:rPr>
            </w:pPr>
          </w:p>
        </w:tc>
      </w:tr>
      <w:tr>
        <w:trPr>
          <w:trHeight w:val="203"/>
        </w:trPr>
        <w:tc>
          <w:tcPr>
            <w:tcW w:w="5180" w:type="dxa"/>
            <w:vAlign w:val="bottom"/>
          </w:tcPr>
          <w:p>
            <w:pPr>
              <w:ind w:left="100"/>
              <w:spacing w:after="0" w:line="202" w:lineRule="exact"/>
              <w:rPr>
                <w:sz w:val="20"/>
                <w:szCs w:val="20"/>
                <w:color w:val="auto"/>
              </w:rPr>
            </w:pPr>
            <w:r>
              <w:rPr>
                <w:rFonts w:ascii="Arial" w:cs="Arial" w:eastAsia="Arial" w:hAnsi="Arial"/>
                <w:sz w:val="18"/>
                <w:szCs w:val="18"/>
                <w:color w:val="auto"/>
              </w:rPr>
              <w:t>Noncurrent receivables</w:t>
            </w:r>
          </w:p>
        </w:tc>
        <w:tc>
          <w:tcPr>
            <w:tcW w:w="2040" w:type="dxa"/>
            <w:vAlign w:val="bottom"/>
            <w:gridSpan w:val="3"/>
          </w:tcPr>
          <w:p>
            <w:pPr>
              <w:jc w:val="right"/>
              <w:ind w:right="100"/>
              <w:spacing w:after="0" w:line="202" w:lineRule="exact"/>
              <w:rPr>
                <w:sz w:val="20"/>
                <w:szCs w:val="20"/>
                <w:color w:val="auto"/>
              </w:rPr>
            </w:pPr>
            <w:r>
              <w:rPr>
                <w:rFonts w:ascii="Arial" w:cs="Arial" w:eastAsia="Arial" w:hAnsi="Arial"/>
                <w:sz w:val="18"/>
                <w:szCs w:val="18"/>
                <w:color w:val="auto"/>
              </w:rPr>
              <w:t>32,811</w:t>
            </w:r>
          </w:p>
        </w:tc>
        <w:tc>
          <w:tcPr>
            <w:tcW w:w="5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8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560" w:type="dxa"/>
            <w:vAlign w:val="bottom"/>
          </w:tcPr>
          <w:p>
            <w:pPr>
              <w:spacing w:after="0"/>
              <w:rPr>
                <w:sz w:val="17"/>
                <w:szCs w:val="17"/>
                <w:color w:val="auto"/>
              </w:rPr>
            </w:pPr>
          </w:p>
        </w:tc>
        <w:tc>
          <w:tcPr>
            <w:tcW w:w="14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32,811</w:t>
            </w:r>
          </w:p>
        </w:tc>
        <w:tc>
          <w:tcPr>
            <w:tcW w:w="0" w:type="dxa"/>
            <w:vAlign w:val="bottom"/>
          </w:tcPr>
          <w:p>
            <w:pPr>
              <w:spacing w:after="0"/>
              <w:rPr>
                <w:sz w:val="1"/>
                <w:szCs w:val="1"/>
                <w:color w:val="auto"/>
              </w:rPr>
            </w:pPr>
          </w:p>
        </w:tc>
      </w:tr>
      <w:tr>
        <w:trPr>
          <w:trHeight w:val="216"/>
        </w:trPr>
        <w:tc>
          <w:tcPr>
            <w:tcW w:w="5180" w:type="dxa"/>
            <w:vAlign w:val="bottom"/>
            <w:shd w:val="clear" w:color="auto" w:fill="C0C0C0"/>
          </w:tcPr>
          <w:p>
            <w:pPr>
              <w:ind w:left="100"/>
              <w:spacing w:after="0"/>
              <w:rPr>
                <w:sz w:val="20"/>
                <w:szCs w:val="20"/>
                <w:color w:val="auto"/>
              </w:rPr>
            </w:pPr>
            <w:r>
              <w:rPr>
                <w:rFonts w:ascii="Arial" w:cs="Arial" w:eastAsia="Arial" w:hAnsi="Arial"/>
                <w:sz w:val="18"/>
                <w:szCs w:val="18"/>
                <w:color w:val="auto"/>
              </w:rPr>
              <w:t>Other assets</w:t>
            </w:r>
          </w:p>
        </w:tc>
        <w:tc>
          <w:tcPr>
            <w:tcW w:w="560" w:type="dxa"/>
            <w:vAlign w:val="bottom"/>
            <w:shd w:val="clear" w:color="auto" w:fill="C0C0C0"/>
          </w:tcPr>
          <w:p>
            <w:pPr>
              <w:spacing w:after="0"/>
              <w:rPr>
                <w:sz w:val="18"/>
                <w:szCs w:val="18"/>
                <w:color w:val="auto"/>
              </w:rPr>
            </w:pPr>
          </w:p>
        </w:tc>
        <w:tc>
          <w:tcPr>
            <w:tcW w:w="138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39,493</w:t>
            </w:r>
          </w:p>
        </w:tc>
        <w:tc>
          <w:tcPr>
            <w:tcW w:w="100" w:type="dxa"/>
            <w:vAlign w:val="bottom"/>
            <w:shd w:val="clear" w:color="auto" w:fill="C0C0C0"/>
          </w:tcPr>
          <w:p>
            <w:pPr>
              <w:spacing w:after="0"/>
              <w:rPr>
                <w:sz w:val="18"/>
                <w:szCs w:val="18"/>
                <w:color w:val="auto"/>
              </w:rPr>
            </w:pPr>
          </w:p>
        </w:tc>
        <w:tc>
          <w:tcPr>
            <w:tcW w:w="560" w:type="dxa"/>
            <w:vAlign w:val="bottom"/>
            <w:shd w:val="clear" w:color="auto" w:fill="C0C0C0"/>
          </w:tcPr>
          <w:p>
            <w:pPr>
              <w:spacing w:after="0"/>
              <w:rPr>
                <w:sz w:val="18"/>
                <w:szCs w:val="18"/>
                <w:color w:val="auto"/>
              </w:rPr>
            </w:pPr>
          </w:p>
        </w:tc>
        <w:tc>
          <w:tcPr>
            <w:tcW w:w="1480" w:type="dxa"/>
            <w:vAlign w:val="bottom"/>
            <w:tcBorders>
              <w:bottom w:val="single" w:sz="8" w:color="auto"/>
            </w:tcBorders>
            <w:gridSpan w:val="2"/>
            <w:shd w:val="clear" w:color="auto" w:fill="C0C0C0"/>
          </w:tcPr>
          <w:p>
            <w:pPr>
              <w:jc w:val="right"/>
              <w:spacing w:after="0"/>
              <w:rPr>
                <w:sz w:val="20"/>
                <w:szCs w:val="20"/>
                <w:color w:val="auto"/>
              </w:rPr>
            </w:pPr>
            <w:r>
              <w:rPr>
                <w:rFonts w:ascii="Arial" w:cs="Arial" w:eastAsia="Arial" w:hAnsi="Arial"/>
                <w:sz w:val="18"/>
                <w:szCs w:val="18"/>
                <w:color w:val="auto"/>
              </w:rPr>
              <w:t>1,119</w:t>
            </w:r>
          </w:p>
        </w:tc>
        <w:tc>
          <w:tcPr>
            <w:tcW w:w="120" w:type="dxa"/>
            <w:vAlign w:val="bottom"/>
            <w:shd w:val="clear" w:color="auto" w:fill="C0C0C0"/>
          </w:tcPr>
          <w:p>
            <w:pPr>
              <w:spacing w:after="0"/>
              <w:rPr>
                <w:sz w:val="18"/>
                <w:szCs w:val="18"/>
                <w:color w:val="auto"/>
              </w:rPr>
            </w:pPr>
          </w:p>
        </w:tc>
        <w:tc>
          <w:tcPr>
            <w:tcW w:w="560" w:type="dxa"/>
            <w:vAlign w:val="bottom"/>
            <w:shd w:val="clear" w:color="auto" w:fill="C0C0C0"/>
          </w:tcPr>
          <w:p>
            <w:pPr>
              <w:spacing w:after="0"/>
              <w:rPr>
                <w:sz w:val="18"/>
                <w:szCs w:val="18"/>
                <w:color w:val="auto"/>
              </w:rPr>
            </w:pPr>
          </w:p>
        </w:tc>
        <w:tc>
          <w:tcPr>
            <w:tcW w:w="138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40,612</w:t>
            </w:r>
          </w:p>
        </w:tc>
        <w:tc>
          <w:tcPr>
            <w:tcW w:w="100" w:type="dxa"/>
            <w:vAlign w:val="bottom"/>
            <w:shd w:val="clear" w:color="auto" w:fill="C0C0C0"/>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180" w:type="dxa"/>
            <w:vAlign w:val="bottom"/>
          </w:tcPr>
          <w:p>
            <w:pPr>
              <w:ind w:left="300"/>
              <w:spacing w:after="0" w:line="197" w:lineRule="exact"/>
              <w:rPr>
                <w:sz w:val="20"/>
                <w:szCs w:val="20"/>
                <w:color w:val="auto"/>
              </w:rPr>
            </w:pPr>
            <w:r>
              <w:rPr>
                <w:rFonts w:ascii="Arial" w:cs="Arial" w:eastAsia="Arial" w:hAnsi="Arial"/>
                <w:sz w:val="18"/>
                <w:szCs w:val="18"/>
                <w:color w:val="auto"/>
              </w:rPr>
              <w:t>Total assets</w:t>
            </w:r>
          </w:p>
        </w:tc>
        <w:tc>
          <w:tcPr>
            <w:tcW w:w="2040" w:type="dxa"/>
            <w:vAlign w:val="bottom"/>
            <w:gridSpan w:val="3"/>
          </w:tcPr>
          <w:p>
            <w:pPr>
              <w:jc w:val="right"/>
              <w:ind w:right="100"/>
              <w:spacing w:after="0"/>
              <w:rPr>
                <w:sz w:val="20"/>
                <w:szCs w:val="20"/>
                <w:color w:val="auto"/>
              </w:rPr>
            </w:pPr>
            <w:r>
              <w:rPr>
                <w:rFonts w:ascii="Arial" w:cs="Arial" w:eastAsia="Arial" w:hAnsi="Arial"/>
                <w:sz w:val="18"/>
                <w:szCs w:val="18"/>
                <w:color w:val="auto"/>
              </w:rPr>
              <w:t>$1,361,198</w:t>
            </w:r>
          </w:p>
        </w:tc>
        <w:tc>
          <w:tcPr>
            <w:tcW w:w="2160" w:type="dxa"/>
            <w:vAlign w:val="bottom"/>
            <w:gridSpan w:val="4"/>
          </w:tcPr>
          <w:p>
            <w:pPr>
              <w:jc w:val="right"/>
              <w:ind w:right="40"/>
              <w:spacing w:after="0"/>
              <w:rPr>
                <w:sz w:val="20"/>
                <w:szCs w:val="20"/>
                <w:color w:val="auto"/>
              </w:rPr>
            </w:pPr>
            <w:r>
              <w:rPr>
                <w:rFonts w:ascii="Arial" w:cs="Arial" w:eastAsia="Arial" w:hAnsi="Arial"/>
                <w:sz w:val="18"/>
                <w:szCs w:val="18"/>
                <w:color w:val="auto"/>
              </w:rPr>
              <w:t>$10,903</w:t>
            </w:r>
          </w:p>
        </w:tc>
        <w:tc>
          <w:tcPr>
            <w:tcW w:w="56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$1,372,101</w:t>
            </w:r>
          </w:p>
        </w:tc>
        <w:tc>
          <w:tcPr>
            <w:tcW w:w="0" w:type="dxa"/>
            <w:vAlign w:val="bottom"/>
          </w:tcPr>
          <w:p>
            <w:pPr>
              <w:spacing w:after="0"/>
              <w:rPr>
                <w:sz w:val="1"/>
                <w:szCs w:val="1"/>
                <w:color w:val="auto"/>
              </w:rPr>
            </w:pPr>
          </w:p>
        </w:tc>
      </w:tr>
      <w:tr>
        <w:trPr>
          <w:trHeight w:val="20"/>
        </w:trPr>
        <w:tc>
          <w:tcPr>
            <w:tcW w:w="5180" w:type="dxa"/>
            <w:vAlign w:val="bottom"/>
            <w:vMerge w:val="restart"/>
          </w:tcPr>
          <w:p>
            <w:pPr>
              <w:spacing w:after="0"/>
              <w:rPr>
                <w:sz w:val="20"/>
                <w:szCs w:val="20"/>
                <w:color w:val="auto"/>
              </w:rPr>
            </w:pPr>
            <w:r>
              <w:rPr>
                <w:rFonts w:ascii="Arial" w:cs="Arial" w:eastAsia="Arial" w:hAnsi="Arial"/>
                <w:sz w:val="18"/>
                <w:szCs w:val="18"/>
                <w:color w:val="auto"/>
              </w:rPr>
              <w:t>LIABILITIES AND SHAREHOLDERS' EQUITY</w:t>
            </w:r>
          </w:p>
        </w:tc>
        <w:tc>
          <w:tcPr>
            <w:tcW w:w="56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5180" w:type="dxa"/>
            <w:vAlign w:val="bottom"/>
            <w:vMerge w:val="continue"/>
          </w:tcPr>
          <w:p>
            <w:pPr>
              <w:spacing w:after="0"/>
              <w:rPr>
                <w:sz w:val="24"/>
                <w:szCs w:val="24"/>
                <w:color w:val="auto"/>
              </w:rPr>
            </w:pPr>
          </w:p>
        </w:tc>
        <w:tc>
          <w:tcPr>
            <w:tcW w:w="5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5180" w:type="dxa"/>
            <w:vAlign w:val="bottom"/>
            <w:shd w:val="clear" w:color="auto" w:fill="C0C0C0"/>
          </w:tcPr>
          <w:p>
            <w:pPr>
              <w:ind w:left="100"/>
              <w:spacing w:after="0" w:line="202" w:lineRule="exact"/>
              <w:rPr>
                <w:sz w:val="20"/>
                <w:szCs w:val="20"/>
                <w:color w:val="auto"/>
              </w:rPr>
            </w:pPr>
            <w:r>
              <w:rPr>
                <w:rFonts w:ascii="Arial" w:cs="Arial" w:eastAsia="Arial" w:hAnsi="Arial"/>
                <w:sz w:val="18"/>
                <w:szCs w:val="18"/>
                <w:color w:val="auto"/>
              </w:rPr>
              <w:t>Notes and loans payable</w:t>
            </w:r>
          </w:p>
        </w:tc>
        <w:tc>
          <w:tcPr>
            <w:tcW w:w="2040" w:type="dxa"/>
            <w:vAlign w:val="bottom"/>
            <w:gridSpan w:val="3"/>
            <w:shd w:val="clear" w:color="auto" w:fill="C0C0C0"/>
          </w:tcPr>
          <w:p>
            <w:pPr>
              <w:jc w:val="right"/>
              <w:ind w:right="100"/>
              <w:spacing w:after="0" w:line="202" w:lineRule="exact"/>
              <w:rPr>
                <w:sz w:val="20"/>
                <w:szCs w:val="20"/>
                <w:color w:val="auto"/>
              </w:rPr>
            </w:pPr>
            <w:r>
              <w:rPr>
                <w:rFonts w:ascii="Arial" w:cs="Arial" w:eastAsia="Arial" w:hAnsi="Arial"/>
                <w:sz w:val="18"/>
                <w:szCs w:val="18"/>
                <w:color w:val="auto"/>
              </w:rPr>
              <w:t>$262</w:t>
            </w:r>
          </w:p>
        </w:tc>
        <w:tc>
          <w:tcPr>
            <w:tcW w:w="1780" w:type="dxa"/>
            <w:vAlign w:val="bottom"/>
            <w:gridSpan w:val="2"/>
            <w:shd w:val="clear" w:color="auto" w:fill="C0C0C0"/>
          </w:tcPr>
          <w:p>
            <w:pPr>
              <w:jc w:val="right"/>
              <w:spacing w:after="0" w:line="202" w:lineRule="exact"/>
              <w:rPr>
                <w:sz w:val="20"/>
                <w:szCs w:val="20"/>
                <w:color w:val="auto"/>
              </w:rPr>
            </w:pPr>
            <w:r>
              <w:rPr>
                <w:rFonts w:ascii="Arial" w:cs="Arial" w:eastAsia="Arial" w:hAnsi="Arial"/>
                <w:sz w:val="18"/>
                <w:szCs w:val="18"/>
                <w:color w:val="auto"/>
              </w:rPr>
              <w:t>$</w:t>
            </w:r>
          </w:p>
        </w:tc>
        <w:tc>
          <w:tcPr>
            <w:tcW w:w="380" w:type="dxa"/>
            <w:vAlign w:val="bottom"/>
            <w:gridSpan w:val="2"/>
            <w:shd w:val="clear" w:color="auto" w:fill="C0C0C0"/>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560" w:type="dxa"/>
            <w:vAlign w:val="bottom"/>
            <w:shd w:val="clear" w:color="auto" w:fill="C0C0C0"/>
          </w:tcPr>
          <w:p>
            <w:pPr>
              <w:spacing w:after="0"/>
              <w:rPr>
                <w:sz w:val="17"/>
                <w:szCs w:val="17"/>
                <w:color w:val="auto"/>
              </w:rPr>
            </w:pPr>
          </w:p>
        </w:tc>
        <w:tc>
          <w:tcPr>
            <w:tcW w:w="1480" w:type="dxa"/>
            <w:vAlign w:val="bottom"/>
            <w:gridSpan w:val="2"/>
            <w:shd w:val="clear" w:color="auto" w:fill="C0C0C0"/>
          </w:tcPr>
          <w:p>
            <w:pPr>
              <w:jc w:val="right"/>
              <w:ind w:right="100"/>
              <w:spacing w:after="0" w:line="202" w:lineRule="exact"/>
              <w:rPr>
                <w:sz w:val="20"/>
                <w:szCs w:val="20"/>
                <w:color w:val="auto"/>
              </w:rPr>
            </w:pPr>
            <w:r>
              <w:rPr>
                <w:rFonts w:ascii="Arial" w:cs="Arial" w:eastAsia="Arial" w:hAnsi="Arial"/>
                <w:sz w:val="18"/>
                <w:szCs w:val="18"/>
                <w:color w:val="auto"/>
              </w:rPr>
              <w:t>$262</w:t>
            </w:r>
          </w:p>
        </w:tc>
        <w:tc>
          <w:tcPr>
            <w:tcW w:w="0" w:type="dxa"/>
            <w:vAlign w:val="bottom"/>
          </w:tcPr>
          <w:p>
            <w:pPr>
              <w:spacing w:after="0"/>
              <w:rPr>
                <w:sz w:val="1"/>
                <w:szCs w:val="1"/>
                <w:color w:val="auto"/>
              </w:rPr>
            </w:pPr>
          </w:p>
        </w:tc>
      </w:tr>
      <w:tr>
        <w:trPr>
          <w:trHeight w:val="203"/>
        </w:trPr>
        <w:tc>
          <w:tcPr>
            <w:tcW w:w="5180" w:type="dxa"/>
            <w:vAlign w:val="bottom"/>
          </w:tcPr>
          <w:p>
            <w:pPr>
              <w:ind w:left="100"/>
              <w:spacing w:after="0" w:line="202" w:lineRule="exact"/>
              <w:rPr>
                <w:sz w:val="20"/>
                <w:szCs w:val="20"/>
                <w:color w:val="auto"/>
              </w:rPr>
            </w:pPr>
            <w:r>
              <w:rPr>
                <w:rFonts w:ascii="Arial" w:cs="Arial" w:eastAsia="Arial" w:hAnsi="Arial"/>
                <w:sz w:val="18"/>
                <w:szCs w:val="18"/>
                <w:color w:val="auto"/>
              </w:rPr>
              <w:t>Accounts payable</w:t>
            </w:r>
          </w:p>
        </w:tc>
        <w:tc>
          <w:tcPr>
            <w:tcW w:w="2040" w:type="dxa"/>
            <w:vAlign w:val="bottom"/>
            <w:gridSpan w:val="3"/>
          </w:tcPr>
          <w:p>
            <w:pPr>
              <w:jc w:val="right"/>
              <w:ind w:right="100"/>
              <w:spacing w:after="0" w:line="202" w:lineRule="exact"/>
              <w:rPr>
                <w:sz w:val="20"/>
                <w:szCs w:val="20"/>
                <w:color w:val="auto"/>
              </w:rPr>
            </w:pPr>
            <w:r>
              <w:rPr>
                <w:rFonts w:ascii="Arial" w:cs="Arial" w:eastAsia="Arial" w:hAnsi="Arial"/>
                <w:sz w:val="18"/>
                <w:szCs w:val="18"/>
                <w:color w:val="auto"/>
              </w:rPr>
              <w:t>44,899</w:t>
            </w:r>
          </w:p>
        </w:tc>
        <w:tc>
          <w:tcPr>
            <w:tcW w:w="5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8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560" w:type="dxa"/>
            <w:vAlign w:val="bottom"/>
          </w:tcPr>
          <w:p>
            <w:pPr>
              <w:spacing w:after="0"/>
              <w:rPr>
                <w:sz w:val="17"/>
                <w:szCs w:val="17"/>
                <w:color w:val="auto"/>
              </w:rPr>
            </w:pPr>
          </w:p>
        </w:tc>
        <w:tc>
          <w:tcPr>
            <w:tcW w:w="14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44,899</w:t>
            </w:r>
          </w:p>
        </w:tc>
        <w:tc>
          <w:tcPr>
            <w:tcW w:w="0" w:type="dxa"/>
            <w:vAlign w:val="bottom"/>
          </w:tcPr>
          <w:p>
            <w:pPr>
              <w:spacing w:after="0"/>
              <w:rPr>
                <w:sz w:val="1"/>
                <w:szCs w:val="1"/>
                <w:color w:val="auto"/>
              </w:rPr>
            </w:pPr>
          </w:p>
        </w:tc>
      </w:tr>
      <w:tr>
        <w:trPr>
          <w:trHeight w:val="203"/>
        </w:trPr>
        <w:tc>
          <w:tcPr>
            <w:tcW w:w="5180" w:type="dxa"/>
            <w:vAlign w:val="bottom"/>
            <w:shd w:val="clear" w:color="auto" w:fill="C0C0C0"/>
          </w:tcPr>
          <w:p>
            <w:pPr>
              <w:ind w:left="100"/>
              <w:spacing w:after="0" w:line="202" w:lineRule="exact"/>
              <w:rPr>
                <w:sz w:val="20"/>
                <w:szCs w:val="20"/>
                <w:color w:val="auto"/>
              </w:rPr>
            </w:pPr>
            <w:r>
              <w:rPr>
                <w:rFonts w:ascii="Arial" w:cs="Arial" w:eastAsia="Arial" w:hAnsi="Arial"/>
                <w:sz w:val="18"/>
                <w:szCs w:val="18"/>
                <w:color w:val="auto"/>
              </w:rPr>
              <w:t>Accrued liabilities</w:t>
            </w:r>
          </w:p>
        </w:tc>
        <w:tc>
          <w:tcPr>
            <w:tcW w:w="2040" w:type="dxa"/>
            <w:vAlign w:val="bottom"/>
            <w:gridSpan w:val="3"/>
            <w:shd w:val="clear" w:color="auto" w:fill="C0C0C0"/>
          </w:tcPr>
          <w:p>
            <w:pPr>
              <w:jc w:val="right"/>
              <w:ind w:right="100"/>
              <w:spacing w:after="0" w:line="202" w:lineRule="exact"/>
              <w:rPr>
                <w:sz w:val="20"/>
                <w:szCs w:val="20"/>
                <w:color w:val="auto"/>
              </w:rPr>
            </w:pPr>
            <w:r>
              <w:rPr>
                <w:rFonts w:ascii="Arial" w:cs="Arial" w:eastAsia="Arial" w:hAnsi="Arial"/>
                <w:sz w:val="18"/>
                <w:szCs w:val="18"/>
                <w:color w:val="auto"/>
              </w:rPr>
              <w:t>105,914</w:t>
            </w:r>
          </w:p>
        </w:tc>
        <w:tc>
          <w:tcPr>
            <w:tcW w:w="2160" w:type="dxa"/>
            <w:vAlign w:val="bottom"/>
            <w:gridSpan w:val="4"/>
            <w:shd w:val="clear" w:color="auto" w:fill="C0C0C0"/>
          </w:tcPr>
          <w:p>
            <w:pPr>
              <w:jc w:val="right"/>
              <w:ind w:right="40"/>
              <w:spacing w:after="0" w:line="202" w:lineRule="exact"/>
              <w:rPr>
                <w:sz w:val="20"/>
                <w:szCs w:val="20"/>
                <w:color w:val="auto"/>
              </w:rPr>
            </w:pPr>
            <w:r>
              <w:rPr>
                <w:rFonts w:ascii="Arial" w:cs="Arial" w:eastAsia="Arial" w:hAnsi="Arial"/>
                <w:sz w:val="18"/>
                <w:szCs w:val="18"/>
                <w:color w:val="auto"/>
              </w:rPr>
              <w:t>16,808</w:t>
            </w:r>
          </w:p>
        </w:tc>
        <w:tc>
          <w:tcPr>
            <w:tcW w:w="560" w:type="dxa"/>
            <w:vAlign w:val="bottom"/>
            <w:shd w:val="clear" w:color="auto" w:fill="C0C0C0"/>
          </w:tcPr>
          <w:p>
            <w:pPr>
              <w:spacing w:after="0"/>
              <w:rPr>
                <w:sz w:val="17"/>
                <w:szCs w:val="17"/>
                <w:color w:val="auto"/>
              </w:rPr>
            </w:pPr>
          </w:p>
        </w:tc>
        <w:tc>
          <w:tcPr>
            <w:tcW w:w="1480" w:type="dxa"/>
            <w:vAlign w:val="bottom"/>
            <w:gridSpan w:val="2"/>
            <w:shd w:val="clear" w:color="auto" w:fill="C0C0C0"/>
          </w:tcPr>
          <w:p>
            <w:pPr>
              <w:jc w:val="right"/>
              <w:ind w:right="100"/>
              <w:spacing w:after="0" w:line="202" w:lineRule="exact"/>
              <w:rPr>
                <w:sz w:val="20"/>
                <w:szCs w:val="20"/>
                <w:color w:val="auto"/>
              </w:rPr>
            </w:pPr>
            <w:r>
              <w:rPr>
                <w:rFonts w:ascii="Arial" w:cs="Arial" w:eastAsia="Arial" w:hAnsi="Arial"/>
                <w:sz w:val="18"/>
                <w:szCs w:val="18"/>
                <w:color w:val="auto"/>
              </w:rPr>
              <w:t>122,722</w:t>
            </w:r>
          </w:p>
        </w:tc>
        <w:tc>
          <w:tcPr>
            <w:tcW w:w="0" w:type="dxa"/>
            <w:vAlign w:val="bottom"/>
          </w:tcPr>
          <w:p>
            <w:pPr>
              <w:spacing w:after="0"/>
              <w:rPr>
                <w:sz w:val="1"/>
                <w:szCs w:val="1"/>
                <w:color w:val="auto"/>
              </w:rPr>
            </w:pPr>
          </w:p>
        </w:tc>
      </w:tr>
      <w:tr>
        <w:trPr>
          <w:trHeight w:val="203"/>
        </w:trPr>
        <w:tc>
          <w:tcPr>
            <w:tcW w:w="5180" w:type="dxa"/>
            <w:vAlign w:val="bottom"/>
          </w:tcPr>
          <w:p>
            <w:pPr>
              <w:ind w:left="100"/>
              <w:spacing w:after="0" w:line="202" w:lineRule="exact"/>
              <w:rPr>
                <w:sz w:val="20"/>
                <w:szCs w:val="20"/>
                <w:color w:val="auto"/>
              </w:rPr>
            </w:pPr>
            <w:r>
              <w:rPr>
                <w:rFonts w:ascii="Arial" w:cs="Arial" w:eastAsia="Arial" w:hAnsi="Arial"/>
                <w:sz w:val="18"/>
                <w:szCs w:val="18"/>
                <w:color w:val="auto"/>
              </w:rPr>
              <w:t>Current maturities of long-term debt</w:t>
            </w:r>
          </w:p>
        </w:tc>
        <w:tc>
          <w:tcPr>
            <w:tcW w:w="2040" w:type="dxa"/>
            <w:vAlign w:val="bottom"/>
            <w:gridSpan w:val="3"/>
          </w:tcPr>
          <w:p>
            <w:pPr>
              <w:jc w:val="right"/>
              <w:ind w:right="100"/>
              <w:spacing w:after="0" w:line="202" w:lineRule="exact"/>
              <w:rPr>
                <w:sz w:val="20"/>
                <w:szCs w:val="20"/>
                <w:color w:val="auto"/>
              </w:rPr>
            </w:pPr>
            <w:r>
              <w:rPr>
                <w:rFonts w:ascii="Arial" w:cs="Arial" w:eastAsia="Arial" w:hAnsi="Arial"/>
                <w:sz w:val="18"/>
                <w:szCs w:val="18"/>
                <w:color w:val="auto"/>
              </w:rPr>
              <w:t>1,799</w:t>
            </w:r>
          </w:p>
        </w:tc>
        <w:tc>
          <w:tcPr>
            <w:tcW w:w="5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8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560" w:type="dxa"/>
            <w:vAlign w:val="bottom"/>
          </w:tcPr>
          <w:p>
            <w:pPr>
              <w:spacing w:after="0"/>
              <w:rPr>
                <w:sz w:val="17"/>
                <w:szCs w:val="17"/>
                <w:color w:val="auto"/>
              </w:rPr>
            </w:pPr>
          </w:p>
        </w:tc>
        <w:tc>
          <w:tcPr>
            <w:tcW w:w="14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1,799</w:t>
            </w:r>
          </w:p>
        </w:tc>
        <w:tc>
          <w:tcPr>
            <w:tcW w:w="0" w:type="dxa"/>
            <w:vAlign w:val="bottom"/>
          </w:tcPr>
          <w:p>
            <w:pPr>
              <w:spacing w:after="0"/>
              <w:rPr>
                <w:sz w:val="1"/>
                <w:szCs w:val="1"/>
                <w:color w:val="auto"/>
              </w:rPr>
            </w:pPr>
          </w:p>
        </w:tc>
      </w:tr>
      <w:tr>
        <w:trPr>
          <w:trHeight w:val="216"/>
        </w:trPr>
        <w:tc>
          <w:tcPr>
            <w:tcW w:w="5180" w:type="dxa"/>
            <w:vAlign w:val="bottom"/>
            <w:shd w:val="clear" w:color="auto" w:fill="C0C0C0"/>
          </w:tcPr>
          <w:p>
            <w:pPr>
              <w:ind w:left="100"/>
              <w:spacing w:after="0"/>
              <w:rPr>
                <w:sz w:val="20"/>
                <w:szCs w:val="20"/>
                <w:color w:val="auto"/>
              </w:rPr>
            </w:pPr>
            <w:r>
              <w:rPr>
                <w:rFonts w:ascii="Arial" w:cs="Arial" w:eastAsia="Arial" w:hAnsi="Arial"/>
                <w:sz w:val="18"/>
                <w:szCs w:val="18"/>
                <w:color w:val="auto"/>
              </w:rPr>
              <w:t>Income taxes payable</w:t>
            </w:r>
          </w:p>
        </w:tc>
        <w:tc>
          <w:tcPr>
            <w:tcW w:w="2040" w:type="dxa"/>
            <w:vAlign w:val="bottom"/>
            <w:gridSpan w:val="3"/>
            <w:shd w:val="clear" w:color="auto" w:fill="C0C0C0"/>
          </w:tcPr>
          <w:p>
            <w:pPr>
              <w:jc w:val="right"/>
              <w:ind w:right="100"/>
              <w:spacing w:after="0"/>
              <w:rPr>
                <w:sz w:val="20"/>
                <w:szCs w:val="20"/>
                <w:color w:val="auto"/>
              </w:rPr>
            </w:pPr>
            <w:r>
              <w:rPr>
                <w:rFonts w:ascii="Arial" w:cs="Arial" w:eastAsia="Arial" w:hAnsi="Arial"/>
                <w:sz w:val="18"/>
                <w:szCs w:val="18"/>
                <w:color w:val="auto"/>
              </w:rPr>
              <w:t>8,643</w:t>
            </w:r>
          </w:p>
        </w:tc>
        <w:tc>
          <w:tcPr>
            <w:tcW w:w="560" w:type="dxa"/>
            <w:vAlign w:val="bottom"/>
            <w:shd w:val="clear" w:color="auto" w:fill="C0C0C0"/>
          </w:tcPr>
          <w:p>
            <w:pPr>
              <w:spacing w:after="0"/>
              <w:rPr>
                <w:sz w:val="18"/>
                <w:szCs w:val="18"/>
                <w:color w:val="auto"/>
              </w:rPr>
            </w:pPr>
          </w:p>
        </w:tc>
        <w:tc>
          <w:tcPr>
            <w:tcW w:w="1220" w:type="dxa"/>
            <w:vAlign w:val="bottom"/>
            <w:shd w:val="clear" w:color="auto" w:fill="C0C0C0"/>
          </w:tcPr>
          <w:p>
            <w:pPr>
              <w:spacing w:after="0"/>
              <w:rPr>
                <w:sz w:val="18"/>
                <w:szCs w:val="18"/>
                <w:color w:val="auto"/>
              </w:rPr>
            </w:pPr>
          </w:p>
        </w:tc>
        <w:tc>
          <w:tcPr>
            <w:tcW w:w="380" w:type="dxa"/>
            <w:vAlign w:val="bottom"/>
            <w:gridSpan w:val="2"/>
            <w:shd w:val="clear" w:color="auto" w:fill="C0C0C0"/>
          </w:tcPr>
          <w:p>
            <w:pPr>
              <w:jc w:val="right"/>
              <w:ind w:right="40"/>
              <w:spacing w:after="0"/>
              <w:rPr>
                <w:sz w:val="20"/>
                <w:szCs w:val="20"/>
                <w:color w:val="auto"/>
              </w:rPr>
            </w:pPr>
            <w:r>
              <w:rPr>
                <w:rFonts w:ascii="Arial" w:cs="Arial" w:eastAsia="Arial" w:hAnsi="Arial"/>
                <w:sz w:val="18"/>
                <w:szCs w:val="18"/>
                <w:color w:val="auto"/>
              </w:rPr>
              <w:t>-</w:t>
            </w:r>
          </w:p>
        </w:tc>
        <w:tc>
          <w:tcPr>
            <w:tcW w:w="560" w:type="dxa"/>
            <w:vAlign w:val="bottom"/>
            <w:shd w:val="clear" w:color="auto" w:fill="C0C0C0"/>
          </w:tcPr>
          <w:p>
            <w:pPr>
              <w:spacing w:after="0"/>
              <w:rPr>
                <w:sz w:val="18"/>
                <w:szCs w:val="18"/>
                <w:color w:val="auto"/>
              </w:rPr>
            </w:pPr>
          </w:p>
        </w:tc>
        <w:tc>
          <w:tcPr>
            <w:tcW w:w="1480" w:type="dxa"/>
            <w:vAlign w:val="bottom"/>
            <w:gridSpan w:val="2"/>
            <w:shd w:val="clear" w:color="auto" w:fill="C0C0C0"/>
          </w:tcPr>
          <w:p>
            <w:pPr>
              <w:jc w:val="right"/>
              <w:ind w:right="100"/>
              <w:spacing w:after="0"/>
              <w:rPr>
                <w:sz w:val="20"/>
                <w:szCs w:val="20"/>
                <w:color w:val="auto"/>
              </w:rPr>
            </w:pPr>
            <w:r>
              <w:rPr>
                <w:rFonts w:ascii="Arial" w:cs="Arial" w:eastAsia="Arial" w:hAnsi="Arial"/>
                <w:sz w:val="18"/>
                <w:szCs w:val="18"/>
                <w:color w:val="auto"/>
              </w:rPr>
              <w:t>8,643</w:t>
            </w:r>
          </w:p>
        </w:tc>
        <w:tc>
          <w:tcPr>
            <w:tcW w:w="0" w:type="dxa"/>
            <w:vAlign w:val="bottom"/>
          </w:tcPr>
          <w:p>
            <w:pPr>
              <w:spacing w:after="0"/>
              <w:rPr>
                <w:sz w:val="1"/>
                <w:szCs w:val="1"/>
                <w:color w:val="auto"/>
              </w:rPr>
            </w:pPr>
          </w:p>
        </w:tc>
      </w:tr>
      <w:tr>
        <w:trPr>
          <w:trHeight w:val="210"/>
        </w:trPr>
        <w:tc>
          <w:tcPr>
            <w:tcW w:w="5180" w:type="dxa"/>
            <w:vAlign w:val="bottom"/>
          </w:tcPr>
          <w:p>
            <w:pPr>
              <w:ind w:left="300"/>
              <w:spacing w:after="0"/>
              <w:rPr>
                <w:sz w:val="20"/>
                <w:szCs w:val="20"/>
                <w:color w:val="auto"/>
              </w:rPr>
            </w:pPr>
            <w:r>
              <w:rPr>
                <w:rFonts w:ascii="Arial" w:cs="Arial" w:eastAsia="Arial" w:hAnsi="Arial"/>
                <w:sz w:val="18"/>
                <w:szCs w:val="18"/>
                <w:color w:val="auto"/>
              </w:rPr>
              <w:t>Total current liabilities</w:t>
            </w:r>
          </w:p>
        </w:tc>
        <w:tc>
          <w:tcPr>
            <w:tcW w:w="560" w:type="dxa"/>
            <w:vAlign w:val="bottom"/>
          </w:tcPr>
          <w:p>
            <w:pPr>
              <w:spacing w:after="0"/>
              <w:rPr>
                <w:sz w:val="18"/>
                <w:szCs w:val="18"/>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161,517</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8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16,808</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178,325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51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180" w:type="dxa"/>
            <w:vAlign w:val="bottom"/>
            <w:shd w:val="clear" w:color="auto" w:fill="C0C0C0"/>
          </w:tcPr>
          <w:p>
            <w:pPr>
              <w:ind w:left="100"/>
              <w:spacing w:after="0" w:line="202" w:lineRule="exact"/>
              <w:rPr>
                <w:sz w:val="20"/>
                <w:szCs w:val="20"/>
                <w:color w:val="auto"/>
              </w:rPr>
            </w:pPr>
            <w:r>
              <w:rPr>
                <w:rFonts w:ascii="Arial" w:cs="Arial" w:eastAsia="Arial" w:hAnsi="Arial"/>
                <w:sz w:val="18"/>
                <w:szCs w:val="18"/>
                <w:color w:val="auto"/>
              </w:rPr>
              <w:t>Long-term debt</w:t>
            </w:r>
          </w:p>
        </w:tc>
        <w:tc>
          <w:tcPr>
            <w:tcW w:w="2040" w:type="dxa"/>
            <w:vAlign w:val="bottom"/>
            <w:gridSpan w:val="3"/>
            <w:shd w:val="clear" w:color="auto" w:fill="C0C0C0"/>
          </w:tcPr>
          <w:p>
            <w:pPr>
              <w:jc w:val="right"/>
              <w:ind w:right="100"/>
              <w:spacing w:after="0" w:line="202" w:lineRule="exact"/>
              <w:rPr>
                <w:sz w:val="20"/>
                <w:szCs w:val="20"/>
                <w:color w:val="auto"/>
              </w:rPr>
            </w:pPr>
            <w:r>
              <w:rPr>
                <w:rFonts w:ascii="Arial" w:cs="Arial" w:eastAsia="Arial" w:hAnsi="Arial"/>
                <w:sz w:val="18"/>
                <w:szCs w:val="18"/>
                <w:color w:val="auto"/>
              </w:rPr>
              <w:t>514,120</w:t>
            </w:r>
          </w:p>
        </w:tc>
        <w:tc>
          <w:tcPr>
            <w:tcW w:w="560" w:type="dxa"/>
            <w:vAlign w:val="bottom"/>
            <w:shd w:val="clear" w:color="auto" w:fill="C0C0C0"/>
          </w:tcPr>
          <w:p>
            <w:pPr>
              <w:spacing w:after="0"/>
              <w:rPr>
                <w:sz w:val="17"/>
                <w:szCs w:val="17"/>
                <w:color w:val="auto"/>
              </w:rPr>
            </w:pPr>
          </w:p>
        </w:tc>
        <w:tc>
          <w:tcPr>
            <w:tcW w:w="1220" w:type="dxa"/>
            <w:vAlign w:val="bottom"/>
            <w:shd w:val="clear" w:color="auto" w:fill="C0C0C0"/>
          </w:tcPr>
          <w:p>
            <w:pPr>
              <w:spacing w:after="0"/>
              <w:rPr>
                <w:sz w:val="17"/>
                <w:szCs w:val="17"/>
                <w:color w:val="auto"/>
              </w:rPr>
            </w:pPr>
          </w:p>
        </w:tc>
        <w:tc>
          <w:tcPr>
            <w:tcW w:w="380" w:type="dxa"/>
            <w:vAlign w:val="bottom"/>
            <w:gridSpan w:val="2"/>
            <w:shd w:val="clear" w:color="auto" w:fill="C0C0C0"/>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560" w:type="dxa"/>
            <w:vAlign w:val="bottom"/>
            <w:shd w:val="clear" w:color="auto" w:fill="C0C0C0"/>
          </w:tcPr>
          <w:p>
            <w:pPr>
              <w:spacing w:after="0"/>
              <w:rPr>
                <w:sz w:val="17"/>
                <w:szCs w:val="17"/>
                <w:color w:val="auto"/>
              </w:rPr>
            </w:pPr>
          </w:p>
        </w:tc>
        <w:tc>
          <w:tcPr>
            <w:tcW w:w="1480" w:type="dxa"/>
            <w:vAlign w:val="bottom"/>
            <w:gridSpan w:val="2"/>
            <w:shd w:val="clear" w:color="auto" w:fill="C0C0C0"/>
          </w:tcPr>
          <w:p>
            <w:pPr>
              <w:jc w:val="right"/>
              <w:ind w:right="100"/>
              <w:spacing w:after="0" w:line="202" w:lineRule="exact"/>
              <w:rPr>
                <w:sz w:val="20"/>
                <w:szCs w:val="20"/>
                <w:color w:val="auto"/>
              </w:rPr>
            </w:pPr>
            <w:r>
              <w:rPr>
                <w:rFonts w:ascii="Arial" w:cs="Arial" w:eastAsia="Arial" w:hAnsi="Arial"/>
                <w:sz w:val="18"/>
                <w:szCs w:val="18"/>
                <w:color w:val="auto"/>
              </w:rPr>
              <w:t>514,120</w:t>
            </w:r>
          </w:p>
        </w:tc>
        <w:tc>
          <w:tcPr>
            <w:tcW w:w="0" w:type="dxa"/>
            <w:vAlign w:val="bottom"/>
          </w:tcPr>
          <w:p>
            <w:pPr>
              <w:spacing w:after="0"/>
              <w:rPr>
                <w:sz w:val="1"/>
                <w:szCs w:val="1"/>
                <w:color w:val="auto"/>
              </w:rPr>
            </w:pPr>
          </w:p>
        </w:tc>
      </w:tr>
      <w:tr>
        <w:trPr>
          <w:trHeight w:val="203"/>
        </w:trPr>
        <w:tc>
          <w:tcPr>
            <w:tcW w:w="5180" w:type="dxa"/>
            <w:vAlign w:val="bottom"/>
          </w:tcPr>
          <w:p>
            <w:pPr>
              <w:ind w:left="100"/>
              <w:spacing w:after="0" w:line="202" w:lineRule="exact"/>
              <w:rPr>
                <w:sz w:val="20"/>
                <w:szCs w:val="20"/>
                <w:color w:val="auto"/>
              </w:rPr>
            </w:pPr>
            <w:r>
              <w:rPr>
                <w:rFonts w:ascii="Arial" w:cs="Arial" w:eastAsia="Arial" w:hAnsi="Arial"/>
                <w:sz w:val="18"/>
                <w:szCs w:val="18"/>
                <w:color w:val="auto"/>
              </w:rPr>
              <w:t>Other noncurrent liabilities</w:t>
            </w:r>
          </w:p>
        </w:tc>
        <w:tc>
          <w:tcPr>
            <w:tcW w:w="2040" w:type="dxa"/>
            <w:vAlign w:val="bottom"/>
            <w:gridSpan w:val="3"/>
          </w:tcPr>
          <w:p>
            <w:pPr>
              <w:jc w:val="right"/>
              <w:ind w:right="100"/>
              <w:spacing w:after="0" w:line="202" w:lineRule="exact"/>
              <w:rPr>
                <w:sz w:val="20"/>
                <w:szCs w:val="20"/>
                <w:color w:val="auto"/>
              </w:rPr>
            </w:pPr>
            <w:r>
              <w:rPr>
                <w:rFonts w:ascii="Arial" w:cs="Arial" w:eastAsia="Arial" w:hAnsi="Arial"/>
                <w:sz w:val="18"/>
                <w:szCs w:val="18"/>
                <w:color w:val="auto"/>
              </w:rPr>
              <w:t>101,555</w:t>
            </w:r>
          </w:p>
        </w:tc>
        <w:tc>
          <w:tcPr>
            <w:tcW w:w="5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8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560" w:type="dxa"/>
            <w:vAlign w:val="bottom"/>
          </w:tcPr>
          <w:p>
            <w:pPr>
              <w:spacing w:after="0"/>
              <w:rPr>
                <w:sz w:val="17"/>
                <w:szCs w:val="17"/>
                <w:color w:val="auto"/>
              </w:rPr>
            </w:pPr>
          </w:p>
        </w:tc>
        <w:tc>
          <w:tcPr>
            <w:tcW w:w="14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101,555</w:t>
            </w:r>
          </w:p>
        </w:tc>
        <w:tc>
          <w:tcPr>
            <w:tcW w:w="0" w:type="dxa"/>
            <w:vAlign w:val="bottom"/>
          </w:tcPr>
          <w:p>
            <w:pPr>
              <w:spacing w:after="0"/>
              <w:rPr>
                <w:sz w:val="1"/>
                <w:szCs w:val="1"/>
                <w:color w:val="auto"/>
              </w:rPr>
            </w:pPr>
          </w:p>
        </w:tc>
      </w:tr>
      <w:tr>
        <w:trPr>
          <w:trHeight w:val="216"/>
        </w:trPr>
        <w:tc>
          <w:tcPr>
            <w:tcW w:w="5180" w:type="dxa"/>
            <w:vAlign w:val="bottom"/>
            <w:shd w:val="clear" w:color="auto" w:fill="C0C0C0"/>
          </w:tcPr>
          <w:p>
            <w:pPr>
              <w:ind w:left="100"/>
              <w:spacing w:after="0"/>
              <w:rPr>
                <w:sz w:val="20"/>
                <w:szCs w:val="20"/>
                <w:color w:val="auto"/>
              </w:rPr>
            </w:pPr>
            <w:r>
              <w:rPr>
                <w:rFonts w:ascii="Arial" w:cs="Arial" w:eastAsia="Arial" w:hAnsi="Arial"/>
                <w:sz w:val="18"/>
                <w:szCs w:val="18"/>
                <w:color w:val="auto"/>
              </w:rPr>
              <w:t>Deferred taxes and other liabilities</w:t>
            </w:r>
          </w:p>
        </w:tc>
        <w:tc>
          <w:tcPr>
            <w:tcW w:w="2040" w:type="dxa"/>
            <w:vAlign w:val="bottom"/>
            <w:gridSpan w:val="3"/>
            <w:shd w:val="clear" w:color="auto" w:fill="C0C0C0"/>
          </w:tcPr>
          <w:p>
            <w:pPr>
              <w:jc w:val="right"/>
              <w:ind w:right="100"/>
              <w:spacing w:after="0"/>
              <w:rPr>
                <w:sz w:val="20"/>
                <w:szCs w:val="20"/>
                <w:color w:val="auto"/>
              </w:rPr>
            </w:pPr>
            <w:r>
              <w:rPr>
                <w:rFonts w:ascii="Arial" w:cs="Arial" w:eastAsia="Arial" w:hAnsi="Arial"/>
                <w:sz w:val="18"/>
                <w:szCs w:val="18"/>
                <w:color w:val="auto"/>
              </w:rPr>
              <w:t>10,991</w:t>
            </w:r>
          </w:p>
        </w:tc>
        <w:tc>
          <w:tcPr>
            <w:tcW w:w="560" w:type="dxa"/>
            <w:vAlign w:val="bottom"/>
            <w:shd w:val="clear" w:color="auto" w:fill="C0C0C0"/>
          </w:tcPr>
          <w:p>
            <w:pPr>
              <w:spacing w:after="0"/>
              <w:rPr>
                <w:sz w:val="18"/>
                <w:szCs w:val="18"/>
                <w:color w:val="auto"/>
              </w:rPr>
            </w:pPr>
          </w:p>
        </w:tc>
        <w:tc>
          <w:tcPr>
            <w:tcW w:w="1220" w:type="dxa"/>
            <w:vAlign w:val="bottom"/>
            <w:shd w:val="clear" w:color="auto" w:fill="C0C0C0"/>
          </w:tcPr>
          <w:p>
            <w:pPr>
              <w:spacing w:after="0"/>
              <w:rPr>
                <w:sz w:val="18"/>
                <w:szCs w:val="18"/>
                <w:color w:val="auto"/>
              </w:rPr>
            </w:pPr>
          </w:p>
        </w:tc>
        <w:tc>
          <w:tcPr>
            <w:tcW w:w="380" w:type="dxa"/>
            <w:vAlign w:val="bottom"/>
            <w:gridSpan w:val="2"/>
            <w:shd w:val="clear" w:color="auto" w:fill="C0C0C0"/>
          </w:tcPr>
          <w:p>
            <w:pPr>
              <w:jc w:val="right"/>
              <w:ind w:right="40"/>
              <w:spacing w:after="0"/>
              <w:rPr>
                <w:sz w:val="20"/>
                <w:szCs w:val="20"/>
                <w:color w:val="auto"/>
              </w:rPr>
            </w:pPr>
            <w:r>
              <w:rPr>
                <w:rFonts w:ascii="Arial" w:cs="Arial" w:eastAsia="Arial" w:hAnsi="Arial"/>
                <w:sz w:val="18"/>
                <w:szCs w:val="18"/>
                <w:color w:val="auto"/>
              </w:rPr>
              <w:t>52</w:t>
            </w:r>
          </w:p>
        </w:tc>
        <w:tc>
          <w:tcPr>
            <w:tcW w:w="560" w:type="dxa"/>
            <w:vAlign w:val="bottom"/>
            <w:shd w:val="clear" w:color="auto" w:fill="C0C0C0"/>
          </w:tcPr>
          <w:p>
            <w:pPr>
              <w:spacing w:after="0"/>
              <w:rPr>
                <w:sz w:val="18"/>
                <w:szCs w:val="18"/>
                <w:color w:val="auto"/>
              </w:rPr>
            </w:pPr>
          </w:p>
        </w:tc>
        <w:tc>
          <w:tcPr>
            <w:tcW w:w="1480" w:type="dxa"/>
            <w:vAlign w:val="bottom"/>
            <w:gridSpan w:val="2"/>
            <w:shd w:val="clear" w:color="auto" w:fill="C0C0C0"/>
          </w:tcPr>
          <w:p>
            <w:pPr>
              <w:jc w:val="right"/>
              <w:ind w:right="100"/>
              <w:spacing w:after="0"/>
              <w:rPr>
                <w:sz w:val="20"/>
                <w:szCs w:val="20"/>
                <w:color w:val="auto"/>
              </w:rPr>
            </w:pPr>
            <w:r>
              <w:rPr>
                <w:rFonts w:ascii="Arial" w:cs="Arial" w:eastAsia="Arial" w:hAnsi="Arial"/>
                <w:sz w:val="18"/>
                <w:szCs w:val="18"/>
                <w:color w:val="auto"/>
              </w:rPr>
              <w:t>11,043</w:t>
            </w:r>
          </w:p>
        </w:tc>
        <w:tc>
          <w:tcPr>
            <w:tcW w:w="0" w:type="dxa"/>
            <w:vAlign w:val="bottom"/>
          </w:tcPr>
          <w:p>
            <w:pPr>
              <w:spacing w:after="0"/>
              <w:rPr>
                <w:sz w:val="1"/>
                <w:szCs w:val="1"/>
                <w:color w:val="auto"/>
              </w:rPr>
            </w:pPr>
          </w:p>
        </w:tc>
      </w:tr>
      <w:tr>
        <w:trPr>
          <w:trHeight w:val="196"/>
        </w:trPr>
        <w:tc>
          <w:tcPr>
            <w:tcW w:w="5180" w:type="dxa"/>
            <w:vAlign w:val="bottom"/>
          </w:tcPr>
          <w:p>
            <w:pPr>
              <w:ind w:left="300"/>
              <w:spacing w:after="0" w:line="196" w:lineRule="exact"/>
              <w:rPr>
                <w:sz w:val="20"/>
                <w:szCs w:val="20"/>
                <w:color w:val="auto"/>
              </w:rPr>
            </w:pPr>
            <w:r>
              <w:rPr>
                <w:rFonts w:ascii="Arial" w:cs="Arial" w:eastAsia="Arial" w:hAnsi="Arial"/>
                <w:sz w:val="18"/>
                <w:szCs w:val="18"/>
                <w:color w:val="auto"/>
              </w:rPr>
              <w:t>Total liabilities</w:t>
            </w:r>
          </w:p>
        </w:tc>
        <w:tc>
          <w:tcPr>
            <w:tcW w:w="560" w:type="dxa"/>
            <w:vAlign w:val="bottom"/>
          </w:tcPr>
          <w:p>
            <w:pPr>
              <w:spacing w:after="0"/>
              <w:rPr>
                <w:sz w:val="17"/>
                <w:szCs w:val="17"/>
                <w:color w:val="auto"/>
              </w:rPr>
            </w:pPr>
          </w:p>
        </w:tc>
        <w:tc>
          <w:tcPr>
            <w:tcW w:w="13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788,183</w:t>
            </w: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80" w:type="dxa"/>
            <w:vAlign w:val="bottom"/>
            <w:tcBorders>
              <w:top w:val="single" w:sz="8" w:color="auto"/>
              <w:bottom w:val="single" w:sz="8" w:color="auto"/>
            </w:tcBorders>
            <w:gridSpan w:val="2"/>
          </w:tcPr>
          <w:p>
            <w:pPr>
              <w:jc w:val="right"/>
              <w:spacing w:after="0" w:line="196" w:lineRule="exact"/>
              <w:rPr>
                <w:sz w:val="20"/>
                <w:szCs w:val="20"/>
                <w:color w:val="auto"/>
              </w:rPr>
            </w:pPr>
            <w:r>
              <w:rPr>
                <w:rFonts w:ascii="Arial" w:cs="Arial" w:eastAsia="Arial" w:hAnsi="Arial"/>
                <w:sz w:val="18"/>
                <w:szCs w:val="18"/>
                <w:color w:val="auto"/>
              </w:rPr>
              <w:t>16,860</w:t>
            </w: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3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805,043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99"/>
        </w:trPr>
        <w:tc>
          <w:tcPr>
            <w:tcW w:w="5180" w:type="dxa"/>
            <w:vAlign w:val="bottom"/>
          </w:tcPr>
          <w:p>
            <w:pPr>
              <w:spacing w:after="0"/>
              <w:rPr>
                <w:sz w:val="20"/>
                <w:szCs w:val="20"/>
                <w:color w:val="auto"/>
              </w:rPr>
            </w:pPr>
            <w:r>
              <w:rPr>
                <w:rFonts w:ascii="Arial" w:cs="Arial" w:eastAsia="Arial" w:hAnsi="Arial"/>
                <w:sz w:val="18"/>
                <w:szCs w:val="18"/>
                <w:color w:val="auto"/>
              </w:rPr>
              <w:t>SHAREHOLDERS' EQUITY</w:t>
            </w:r>
          </w:p>
        </w:tc>
        <w:tc>
          <w:tcPr>
            <w:tcW w:w="5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5180" w:type="dxa"/>
            <w:vAlign w:val="bottom"/>
            <w:shd w:val="clear" w:color="auto" w:fill="C0C0C0"/>
          </w:tcPr>
          <w:p>
            <w:pPr>
              <w:ind w:left="100"/>
              <w:spacing w:after="0" w:line="201" w:lineRule="exact"/>
              <w:rPr>
                <w:sz w:val="20"/>
                <w:szCs w:val="20"/>
                <w:color w:val="auto"/>
              </w:rPr>
            </w:pPr>
            <w:r>
              <w:rPr>
                <w:rFonts w:ascii="Arial" w:cs="Arial" w:eastAsia="Arial" w:hAnsi="Arial"/>
                <w:sz w:val="18"/>
                <w:szCs w:val="18"/>
                <w:color w:val="auto"/>
              </w:rPr>
              <w:t>Preferred stock, par value $5.00 per share;</w:t>
            </w:r>
          </w:p>
        </w:tc>
        <w:tc>
          <w:tcPr>
            <w:tcW w:w="560" w:type="dxa"/>
            <w:vAlign w:val="bottom"/>
            <w:shd w:val="clear" w:color="auto" w:fill="C0C0C0"/>
          </w:tcPr>
          <w:p>
            <w:pPr>
              <w:spacing w:after="0"/>
              <w:rPr>
                <w:sz w:val="17"/>
                <w:szCs w:val="17"/>
                <w:color w:val="auto"/>
              </w:rPr>
            </w:pPr>
          </w:p>
        </w:tc>
        <w:tc>
          <w:tcPr>
            <w:tcW w:w="1380" w:type="dxa"/>
            <w:vAlign w:val="bottom"/>
            <w:shd w:val="clear" w:color="auto" w:fill="C0C0C0"/>
          </w:tcPr>
          <w:p>
            <w:pPr>
              <w:spacing w:after="0"/>
              <w:rPr>
                <w:sz w:val="17"/>
                <w:szCs w:val="17"/>
                <w:color w:val="auto"/>
              </w:rPr>
            </w:pPr>
          </w:p>
        </w:tc>
        <w:tc>
          <w:tcPr>
            <w:tcW w:w="100" w:type="dxa"/>
            <w:vAlign w:val="bottom"/>
            <w:shd w:val="clear" w:color="auto" w:fill="C0C0C0"/>
          </w:tcPr>
          <w:p>
            <w:pPr>
              <w:spacing w:after="0"/>
              <w:rPr>
                <w:sz w:val="17"/>
                <w:szCs w:val="17"/>
                <w:color w:val="auto"/>
              </w:rPr>
            </w:pPr>
          </w:p>
        </w:tc>
        <w:tc>
          <w:tcPr>
            <w:tcW w:w="560" w:type="dxa"/>
            <w:vAlign w:val="bottom"/>
            <w:shd w:val="clear" w:color="auto" w:fill="C0C0C0"/>
          </w:tcPr>
          <w:p>
            <w:pPr>
              <w:spacing w:after="0"/>
              <w:rPr>
                <w:sz w:val="17"/>
                <w:szCs w:val="17"/>
                <w:color w:val="auto"/>
              </w:rPr>
            </w:pPr>
          </w:p>
        </w:tc>
        <w:tc>
          <w:tcPr>
            <w:tcW w:w="1220" w:type="dxa"/>
            <w:vAlign w:val="bottom"/>
            <w:shd w:val="clear" w:color="auto" w:fill="C0C0C0"/>
          </w:tcPr>
          <w:p>
            <w:pPr>
              <w:spacing w:after="0"/>
              <w:rPr>
                <w:sz w:val="17"/>
                <w:szCs w:val="17"/>
                <w:color w:val="auto"/>
              </w:rPr>
            </w:pPr>
          </w:p>
        </w:tc>
        <w:tc>
          <w:tcPr>
            <w:tcW w:w="260" w:type="dxa"/>
            <w:vAlign w:val="bottom"/>
            <w:shd w:val="clear" w:color="auto" w:fill="C0C0C0"/>
          </w:tcPr>
          <w:p>
            <w:pPr>
              <w:spacing w:after="0"/>
              <w:rPr>
                <w:sz w:val="17"/>
                <w:szCs w:val="17"/>
                <w:color w:val="auto"/>
              </w:rPr>
            </w:pPr>
          </w:p>
        </w:tc>
        <w:tc>
          <w:tcPr>
            <w:tcW w:w="120" w:type="dxa"/>
            <w:vAlign w:val="bottom"/>
            <w:shd w:val="clear" w:color="auto" w:fill="C0C0C0"/>
          </w:tcPr>
          <w:p>
            <w:pPr>
              <w:spacing w:after="0"/>
              <w:rPr>
                <w:sz w:val="17"/>
                <w:szCs w:val="17"/>
                <w:color w:val="auto"/>
              </w:rPr>
            </w:pPr>
          </w:p>
        </w:tc>
        <w:tc>
          <w:tcPr>
            <w:tcW w:w="560" w:type="dxa"/>
            <w:vAlign w:val="bottom"/>
            <w:shd w:val="clear" w:color="auto" w:fill="C0C0C0"/>
          </w:tcPr>
          <w:p>
            <w:pPr>
              <w:spacing w:after="0"/>
              <w:rPr>
                <w:sz w:val="17"/>
                <w:szCs w:val="17"/>
                <w:color w:val="auto"/>
              </w:rPr>
            </w:pPr>
          </w:p>
        </w:tc>
        <w:tc>
          <w:tcPr>
            <w:tcW w:w="1380" w:type="dxa"/>
            <w:vAlign w:val="bottom"/>
            <w:shd w:val="clear" w:color="auto" w:fill="C0C0C0"/>
          </w:tcPr>
          <w:p>
            <w:pPr>
              <w:spacing w:after="0"/>
              <w:rPr>
                <w:sz w:val="17"/>
                <w:szCs w:val="17"/>
                <w:color w:val="auto"/>
              </w:rPr>
            </w:pPr>
          </w:p>
        </w:tc>
        <w:tc>
          <w:tcPr>
            <w:tcW w:w="100" w:type="dxa"/>
            <w:vAlign w:val="bottom"/>
            <w:shd w:val="clear" w:color="auto" w:fill="C0C0C0"/>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80" w:type="dxa"/>
            <w:vAlign w:val="bottom"/>
            <w:shd w:val="clear" w:color="auto" w:fill="C0C0C0"/>
          </w:tcPr>
          <w:p>
            <w:pPr>
              <w:ind w:left="200"/>
              <w:spacing w:after="0" w:line="203" w:lineRule="exact"/>
              <w:rPr>
                <w:sz w:val="20"/>
                <w:szCs w:val="20"/>
                <w:color w:val="auto"/>
              </w:rPr>
            </w:pPr>
            <w:r>
              <w:rPr>
                <w:rFonts w:ascii="Arial" w:cs="Arial" w:eastAsia="Arial" w:hAnsi="Arial"/>
                <w:sz w:val="18"/>
                <w:szCs w:val="18"/>
                <w:color w:val="auto"/>
              </w:rPr>
              <w:t>authorized 2,000,000 shares; none issued</w:t>
            </w:r>
          </w:p>
        </w:tc>
        <w:tc>
          <w:tcPr>
            <w:tcW w:w="2040" w:type="dxa"/>
            <w:vAlign w:val="bottom"/>
            <w:gridSpan w:val="3"/>
            <w:shd w:val="clear" w:color="auto" w:fill="C0C0C0"/>
          </w:tcPr>
          <w:p>
            <w:pPr>
              <w:jc w:val="right"/>
              <w:ind w:right="100"/>
              <w:spacing w:after="0" w:line="203" w:lineRule="exact"/>
              <w:rPr>
                <w:sz w:val="20"/>
                <w:szCs w:val="20"/>
                <w:color w:val="auto"/>
              </w:rPr>
            </w:pPr>
            <w:r>
              <w:rPr>
                <w:rFonts w:ascii="Arial" w:cs="Arial" w:eastAsia="Arial" w:hAnsi="Arial"/>
                <w:sz w:val="18"/>
                <w:szCs w:val="18"/>
                <w:color w:val="auto"/>
              </w:rPr>
              <w:t>-</w:t>
            </w:r>
          </w:p>
        </w:tc>
        <w:tc>
          <w:tcPr>
            <w:tcW w:w="560" w:type="dxa"/>
            <w:vAlign w:val="bottom"/>
            <w:shd w:val="clear" w:color="auto" w:fill="C0C0C0"/>
          </w:tcPr>
          <w:p>
            <w:pPr>
              <w:spacing w:after="0"/>
              <w:rPr>
                <w:sz w:val="17"/>
                <w:szCs w:val="17"/>
                <w:color w:val="auto"/>
              </w:rPr>
            </w:pPr>
          </w:p>
        </w:tc>
        <w:tc>
          <w:tcPr>
            <w:tcW w:w="1220" w:type="dxa"/>
            <w:vAlign w:val="bottom"/>
            <w:shd w:val="clear" w:color="auto" w:fill="C0C0C0"/>
          </w:tcPr>
          <w:p>
            <w:pPr>
              <w:spacing w:after="0"/>
              <w:rPr>
                <w:sz w:val="17"/>
                <w:szCs w:val="17"/>
                <w:color w:val="auto"/>
              </w:rPr>
            </w:pPr>
          </w:p>
        </w:tc>
        <w:tc>
          <w:tcPr>
            <w:tcW w:w="380" w:type="dxa"/>
            <w:vAlign w:val="bottom"/>
            <w:gridSpan w:val="2"/>
            <w:shd w:val="clear" w:color="auto" w:fill="C0C0C0"/>
          </w:tcPr>
          <w:p>
            <w:pPr>
              <w:jc w:val="right"/>
              <w:ind w:right="40"/>
              <w:spacing w:after="0" w:line="203" w:lineRule="exact"/>
              <w:rPr>
                <w:sz w:val="20"/>
                <w:szCs w:val="20"/>
                <w:color w:val="auto"/>
              </w:rPr>
            </w:pPr>
            <w:r>
              <w:rPr>
                <w:rFonts w:ascii="Arial" w:cs="Arial" w:eastAsia="Arial" w:hAnsi="Arial"/>
                <w:sz w:val="18"/>
                <w:szCs w:val="18"/>
                <w:color w:val="auto"/>
              </w:rPr>
              <w:t>-</w:t>
            </w:r>
          </w:p>
        </w:tc>
        <w:tc>
          <w:tcPr>
            <w:tcW w:w="560" w:type="dxa"/>
            <w:vAlign w:val="bottom"/>
            <w:shd w:val="clear" w:color="auto" w:fill="C0C0C0"/>
          </w:tcPr>
          <w:p>
            <w:pPr>
              <w:spacing w:after="0"/>
              <w:rPr>
                <w:sz w:val="17"/>
                <w:szCs w:val="17"/>
                <w:color w:val="auto"/>
              </w:rPr>
            </w:pPr>
          </w:p>
        </w:tc>
        <w:tc>
          <w:tcPr>
            <w:tcW w:w="1480" w:type="dxa"/>
            <w:vAlign w:val="bottom"/>
            <w:gridSpan w:val="2"/>
            <w:shd w:val="clear" w:color="auto" w:fill="C0C0C0"/>
          </w:tcPr>
          <w:p>
            <w:pPr>
              <w:jc w:val="right"/>
              <w:ind w:right="100"/>
              <w:spacing w:after="0" w:line="203"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5180" w:type="dxa"/>
            <w:vAlign w:val="bottom"/>
          </w:tcPr>
          <w:p>
            <w:pPr>
              <w:ind w:left="100"/>
              <w:spacing w:after="0" w:line="201" w:lineRule="exact"/>
              <w:rPr>
                <w:sz w:val="20"/>
                <w:szCs w:val="20"/>
                <w:color w:val="auto"/>
              </w:rPr>
            </w:pPr>
            <w:r>
              <w:rPr>
                <w:rFonts w:ascii="Arial" w:cs="Arial" w:eastAsia="Arial" w:hAnsi="Arial"/>
                <w:sz w:val="18"/>
                <w:szCs w:val="18"/>
                <w:color w:val="auto"/>
              </w:rPr>
              <w:t>Class A Common Stock, par value $.001 per share;</w:t>
            </w:r>
          </w:p>
        </w:tc>
        <w:tc>
          <w:tcPr>
            <w:tcW w:w="5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80" w:type="dxa"/>
            <w:vAlign w:val="bottom"/>
          </w:tcPr>
          <w:p>
            <w:pPr>
              <w:ind w:left="200"/>
              <w:spacing w:after="0" w:line="202" w:lineRule="exact"/>
              <w:rPr>
                <w:sz w:val="20"/>
                <w:szCs w:val="20"/>
                <w:color w:val="auto"/>
              </w:rPr>
            </w:pPr>
            <w:r>
              <w:rPr>
                <w:rFonts w:ascii="Arial" w:cs="Arial" w:eastAsia="Arial" w:hAnsi="Arial"/>
                <w:sz w:val="18"/>
                <w:szCs w:val="18"/>
                <w:color w:val="auto"/>
              </w:rPr>
              <w:t>authorized 100,000,000 shares; issued 37,395,753 in</w:t>
            </w:r>
          </w:p>
        </w:tc>
        <w:tc>
          <w:tcPr>
            <w:tcW w:w="5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80" w:type="dxa"/>
            <w:vAlign w:val="bottom"/>
          </w:tcPr>
          <w:p>
            <w:pPr>
              <w:ind w:left="200"/>
              <w:spacing w:after="0" w:line="203" w:lineRule="exact"/>
              <w:rPr>
                <w:sz w:val="20"/>
                <w:szCs w:val="20"/>
                <w:color w:val="auto"/>
              </w:rPr>
            </w:pPr>
            <w:r>
              <w:rPr>
                <w:rFonts w:ascii="Arial" w:cs="Arial" w:eastAsia="Arial" w:hAnsi="Arial"/>
                <w:sz w:val="18"/>
                <w:szCs w:val="18"/>
                <w:color w:val="auto"/>
              </w:rPr>
              <w:t>2017 and 37,319,266 in 2016</w:t>
            </w:r>
          </w:p>
        </w:tc>
        <w:tc>
          <w:tcPr>
            <w:tcW w:w="2040" w:type="dxa"/>
            <w:vAlign w:val="bottom"/>
            <w:gridSpan w:val="3"/>
          </w:tcPr>
          <w:p>
            <w:pPr>
              <w:jc w:val="right"/>
              <w:ind w:right="100"/>
              <w:spacing w:after="0" w:line="203" w:lineRule="exact"/>
              <w:rPr>
                <w:sz w:val="20"/>
                <w:szCs w:val="20"/>
                <w:color w:val="auto"/>
              </w:rPr>
            </w:pPr>
            <w:r>
              <w:rPr>
                <w:rFonts w:ascii="Arial" w:cs="Arial" w:eastAsia="Arial" w:hAnsi="Arial"/>
                <w:sz w:val="18"/>
                <w:szCs w:val="18"/>
                <w:color w:val="auto"/>
              </w:rPr>
              <w:t>37</w:t>
            </w:r>
          </w:p>
        </w:tc>
        <w:tc>
          <w:tcPr>
            <w:tcW w:w="5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80" w:type="dxa"/>
            <w:vAlign w:val="bottom"/>
            <w:gridSpan w:val="2"/>
          </w:tcPr>
          <w:p>
            <w:pPr>
              <w:jc w:val="right"/>
              <w:ind w:right="40"/>
              <w:spacing w:after="0" w:line="203" w:lineRule="exact"/>
              <w:rPr>
                <w:sz w:val="20"/>
                <w:szCs w:val="20"/>
                <w:color w:val="auto"/>
              </w:rPr>
            </w:pPr>
            <w:r>
              <w:rPr>
                <w:rFonts w:ascii="Arial" w:cs="Arial" w:eastAsia="Arial" w:hAnsi="Arial"/>
                <w:sz w:val="18"/>
                <w:szCs w:val="18"/>
                <w:color w:val="auto"/>
              </w:rPr>
              <w:t>-</w:t>
            </w:r>
          </w:p>
        </w:tc>
        <w:tc>
          <w:tcPr>
            <w:tcW w:w="560" w:type="dxa"/>
            <w:vAlign w:val="bottom"/>
          </w:tcPr>
          <w:p>
            <w:pPr>
              <w:spacing w:after="0"/>
              <w:rPr>
                <w:sz w:val="17"/>
                <w:szCs w:val="17"/>
                <w:color w:val="auto"/>
              </w:rPr>
            </w:pPr>
          </w:p>
        </w:tc>
        <w:tc>
          <w:tcPr>
            <w:tcW w:w="1480" w:type="dxa"/>
            <w:vAlign w:val="bottom"/>
            <w:gridSpan w:val="2"/>
          </w:tcPr>
          <w:p>
            <w:pPr>
              <w:jc w:val="right"/>
              <w:ind w:right="100"/>
              <w:spacing w:after="0" w:line="203" w:lineRule="exact"/>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02"/>
        </w:trPr>
        <w:tc>
          <w:tcPr>
            <w:tcW w:w="5180" w:type="dxa"/>
            <w:vAlign w:val="bottom"/>
            <w:shd w:val="clear" w:color="auto" w:fill="C0C0C0"/>
          </w:tcPr>
          <w:p>
            <w:pPr>
              <w:ind w:left="100"/>
              <w:spacing w:after="0" w:line="201" w:lineRule="exact"/>
              <w:rPr>
                <w:sz w:val="20"/>
                <w:szCs w:val="20"/>
                <w:color w:val="auto"/>
              </w:rPr>
            </w:pPr>
            <w:r>
              <w:rPr>
                <w:rFonts w:ascii="Arial" w:cs="Arial" w:eastAsia="Arial" w:hAnsi="Arial"/>
                <w:sz w:val="18"/>
                <w:szCs w:val="18"/>
                <w:color w:val="auto"/>
              </w:rPr>
              <w:t>Class B Common Stock, par value $.001 per share;</w:t>
            </w:r>
          </w:p>
        </w:tc>
        <w:tc>
          <w:tcPr>
            <w:tcW w:w="560" w:type="dxa"/>
            <w:vAlign w:val="bottom"/>
            <w:shd w:val="clear" w:color="auto" w:fill="C0C0C0"/>
          </w:tcPr>
          <w:p>
            <w:pPr>
              <w:spacing w:after="0"/>
              <w:rPr>
                <w:sz w:val="17"/>
                <w:szCs w:val="17"/>
                <w:color w:val="auto"/>
              </w:rPr>
            </w:pPr>
          </w:p>
        </w:tc>
        <w:tc>
          <w:tcPr>
            <w:tcW w:w="1380" w:type="dxa"/>
            <w:vAlign w:val="bottom"/>
            <w:shd w:val="clear" w:color="auto" w:fill="C0C0C0"/>
          </w:tcPr>
          <w:p>
            <w:pPr>
              <w:spacing w:after="0"/>
              <w:rPr>
                <w:sz w:val="17"/>
                <w:szCs w:val="17"/>
                <w:color w:val="auto"/>
              </w:rPr>
            </w:pPr>
          </w:p>
        </w:tc>
        <w:tc>
          <w:tcPr>
            <w:tcW w:w="100" w:type="dxa"/>
            <w:vAlign w:val="bottom"/>
            <w:shd w:val="clear" w:color="auto" w:fill="C0C0C0"/>
          </w:tcPr>
          <w:p>
            <w:pPr>
              <w:spacing w:after="0"/>
              <w:rPr>
                <w:sz w:val="17"/>
                <w:szCs w:val="17"/>
                <w:color w:val="auto"/>
              </w:rPr>
            </w:pPr>
          </w:p>
        </w:tc>
        <w:tc>
          <w:tcPr>
            <w:tcW w:w="560" w:type="dxa"/>
            <w:vAlign w:val="bottom"/>
            <w:shd w:val="clear" w:color="auto" w:fill="C0C0C0"/>
          </w:tcPr>
          <w:p>
            <w:pPr>
              <w:spacing w:after="0"/>
              <w:rPr>
                <w:sz w:val="17"/>
                <w:szCs w:val="17"/>
                <w:color w:val="auto"/>
              </w:rPr>
            </w:pPr>
          </w:p>
        </w:tc>
        <w:tc>
          <w:tcPr>
            <w:tcW w:w="1220" w:type="dxa"/>
            <w:vAlign w:val="bottom"/>
            <w:shd w:val="clear" w:color="auto" w:fill="C0C0C0"/>
          </w:tcPr>
          <w:p>
            <w:pPr>
              <w:spacing w:after="0"/>
              <w:rPr>
                <w:sz w:val="17"/>
                <w:szCs w:val="17"/>
                <w:color w:val="auto"/>
              </w:rPr>
            </w:pPr>
          </w:p>
        </w:tc>
        <w:tc>
          <w:tcPr>
            <w:tcW w:w="260" w:type="dxa"/>
            <w:vAlign w:val="bottom"/>
            <w:shd w:val="clear" w:color="auto" w:fill="C0C0C0"/>
          </w:tcPr>
          <w:p>
            <w:pPr>
              <w:spacing w:after="0"/>
              <w:rPr>
                <w:sz w:val="17"/>
                <w:szCs w:val="17"/>
                <w:color w:val="auto"/>
              </w:rPr>
            </w:pPr>
          </w:p>
        </w:tc>
        <w:tc>
          <w:tcPr>
            <w:tcW w:w="120" w:type="dxa"/>
            <w:vAlign w:val="bottom"/>
            <w:shd w:val="clear" w:color="auto" w:fill="C0C0C0"/>
          </w:tcPr>
          <w:p>
            <w:pPr>
              <w:spacing w:after="0"/>
              <w:rPr>
                <w:sz w:val="17"/>
                <w:szCs w:val="17"/>
                <w:color w:val="auto"/>
              </w:rPr>
            </w:pPr>
          </w:p>
        </w:tc>
        <w:tc>
          <w:tcPr>
            <w:tcW w:w="560" w:type="dxa"/>
            <w:vAlign w:val="bottom"/>
            <w:shd w:val="clear" w:color="auto" w:fill="C0C0C0"/>
          </w:tcPr>
          <w:p>
            <w:pPr>
              <w:spacing w:after="0"/>
              <w:rPr>
                <w:sz w:val="17"/>
                <w:szCs w:val="17"/>
                <w:color w:val="auto"/>
              </w:rPr>
            </w:pPr>
          </w:p>
        </w:tc>
        <w:tc>
          <w:tcPr>
            <w:tcW w:w="1380" w:type="dxa"/>
            <w:vAlign w:val="bottom"/>
            <w:shd w:val="clear" w:color="auto" w:fill="C0C0C0"/>
          </w:tcPr>
          <w:p>
            <w:pPr>
              <w:spacing w:after="0"/>
              <w:rPr>
                <w:sz w:val="17"/>
                <w:szCs w:val="17"/>
                <w:color w:val="auto"/>
              </w:rPr>
            </w:pPr>
          </w:p>
        </w:tc>
        <w:tc>
          <w:tcPr>
            <w:tcW w:w="100" w:type="dxa"/>
            <w:vAlign w:val="bottom"/>
            <w:shd w:val="clear" w:color="auto" w:fill="C0C0C0"/>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80" w:type="dxa"/>
            <w:vAlign w:val="bottom"/>
            <w:shd w:val="clear" w:color="auto" w:fill="C0C0C0"/>
          </w:tcPr>
          <w:p>
            <w:pPr>
              <w:ind w:left="200"/>
              <w:spacing w:after="0" w:line="202" w:lineRule="exact"/>
              <w:rPr>
                <w:sz w:val="20"/>
                <w:szCs w:val="20"/>
                <w:color w:val="auto"/>
              </w:rPr>
            </w:pPr>
            <w:r>
              <w:rPr>
                <w:rFonts w:ascii="Arial" w:cs="Arial" w:eastAsia="Arial" w:hAnsi="Arial"/>
                <w:sz w:val="18"/>
                <w:szCs w:val="18"/>
                <w:color w:val="auto"/>
              </w:rPr>
              <w:t>authorized 25,000,000 shares; issued and</w:t>
            </w:r>
          </w:p>
        </w:tc>
        <w:tc>
          <w:tcPr>
            <w:tcW w:w="560" w:type="dxa"/>
            <w:vAlign w:val="bottom"/>
            <w:shd w:val="clear" w:color="auto" w:fill="C0C0C0"/>
          </w:tcPr>
          <w:p>
            <w:pPr>
              <w:spacing w:after="0"/>
              <w:rPr>
                <w:sz w:val="17"/>
                <w:szCs w:val="17"/>
                <w:color w:val="auto"/>
              </w:rPr>
            </w:pPr>
          </w:p>
        </w:tc>
        <w:tc>
          <w:tcPr>
            <w:tcW w:w="1380" w:type="dxa"/>
            <w:vAlign w:val="bottom"/>
            <w:shd w:val="clear" w:color="auto" w:fill="C0C0C0"/>
          </w:tcPr>
          <w:p>
            <w:pPr>
              <w:spacing w:after="0"/>
              <w:rPr>
                <w:sz w:val="17"/>
                <w:szCs w:val="17"/>
                <w:color w:val="auto"/>
              </w:rPr>
            </w:pPr>
          </w:p>
        </w:tc>
        <w:tc>
          <w:tcPr>
            <w:tcW w:w="100" w:type="dxa"/>
            <w:vAlign w:val="bottom"/>
            <w:shd w:val="clear" w:color="auto" w:fill="C0C0C0"/>
          </w:tcPr>
          <w:p>
            <w:pPr>
              <w:spacing w:after="0"/>
              <w:rPr>
                <w:sz w:val="17"/>
                <w:szCs w:val="17"/>
                <w:color w:val="auto"/>
              </w:rPr>
            </w:pPr>
          </w:p>
        </w:tc>
        <w:tc>
          <w:tcPr>
            <w:tcW w:w="560" w:type="dxa"/>
            <w:vAlign w:val="bottom"/>
            <w:shd w:val="clear" w:color="auto" w:fill="C0C0C0"/>
          </w:tcPr>
          <w:p>
            <w:pPr>
              <w:spacing w:after="0"/>
              <w:rPr>
                <w:sz w:val="17"/>
                <w:szCs w:val="17"/>
                <w:color w:val="auto"/>
              </w:rPr>
            </w:pPr>
          </w:p>
        </w:tc>
        <w:tc>
          <w:tcPr>
            <w:tcW w:w="1220" w:type="dxa"/>
            <w:vAlign w:val="bottom"/>
            <w:shd w:val="clear" w:color="auto" w:fill="C0C0C0"/>
          </w:tcPr>
          <w:p>
            <w:pPr>
              <w:spacing w:after="0"/>
              <w:rPr>
                <w:sz w:val="17"/>
                <w:szCs w:val="17"/>
                <w:color w:val="auto"/>
              </w:rPr>
            </w:pPr>
          </w:p>
        </w:tc>
        <w:tc>
          <w:tcPr>
            <w:tcW w:w="260" w:type="dxa"/>
            <w:vAlign w:val="bottom"/>
            <w:shd w:val="clear" w:color="auto" w:fill="C0C0C0"/>
          </w:tcPr>
          <w:p>
            <w:pPr>
              <w:spacing w:after="0"/>
              <w:rPr>
                <w:sz w:val="17"/>
                <w:szCs w:val="17"/>
                <w:color w:val="auto"/>
              </w:rPr>
            </w:pPr>
          </w:p>
        </w:tc>
        <w:tc>
          <w:tcPr>
            <w:tcW w:w="120" w:type="dxa"/>
            <w:vAlign w:val="bottom"/>
            <w:shd w:val="clear" w:color="auto" w:fill="C0C0C0"/>
          </w:tcPr>
          <w:p>
            <w:pPr>
              <w:spacing w:after="0"/>
              <w:rPr>
                <w:sz w:val="17"/>
                <w:szCs w:val="17"/>
                <w:color w:val="auto"/>
              </w:rPr>
            </w:pPr>
          </w:p>
        </w:tc>
        <w:tc>
          <w:tcPr>
            <w:tcW w:w="560" w:type="dxa"/>
            <w:vAlign w:val="bottom"/>
            <w:shd w:val="clear" w:color="auto" w:fill="C0C0C0"/>
          </w:tcPr>
          <w:p>
            <w:pPr>
              <w:spacing w:after="0"/>
              <w:rPr>
                <w:sz w:val="17"/>
                <w:szCs w:val="17"/>
                <w:color w:val="auto"/>
              </w:rPr>
            </w:pPr>
          </w:p>
        </w:tc>
        <w:tc>
          <w:tcPr>
            <w:tcW w:w="1380" w:type="dxa"/>
            <w:vAlign w:val="bottom"/>
            <w:shd w:val="clear" w:color="auto" w:fill="C0C0C0"/>
          </w:tcPr>
          <w:p>
            <w:pPr>
              <w:spacing w:after="0"/>
              <w:rPr>
                <w:sz w:val="17"/>
                <w:szCs w:val="17"/>
                <w:color w:val="auto"/>
              </w:rPr>
            </w:pPr>
          </w:p>
        </w:tc>
        <w:tc>
          <w:tcPr>
            <w:tcW w:w="100" w:type="dxa"/>
            <w:vAlign w:val="bottom"/>
            <w:shd w:val="clear" w:color="auto" w:fill="C0C0C0"/>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80" w:type="dxa"/>
            <w:vAlign w:val="bottom"/>
            <w:shd w:val="clear" w:color="auto" w:fill="C0C0C0"/>
          </w:tcPr>
          <w:p>
            <w:pPr>
              <w:ind w:left="200"/>
              <w:spacing w:after="0" w:line="203" w:lineRule="exact"/>
              <w:rPr>
                <w:sz w:val="20"/>
                <w:szCs w:val="20"/>
                <w:color w:val="auto"/>
              </w:rPr>
            </w:pPr>
            <w:r>
              <w:rPr>
                <w:rFonts w:ascii="Arial" w:cs="Arial" w:eastAsia="Arial" w:hAnsi="Arial"/>
                <w:sz w:val="18"/>
                <w:szCs w:val="18"/>
                <w:color w:val="auto"/>
              </w:rPr>
              <w:t>outstanding 3,233,998 in 2017 and 2016</w:t>
            </w:r>
          </w:p>
        </w:tc>
        <w:tc>
          <w:tcPr>
            <w:tcW w:w="560" w:type="dxa"/>
            <w:vAlign w:val="bottom"/>
            <w:shd w:val="clear" w:color="auto" w:fill="C0C0C0"/>
          </w:tcPr>
          <w:p>
            <w:pPr>
              <w:spacing w:after="0"/>
              <w:rPr>
                <w:sz w:val="17"/>
                <w:szCs w:val="17"/>
                <w:color w:val="auto"/>
              </w:rPr>
            </w:pPr>
          </w:p>
        </w:tc>
        <w:tc>
          <w:tcPr>
            <w:tcW w:w="1480" w:type="dxa"/>
            <w:vAlign w:val="bottom"/>
            <w:gridSpan w:val="2"/>
            <w:shd w:val="clear" w:color="auto" w:fill="C0C0C0"/>
          </w:tcPr>
          <w:p>
            <w:pPr>
              <w:jc w:val="right"/>
              <w:ind w:right="100"/>
              <w:spacing w:after="0" w:line="203" w:lineRule="exact"/>
              <w:rPr>
                <w:sz w:val="20"/>
                <w:szCs w:val="20"/>
                <w:color w:val="auto"/>
              </w:rPr>
            </w:pPr>
            <w:r>
              <w:rPr>
                <w:rFonts w:ascii="Arial" w:cs="Arial" w:eastAsia="Arial" w:hAnsi="Arial"/>
                <w:sz w:val="18"/>
                <w:szCs w:val="18"/>
                <w:color w:val="auto"/>
              </w:rPr>
              <w:t>3</w:t>
            </w:r>
          </w:p>
        </w:tc>
        <w:tc>
          <w:tcPr>
            <w:tcW w:w="560" w:type="dxa"/>
            <w:vAlign w:val="bottom"/>
            <w:shd w:val="clear" w:color="auto" w:fill="C0C0C0"/>
          </w:tcPr>
          <w:p>
            <w:pPr>
              <w:spacing w:after="0"/>
              <w:rPr>
                <w:sz w:val="17"/>
                <w:szCs w:val="17"/>
                <w:color w:val="auto"/>
              </w:rPr>
            </w:pPr>
          </w:p>
        </w:tc>
        <w:tc>
          <w:tcPr>
            <w:tcW w:w="1220" w:type="dxa"/>
            <w:vAlign w:val="bottom"/>
            <w:shd w:val="clear" w:color="auto" w:fill="C0C0C0"/>
          </w:tcPr>
          <w:p>
            <w:pPr>
              <w:spacing w:after="0"/>
              <w:rPr>
                <w:sz w:val="17"/>
                <w:szCs w:val="17"/>
                <w:color w:val="auto"/>
              </w:rPr>
            </w:pPr>
          </w:p>
        </w:tc>
        <w:tc>
          <w:tcPr>
            <w:tcW w:w="380" w:type="dxa"/>
            <w:vAlign w:val="bottom"/>
            <w:gridSpan w:val="2"/>
            <w:shd w:val="clear" w:color="auto" w:fill="C0C0C0"/>
          </w:tcPr>
          <w:p>
            <w:pPr>
              <w:jc w:val="right"/>
              <w:ind w:right="40"/>
              <w:spacing w:after="0" w:line="203" w:lineRule="exact"/>
              <w:rPr>
                <w:sz w:val="20"/>
                <w:szCs w:val="20"/>
                <w:color w:val="auto"/>
              </w:rPr>
            </w:pPr>
            <w:r>
              <w:rPr>
                <w:rFonts w:ascii="Arial" w:cs="Arial" w:eastAsia="Arial" w:hAnsi="Arial"/>
                <w:sz w:val="18"/>
                <w:szCs w:val="18"/>
                <w:color w:val="auto"/>
              </w:rPr>
              <w:t>-</w:t>
            </w:r>
          </w:p>
        </w:tc>
        <w:tc>
          <w:tcPr>
            <w:tcW w:w="560" w:type="dxa"/>
            <w:vAlign w:val="bottom"/>
            <w:shd w:val="clear" w:color="auto" w:fill="C0C0C0"/>
          </w:tcPr>
          <w:p>
            <w:pPr>
              <w:spacing w:after="0"/>
              <w:rPr>
                <w:sz w:val="17"/>
                <w:szCs w:val="17"/>
                <w:color w:val="auto"/>
              </w:rPr>
            </w:pPr>
          </w:p>
        </w:tc>
        <w:tc>
          <w:tcPr>
            <w:tcW w:w="1480" w:type="dxa"/>
            <w:vAlign w:val="bottom"/>
            <w:gridSpan w:val="2"/>
            <w:shd w:val="clear" w:color="auto" w:fill="C0C0C0"/>
          </w:tcPr>
          <w:p>
            <w:pPr>
              <w:jc w:val="right"/>
              <w:ind w:right="100"/>
              <w:spacing w:after="0" w:line="203"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3"/>
        </w:trPr>
        <w:tc>
          <w:tcPr>
            <w:tcW w:w="5180" w:type="dxa"/>
            <w:vAlign w:val="bottom"/>
          </w:tcPr>
          <w:p>
            <w:pPr>
              <w:ind w:left="100"/>
              <w:spacing w:after="0" w:line="202" w:lineRule="exact"/>
              <w:rPr>
                <w:sz w:val="20"/>
                <w:szCs w:val="20"/>
                <w:color w:val="auto"/>
              </w:rPr>
            </w:pPr>
            <w:r>
              <w:rPr>
                <w:rFonts w:ascii="Arial" w:cs="Arial" w:eastAsia="Arial" w:hAnsi="Arial"/>
                <w:sz w:val="18"/>
                <w:szCs w:val="18"/>
                <w:color w:val="auto"/>
              </w:rPr>
              <w:t>Additional paid in capital</w:t>
            </w:r>
          </w:p>
        </w:tc>
        <w:tc>
          <w:tcPr>
            <w:tcW w:w="560" w:type="dxa"/>
            <w:vAlign w:val="bottom"/>
          </w:tcPr>
          <w:p>
            <w:pPr>
              <w:spacing w:after="0"/>
              <w:rPr>
                <w:sz w:val="17"/>
                <w:szCs w:val="17"/>
                <w:color w:val="auto"/>
              </w:rPr>
            </w:pPr>
          </w:p>
        </w:tc>
        <w:tc>
          <w:tcPr>
            <w:tcW w:w="14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428,423</w:t>
            </w:r>
          </w:p>
        </w:tc>
        <w:tc>
          <w:tcPr>
            <w:tcW w:w="5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8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560" w:type="dxa"/>
            <w:vAlign w:val="bottom"/>
          </w:tcPr>
          <w:p>
            <w:pPr>
              <w:spacing w:after="0"/>
              <w:rPr>
                <w:sz w:val="17"/>
                <w:szCs w:val="17"/>
                <w:color w:val="auto"/>
              </w:rPr>
            </w:pPr>
          </w:p>
        </w:tc>
        <w:tc>
          <w:tcPr>
            <w:tcW w:w="14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428,423</w:t>
            </w:r>
          </w:p>
        </w:tc>
        <w:tc>
          <w:tcPr>
            <w:tcW w:w="0" w:type="dxa"/>
            <w:vAlign w:val="bottom"/>
          </w:tcPr>
          <w:p>
            <w:pPr>
              <w:spacing w:after="0"/>
              <w:rPr>
                <w:sz w:val="1"/>
                <w:szCs w:val="1"/>
                <w:color w:val="auto"/>
              </w:rPr>
            </w:pPr>
          </w:p>
        </w:tc>
      </w:tr>
      <w:tr>
        <w:trPr>
          <w:trHeight w:val="203"/>
        </w:trPr>
        <w:tc>
          <w:tcPr>
            <w:tcW w:w="5180" w:type="dxa"/>
            <w:vAlign w:val="bottom"/>
            <w:shd w:val="clear" w:color="auto" w:fill="C0C0C0"/>
          </w:tcPr>
          <w:p>
            <w:pPr>
              <w:ind w:left="100"/>
              <w:spacing w:after="0" w:line="202" w:lineRule="exact"/>
              <w:rPr>
                <w:sz w:val="20"/>
                <w:szCs w:val="20"/>
                <w:color w:val="auto"/>
              </w:rPr>
            </w:pPr>
            <w:r>
              <w:rPr>
                <w:rFonts w:ascii="Arial" w:cs="Arial" w:eastAsia="Arial" w:hAnsi="Arial"/>
                <w:sz w:val="18"/>
                <w:szCs w:val="18"/>
                <w:color w:val="auto"/>
              </w:rPr>
              <w:t>Retained earnings</w:t>
            </w:r>
          </w:p>
        </w:tc>
        <w:tc>
          <w:tcPr>
            <w:tcW w:w="2040" w:type="dxa"/>
            <w:vAlign w:val="bottom"/>
            <w:gridSpan w:val="3"/>
            <w:shd w:val="clear" w:color="auto" w:fill="C0C0C0"/>
          </w:tcPr>
          <w:p>
            <w:pPr>
              <w:jc w:val="right"/>
              <w:ind w:right="100"/>
              <w:spacing w:after="0" w:line="202" w:lineRule="exact"/>
              <w:rPr>
                <w:sz w:val="20"/>
                <w:szCs w:val="20"/>
                <w:color w:val="auto"/>
              </w:rPr>
            </w:pPr>
            <w:r>
              <w:rPr>
                <w:rFonts w:ascii="Arial" w:cs="Arial" w:eastAsia="Arial" w:hAnsi="Arial"/>
                <w:sz w:val="18"/>
                <w:szCs w:val="18"/>
                <w:color w:val="auto"/>
              </w:rPr>
              <w:t>534,082</w:t>
            </w:r>
          </w:p>
        </w:tc>
        <w:tc>
          <w:tcPr>
            <w:tcW w:w="2160" w:type="dxa"/>
            <w:vAlign w:val="bottom"/>
            <w:gridSpan w:val="4"/>
            <w:shd w:val="clear" w:color="auto" w:fill="C0C0C0"/>
          </w:tcPr>
          <w:p>
            <w:pPr>
              <w:jc w:val="right"/>
              <w:spacing w:after="0" w:line="202" w:lineRule="exact"/>
              <w:rPr>
                <w:sz w:val="20"/>
                <w:szCs w:val="20"/>
                <w:color w:val="auto"/>
              </w:rPr>
            </w:pPr>
            <w:r>
              <w:rPr>
                <w:rFonts w:ascii="Arial" w:cs="Arial" w:eastAsia="Arial" w:hAnsi="Arial"/>
                <w:sz w:val="18"/>
                <w:szCs w:val="18"/>
                <w:color w:val="auto"/>
              </w:rPr>
              <w:t>(5,630)</w:t>
            </w:r>
          </w:p>
        </w:tc>
        <w:tc>
          <w:tcPr>
            <w:tcW w:w="560" w:type="dxa"/>
            <w:vAlign w:val="bottom"/>
            <w:shd w:val="clear" w:color="auto" w:fill="C0C0C0"/>
          </w:tcPr>
          <w:p>
            <w:pPr>
              <w:spacing w:after="0"/>
              <w:rPr>
                <w:sz w:val="17"/>
                <w:szCs w:val="17"/>
                <w:color w:val="auto"/>
              </w:rPr>
            </w:pPr>
          </w:p>
        </w:tc>
        <w:tc>
          <w:tcPr>
            <w:tcW w:w="1480" w:type="dxa"/>
            <w:vAlign w:val="bottom"/>
            <w:gridSpan w:val="2"/>
            <w:shd w:val="clear" w:color="auto" w:fill="C0C0C0"/>
          </w:tcPr>
          <w:p>
            <w:pPr>
              <w:jc w:val="right"/>
              <w:ind w:right="100"/>
              <w:spacing w:after="0" w:line="202" w:lineRule="exact"/>
              <w:rPr>
                <w:sz w:val="20"/>
                <w:szCs w:val="20"/>
                <w:color w:val="auto"/>
              </w:rPr>
            </w:pPr>
            <w:r>
              <w:rPr>
                <w:rFonts w:ascii="Arial" w:cs="Arial" w:eastAsia="Arial" w:hAnsi="Arial"/>
                <w:sz w:val="18"/>
                <w:szCs w:val="18"/>
                <w:color w:val="auto"/>
              </w:rPr>
              <w:t>528,452</w:t>
            </w:r>
          </w:p>
        </w:tc>
        <w:tc>
          <w:tcPr>
            <w:tcW w:w="0" w:type="dxa"/>
            <w:vAlign w:val="bottom"/>
          </w:tcPr>
          <w:p>
            <w:pPr>
              <w:spacing w:after="0"/>
              <w:rPr>
                <w:sz w:val="1"/>
                <w:szCs w:val="1"/>
                <w:color w:val="auto"/>
              </w:rPr>
            </w:pPr>
          </w:p>
        </w:tc>
      </w:tr>
      <w:tr>
        <w:trPr>
          <w:trHeight w:val="202"/>
        </w:trPr>
        <w:tc>
          <w:tcPr>
            <w:tcW w:w="5180" w:type="dxa"/>
            <w:vAlign w:val="bottom"/>
          </w:tcPr>
          <w:p>
            <w:pPr>
              <w:ind w:left="100"/>
              <w:spacing w:after="0" w:line="201" w:lineRule="exact"/>
              <w:rPr>
                <w:sz w:val="20"/>
                <w:szCs w:val="20"/>
                <w:color w:val="auto"/>
              </w:rPr>
            </w:pPr>
            <w:r>
              <w:rPr>
                <w:rFonts w:ascii="Arial" w:cs="Arial" w:eastAsia="Arial" w:hAnsi="Arial"/>
                <w:sz w:val="18"/>
                <w:szCs w:val="18"/>
                <w:color w:val="auto"/>
              </w:rPr>
              <w:t>Accumulated items of other comprehensive income:</w:t>
            </w:r>
          </w:p>
        </w:tc>
        <w:tc>
          <w:tcPr>
            <w:tcW w:w="5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80" w:type="dxa"/>
            <w:vAlign w:val="bottom"/>
          </w:tcPr>
          <w:p>
            <w:pPr>
              <w:ind w:left="200"/>
              <w:spacing w:after="0" w:line="203" w:lineRule="exact"/>
              <w:rPr>
                <w:sz w:val="20"/>
                <w:szCs w:val="20"/>
                <w:color w:val="auto"/>
              </w:rPr>
            </w:pPr>
            <w:r>
              <w:rPr>
                <w:rFonts w:ascii="Arial" w:cs="Arial" w:eastAsia="Arial" w:hAnsi="Arial"/>
                <w:sz w:val="18"/>
                <w:szCs w:val="18"/>
                <w:color w:val="auto"/>
              </w:rPr>
              <w:t>Translation adjustments</w:t>
            </w:r>
          </w:p>
        </w:tc>
        <w:tc>
          <w:tcPr>
            <w:tcW w:w="2040" w:type="dxa"/>
            <w:vAlign w:val="bottom"/>
            <w:gridSpan w:val="3"/>
          </w:tcPr>
          <w:p>
            <w:pPr>
              <w:jc w:val="right"/>
              <w:ind w:right="40"/>
              <w:spacing w:after="0" w:line="203" w:lineRule="exact"/>
              <w:rPr>
                <w:sz w:val="20"/>
                <w:szCs w:val="20"/>
                <w:color w:val="auto"/>
              </w:rPr>
            </w:pPr>
            <w:r>
              <w:rPr>
                <w:rFonts w:ascii="Arial" w:cs="Arial" w:eastAsia="Arial" w:hAnsi="Arial"/>
                <w:sz w:val="18"/>
                <w:szCs w:val="18"/>
                <w:color w:val="auto"/>
              </w:rPr>
              <w:t>(87,318)</w:t>
            </w:r>
          </w:p>
        </w:tc>
        <w:tc>
          <w:tcPr>
            <w:tcW w:w="5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80" w:type="dxa"/>
            <w:vAlign w:val="bottom"/>
            <w:gridSpan w:val="2"/>
          </w:tcPr>
          <w:p>
            <w:pPr>
              <w:jc w:val="right"/>
              <w:ind w:right="40"/>
              <w:spacing w:after="0" w:line="203" w:lineRule="exact"/>
              <w:rPr>
                <w:sz w:val="20"/>
                <w:szCs w:val="20"/>
                <w:color w:val="auto"/>
              </w:rPr>
            </w:pPr>
            <w:r>
              <w:rPr>
                <w:rFonts w:ascii="Arial" w:cs="Arial" w:eastAsia="Arial" w:hAnsi="Arial"/>
                <w:sz w:val="18"/>
                <w:szCs w:val="18"/>
                <w:color w:val="auto"/>
              </w:rPr>
              <w:t>-</w:t>
            </w:r>
          </w:p>
        </w:tc>
        <w:tc>
          <w:tcPr>
            <w:tcW w:w="560" w:type="dxa"/>
            <w:vAlign w:val="bottom"/>
          </w:tcPr>
          <w:p>
            <w:pPr>
              <w:spacing w:after="0"/>
              <w:rPr>
                <w:sz w:val="17"/>
                <w:szCs w:val="17"/>
                <w:color w:val="auto"/>
              </w:rPr>
            </w:pPr>
          </w:p>
        </w:tc>
        <w:tc>
          <w:tcPr>
            <w:tcW w:w="1480" w:type="dxa"/>
            <w:vAlign w:val="bottom"/>
            <w:gridSpan w:val="2"/>
          </w:tcPr>
          <w:p>
            <w:pPr>
              <w:jc w:val="right"/>
              <w:ind w:right="40"/>
              <w:spacing w:after="0" w:line="203" w:lineRule="exact"/>
              <w:rPr>
                <w:sz w:val="20"/>
                <w:szCs w:val="20"/>
                <w:color w:val="auto"/>
              </w:rPr>
            </w:pPr>
            <w:r>
              <w:rPr>
                <w:rFonts w:ascii="Arial" w:cs="Arial" w:eastAsia="Arial" w:hAnsi="Arial"/>
                <w:sz w:val="18"/>
                <w:szCs w:val="18"/>
                <w:color w:val="auto"/>
              </w:rPr>
              <w:t>(87,318)</w:t>
            </w:r>
          </w:p>
        </w:tc>
        <w:tc>
          <w:tcPr>
            <w:tcW w:w="0" w:type="dxa"/>
            <w:vAlign w:val="bottom"/>
          </w:tcPr>
          <w:p>
            <w:pPr>
              <w:spacing w:after="0"/>
              <w:rPr>
                <w:sz w:val="1"/>
                <w:szCs w:val="1"/>
                <w:color w:val="auto"/>
              </w:rPr>
            </w:pPr>
          </w:p>
        </w:tc>
      </w:tr>
      <w:tr>
        <w:trPr>
          <w:trHeight w:val="203"/>
        </w:trPr>
        <w:tc>
          <w:tcPr>
            <w:tcW w:w="5180" w:type="dxa"/>
            <w:vAlign w:val="bottom"/>
            <w:shd w:val="clear" w:color="auto" w:fill="C0C0C0"/>
          </w:tcPr>
          <w:p>
            <w:pPr>
              <w:ind w:left="200"/>
              <w:spacing w:after="0" w:line="202" w:lineRule="exact"/>
              <w:rPr>
                <w:sz w:val="20"/>
                <w:szCs w:val="20"/>
                <w:color w:val="auto"/>
              </w:rPr>
            </w:pPr>
            <w:r>
              <w:rPr>
                <w:rFonts w:ascii="Arial" w:cs="Arial" w:eastAsia="Arial" w:hAnsi="Arial"/>
                <w:sz w:val="18"/>
                <w:szCs w:val="18"/>
                <w:color w:val="auto"/>
              </w:rPr>
              <w:t>Pension and postretirement liability adjustments</w:t>
            </w:r>
          </w:p>
        </w:tc>
        <w:tc>
          <w:tcPr>
            <w:tcW w:w="2040" w:type="dxa"/>
            <w:vAlign w:val="bottom"/>
            <w:gridSpan w:val="3"/>
            <w:shd w:val="clear" w:color="auto" w:fill="C0C0C0"/>
          </w:tcPr>
          <w:p>
            <w:pPr>
              <w:jc w:val="right"/>
              <w:ind w:right="40"/>
              <w:spacing w:after="0" w:line="202" w:lineRule="exact"/>
              <w:rPr>
                <w:sz w:val="20"/>
                <w:szCs w:val="20"/>
                <w:color w:val="auto"/>
              </w:rPr>
            </w:pPr>
            <w:r>
              <w:rPr>
                <w:rFonts w:ascii="Arial" w:cs="Arial" w:eastAsia="Arial" w:hAnsi="Arial"/>
                <w:sz w:val="18"/>
                <w:szCs w:val="18"/>
                <w:color w:val="auto"/>
              </w:rPr>
              <w:t>(50,536)</w:t>
            </w:r>
          </w:p>
        </w:tc>
        <w:tc>
          <w:tcPr>
            <w:tcW w:w="560" w:type="dxa"/>
            <w:vAlign w:val="bottom"/>
            <w:shd w:val="clear" w:color="auto" w:fill="C0C0C0"/>
          </w:tcPr>
          <w:p>
            <w:pPr>
              <w:spacing w:after="0"/>
              <w:rPr>
                <w:sz w:val="17"/>
                <w:szCs w:val="17"/>
                <w:color w:val="auto"/>
              </w:rPr>
            </w:pPr>
          </w:p>
        </w:tc>
        <w:tc>
          <w:tcPr>
            <w:tcW w:w="1220" w:type="dxa"/>
            <w:vAlign w:val="bottom"/>
            <w:shd w:val="clear" w:color="auto" w:fill="C0C0C0"/>
          </w:tcPr>
          <w:p>
            <w:pPr>
              <w:spacing w:after="0"/>
              <w:rPr>
                <w:sz w:val="17"/>
                <w:szCs w:val="17"/>
                <w:color w:val="auto"/>
              </w:rPr>
            </w:pPr>
          </w:p>
        </w:tc>
        <w:tc>
          <w:tcPr>
            <w:tcW w:w="380" w:type="dxa"/>
            <w:vAlign w:val="bottom"/>
            <w:gridSpan w:val="2"/>
            <w:shd w:val="clear" w:color="auto" w:fill="C0C0C0"/>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560" w:type="dxa"/>
            <w:vAlign w:val="bottom"/>
            <w:shd w:val="clear" w:color="auto" w:fill="C0C0C0"/>
          </w:tcPr>
          <w:p>
            <w:pPr>
              <w:spacing w:after="0"/>
              <w:rPr>
                <w:sz w:val="17"/>
                <w:szCs w:val="17"/>
                <w:color w:val="auto"/>
              </w:rPr>
            </w:pPr>
          </w:p>
        </w:tc>
        <w:tc>
          <w:tcPr>
            <w:tcW w:w="1480" w:type="dxa"/>
            <w:vAlign w:val="bottom"/>
            <w:gridSpan w:val="2"/>
            <w:shd w:val="clear" w:color="auto" w:fill="C0C0C0"/>
          </w:tcPr>
          <w:p>
            <w:pPr>
              <w:jc w:val="right"/>
              <w:ind w:right="40"/>
              <w:spacing w:after="0" w:line="202" w:lineRule="exact"/>
              <w:rPr>
                <w:sz w:val="20"/>
                <w:szCs w:val="20"/>
                <w:color w:val="auto"/>
              </w:rPr>
            </w:pPr>
            <w:r>
              <w:rPr>
                <w:rFonts w:ascii="Arial" w:cs="Arial" w:eastAsia="Arial" w:hAnsi="Arial"/>
                <w:sz w:val="18"/>
                <w:szCs w:val="18"/>
                <w:color w:val="auto"/>
              </w:rPr>
              <w:t>(50,536)</w:t>
            </w:r>
          </w:p>
        </w:tc>
        <w:tc>
          <w:tcPr>
            <w:tcW w:w="0" w:type="dxa"/>
            <w:vAlign w:val="bottom"/>
          </w:tcPr>
          <w:p>
            <w:pPr>
              <w:spacing w:after="0"/>
              <w:rPr>
                <w:sz w:val="1"/>
                <w:szCs w:val="1"/>
                <w:color w:val="auto"/>
              </w:rPr>
            </w:pPr>
          </w:p>
        </w:tc>
      </w:tr>
      <w:tr>
        <w:trPr>
          <w:trHeight w:val="203"/>
        </w:trPr>
        <w:tc>
          <w:tcPr>
            <w:tcW w:w="5180" w:type="dxa"/>
            <w:vAlign w:val="bottom"/>
          </w:tcPr>
          <w:p>
            <w:pPr>
              <w:ind w:left="200"/>
              <w:spacing w:after="0" w:line="202" w:lineRule="exact"/>
              <w:rPr>
                <w:sz w:val="20"/>
                <w:szCs w:val="20"/>
                <w:color w:val="auto"/>
              </w:rPr>
            </w:pPr>
            <w:r>
              <w:rPr>
                <w:rFonts w:ascii="Arial" w:cs="Arial" w:eastAsia="Arial" w:hAnsi="Arial"/>
                <w:sz w:val="18"/>
                <w:szCs w:val="18"/>
                <w:color w:val="auto"/>
              </w:rPr>
              <w:t>Derivative valuation adjustment</w:t>
            </w:r>
          </w:p>
        </w:tc>
        <w:tc>
          <w:tcPr>
            <w:tcW w:w="2040" w:type="dxa"/>
            <w:vAlign w:val="bottom"/>
            <w:gridSpan w:val="3"/>
          </w:tcPr>
          <w:p>
            <w:pPr>
              <w:jc w:val="right"/>
              <w:ind w:right="100"/>
              <w:spacing w:after="0" w:line="202" w:lineRule="exact"/>
              <w:rPr>
                <w:sz w:val="20"/>
                <w:szCs w:val="20"/>
                <w:color w:val="auto"/>
              </w:rPr>
            </w:pPr>
            <w:r>
              <w:rPr>
                <w:rFonts w:ascii="Arial" w:cs="Arial" w:eastAsia="Arial" w:hAnsi="Arial"/>
                <w:sz w:val="18"/>
                <w:szCs w:val="18"/>
                <w:color w:val="auto"/>
              </w:rPr>
              <w:t>1,953</w:t>
            </w:r>
          </w:p>
        </w:tc>
        <w:tc>
          <w:tcPr>
            <w:tcW w:w="5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8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560" w:type="dxa"/>
            <w:vAlign w:val="bottom"/>
          </w:tcPr>
          <w:p>
            <w:pPr>
              <w:spacing w:after="0"/>
              <w:rPr>
                <w:sz w:val="17"/>
                <w:szCs w:val="17"/>
                <w:color w:val="auto"/>
              </w:rPr>
            </w:pPr>
          </w:p>
        </w:tc>
        <w:tc>
          <w:tcPr>
            <w:tcW w:w="14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1,953</w:t>
            </w:r>
          </w:p>
        </w:tc>
        <w:tc>
          <w:tcPr>
            <w:tcW w:w="0" w:type="dxa"/>
            <w:vAlign w:val="bottom"/>
          </w:tcPr>
          <w:p>
            <w:pPr>
              <w:spacing w:after="0"/>
              <w:rPr>
                <w:sz w:val="1"/>
                <w:szCs w:val="1"/>
                <w:color w:val="auto"/>
              </w:rPr>
            </w:pPr>
          </w:p>
        </w:tc>
      </w:tr>
      <w:tr>
        <w:trPr>
          <w:trHeight w:val="202"/>
        </w:trPr>
        <w:tc>
          <w:tcPr>
            <w:tcW w:w="5180" w:type="dxa"/>
            <w:vAlign w:val="bottom"/>
            <w:shd w:val="clear" w:color="auto" w:fill="C0C0C0"/>
          </w:tcPr>
          <w:p>
            <w:pPr>
              <w:ind w:left="100"/>
              <w:spacing w:after="0" w:line="201" w:lineRule="exact"/>
              <w:rPr>
                <w:sz w:val="20"/>
                <w:szCs w:val="20"/>
                <w:color w:val="auto"/>
              </w:rPr>
            </w:pPr>
            <w:r>
              <w:rPr>
                <w:rFonts w:ascii="Arial" w:cs="Arial" w:eastAsia="Arial" w:hAnsi="Arial"/>
                <w:sz w:val="18"/>
                <w:szCs w:val="18"/>
                <w:color w:val="auto"/>
              </w:rPr>
              <w:t>Treasury stock (Class A), at cost 8,431,335 shares in</w:t>
            </w:r>
          </w:p>
        </w:tc>
        <w:tc>
          <w:tcPr>
            <w:tcW w:w="560" w:type="dxa"/>
            <w:vAlign w:val="bottom"/>
            <w:shd w:val="clear" w:color="auto" w:fill="C0C0C0"/>
          </w:tcPr>
          <w:p>
            <w:pPr>
              <w:spacing w:after="0"/>
              <w:rPr>
                <w:sz w:val="17"/>
                <w:szCs w:val="17"/>
                <w:color w:val="auto"/>
              </w:rPr>
            </w:pPr>
          </w:p>
        </w:tc>
        <w:tc>
          <w:tcPr>
            <w:tcW w:w="1380" w:type="dxa"/>
            <w:vAlign w:val="bottom"/>
            <w:shd w:val="clear" w:color="auto" w:fill="C0C0C0"/>
          </w:tcPr>
          <w:p>
            <w:pPr>
              <w:spacing w:after="0"/>
              <w:rPr>
                <w:sz w:val="17"/>
                <w:szCs w:val="17"/>
                <w:color w:val="auto"/>
              </w:rPr>
            </w:pPr>
          </w:p>
        </w:tc>
        <w:tc>
          <w:tcPr>
            <w:tcW w:w="100" w:type="dxa"/>
            <w:vAlign w:val="bottom"/>
            <w:shd w:val="clear" w:color="auto" w:fill="C0C0C0"/>
          </w:tcPr>
          <w:p>
            <w:pPr>
              <w:spacing w:after="0"/>
              <w:rPr>
                <w:sz w:val="17"/>
                <w:szCs w:val="17"/>
                <w:color w:val="auto"/>
              </w:rPr>
            </w:pPr>
          </w:p>
        </w:tc>
        <w:tc>
          <w:tcPr>
            <w:tcW w:w="560" w:type="dxa"/>
            <w:vAlign w:val="bottom"/>
            <w:shd w:val="clear" w:color="auto" w:fill="C0C0C0"/>
          </w:tcPr>
          <w:p>
            <w:pPr>
              <w:spacing w:after="0"/>
              <w:rPr>
                <w:sz w:val="17"/>
                <w:szCs w:val="17"/>
                <w:color w:val="auto"/>
              </w:rPr>
            </w:pPr>
          </w:p>
        </w:tc>
        <w:tc>
          <w:tcPr>
            <w:tcW w:w="1220" w:type="dxa"/>
            <w:vAlign w:val="bottom"/>
            <w:shd w:val="clear" w:color="auto" w:fill="C0C0C0"/>
          </w:tcPr>
          <w:p>
            <w:pPr>
              <w:spacing w:after="0"/>
              <w:rPr>
                <w:sz w:val="17"/>
                <w:szCs w:val="17"/>
                <w:color w:val="auto"/>
              </w:rPr>
            </w:pPr>
          </w:p>
        </w:tc>
        <w:tc>
          <w:tcPr>
            <w:tcW w:w="260" w:type="dxa"/>
            <w:vAlign w:val="bottom"/>
            <w:shd w:val="clear" w:color="auto" w:fill="C0C0C0"/>
          </w:tcPr>
          <w:p>
            <w:pPr>
              <w:spacing w:after="0"/>
              <w:rPr>
                <w:sz w:val="17"/>
                <w:szCs w:val="17"/>
                <w:color w:val="auto"/>
              </w:rPr>
            </w:pPr>
          </w:p>
        </w:tc>
        <w:tc>
          <w:tcPr>
            <w:tcW w:w="120" w:type="dxa"/>
            <w:vAlign w:val="bottom"/>
            <w:shd w:val="clear" w:color="auto" w:fill="C0C0C0"/>
          </w:tcPr>
          <w:p>
            <w:pPr>
              <w:spacing w:after="0"/>
              <w:rPr>
                <w:sz w:val="17"/>
                <w:szCs w:val="17"/>
                <w:color w:val="auto"/>
              </w:rPr>
            </w:pPr>
          </w:p>
        </w:tc>
        <w:tc>
          <w:tcPr>
            <w:tcW w:w="560" w:type="dxa"/>
            <w:vAlign w:val="bottom"/>
            <w:shd w:val="clear" w:color="auto" w:fill="C0C0C0"/>
          </w:tcPr>
          <w:p>
            <w:pPr>
              <w:spacing w:after="0"/>
              <w:rPr>
                <w:sz w:val="17"/>
                <w:szCs w:val="17"/>
                <w:color w:val="auto"/>
              </w:rPr>
            </w:pPr>
          </w:p>
        </w:tc>
        <w:tc>
          <w:tcPr>
            <w:tcW w:w="1380" w:type="dxa"/>
            <w:vAlign w:val="bottom"/>
            <w:shd w:val="clear" w:color="auto" w:fill="C0C0C0"/>
          </w:tcPr>
          <w:p>
            <w:pPr>
              <w:spacing w:after="0"/>
              <w:rPr>
                <w:sz w:val="17"/>
                <w:szCs w:val="17"/>
                <w:color w:val="auto"/>
              </w:rPr>
            </w:pPr>
          </w:p>
        </w:tc>
        <w:tc>
          <w:tcPr>
            <w:tcW w:w="100" w:type="dxa"/>
            <w:vAlign w:val="bottom"/>
            <w:shd w:val="clear" w:color="auto" w:fill="C0C0C0"/>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5180" w:type="dxa"/>
            <w:vAlign w:val="bottom"/>
            <w:shd w:val="clear" w:color="auto" w:fill="C0C0C0"/>
          </w:tcPr>
          <w:p>
            <w:pPr>
              <w:ind w:left="160"/>
              <w:spacing w:after="0"/>
              <w:rPr>
                <w:sz w:val="20"/>
                <w:szCs w:val="20"/>
                <w:color w:val="auto"/>
              </w:rPr>
            </w:pPr>
            <w:r>
              <w:rPr>
                <w:rFonts w:ascii="Arial" w:cs="Arial" w:eastAsia="Arial" w:hAnsi="Arial"/>
                <w:sz w:val="18"/>
                <w:szCs w:val="18"/>
                <w:color w:val="auto"/>
              </w:rPr>
              <w:t>2017 and 8,443,444 shares in 2016</w:t>
            </w:r>
          </w:p>
        </w:tc>
        <w:tc>
          <w:tcPr>
            <w:tcW w:w="2040" w:type="dxa"/>
            <w:vAlign w:val="bottom"/>
            <w:gridSpan w:val="3"/>
            <w:shd w:val="clear" w:color="auto" w:fill="C0C0C0"/>
          </w:tcPr>
          <w:p>
            <w:pPr>
              <w:jc w:val="right"/>
              <w:ind w:right="40"/>
              <w:spacing w:after="0"/>
              <w:rPr>
                <w:sz w:val="20"/>
                <w:szCs w:val="20"/>
                <w:color w:val="auto"/>
              </w:rPr>
            </w:pPr>
            <w:r>
              <w:rPr>
                <w:rFonts w:ascii="Arial" w:cs="Arial" w:eastAsia="Arial" w:hAnsi="Arial"/>
                <w:sz w:val="18"/>
                <w:szCs w:val="18"/>
                <w:color w:val="auto"/>
              </w:rPr>
              <w:t>(256,876)</w:t>
            </w:r>
          </w:p>
        </w:tc>
        <w:tc>
          <w:tcPr>
            <w:tcW w:w="560" w:type="dxa"/>
            <w:vAlign w:val="bottom"/>
            <w:shd w:val="clear" w:color="auto" w:fill="C0C0C0"/>
          </w:tcPr>
          <w:p>
            <w:pPr>
              <w:spacing w:after="0"/>
              <w:rPr>
                <w:sz w:val="18"/>
                <w:szCs w:val="18"/>
                <w:color w:val="auto"/>
              </w:rPr>
            </w:pPr>
          </w:p>
        </w:tc>
        <w:tc>
          <w:tcPr>
            <w:tcW w:w="1220" w:type="dxa"/>
            <w:vAlign w:val="bottom"/>
            <w:shd w:val="clear" w:color="auto" w:fill="C0C0C0"/>
          </w:tcPr>
          <w:p>
            <w:pPr>
              <w:spacing w:after="0"/>
              <w:rPr>
                <w:sz w:val="18"/>
                <w:szCs w:val="18"/>
                <w:color w:val="auto"/>
              </w:rPr>
            </w:pPr>
          </w:p>
        </w:tc>
        <w:tc>
          <w:tcPr>
            <w:tcW w:w="380" w:type="dxa"/>
            <w:vAlign w:val="bottom"/>
            <w:gridSpan w:val="2"/>
            <w:shd w:val="clear" w:color="auto" w:fill="C0C0C0"/>
          </w:tcPr>
          <w:p>
            <w:pPr>
              <w:jc w:val="right"/>
              <w:ind w:right="40"/>
              <w:spacing w:after="0"/>
              <w:rPr>
                <w:sz w:val="20"/>
                <w:szCs w:val="20"/>
                <w:color w:val="auto"/>
              </w:rPr>
            </w:pPr>
            <w:r>
              <w:rPr>
                <w:rFonts w:ascii="Arial" w:cs="Arial" w:eastAsia="Arial" w:hAnsi="Arial"/>
                <w:sz w:val="18"/>
                <w:szCs w:val="18"/>
                <w:color w:val="auto"/>
              </w:rPr>
              <w:t>-</w:t>
            </w:r>
          </w:p>
        </w:tc>
        <w:tc>
          <w:tcPr>
            <w:tcW w:w="560" w:type="dxa"/>
            <w:vAlign w:val="bottom"/>
            <w:shd w:val="clear" w:color="auto" w:fill="C0C0C0"/>
          </w:tcPr>
          <w:p>
            <w:pPr>
              <w:spacing w:after="0"/>
              <w:rPr>
                <w:sz w:val="18"/>
                <w:szCs w:val="18"/>
                <w:color w:val="auto"/>
              </w:rPr>
            </w:pPr>
          </w:p>
        </w:tc>
        <w:tc>
          <w:tcPr>
            <w:tcW w:w="1480" w:type="dxa"/>
            <w:vAlign w:val="bottom"/>
            <w:gridSpan w:val="2"/>
            <w:shd w:val="clear" w:color="auto" w:fill="C0C0C0"/>
          </w:tcPr>
          <w:p>
            <w:pPr>
              <w:jc w:val="right"/>
              <w:ind w:right="40"/>
              <w:spacing w:after="0"/>
              <w:rPr>
                <w:sz w:val="20"/>
                <w:szCs w:val="20"/>
                <w:color w:val="auto"/>
              </w:rPr>
            </w:pPr>
            <w:r>
              <w:rPr>
                <w:rFonts w:ascii="Arial" w:cs="Arial" w:eastAsia="Arial" w:hAnsi="Arial"/>
                <w:sz w:val="18"/>
                <w:szCs w:val="18"/>
                <w:color w:val="auto"/>
              </w:rPr>
              <w:t>(256,876)</w:t>
            </w:r>
          </w:p>
        </w:tc>
        <w:tc>
          <w:tcPr>
            <w:tcW w:w="0" w:type="dxa"/>
            <w:vAlign w:val="bottom"/>
          </w:tcPr>
          <w:p>
            <w:pPr>
              <w:spacing w:after="0"/>
              <w:rPr>
                <w:sz w:val="1"/>
                <w:szCs w:val="1"/>
                <w:color w:val="auto"/>
              </w:rPr>
            </w:pPr>
          </w:p>
        </w:tc>
      </w:tr>
      <w:tr>
        <w:trPr>
          <w:trHeight w:val="196"/>
        </w:trPr>
        <w:tc>
          <w:tcPr>
            <w:tcW w:w="5180" w:type="dxa"/>
            <w:vAlign w:val="bottom"/>
          </w:tcPr>
          <w:p>
            <w:pPr>
              <w:ind w:left="300"/>
              <w:spacing w:after="0" w:line="196" w:lineRule="exact"/>
              <w:rPr>
                <w:sz w:val="20"/>
                <w:szCs w:val="20"/>
                <w:color w:val="auto"/>
              </w:rPr>
            </w:pPr>
            <w:r>
              <w:rPr>
                <w:rFonts w:ascii="Arial" w:cs="Arial" w:eastAsia="Arial" w:hAnsi="Arial"/>
                <w:sz w:val="18"/>
                <w:szCs w:val="18"/>
                <w:color w:val="auto"/>
              </w:rPr>
              <w:t>Total Company shareholders' equity</w:t>
            </w:r>
          </w:p>
        </w:tc>
        <w:tc>
          <w:tcPr>
            <w:tcW w:w="560" w:type="dxa"/>
            <w:vAlign w:val="bottom"/>
          </w:tcPr>
          <w:p>
            <w:pPr>
              <w:spacing w:after="0"/>
              <w:rPr>
                <w:sz w:val="17"/>
                <w:szCs w:val="17"/>
                <w:color w:val="auto"/>
              </w:rPr>
            </w:pPr>
          </w:p>
        </w:tc>
        <w:tc>
          <w:tcPr>
            <w:tcW w:w="138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569,768</w:t>
            </w: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80" w:type="dxa"/>
            <w:vAlign w:val="bottom"/>
            <w:tcBorders>
              <w:top w:val="single" w:sz="8" w:color="auto"/>
            </w:tcBorders>
            <w:gridSpan w:val="2"/>
          </w:tcPr>
          <w:p>
            <w:pPr>
              <w:jc w:val="right"/>
              <w:spacing w:after="0" w:line="196" w:lineRule="exact"/>
              <w:rPr>
                <w:sz w:val="20"/>
                <w:szCs w:val="20"/>
                <w:color w:val="auto"/>
              </w:rPr>
            </w:pPr>
            <w:r>
              <w:rPr>
                <w:rFonts w:ascii="Arial" w:cs="Arial" w:eastAsia="Arial" w:hAnsi="Arial"/>
                <w:sz w:val="18"/>
                <w:szCs w:val="18"/>
                <w:color w:val="auto"/>
              </w:rPr>
              <w:t>(5,630)</w:t>
            </w: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38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564,138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180" w:type="dxa"/>
            <w:vAlign w:val="bottom"/>
            <w:shd w:val="clear" w:color="auto" w:fill="C0C0C0"/>
          </w:tcPr>
          <w:p>
            <w:pPr>
              <w:ind w:left="100"/>
              <w:spacing w:after="0"/>
              <w:rPr>
                <w:sz w:val="20"/>
                <w:szCs w:val="20"/>
                <w:color w:val="auto"/>
              </w:rPr>
            </w:pPr>
            <w:r>
              <w:rPr>
                <w:rFonts w:ascii="Arial" w:cs="Arial" w:eastAsia="Arial" w:hAnsi="Arial"/>
                <w:sz w:val="18"/>
                <w:szCs w:val="18"/>
                <w:color w:val="auto"/>
              </w:rPr>
              <w:t>Noncontrolling interest</w:t>
            </w:r>
          </w:p>
        </w:tc>
        <w:tc>
          <w:tcPr>
            <w:tcW w:w="2040" w:type="dxa"/>
            <w:vAlign w:val="bottom"/>
            <w:gridSpan w:val="3"/>
            <w:shd w:val="clear" w:color="auto" w:fill="C0C0C0"/>
          </w:tcPr>
          <w:p>
            <w:pPr>
              <w:jc w:val="right"/>
              <w:ind w:right="100"/>
              <w:spacing w:after="0"/>
              <w:rPr>
                <w:sz w:val="20"/>
                <w:szCs w:val="20"/>
                <w:color w:val="auto"/>
              </w:rPr>
            </w:pPr>
            <w:r>
              <w:rPr>
                <w:rFonts w:ascii="Arial" w:cs="Arial" w:eastAsia="Arial" w:hAnsi="Arial"/>
                <w:sz w:val="18"/>
                <w:szCs w:val="18"/>
                <w:color w:val="auto"/>
              </w:rPr>
              <w:t>3,247</w:t>
            </w:r>
          </w:p>
        </w:tc>
        <w:tc>
          <w:tcPr>
            <w:tcW w:w="2160" w:type="dxa"/>
            <w:vAlign w:val="bottom"/>
            <w:gridSpan w:val="4"/>
            <w:shd w:val="clear" w:color="auto" w:fill="C0C0C0"/>
          </w:tcPr>
          <w:p>
            <w:pPr>
              <w:jc w:val="right"/>
              <w:spacing w:after="0"/>
              <w:rPr>
                <w:sz w:val="20"/>
                <w:szCs w:val="20"/>
                <w:color w:val="auto"/>
              </w:rPr>
            </w:pPr>
            <w:r>
              <w:rPr>
                <w:rFonts w:ascii="Arial" w:cs="Arial" w:eastAsia="Arial" w:hAnsi="Arial"/>
                <w:sz w:val="18"/>
                <w:szCs w:val="18"/>
                <w:color w:val="auto"/>
              </w:rPr>
              <w:t>(327)</w:t>
            </w:r>
          </w:p>
        </w:tc>
        <w:tc>
          <w:tcPr>
            <w:tcW w:w="560" w:type="dxa"/>
            <w:vAlign w:val="bottom"/>
            <w:shd w:val="clear" w:color="auto" w:fill="C0C0C0"/>
          </w:tcPr>
          <w:p>
            <w:pPr>
              <w:spacing w:after="0"/>
              <w:rPr>
                <w:sz w:val="18"/>
                <w:szCs w:val="18"/>
                <w:color w:val="auto"/>
              </w:rPr>
            </w:pPr>
          </w:p>
        </w:tc>
        <w:tc>
          <w:tcPr>
            <w:tcW w:w="1480" w:type="dxa"/>
            <w:vAlign w:val="bottom"/>
            <w:gridSpan w:val="2"/>
            <w:shd w:val="clear" w:color="auto" w:fill="C0C0C0"/>
          </w:tcPr>
          <w:p>
            <w:pPr>
              <w:jc w:val="right"/>
              <w:ind w:right="100"/>
              <w:spacing w:after="0"/>
              <w:rPr>
                <w:sz w:val="20"/>
                <w:szCs w:val="20"/>
                <w:color w:val="auto"/>
              </w:rPr>
            </w:pPr>
            <w:r>
              <w:rPr>
                <w:rFonts w:ascii="Arial" w:cs="Arial" w:eastAsia="Arial" w:hAnsi="Arial"/>
                <w:sz w:val="18"/>
                <w:szCs w:val="18"/>
                <w:color w:val="auto"/>
              </w:rPr>
              <w:t>2,920</w:t>
            </w:r>
          </w:p>
        </w:tc>
        <w:tc>
          <w:tcPr>
            <w:tcW w:w="0" w:type="dxa"/>
            <w:vAlign w:val="bottom"/>
          </w:tcPr>
          <w:p>
            <w:pPr>
              <w:spacing w:after="0"/>
              <w:rPr>
                <w:sz w:val="1"/>
                <w:szCs w:val="1"/>
                <w:color w:val="auto"/>
              </w:rPr>
            </w:pPr>
          </w:p>
        </w:tc>
      </w:tr>
      <w:tr>
        <w:trPr>
          <w:trHeight w:val="196"/>
        </w:trPr>
        <w:tc>
          <w:tcPr>
            <w:tcW w:w="5180" w:type="dxa"/>
            <w:vAlign w:val="bottom"/>
            <w:tcBorders>
              <w:bottom w:val="single" w:sz="8" w:color="C0C0C0"/>
            </w:tcBorders>
          </w:tcPr>
          <w:p>
            <w:pPr>
              <w:ind w:left="60"/>
              <w:spacing w:after="0" w:line="196" w:lineRule="exact"/>
              <w:rPr>
                <w:sz w:val="20"/>
                <w:szCs w:val="20"/>
                <w:color w:val="auto"/>
              </w:rPr>
            </w:pPr>
            <w:r>
              <w:rPr>
                <w:rFonts w:ascii="Arial" w:cs="Arial" w:eastAsia="Arial" w:hAnsi="Arial"/>
                <w:sz w:val="18"/>
                <w:szCs w:val="18"/>
                <w:color w:val="auto"/>
              </w:rPr>
              <w:t>Total equity</w:t>
            </w:r>
          </w:p>
        </w:tc>
        <w:tc>
          <w:tcPr>
            <w:tcW w:w="560" w:type="dxa"/>
            <w:vAlign w:val="bottom"/>
            <w:tcBorders>
              <w:bottom w:val="single" w:sz="8" w:color="C0C0C0"/>
            </w:tcBorders>
          </w:tcPr>
          <w:p>
            <w:pPr>
              <w:spacing w:after="0"/>
              <w:rPr>
                <w:sz w:val="17"/>
                <w:szCs w:val="17"/>
                <w:color w:val="auto"/>
              </w:rPr>
            </w:pPr>
          </w:p>
        </w:tc>
        <w:tc>
          <w:tcPr>
            <w:tcW w:w="13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573,015</w:t>
            </w:r>
          </w:p>
        </w:tc>
        <w:tc>
          <w:tcPr>
            <w:tcW w:w="100" w:type="dxa"/>
            <w:vAlign w:val="bottom"/>
            <w:tcBorders>
              <w:bottom w:val="single" w:sz="8" w:color="C0C0C0"/>
            </w:tcBorders>
          </w:tcPr>
          <w:p>
            <w:pPr>
              <w:spacing w:after="0"/>
              <w:rPr>
                <w:sz w:val="17"/>
                <w:szCs w:val="17"/>
                <w:color w:val="auto"/>
              </w:rPr>
            </w:pPr>
          </w:p>
        </w:tc>
        <w:tc>
          <w:tcPr>
            <w:tcW w:w="560" w:type="dxa"/>
            <w:vAlign w:val="bottom"/>
            <w:tcBorders>
              <w:bottom w:val="single" w:sz="8" w:color="C0C0C0"/>
            </w:tcBorders>
          </w:tcPr>
          <w:p>
            <w:pPr>
              <w:spacing w:after="0"/>
              <w:rPr>
                <w:sz w:val="17"/>
                <w:szCs w:val="17"/>
                <w:color w:val="auto"/>
              </w:rPr>
            </w:pPr>
          </w:p>
        </w:tc>
        <w:tc>
          <w:tcPr>
            <w:tcW w:w="1480" w:type="dxa"/>
            <w:vAlign w:val="bottom"/>
            <w:tcBorders>
              <w:top w:val="single" w:sz="8" w:color="auto"/>
              <w:bottom w:val="single" w:sz="8" w:color="auto"/>
            </w:tcBorders>
            <w:gridSpan w:val="2"/>
          </w:tcPr>
          <w:p>
            <w:pPr>
              <w:jc w:val="right"/>
              <w:spacing w:after="0" w:line="196" w:lineRule="exact"/>
              <w:rPr>
                <w:sz w:val="20"/>
                <w:szCs w:val="20"/>
                <w:color w:val="auto"/>
              </w:rPr>
            </w:pPr>
            <w:r>
              <w:rPr>
                <w:rFonts w:ascii="Arial" w:cs="Arial" w:eastAsia="Arial" w:hAnsi="Arial"/>
                <w:sz w:val="18"/>
                <w:szCs w:val="18"/>
                <w:color w:val="auto"/>
              </w:rPr>
              <w:t>(5,957</w:t>
            </w:r>
          </w:p>
        </w:tc>
        <w:tc>
          <w:tcPr>
            <w:tcW w:w="120" w:type="dxa"/>
            <w:vAlign w:val="bottom"/>
            <w:tcBorders>
              <w:bottom w:val="single" w:sz="8" w:color="C0C0C0"/>
            </w:tcBorders>
          </w:tcPr>
          <w:p>
            <w:pPr>
              <w:jc w:val="right"/>
              <w:spacing w:after="0"/>
              <w:rPr>
                <w:sz w:val="20"/>
                <w:szCs w:val="20"/>
                <w:color w:val="auto"/>
              </w:rPr>
            </w:pPr>
            <w:r>
              <w:rPr>
                <w:rFonts w:ascii="Arial" w:cs="Arial" w:eastAsia="Arial" w:hAnsi="Arial"/>
                <w:sz w:val="16"/>
                <w:szCs w:val="16"/>
                <w:color w:val="auto"/>
                <w:w w:val="74"/>
              </w:rPr>
              <w:t>)</w:t>
            </w:r>
          </w:p>
        </w:tc>
        <w:tc>
          <w:tcPr>
            <w:tcW w:w="560" w:type="dxa"/>
            <w:vAlign w:val="bottom"/>
            <w:tcBorders>
              <w:bottom w:val="single" w:sz="8" w:color="C0C0C0"/>
            </w:tcBorders>
          </w:tcPr>
          <w:p>
            <w:pPr>
              <w:spacing w:after="0"/>
              <w:rPr>
                <w:sz w:val="17"/>
                <w:szCs w:val="17"/>
                <w:color w:val="auto"/>
              </w:rPr>
            </w:pPr>
          </w:p>
        </w:tc>
        <w:tc>
          <w:tcPr>
            <w:tcW w:w="13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567,058</w:t>
            </w:r>
          </w:p>
        </w:tc>
        <w:tc>
          <w:tcPr>
            <w:tcW w:w="100" w:type="dxa"/>
            <w:vAlign w:val="bottom"/>
            <w:tcBorders>
              <w:bottom w:val="single" w:sz="8" w:color="C0C0C0"/>
            </w:tcBorders>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180" w:type="dxa"/>
            <w:vAlign w:val="bottom"/>
            <w:tcBorders>
              <w:bottom w:val="single" w:sz="8" w:color="C0C0C0"/>
            </w:tcBorders>
            <w:shd w:val="clear" w:color="auto" w:fill="C0C0C0"/>
          </w:tcPr>
          <w:p>
            <w:pPr>
              <w:ind w:left="300"/>
              <w:spacing w:after="0" w:line="197" w:lineRule="exact"/>
              <w:rPr>
                <w:sz w:val="20"/>
                <w:szCs w:val="20"/>
                <w:color w:val="auto"/>
              </w:rPr>
            </w:pPr>
            <w:r>
              <w:rPr>
                <w:rFonts w:ascii="Arial" w:cs="Arial" w:eastAsia="Arial" w:hAnsi="Arial"/>
                <w:sz w:val="18"/>
                <w:szCs w:val="18"/>
                <w:color w:val="auto"/>
              </w:rPr>
              <w:t>Total liabilities and shareholders' equity</w:t>
            </w:r>
          </w:p>
        </w:tc>
        <w:tc>
          <w:tcPr>
            <w:tcW w:w="560" w:type="dxa"/>
            <w:vAlign w:val="bottom"/>
            <w:tcBorders>
              <w:bottom w:val="single" w:sz="8" w:color="C0C0C0"/>
            </w:tcBorders>
            <w:shd w:val="clear" w:color="auto" w:fill="C0C0C0"/>
          </w:tcPr>
          <w:p>
            <w:pPr>
              <w:spacing w:after="0"/>
              <w:rPr>
                <w:sz w:val="18"/>
                <w:szCs w:val="18"/>
                <w:color w:val="auto"/>
              </w:rPr>
            </w:pPr>
          </w:p>
        </w:tc>
        <w:tc>
          <w:tcPr>
            <w:tcW w:w="138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$1,361,198</w:t>
            </w:r>
          </w:p>
        </w:tc>
        <w:tc>
          <w:tcPr>
            <w:tcW w:w="100" w:type="dxa"/>
            <w:vAlign w:val="bottom"/>
            <w:tcBorders>
              <w:bottom w:val="single" w:sz="8" w:color="C0C0C0"/>
            </w:tcBorders>
            <w:shd w:val="clear" w:color="auto" w:fill="C0C0C0"/>
          </w:tcPr>
          <w:p>
            <w:pPr>
              <w:spacing w:after="0"/>
              <w:rPr>
                <w:sz w:val="18"/>
                <w:szCs w:val="18"/>
                <w:color w:val="auto"/>
              </w:rPr>
            </w:pPr>
          </w:p>
        </w:tc>
        <w:tc>
          <w:tcPr>
            <w:tcW w:w="560" w:type="dxa"/>
            <w:vAlign w:val="bottom"/>
            <w:tcBorders>
              <w:bottom w:val="single" w:sz="8" w:color="C0C0C0"/>
            </w:tcBorders>
            <w:shd w:val="clear" w:color="auto" w:fill="C0C0C0"/>
          </w:tcPr>
          <w:p>
            <w:pPr>
              <w:spacing w:after="0"/>
              <w:rPr>
                <w:sz w:val="18"/>
                <w:szCs w:val="18"/>
                <w:color w:val="auto"/>
              </w:rPr>
            </w:pPr>
          </w:p>
        </w:tc>
        <w:tc>
          <w:tcPr>
            <w:tcW w:w="1480" w:type="dxa"/>
            <w:vAlign w:val="bottom"/>
            <w:tcBorders>
              <w:bottom w:val="single" w:sz="8" w:color="auto"/>
            </w:tcBorders>
            <w:gridSpan w:val="2"/>
            <w:shd w:val="clear" w:color="auto" w:fill="C0C0C0"/>
          </w:tcPr>
          <w:p>
            <w:pPr>
              <w:jc w:val="right"/>
              <w:spacing w:after="0"/>
              <w:rPr>
                <w:sz w:val="20"/>
                <w:szCs w:val="20"/>
                <w:color w:val="auto"/>
              </w:rPr>
            </w:pPr>
            <w:r>
              <w:rPr>
                <w:rFonts w:ascii="Arial" w:cs="Arial" w:eastAsia="Arial" w:hAnsi="Arial"/>
                <w:sz w:val="18"/>
                <w:szCs w:val="18"/>
                <w:color w:val="auto"/>
              </w:rPr>
              <w:t>$10,903</w:t>
            </w:r>
          </w:p>
        </w:tc>
        <w:tc>
          <w:tcPr>
            <w:tcW w:w="120" w:type="dxa"/>
            <w:vAlign w:val="bottom"/>
            <w:tcBorders>
              <w:bottom w:val="single" w:sz="8" w:color="C0C0C0"/>
            </w:tcBorders>
            <w:shd w:val="clear" w:color="auto" w:fill="C0C0C0"/>
          </w:tcPr>
          <w:p>
            <w:pPr>
              <w:spacing w:after="0"/>
              <w:rPr>
                <w:sz w:val="18"/>
                <w:szCs w:val="18"/>
                <w:color w:val="auto"/>
              </w:rPr>
            </w:pPr>
          </w:p>
        </w:tc>
        <w:tc>
          <w:tcPr>
            <w:tcW w:w="560" w:type="dxa"/>
            <w:vAlign w:val="bottom"/>
            <w:tcBorders>
              <w:bottom w:val="single" w:sz="8" w:color="C0C0C0"/>
            </w:tcBorders>
            <w:shd w:val="clear" w:color="auto" w:fill="C0C0C0"/>
          </w:tcPr>
          <w:p>
            <w:pPr>
              <w:spacing w:after="0"/>
              <w:rPr>
                <w:sz w:val="18"/>
                <w:szCs w:val="18"/>
                <w:color w:val="auto"/>
              </w:rPr>
            </w:pPr>
          </w:p>
        </w:tc>
        <w:tc>
          <w:tcPr>
            <w:tcW w:w="138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$1,372,101</w:t>
            </w:r>
          </w:p>
        </w:tc>
        <w:tc>
          <w:tcPr>
            <w:tcW w:w="100" w:type="dxa"/>
            <w:vAlign w:val="bottom"/>
            <w:tcBorders>
              <w:bottom w:val="single" w:sz="8" w:color="C0C0C0"/>
            </w:tcBorders>
            <w:shd w:val="clear" w:color="auto" w:fill="C0C0C0"/>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5"/>
        </w:trPr>
        <w:tc>
          <w:tcPr>
            <w:tcW w:w="5180" w:type="dxa"/>
            <w:vAlign w:val="bottom"/>
          </w:tcPr>
          <w:p>
            <w:pPr>
              <w:spacing w:after="0"/>
              <w:rPr>
                <w:sz w:val="24"/>
                <w:szCs w:val="24"/>
                <w:color w:val="auto"/>
              </w:rPr>
            </w:pPr>
          </w:p>
        </w:tc>
        <w:tc>
          <w:tcPr>
            <w:tcW w:w="1940" w:type="dxa"/>
            <w:vAlign w:val="bottom"/>
            <w:gridSpan w:val="2"/>
          </w:tcPr>
          <w:p>
            <w:pPr>
              <w:jc w:val="right"/>
              <w:ind w:right="1270"/>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518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13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13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016" w:right="239" w:bottom="738" w:gutter="0" w:footer="0" w:header="0"/>
        </w:sectPr>
      </w:pPr>
    </w:p>
    <w:bookmarkStart w:id="9" w:name="page10"/>
    <w:bookmarkEnd w:id="9"/>
    <w:p>
      <w:pPr>
        <w:ind w:left="660"/>
        <w:spacing w:after="0"/>
        <w:rPr>
          <w:sz w:val="20"/>
          <w:szCs w:val="20"/>
          <w:color w:val="auto"/>
        </w:rPr>
      </w:pPr>
      <w:r>
        <w:rPr>
          <w:rFonts w:ascii="Arial" w:cs="Arial" w:eastAsia="Arial" w:hAnsi="Arial"/>
          <w:sz w:val="18"/>
          <w:szCs w:val="18"/>
          <w:color w:val="auto"/>
        </w:rPr>
        <w:t>Significant changes to our accounting policies as a result of adopting the new standard are discussed below.</w:t>
      </w:r>
    </w:p>
    <w:p>
      <w:pPr>
        <w:spacing w:after="0" w:line="198" w:lineRule="exact"/>
        <w:rPr>
          <w:sz w:val="20"/>
          <w:szCs w:val="20"/>
          <w:color w:val="auto"/>
        </w:rPr>
      </w:pPr>
    </w:p>
    <w:p>
      <w:pPr>
        <w:ind w:firstLine="648"/>
        <w:spacing w:after="0" w:line="236" w:lineRule="auto"/>
        <w:rPr>
          <w:sz w:val="20"/>
          <w:szCs w:val="20"/>
          <w:color w:val="auto"/>
        </w:rPr>
      </w:pPr>
      <w:r>
        <w:rPr>
          <w:rFonts w:ascii="Arial" w:cs="Arial" w:eastAsia="Arial" w:hAnsi="Arial"/>
          <w:sz w:val="18"/>
          <w:szCs w:val="18"/>
          <w:color w:val="auto"/>
        </w:rPr>
        <w:t>For periods ending after December 31, 2017, we account for a contract when it has approval and commitment from both parties, the rights of the parties are identified, payment terms are identified, the contract has commercial substance and collectability of consideration is probable. Revenue is measured based on the consideration specified in the contract with the customer, and excludes any amounts collected on behalf of third parties. We recognize revenue when we satisfy a performance obligation by transferring control over a product or service, or a series of distinct goods or services, to the customer which occurs either at a point in time, or over time, depending on the contract. A performance obligation is a promise in the contract to transfer a distinct good or service to the customer, and is the unit of account under the new revenue standard. “Control” refers to the ability to direct the use of, and obtain substantially all of the remaining benefits from the product. A contract’s transaction price is allocated to each material distinct performance obligation and is recognized as revenue when, or as, the performance obligation is satisfied.</w:t>
      </w:r>
    </w:p>
    <w:p>
      <w:pPr>
        <w:spacing w:after="0" w:line="194" w:lineRule="exact"/>
        <w:rPr>
          <w:sz w:val="20"/>
          <w:szCs w:val="20"/>
          <w:color w:val="auto"/>
        </w:rPr>
      </w:pPr>
    </w:p>
    <w:p>
      <w:pPr>
        <w:ind w:right="100" w:firstLine="648"/>
        <w:spacing w:after="0" w:line="239" w:lineRule="auto"/>
        <w:rPr>
          <w:sz w:val="20"/>
          <w:szCs w:val="20"/>
          <w:color w:val="auto"/>
        </w:rPr>
      </w:pPr>
      <w:r>
        <w:rPr>
          <w:rFonts w:ascii="Arial" w:cs="Arial" w:eastAsia="Arial" w:hAnsi="Arial"/>
          <w:sz w:val="18"/>
          <w:szCs w:val="18"/>
          <w:color w:val="auto"/>
        </w:rPr>
        <w:t>In our Machine Clothing segment, our primary performance obligation in most contracts is to provide solution-based, custom-designed fabrics and belts to the customer. We satisfy this performance obligation upon transferring control of the product to the customer at a specific point in time. Generally, the customer obtains control when the product has been received at the location specified by the customer, at which time the only remaining obligations under the contract are fulfillment costs, which are accrued when control of the product is transferred.</w:t>
      </w:r>
    </w:p>
    <w:p>
      <w:pPr>
        <w:spacing w:after="0" w:line="188" w:lineRule="exact"/>
        <w:rPr>
          <w:sz w:val="20"/>
          <w:szCs w:val="20"/>
          <w:color w:val="auto"/>
        </w:rPr>
      </w:pPr>
    </w:p>
    <w:p>
      <w:pPr>
        <w:ind w:right="160" w:firstLine="648"/>
        <w:spacing w:after="0" w:line="237" w:lineRule="auto"/>
        <w:rPr>
          <w:sz w:val="20"/>
          <w:szCs w:val="20"/>
          <w:color w:val="auto"/>
        </w:rPr>
      </w:pPr>
      <w:r>
        <w:rPr>
          <w:rFonts w:ascii="Arial" w:cs="Arial" w:eastAsia="Arial" w:hAnsi="Arial"/>
          <w:sz w:val="18"/>
          <w:szCs w:val="18"/>
          <w:color w:val="auto"/>
        </w:rPr>
        <w:t>In the Machine Clothing segment, some contracts with certain customers may also obligate us to provide various product-related services at no additional cost to the customer. When this obligation is material in the context of the contract with the customer, we recognize a separate performance obligation and allocate revenue to those services based on their estimated standalone selling price. The standalone selling price for these services is determined based upon an analysis of the services offered and an assessment of the price we might charge for such services as a separate offering. As we typically provide such services on a stand-ready basis, we recognize this revenue over time. Revenue allocated to such service performance obligations is the only Machine Clothing revenue that is recognized over time.</w:t>
      </w:r>
    </w:p>
    <w:p>
      <w:pPr>
        <w:spacing w:after="0" w:line="192" w:lineRule="exact"/>
        <w:rPr>
          <w:sz w:val="20"/>
          <w:szCs w:val="20"/>
          <w:color w:val="auto"/>
        </w:rPr>
      </w:pPr>
    </w:p>
    <w:p>
      <w:pPr>
        <w:ind w:right="20" w:firstLine="648"/>
        <w:spacing w:after="0" w:line="236" w:lineRule="auto"/>
        <w:rPr>
          <w:sz w:val="20"/>
          <w:szCs w:val="20"/>
          <w:color w:val="auto"/>
        </w:rPr>
      </w:pPr>
      <w:r>
        <w:rPr>
          <w:rFonts w:ascii="Arial" w:cs="Arial" w:eastAsia="Arial" w:hAnsi="Arial"/>
          <w:sz w:val="18"/>
          <w:szCs w:val="18"/>
          <w:color w:val="auto"/>
        </w:rPr>
        <w:t>In our Albany Engineered Composites (AEC) business segment, we primarily enter into contracts to manufacture and deliver highly engineered advanced composite products to our customers. The majority of AEC revenue is from short duration, firm-fixed-price orders that are placed under a master contract containing general terms and conditions applicable to all orders placed under the agreement. To determine the proper revenue recognition method, we evaluate whether two or more orders or contracts should be combined and accounted for as one single contract, and whether the combined or single contract contains single or multiple performance obligations. This evaluation requires significant judgment, and the decision to combine a group of contracts, or to allocate revenue from the combined or single contract among multiple performance obligations could have a significant impact on the amount of revenue and profit recorded in a given period. For most AEC contracts, the nature of our promise (or our performance obligation) to the customer is to manage the contract and provide a significant service of integrating a complex set of tasks and components into a single project or capability, which will often result in the delivery of multiple highly interdependent and interrelated units.</w:t>
      </w:r>
    </w:p>
    <w:p>
      <w:pPr>
        <w:spacing w:after="0" w:line="193" w:lineRule="exact"/>
        <w:rPr>
          <w:sz w:val="20"/>
          <w:szCs w:val="20"/>
          <w:color w:val="auto"/>
        </w:rPr>
      </w:pPr>
    </w:p>
    <w:p>
      <w:pPr>
        <w:jc w:val="both"/>
        <w:ind w:firstLine="648"/>
        <w:spacing w:after="0" w:line="234" w:lineRule="auto"/>
        <w:rPr>
          <w:sz w:val="20"/>
          <w:szCs w:val="20"/>
          <w:color w:val="auto"/>
        </w:rPr>
      </w:pPr>
      <w:r>
        <w:rPr>
          <w:rFonts w:ascii="Arial" w:cs="Arial" w:eastAsia="Arial" w:hAnsi="Arial"/>
          <w:sz w:val="18"/>
          <w:szCs w:val="18"/>
          <w:color w:val="auto"/>
        </w:rPr>
        <w:t>At the inception of a contract we estimate the transaction price based on our current rights, and do not contemplate future modifications (including unexercised options) or follow-on contracts until they become legally enforceable. Many AEC contracts are subsequently modified to include changes in specifications, requirements or price, which may create new or change existing enforceable rights and obligations.</w:t>
      </w:r>
    </w:p>
    <w:p>
      <w:pPr>
        <w:spacing w:after="0" w:line="2" w:lineRule="exact"/>
        <w:rPr>
          <w:sz w:val="20"/>
          <w:szCs w:val="20"/>
          <w:color w:val="auto"/>
        </w:rPr>
      </w:pPr>
    </w:p>
    <w:p>
      <w:pPr>
        <w:ind w:right="240"/>
        <w:spacing w:after="0" w:line="238" w:lineRule="auto"/>
        <w:rPr>
          <w:sz w:val="20"/>
          <w:szCs w:val="20"/>
          <w:color w:val="auto"/>
        </w:rPr>
      </w:pPr>
      <w:r>
        <w:rPr>
          <w:rFonts w:ascii="Arial" w:cs="Arial" w:eastAsia="Arial" w:hAnsi="Arial"/>
          <w:sz w:val="18"/>
          <w:szCs w:val="18"/>
          <w:color w:val="auto"/>
        </w:rPr>
        <w:t>Depending on the nature of the modification, we consider whether to account for the modification as an adjustment to the existing contract or as a separate contract. Generally, we are able to conclude that such modifications are not distinct from the existing contract, due to the significant integration of the obligations, and the interrelated nature of tasks, provided for in the modification and the existing contract. Therefore, such modifications are accounted for as if they were part of the existing contract, and recognized as a cumulative adjustment to revenue.</w:t>
      </w: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34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10" w:name="page11"/>
    <w:bookmarkEnd w:id="10"/>
    <w:p>
      <w:pPr>
        <w:ind w:right="40" w:firstLine="648"/>
        <w:spacing w:after="0" w:line="236" w:lineRule="auto"/>
        <w:rPr>
          <w:sz w:val="20"/>
          <w:szCs w:val="20"/>
          <w:color w:val="auto"/>
        </w:rPr>
      </w:pPr>
      <w:r>
        <w:rPr>
          <w:rFonts w:ascii="Arial" w:cs="Arial" w:eastAsia="Arial" w:hAnsi="Arial"/>
          <w:sz w:val="18"/>
          <w:szCs w:val="18"/>
          <w:color w:val="auto"/>
        </w:rPr>
        <w:t>Revenue is recognized over time for a large portion of our contracts in AEC as most of our contracts have provisions that, under the guidance in ASC 606, are deemed to transfer control to the customer over time. Revenue is recognized based on the extent of progress towards completion of the performance obligation. The selection of the method to measure progress toward completion requires judgment and is based on the nature of the products or services to be provided. We generally use the cost-to-cost measure of progress for our contracts because it best depicts the transfer of assets to the customer which occurs as we incur costs to produce the contract deliverables. Under the cost-to-cost measure of progress, the extent of progress toward completion is measured based on the ratio of costs incurred to date to the total estimated costs at completion of the performance obligation. Revenue, including profit, is recorded proportionally as costs are incurred. Accounting for long-term contracts requires significant judgment and estimation, which could be considerably different if the underlying circumstances were to change. When adjustments in estimated contract revenue or costs are required, any changes from prior estimates are included in revenues or earnings in the period in which the change occurs.</w:t>
      </w:r>
    </w:p>
    <w:p>
      <w:pPr>
        <w:spacing w:after="0" w:line="193" w:lineRule="exact"/>
        <w:rPr>
          <w:sz w:val="20"/>
          <w:szCs w:val="20"/>
          <w:color w:val="auto"/>
        </w:rPr>
      </w:pPr>
    </w:p>
    <w:p>
      <w:pPr>
        <w:ind w:right="40" w:firstLine="648"/>
        <w:spacing w:after="0" w:line="246" w:lineRule="auto"/>
        <w:rPr>
          <w:sz w:val="20"/>
          <w:szCs w:val="20"/>
          <w:color w:val="auto"/>
        </w:rPr>
      </w:pPr>
      <w:r>
        <w:rPr>
          <w:rFonts w:ascii="Arial" w:cs="Arial" w:eastAsia="Arial" w:hAnsi="Arial"/>
          <w:sz w:val="18"/>
          <w:szCs w:val="18"/>
          <w:color w:val="auto"/>
        </w:rPr>
        <w:t>In other AEC contracts, revenue is recognized at a point in time because the products are offered to multiple customers, or do not have an enforceable right to payment until the product is shipped or delivered to the location specified by the customer in the contract.</w:t>
      </w:r>
    </w:p>
    <w:p>
      <w:pPr>
        <w:spacing w:after="0" w:line="183" w:lineRule="exact"/>
        <w:rPr>
          <w:sz w:val="20"/>
          <w:szCs w:val="20"/>
          <w:color w:val="auto"/>
        </w:rPr>
      </w:pPr>
    </w:p>
    <w:p>
      <w:pPr>
        <w:ind w:right="120" w:firstLine="648"/>
        <w:spacing w:after="0" w:line="239" w:lineRule="auto"/>
        <w:rPr>
          <w:sz w:val="20"/>
          <w:szCs w:val="20"/>
          <w:color w:val="auto"/>
        </w:rPr>
      </w:pPr>
      <w:r>
        <w:rPr>
          <w:rFonts w:ascii="Arial" w:cs="Arial" w:eastAsia="Arial" w:hAnsi="Arial"/>
          <w:sz w:val="18"/>
          <w:szCs w:val="18"/>
          <w:color w:val="auto"/>
        </w:rPr>
        <w:t>AEC’s largest source of revenue is derived from the LEAP contract (see Note 3) under a cost- plus-fee agreement. Beginning in 2018, the fee is variable based on our success in achieving certain cost targets. Revenue is recognized over time as costs are incurred. Under this contract, there is significant judgment involved in determining applicable contract costs and expected margin, and therefore in determining the amount of revenue to be recognized.</w:t>
      </w:r>
    </w:p>
    <w:p>
      <w:pPr>
        <w:spacing w:after="0" w:line="202" w:lineRule="exact"/>
        <w:rPr>
          <w:sz w:val="20"/>
          <w:szCs w:val="20"/>
          <w:color w:val="auto"/>
        </w:rPr>
      </w:pPr>
    </w:p>
    <w:p>
      <w:pPr>
        <w:ind w:right="780" w:firstLine="648"/>
        <w:spacing w:after="0" w:line="246" w:lineRule="auto"/>
        <w:rPr>
          <w:sz w:val="20"/>
          <w:szCs w:val="20"/>
          <w:color w:val="auto"/>
        </w:rPr>
      </w:pPr>
      <w:r>
        <w:rPr>
          <w:rFonts w:ascii="Arial" w:cs="Arial" w:eastAsia="Arial" w:hAnsi="Arial"/>
          <w:sz w:val="18"/>
          <w:szCs w:val="18"/>
          <w:color w:val="auto"/>
        </w:rPr>
        <w:t>Payment terms granted to MC and AEC customers reflect general competitive practices. Terms vary with product, competitive conditions, and the country of operation.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a summary of the composition of each business segment: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2"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2020" w:type="dxa"/>
            <w:vAlign w:val="bottom"/>
            <w:tcBorders>
              <w:bottom w:val="single" w:sz="8" w:color="auto"/>
            </w:tcBorders>
          </w:tcPr>
          <w:p>
            <w:pPr>
              <w:ind w:left="720"/>
              <w:spacing w:after="0"/>
              <w:rPr>
                <w:sz w:val="20"/>
                <w:szCs w:val="20"/>
                <w:color w:val="auto"/>
              </w:rPr>
            </w:pPr>
            <w:r>
              <w:rPr>
                <w:rFonts w:ascii="Arial" w:cs="Arial" w:eastAsia="Arial" w:hAnsi="Arial"/>
                <w:sz w:val="18"/>
                <w:szCs w:val="18"/>
                <w:b w:val="1"/>
                <w:bCs w:val="1"/>
                <w:color w:val="auto"/>
              </w:rPr>
              <w:t>Segment</w:t>
            </w:r>
          </w:p>
        </w:tc>
        <w:tc>
          <w:tcPr>
            <w:tcW w:w="2000" w:type="dxa"/>
            <w:vAlign w:val="bottom"/>
            <w:tcBorders>
              <w:bottom w:val="single" w:sz="8" w:color="auto"/>
            </w:tcBorders>
          </w:tcPr>
          <w:p>
            <w:pPr>
              <w:ind w:left="1080"/>
              <w:spacing w:after="0"/>
              <w:rPr>
                <w:sz w:val="20"/>
                <w:szCs w:val="20"/>
                <w:color w:val="auto"/>
              </w:rPr>
            </w:pPr>
            <w:r>
              <w:rPr>
                <w:rFonts w:ascii="Arial" w:cs="Arial" w:eastAsia="Arial" w:hAnsi="Arial"/>
                <w:sz w:val="18"/>
                <w:szCs w:val="18"/>
                <w:b w:val="1"/>
                <w:bCs w:val="1"/>
                <w:color w:val="auto"/>
              </w:rPr>
              <w:t>Unit</w:t>
            </w:r>
          </w:p>
        </w:tc>
        <w:tc>
          <w:tcPr>
            <w:tcW w:w="4720" w:type="dxa"/>
            <w:vAlign w:val="bottom"/>
            <w:tcBorders>
              <w:bottom w:val="single" w:sz="8" w:color="auto"/>
            </w:tcBorders>
          </w:tcPr>
          <w:p>
            <w:pPr>
              <w:ind w:left="1360"/>
              <w:spacing w:after="0"/>
              <w:rPr>
                <w:sz w:val="20"/>
                <w:szCs w:val="20"/>
                <w:color w:val="auto"/>
              </w:rPr>
            </w:pPr>
            <w:r>
              <w:rPr>
                <w:rFonts w:ascii="Arial" w:cs="Arial" w:eastAsia="Arial" w:hAnsi="Arial"/>
                <w:sz w:val="18"/>
                <w:szCs w:val="18"/>
                <w:b w:val="1"/>
                <w:bCs w:val="1"/>
                <w:color w:val="auto"/>
              </w:rPr>
              <w:t>Principal Product or Service</w:t>
            </w:r>
          </w:p>
        </w:tc>
        <w:tc>
          <w:tcPr>
            <w:tcW w:w="2680" w:type="dxa"/>
            <w:vAlign w:val="bottom"/>
            <w:tcBorders>
              <w:bottom w:val="single" w:sz="8" w:color="auto"/>
            </w:tcBorders>
          </w:tcPr>
          <w:p>
            <w:pPr>
              <w:ind w:left="540"/>
              <w:spacing w:after="0"/>
              <w:rPr>
                <w:sz w:val="20"/>
                <w:szCs w:val="20"/>
                <w:color w:val="auto"/>
              </w:rPr>
            </w:pPr>
            <w:r>
              <w:rPr>
                <w:rFonts w:ascii="Arial" w:cs="Arial" w:eastAsia="Arial" w:hAnsi="Arial"/>
                <w:sz w:val="18"/>
                <w:szCs w:val="18"/>
                <w:b w:val="1"/>
                <w:bCs w:val="1"/>
                <w:color w:val="auto"/>
              </w:rPr>
              <w:t>Principal Locations</w:t>
            </w:r>
          </w:p>
        </w:tc>
        <w:tc>
          <w:tcPr>
            <w:tcW w:w="0" w:type="dxa"/>
            <w:vAlign w:val="bottom"/>
          </w:tcPr>
          <w:p>
            <w:pPr>
              <w:spacing w:after="0"/>
              <w:rPr>
                <w:sz w:val="1"/>
                <w:szCs w:val="1"/>
                <w:color w:val="auto"/>
              </w:rPr>
            </w:pPr>
          </w:p>
        </w:tc>
      </w:tr>
      <w:tr>
        <w:trPr>
          <w:trHeight w:val="195"/>
        </w:trPr>
        <w:tc>
          <w:tcPr>
            <w:tcW w:w="202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4720" w:type="dxa"/>
            <w:vAlign w:val="bottom"/>
          </w:tcPr>
          <w:p>
            <w:pPr>
              <w:ind w:left="440"/>
              <w:spacing w:after="0" w:line="195" w:lineRule="exact"/>
              <w:rPr>
                <w:sz w:val="20"/>
                <w:szCs w:val="20"/>
                <w:color w:val="auto"/>
              </w:rPr>
            </w:pPr>
            <w:r>
              <w:rPr>
                <w:rFonts w:ascii="Arial" w:cs="Arial" w:eastAsia="Arial" w:hAnsi="Arial"/>
                <w:sz w:val="18"/>
                <w:szCs w:val="18"/>
                <w:color w:val="auto"/>
              </w:rPr>
              <w:t>Paper machine clothing: Permeable and</w:t>
            </w:r>
          </w:p>
        </w:tc>
        <w:tc>
          <w:tcPr>
            <w:tcW w:w="2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2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4720" w:type="dxa"/>
            <w:vAlign w:val="bottom"/>
          </w:tcPr>
          <w:p>
            <w:pPr>
              <w:ind w:left="440"/>
              <w:spacing w:after="0" w:line="202" w:lineRule="exact"/>
              <w:rPr>
                <w:sz w:val="20"/>
                <w:szCs w:val="20"/>
                <w:color w:val="auto"/>
              </w:rPr>
            </w:pPr>
            <w:r>
              <w:rPr>
                <w:rFonts w:ascii="Arial" w:cs="Arial" w:eastAsia="Arial" w:hAnsi="Arial"/>
                <w:sz w:val="18"/>
                <w:szCs w:val="18"/>
                <w:color w:val="auto"/>
              </w:rPr>
              <w:t>impermeable belts used in the manufacture of paper,</w:t>
            </w:r>
          </w:p>
        </w:tc>
        <w:tc>
          <w:tcPr>
            <w:tcW w:w="2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20" w:type="dxa"/>
            <w:vAlign w:val="bottom"/>
            <w:vMerge w:val="restart"/>
          </w:tcPr>
          <w:p>
            <w:pPr>
              <w:spacing w:after="0"/>
              <w:rPr>
                <w:sz w:val="20"/>
                <w:szCs w:val="20"/>
                <w:color w:val="auto"/>
              </w:rPr>
            </w:pPr>
            <w:r>
              <w:rPr>
                <w:rFonts w:ascii="Arial" w:cs="Arial" w:eastAsia="Arial" w:hAnsi="Arial"/>
                <w:sz w:val="18"/>
                <w:szCs w:val="18"/>
                <w:color w:val="auto"/>
              </w:rPr>
              <w:t>Machine Clothing (MC)</w:t>
            </w:r>
          </w:p>
        </w:tc>
        <w:tc>
          <w:tcPr>
            <w:tcW w:w="2000" w:type="dxa"/>
            <w:vAlign w:val="bottom"/>
            <w:vMerge w:val="restart"/>
          </w:tcPr>
          <w:p>
            <w:pPr>
              <w:ind w:left="160"/>
              <w:spacing w:after="0"/>
              <w:rPr>
                <w:sz w:val="20"/>
                <w:szCs w:val="20"/>
                <w:color w:val="auto"/>
              </w:rPr>
            </w:pPr>
            <w:r>
              <w:rPr>
                <w:rFonts w:ascii="Arial" w:cs="Arial" w:eastAsia="Arial" w:hAnsi="Arial"/>
                <w:sz w:val="18"/>
                <w:szCs w:val="18"/>
                <w:color w:val="auto"/>
              </w:rPr>
              <w:t>Machine Clothing</w:t>
            </w:r>
          </w:p>
        </w:tc>
        <w:tc>
          <w:tcPr>
            <w:tcW w:w="4720" w:type="dxa"/>
            <w:vAlign w:val="bottom"/>
          </w:tcPr>
          <w:p>
            <w:pPr>
              <w:ind w:left="440"/>
              <w:spacing w:after="0"/>
              <w:rPr>
                <w:sz w:val="20"/>
                <w:szCs w:val="20"/>
                <w:color w:val="auto"/>
              </w:rPr>
            </w:pPr>
            <w:r>
              <w:rPr>
                <w:rFonts w:ascii="Arial" w:cs="Arial" w:eastAsia="Arial" w:hAnsi="Arial"/>
                <w:sz w:val="18"/>
                <w:szCs w:val="18"/>
                <w:color w:val="auto"/>
              </w:rPr>
              <w:t>paperboard, tissue and towel, and pulp</w:t>
            </w:r>
          </w:p>
        </w:tc>
        <w:tc>
          <w:tcPr>
            <w:tcW w:w="2680" w:type="dxa"/>
            <w:vAlign w:val="bottom"/>
            <w:vMerge w:val="restart"/>
          </w:tcPr>
          <w:p>
            <w:pPr>
              <w:ind w:left="60"/>
              <w:spacing w:after="0"/>
              <w:rPr>
                <w:sz w:val="20"/>
                <w:szCs w:val="20"/>
                <w:color w:val="auto"/>
              </w:rPr>
            </w:pPr>
            <w:r>
              <w:rPr>
                <w:rFonts w:ascii="Arial" w:cs="Arial" w:eastAsia="Arial" w:hAnsi="Arial"/>
                <w:sz w:val="18"/>
                <w:szCs w:val="18"/>
                <w:color w:val="auto"/>
              </w:rPr>
              <w:t>World-wide</w:t>
            </w:r>
          </w:p>
        </w:tc>
        <w:tc>
          <w:tcPr>
            <w:tcW w:w="0" w:type="dxa"/>
            <w:vAlign w:val="bottom"/>
          </w:tcPr>
          <w:p>
            <w:pPr>
              <w:spacing w:after="0"/>
              <w:rPr>
                <w:sz w:val="1"/>
                <w:szCs w:val="1"/>
                <w:color w:val="auto"/>
              </w:rPr>
            </w:pPr>
          </w:p>
        </w:tc>
      </w:tr>
      <w:tr>
        <w:trPr>
          <w:trHeight w:val="203"/>
        </w:trPr>
        <w:tc>
          <w:tcPr>
            <w:tcW w:w="2020" w:type="dxa"/>
            <w:vAlign w:val="bottom"/>
            <w:vMerge w:val="continue"/>
          </w:tcPr>
          <w:p>
            <w:pPr>
              <w:spacing w:after="0"/>
              <w:rPr>
                <w:sz w:val="17"/>
                <w:szCs w:val="17"/>
                <w:color w:val="auto"/>
              </w:rPr>
            </w:pPr>
          </w:p>
        </w:tc>
        <w:tc>
          <w:tcPr>
            <w:tcW w:w="2000" w:type="dxa"/>
            <w:vAlign w:val="bottom"/>
            <w:vMerge w:val="continue"/>
          </w:tcPr>
          <w:p>
            <w:pPr>
              <w:spacing w:after="0"/>
              <w:rPr>
                <w:sz w:val="17"/>
                <w:szCs w:val="17"/>
                <w:color w:val="auto"/>
              </w:rPr>
            </w:pPr>
          </w:p>
        </w:tc>
        <w:tc>
          <w:tcPr>
            <w:tcW w:w="4720" w:type="dxa"/>
            <w:vAlign w:val="bottom"/>
            <w:vMerge w:val="restart"/>
          </w:tcPr>
          <w:p>
            <w:pPr>
              <w:ind w:left="440"/>
              <w:spacing w:after="0"/>
              <w:rPr>
                <w:sz w:val="20"/>
                <w:szCs w:val="20"/>
                <w:color w:val="auto"/>
              </w:rPr>
            </w:pPr>
            <w:r>
              <w:rPr>
                <w:rFonts w:ascii="Arial" w:cs="Arial" w:eastAsia="Arial" w:hAnsi="Arial"/>
                <w:sz w:val="18"/>
                <w:szCs w:val="18"/>
                <w:color w:val="auto"/>
              </w:rPr>
              <w:t>Engineered fabrics: Belts used in the manufacture of</w:t>
            </w:r>
          </w:p>
        </w:tc>
        <w:tc>
          <w:tcPr>
            <w:tcW w:w="26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202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4720" w:type="dxa"/>
            <w:vAlign w:val="bottom"/>
            <w:vMerge w:val="continue"/>
          </w:tcPr>
          <w:p>
            <w:pPr>
              <w:spacing w:after="0"/>
              <w:rPr>
                <w:sz w:val="16"/>
                <w:szCs w:val="16"/>
                <w:color w:val="auto"/>
              </w:rPr>
            </w:pPr>
          </w:p>
        </w:tc>
        <w:tc>
          <w:tcPr>
            <w:tcW w:w="2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2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4720" w:type="dxa"/>
            <w:vAlign w:val="bottom"/>
          </w:tcPr>
          <w:p>
            <w:pPr>
              <w:ind w:left="440"/>
              <w:spacing w:after="0" w:line="202" w:lineRule="exact"/>
              <w:rPr>
                <w:sz w:val="20"/>
                <w:szCs w:val="20"/>
                <w:color w:val="auto"/>
              </w:rPr>
            </w:pPr>
            <w:r>
              <w:rPr>
                <w:rFonts w:ascii="Arial" w:cs="Arial" w:eastAsia="Arial" w:hAnsi="Arial"/>
                <w:sz w:val="18"/>
                <w:szCs w:val="18"/>
                <w:color w:val="auto"/>
              </w:rPr>
              <w:t>nonwovens, fiber cement and several other industrial</w:t>
            </w:r>
          </w:p>
        </w:tc>
        <w:tc>
          <w:tcPr>
            <w:tcW w:w="2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2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4720" w:type="dxa"/>
            <w:vAlign w:val="bottom"/>
          </w:tcPr>
          <w:p>
            <w:pPr>
              <w:ind w:left="440"/>
              <w:spacing w:after="0"/>
              <w:rPr>
                <w:sz w:val="20"/>
                <w:szCs w:val="20"/>
                <w:color w:val="auto"/>
              </w:rPr>
            </w:pPr>
            <w:r>
              <w:rPr>
                <w:rFonts w:ascii="Arial" w:cs="Arial" w:eastAsia="Arial" w:hAnsi="Arial"/>
                <w:sz w:val="18"/>
                <w:szCs w:val="18"/>
                <w:color w:val="auto"/>
              </w:rPr>
              <w:t>applications</w:t>
            </w:r>
          </w:p>
        </w:tc>
        <w:tc>
          <w:tcPr>
            <w:tcW w:w="26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98" w:right="239" w:bottom="1440" w:gutter="0" w:footer="0" w:header="0"/>
        </w:sectPr>
      </w:pPr>
    </w:p>
    <w:p>
      <w:pPr>
        <w:spacing w:after="0" w:line="392"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Albany Engineered Composites (AEC)</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3"/>
        </w:trPr>
        <w:tc>
          <w:tcPr>
            <w:tcW w:w="2200" w:type="dxa"/>
            <w:vAlign w:val="bottom"/>
          </w:tcPr>
          <w:p>
            <w:pPr>
              <w:spacing w:after="0" w:line="202" w:lineRule="exact"/>
              <w:rPr>
                <w:sz w:val="20"/>
                <w:szCs w:val="20"/>
                <w:color w:val="auto"/>
              </w:rPr>
            </w:pPr>
            <w:r>
              <w:rPr>
                <w:rFonts w:ascii="Arial" w:cs="Arial" w:eastAsia="Arial" w:hAnsi="Arial"/>
                <w:sz w:val="18"/>
                <w:szCs w:val="18"/>
                <w:color w:val="auto"/>
              </w:rPr>
              <w:t>Albany Safran Composites</w:t>
            </w:r>
          </w:p>
        </w:tc>
        <w:tc>
          <w:tcPr>
            <w:tcW w:w="6820" w:type="dxa"/>
            <w:vAlign w:val="bottom"/>
            <w:gridSpan w:val="2"/>
          </w:tcPr>
          <w:p>
            <w:pPr>
              <w:ind w:left="80"/>
              <w:spacing w:after="0" w:line="202" w:lineRule="exact"/>
              <w:rPr>
                <w:sz w:val="20"/>
                <w:szCs w:val="20"/>
                <w:color w:val="auto"/>
              </w:rPr>
            </w:pPr>
            <w:r>
              <w:rPr>
                <w:rFonts w:ascii="Arial" w:cs="Arial" w:eastAsia="Arial" w:hAnsi="Arial"/>
                <w:sz w:val="18"/>
                <w:szCs w:val="18"/>
                <w:color w:val="auto"/>
              </w:rPr>
              <w:t>3D-woven, injected composite components for aircraft Rochester, NH, Commercy,</w:t>
            </w:r>
          </w:p>
        </w:tc>
      </w:tr>
      <w:tr>
        <w:trPr>
          <w:trHeight w:val="217"/>
        </w:trPr>
        <w:tc>
          <w:tcPr>
            <w:tcW w:w="2200" w:type="dxa"/>
            <w:vAlign w:val="bottom"/>
          </w:tcPr>
          <w:p>
            <w:pPr>
              <w:spacing w:after="0"/>
              <w:rPr>
                <w:sz w:val="20"/>
                <w:szCs w:val="20"/>
                <w:color w:val="auto"/>
              </w:rPr>
            </w:pPr>
            <w:r>
              <w:rPr>
                <w:rFonts w:ascii="Arial" w:cs="Arial" w:eastAsia="Arial" w:hAnsi="Arial"/>
                <w:sz w:val="18"/>
                <w:szCs w:val="18"/>
                <w:color w:val="auto"/>
              </w:rPr>
              <w:t>(ASC)</w:t>
            </w:r>
          </w:p>
        </w:tc>
        <w:tc>
          <w:tcPr>
            <w:tcW w:w="4140" w:type="dxa"/>
            <w:vAlign w:val="bottom"/>
          </w:tcPr>
          <w:p>
            <w:pPr>
              <w:ind w:left="80"/>
              <w:spacing w:after="0"/>
              <w:rPr>
                <w:sz w:val="20"/>
                <w:szCs w:val="20"/>
                <w:color w:val="auto"/>
              </w:rPr>
            </w:pPr>
            <w:r>
              <w:rPr>
                <w:rFonts w:ascii="Arial" w:cs="Arial" w:eastAsia="Arial" w:hAnsi="Arial"/>
                <w:sz w:val="18"/>
                <w:szCs w:val="18"/>
                <w:color w:val="auto"/>
              </w:rPr>
              <w:t>engines</w:t>
            </w:r>
          </w:p>
        </w:tc>
        <w:tc>
          <w:tcPr>
            <w:tcW w:w="2680" w:type="dxa"/>
            <w:vAlign w:val="bottom"/>
          </w:tcPr>
          <w:p>
            <w:pPr>
              <w:ind w:left="280"/>
              <w:spacing w:after="0"/>
              <w:rPr>
                <w:sz w:val="20"/>
                <w:szCs w:val="20"/>
                <w:color w:val="auto"/>
              </w:rPr>
            </w:pPr>
            <w:r>
              <w:rPr>
                <w:rFonts w:ascii="Arial" w:cs="Arial" w:eastAsia="Arial" w:hAnsi="Arial"/>
                <w:sz w:val="18"/>
                <w:szCs w:val="18"/>
                <w:color w:val="auto"/>
              </w:rPr>
              <w:t>France, Queretero, Mexico</w:t>
            </w:r>
          </w:p>
        </w:tc>
      </w:tr>
      <w:tr>
        <w:trPr>
          <w:trHeight w:val="364"/>
        </w:trPr>
        <w:tc>
          <w:tcPr>
            <w:tcW w:w="2200" w:type="dxa"/>
            <w:vAlign w:val="bottom"/>
          </w:tcPr>
          <w:p>
            <w:pPr>
              <w:spacing w:after="0"/>
              <w:rPr>
                <w:sz w:val="20"/>
                <w:szCs w:val="20"/>
                <w:color w:val="auto"/>
              </w:rPr>
            </w:pPr>
            <w:r>
              <w:rPr>
                <w:rFonts w:ascii="Arial" w:cs="Arial" w:eastAsia="Arial" w:hAnsi="Arial"/>
                <w:sz w:val="18"/>
                <w:szCs w:val="18"/>
                <w:color w:val="auto"/>
              </w:rPr>
              <w:t>Airframe and engine</w:t>
            </w:r>
          </w:p>
        </w:tc>
        <w:tc>
          <w:tcPr>
            <w:tcW w:w="4140" w:type="dxa"/>
            <w:vAlign w:val="bottom"/>
          </w:tcPr>
          <w:p>
            <w:pPr>
              <w:ind w:left="80"/>
              <w:spacing w:after="0"/>
              <w:rPr>
                <w:sz w:val="20"/>
                <w:szCs w:val="20"/>
                <w:color w:val="auto"/>
              </w:rPr>
            </w:pPr>
            <w:r>
              <w:rPr>
                <w:rFonts w:ascii="Arial" w:cs="Arial" w:eastAsia="Arial" w:hAnsi="Arial"/>
                <w:sz w:val="18"/>
                <w:szCs w:val="18"/>
                <w:color w:val="auto"/>
              </w:rPr>
              <w:t>Composite airframe and engine components for</w:t>
            </w:r>
          </w:p>
        </w:tc>
        <w:tc>
          <w:tcPr>
            <w:tcW w:w="2680" w:type="dxa"/>
            <w:vAlign w:val="bottom"/>
          </w:tcPr>
          <w:p>
            <w:pPr>
              <w:ind w:left="280"/>
              <w:spacing w:after="0"/>
              <w:rPr>
                <w:sz w:val="20"/>
                <w:szCs w:val="20"/>
                <w:color w:val="auto"/>
              </w:rPr>
            </w:pPr>
            <w:r>
              <w:rPr>
                <w:rFonts w:ascii="Arial" w:cs="Arial" w:eastAsia="Arial" w:hAnsi="Arial"/>
                <w:sz w:val="18"/>
                <w:szCs w:val="18"/>
                <w:color w:val="auto"/>
                <w:w w:val="98"/>
              </w:rPr>
              <w:t>Salt Lake City, UT Boerne, TX</w:t>
            </w:r>
          </w:p>
        </w:tc>
      </w:tr>
      <w:tr>
        <w:trPr>
          <w:trHeight w:val="217"/>
        </w:trPr>
        <w:tc>
          <w:tcPr>
            <w:tcW w:w="2200" w:type="dxa"/>
            <w:vAlign w:val="bottom"/>
          </w:tcPr>
          <w:p>
            <w:pPr>
              <w:ind w:left="60"/>
              <w:spacing w:after="0"/>
              <w:rPr>
                <w:sz w:val="20"/>
                <w:szCs w:val="20"/>
                <w:color w:val="auto"/>
              </w:rPr>
            </w:pPr>
            <w:r>
              <w:rPr>
                <w:rFonts w:ascii="Arial" w:cs="Arial" w:eastAsia="Arial" w:hAnsi="Arial"/>
                <w:sz w:val="18"/>
                <w:szCs w:val="18"/>
                <w:color w:val="auto"/>
              </w:rPr>
              <w:t>Components (Other AEC)</w:t>
            </w:r>
          </w:p>
        </w:tc>
        <w:tc>
          <w:tcPr>
            <w:tcW w:w="4140" w:type="dxa"/>
            <w:vAlign w:val="bottom"/>
          </w:tcPr>
          <w:p>
            <w:pPr>
              <w:ind w:left="80"/>
              <w:spacing w:after="0"/>
              <w:rPr>
                <w:sz w:val="20"/>
                <w:szCs w:val="20"/>
                <w:color w:val="auto"/>
              </w:rPr>
            </w:pPr>
            <w:r>
              <w:rPr>
                <w:rFonts w:ascii="Arial" w:cs="Arial" w:eastAsia="Arial" w:hAnsi="Arial"/>
                <w:sz w:val="18"/>
                <w:szCs w:val="18"/>
                <w:color w:val="auto"/>
              </w:rPr>
              <w:t>military and commercial aircraft</w:t>
            </w:r>
          </w:p>
        </w:tc>
        <w:tc>
          <w:tcPr>
            <w:tcW w:w="2680" w:type="dxa"/>
            <w:vAlign w:val="bottom"/>
          </w:tcPr>
          <w:p>
            <w:pPr>
              <w:ind w:left="280"/>
              <w:spacing w:after="0"/>
              <w:rPr>
                <w:sz w:val="20"/>
                <w:szCs w:val="20"/>
                <w:color w:val="auto"/>
              </w:rPr>
            </w:pPr>
            <w:r>
              <w:rPr>
                <w:rFonts w:ascii="Arial" w:cs="Arial" w:eastAsia="Arial" w:hAnsi="Arial"/>
                <w:sz w:val="18"/>
                <w:szCs w:val="18"/>
                <w:color w:val="auto"/>
              </w:rPr>
              <w:t>Queretero, Mexico</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-1378585</wp:posOffset>
            </wp:positionH>
            <wp:positionV relativeFrom="paragraph">
              <wp:posOffset>120015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520" w:space="660"/>
            <w:col w:w="9240"/>
          </w:cols>
          <w:pgMar w:left="240" w:top="598"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246620" cy="342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598" w:right="239" w:bottom="1440" w:gutter="0" w:footer="0" w:header="0"/>
          <w:type w:val="continuous"/>
        </w:sectPr>
      </w:pPr>
    </w:p>
    <w:bookmarkStart w:id="11" w:name="page12"/>
    <w:bookmarkEnd w:id="11"/>
    <w:p>
      <w:pPr>
        <w:ind w:right="340" w:firstLine="648"/>
        <w:spacing w:after="0" w:line="246" w:lineRule="auto"/>
        <w:rPr>
          <w:sz w:val="20"/>
          <w:szCs w:val="20"/>
          <w:color w:val="auto"/>
        </w:rPr>
      </w:pPr>
      <w:r>
        <w:rPr>
          <w:rFonts w:ascii="Arial" w:cs="Arial" w:eastAsia="Arial" w:hAnsi="Arial"/>
          <w:sz w:val="18"/>
          <w:szCs w:val="18"/>
          <w:color w:val="auto"/>
        </w:rPr>
        <w:t>We disaggregate revenue earned from contracts with customers for each of our business segments based on the timing of revenue recognition, and groupings used for internal review purposes.</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disaggregates revenue for each business segment by timing of revenue recognition:</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20" w:type="dxa"/>
            <w:vAlign w:val="bottom"/>
          </w:tcPr>
          <w:p>
            <w:pPr>
              <w:spacing w:after="0"/>
              <w:rPr>
                <w:sz w:val="16"/>
                <w:szCs w:val="16"/>
                <w:color w:val="auto"/>
              </w:rPr>
            </w:pPr>
          </w:p>
        </w:tc>
        <w:tc>
          <w:tcPr>
            <w:tcW w:w="4480" w:type="dxa"/>
            <w:vAlign w:val="bottom"/>
            <w:tcBorders>
              <w:top w:val="single" w:sz="8" w:color="auto"/>
            </w:tcBorders>
          </w:tcPr>
          <w:p>
            <w:pPr>
              <w:spacing w:after="0"/>
              <w:rPr>
                <w:sz w:val="16"/>
                <w:szCs w:val="16"/>
                <w:color w:val="auto"/>
              </w:rPr>
            </w:pPr>
          </w:p>
        </w:tc>
        <w:tc>
          <w:tcPr>
            <w:tcW w:w="5380" w:type="dxa"/>
            <w:vAlign w:val="bottom"/>
            <w:tcBorders>
              <w:top w:val="single" w:sz="8" w:color="auto"/>
            </w:tcBorders>
            <w:gridSpan w:val="2"/>
          </w:tcPr>
          <w:p>
            <w:pPr>
              <w:jc w:val="right"/>
              <w:ind w:right="950"/>
              <w:spacing w:after="0" w:line="194" w:lineRule="exact"/>
              <w:rPr>
                <w:sz w:val="20"/>
                <w:szCs w:val="20"/>
                <w:color w:val="auto"/>
              </w:rPr>
            </w:pPr>
            <w:r>
              <w:rPr>
                <w:rFonts w:ascii="Arial" w:cs="Arial" w:eastAsia="Arial" w:hAnsi="Arial"/>
                <w:sz w:val="18"/>
                <w:szCs w:val="18"/>
                <w:b w:val="1"/>
                <w:bCs w:val="1"/>
                <w:color w:val="auto"/>
              </w:rPr>
              <w:t>For the Three Months Ended</w:t>
            </w:r>
          </w:p>
        </w:tc>
        <w:tc>
          <w:tcPr>
            <w:tcW w:w="154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80" w:type="dxa"/>
            <w:vAlign w:val="bottom"/>
          </w:tcPr>
          <w:p>
            <w:pPr>
              <w:spacing w:after="0"/>
              <w:rPr>
                <w:sz w:val="17"/>
                <w:szCs w:val="17"/>
                <w:color w:val="auto"/>
              </w:rPr>
            </w:pPr>
          </w:p>
        </w:tc>
        <w:tc>
          <w:tcPr>
            <w:tcW w:w="5380" w:type="dxa"/>
            <w:vAlign w:val="bottom"/>
            <w:gridSpan w:val="2"/>
          </w:tcPr>
          <w:p>
            <w:pPr>
              <w:jc w:val="right"/>
              <w:ind w:right="1530"/>
              <w:spacing w:after="0" w:line="202" w:lineRule="exact"/>
              <w:rPr>
                <w:sz w:val="20"/>
                <w:szCs w:val="20"/>
                <w:color w:val="auto"/>
              </w:rPr>
            </w:pPr>
            <w:r>
              <w:rPr>
                <w:rFonts w:ascii="Arial" w:cs="Arial" w:eastAsia="Arial" w:hAnsi="Arial"/>
                <w:sz w:val="18"/>
                <w:szCs w:val="18"/>
                <w:b w:val="1"/>
                <w:bCs w:val="1"/>
                <w:color w:val="auto"/>
              </w:rPr>
              <w:t>March 31, 2018</w:t>
            </w:r>
          </w:p>
        </w:tc>
        <w:tc>
          <w:tcPr>
            <w:tcW w:w="1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80" w:type="dxa"/>
            <w:vAlign w:val="bottom"/>
          </w:tcPr>
          <w:p>
            <w:pPr>
              <w:spacing w:after="0"/>
              <w:rPr>
                <w:sz w:val="17"/>
                <w:szCs w:val="17"/>
                <w:color w:val="auto"/>
              </w:rPr>
            </w:pPr>
          </w:p>
        </w:tc>
        <w:tc>
          <w:tcPr>
            <w:tcW w:w="3180" w:type="dxa"/>
            <w:vAlign w:val="bottom"/>
          </w:tcPr>
          <w:p>
            <w:pPr>
              <w:jc w:val="center"/>
              <w:ind w:left="910"/>
              <w:spacing w:after="0" w:line="202" w:lineRule="exact"/>
              <w:rPr>
                <w:sz w:val="20"/>
                <w:szCs w:val="20"/>
                <w:color w:val="auto"/>
              </w:rPr>
            </w:pPr>
            <w:r>
              <w:rPr>
                <w:rFonts w:ascii="Arial" w:cs="Arial" w:eastAsia="Arial" w:hAnsi="Arial"/>
                <w:sz w:val="18"/>
                <w:szCs w:val="18"/>
                <w:b w:val="1"/>
                <w:bCs w:val="1"/>
                <w:color w:val="auto"/>
              </w:rPr>
              <w:t>Point in Time</w:t>
            </w:r>
          </w:p>
        </w:tc>
        <w:tc>
          <w:tcPr>
            <w:tcW w:w="2200" w:type="dxa"/>
            <w:vAlign w:val="bottom"/>
          </w:tcPr>
          <w:p>
            <w:pPr>
              <w:jc w:val="center"/>
              <w:ind w:right="190"/>
              <w:spacing w:after="0" w:line="202" w:lineRule="exact"/>
              <w:rPr>
                <w:sz w:val="20"/>
                <w:szCs w:val="20"/>
                <w:color w:val="auto"/>
              </w:rPr>
            </w:pPr>
            <w:r>
              <w:rPr>
                <w:rFonts w:ascii="Arial" w:cs="Arial" w:eastAsia="Arial" w:hAnsi="Arial"/>
                <w:sz w:val="18"/>
                <w:szCs w:val="18"/>
                <w:b w:val="1"/>
                <w:bCs w:val="1"/>
                <w:color w:val="auto"/>
                <w:w w:val="99"/>
              </w:rPr>
              <w:t>Over Time</w:t>
            </w:r>
          </w:p>
        </w:tc>
        <w:tc>
          <w:tcPr>
            <w:tcW w:w="1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80" w:type="dxa"/>
            <w:vAlign w:val="bottom"/>
          </w:tcPr>
          <w:p>
            <w:pPr>
              <w:spacing w:after="0"/>
              <w:rPr>
                <w:sz w:val="17"/>
                <w:szCs w:val="17"/>
                <w:color w:val="auto"/>
              </w:rPr>
            </w:pPr>
          </w:p>
        </w:tc>
        <w:tc>
          <w:tcPr>
            <w:tcW w:w="3180" w:type="dxa"/>
            <w:vAlign w:val="bottom"/>
          </w:tcPr>
          <w:p>
            <w:pPr>
              <w:jc w:val="center"/>
              <w:ind w:left="910"/>
              <w:spacing w:after="0" w:line="202" w:lineRule="exact"/>
              <w:rPr>
                <w:sz w:val="20"/>
                <w:szCs w:val="20"/>
                <w:color w:val="auto"/>
              </w:rPr>
            </w:pPr>
            <w:r>
              <w:rPr>
                <w:rFonts w:ascii="Arial" w:cs="Arial" w:eastAsia="Arial" w:hAnsi="Arial"/>
                <w:sz w:val="18"/>
                <w:szCs w:val="18"/>
                <w:b w:val="1"/>
                <w:bCs w:val="1"/>
                <w:color w:val="auto"/>
                <w:w w:val="98"/>
              </w:rPr>
              <w:t>Revenue</w:t>
            </w:r>
          </w:p>
        </w:tc>
        <w:tc>
          <w:tcPr>
            <w:tcW w:w="2200" w:type="dxa"/>
            <w:vAlign w:val="bottom"/>
          </w:tcPr>
          <w:p>
            <w:pPr>
              <w:jc w:val="center"/>
              <w:ind w:right="190"/>
              <w:spacing w:after="0" w:line="202" w:lineRule="exact"/>
              <w:rPr>
                <w:sz w:val="20"/>
                <w:szCs w:val="20"/>
                <w:color w:val="auto"/>
              </w:rPr>
            </w:pPr>
            <w:r>
              <w:rPr>
                <w:rFonts w:ascii="Arial" w:cs="Arial" w:eastAsia="Arial" w:hAnsi="Arial"/>
                <w:sz w:val="18"/>
                <w:szCs w:val="18"/>
                <w:b w:val="1"/>
                <w:bCs w:val="1"/>
                <w:color w:val="auto"/>
              </w:rPr>
              <w:t>Revenue</w:t>
            </w:r>
          </w:p>
        </w:tc>
        <w:tc>
          <w:tcPr>
            <w:tcW w:w="1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450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(in thousands)</w:t>
            </w:r>
          </w:p>
        </w:tc>
        <w:tc>
          <w:tcPr>
            <w:tcW w:w="3180" w:type="dxa"/>
            <w:vAlign w:val="bottom"/>
            <w:tcBorders>
              <w:bottom w:val="single" w:sz="8" w:color="auto"/>
            </w:tcBorders>
          </w:tcPr>
          <w:p>
            <w:pPr>
              <w:jc w:val="center"/>
              <w:ind w:left="930"/>
              <w:spacing w:after="0"/>
              <w:rPr>
                <w:sz w:val="20"/>
                <w:szCs w:val="20"/>
                <w:color w:val="auto"/>
              </w:rPr>
            </w:pPr>
            <w:r>
              <w:rPr>
                <w:rFonts w:ascii="Arial" w:cs="Arial" w:eastAsia="Arial" w:hAnsi="Arial"/>
                <w:sz w:val="18"/>
                <w:szCs w:val="18"/>
                <w:b w:val="1"/>
                <w:bCs w:val="1"/>
                <w:color w:val="auto"/>
                <w:w w:val="99"/>
              </w:rPr>
              <w:t>Recognition</w:t>
            </w:r>
          </w:p>
        </w:tc>
        <w:tc>
          <w:tcPr>
            <w:tcW w:w="2200" w:type="dxa"/>
            <w:vAlign w:val="bottom"/>
            <w:tcBorders>
              <w:bottom w:val="single" w:sz="8" w:color="auto"/>
            </w:tcBorders>
          </w:tcPr>
          <w:p>
            <w:pPr>
              <w:jc w:val="center"/>
              <w:ind w:right="190"/>
              <w:spacing w:after="0"/>
              <w:rPr>
                <w:sz w:val="20"/>
                <w:szCs w:val="20"/>
                <w:color w:val="auto"/>
              </w:rPr>
            </w:pPr>
            <w:r>
              <w:rPr>
                <w:rFonts w:ascii="Arial" w:cs="Arial" w:eastAsia="Arial" w:hAnsi="Arial"/>
                <w:sz w:val="18"/>
                <w:szCs w:val="18"/>
                <w:b w:val="1"/>
                <w:bCs w:val="1"/>
                <w:color w:val="auto"/>
                <w:w w:val="99"/>
              </w:rPr>
              <w:t>Recognition</w:t>
            </w:r>
          </w:p>
        </w:tc>
        <w:tc>
          <w:tcPr>
            <w:tcW w:w="15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399"/>
        </w:trPr>
        <w:tc>
          <w:tcPr>
            <w:tcW w:w="45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Machine Clothing</w:t>
            </w:r>
          </w:p>
        </w:tc>
        <w:tc>
          <w:tcPr>
            <w:tcW w:w="31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$147,351</w:t>
            </w:r>
          </w:p>
        </w:tc>
        <w:tc>
          <w:tcPr>
            <w:tcW w:w="22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$800</w:t>
            </w:r>
          </w:p>
        </w:tc>
        <w:tc>
          <w:tcPr>
            <w:tcW w:w="15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$148,151</w:t>
            </w:r>
          </w:p>
        </w:tc>
        <w:tc>
          <w:tcPr>
            <w:tcW w:w="0" w:type="dxa"/>
            <w:vAlign w:val="bottom"/>
          </w:tcPr>
          <w:p>
            <w:pPr>
              <w:spacing w:after="0"/>
              <w:rPr>
                <w:sz w:val="1"/>
                <w:szCs w:val="1"/>
                <w:color w:val="auto"/>
              </w:rPr>
            </w:pPr>
          </w:p>
        </w:tc>
      </w:tr>
      <w:tr>
        <w:trPr>
          <w:trHeight w:val="398"/>
        </w:trPr>
        <w:tc>
          <w:tcPr>
            <w:tcW w:w="4500" w:type="dxa"/>
            <w:vAlign w:val="bottom"/>
            <w:gridSpan w:val="2"/>
          </w:tcPr>
          <w:p>
            <w:pPr>
              <w:spacing w:after="0"/>
              <w:rPr>
                <w:sz w:val="20"/>
                <w:szCs w:val="20"/>
                <w:color w:val="auto"/>
              </w:rPr>
            </w:pPr>
            <w:r>
              <w:rPr>
                <w:rFonts w:ascii="Arial" w:cs="Arial" w:eastAsia="Arial" w:hAnsi="Arial"/>
                <w:sz w:val="18"/>
                <w:szCs w:val="18"/>
                <w:color w:val="auto"/>
              </w:rPr>
              <w:t>Albany Engineered Composites</w:t>
            </w:r>
          </w:p>
        </w:tc>
        <w:tc>
          <w:tcPr>
            <w:tcW w:w="3180" w:type="dxa"/>
            <w:vAlign w:val="bottom"/>
            <w:vMerge w:val="restart"/>
          </w:tcPr>
          <w:p>
            <w:pPr>
              <w:jc w:val="right"/>
              <w:ind w:right="370"/>
              <w:spacing w:after="0"/>
              <w:rPr>
                <w:sz w:val="20"/>
                <w:szCs w:val="20"/>
                <w:color w:val="auto"/>
              </w:rPr>
            </w:pPr>
            <w:r>
              <w:rPr>
                <w:rFonts w:ascii="Arial" w:cs="Arial" w:eastAsia="Arial" w:hAnsi="Arial"/>
                <w:sz w:val="18"/>
                <w:szCs w:val="18"/>
                <w:b w:val="1"/>
                <w:bCs w:val="1"/>
                <w:color w:val="auto"/>
              </w:rPr>
              <w:t>-</w:t>
            </w:r>
          </w:p>
        </w:tc>
        <w:tc>
          <w:tcPr>
            <w:tcW w:w="2200" w:type="dxa"/>
            <w:vAlign w:val="bottom"/>
            <w:vMerge w:val="restart"/>
          </w:tcPr>
          <w:p>
            <w:pPr>
              <w:jc w:val="right"/>
              <w:ind w:right="510"/>
              <w:spacing w:after="0"/>
              <w:rPr>
                <w:sz w:val="20"/>
                <w:szCs w:val="20"/>
                <w:color w:val="auto"/>
              </w:rPr>
            </w:pPr>
            <w:r>
              <w:rPr>
                <w:rFonts w:ascii="Arial" w:cs="Arial" w:eastAsia="Arial" w:hAnsi="Arial"/>
                <w:sz w:val="18"/>
                <w:szCs w:val="18"/>
                <w:b w:val="1"/>
                <w:bCs w:val="1"/>
                <w:color w:val="auto"/>
              </w:rPr>
              <w:t>40,781</w:t>
            </w:r>
          </w:p>
        </w:tc>
        <w:tc>
          <w:tcPr>
            <w:tcW w:w="1540" w:type="dxa"/>
            <w:vAlign w:val="bottom"/>
            <w:vMerge w:val="restart"/>
          </w:tcPr>
          <w:p>
            <w:pPr>
              <w:jc w:val="right"/>
              <w:ind w:right="10"/>
              <w:spacing w:after="0"/>
              <w:rPr>
                <w:sz w:val="20"/>
                <w:szCs w:val="20"/>
                <w:color w:val="auto"/>
              </w:rPr>
            </w:pPr>
            <w:r>
              <w:rPr>
                <w:rFonts w:ascii="Arial" w:cs="Arial" w:eastAsia="Arial" w:hAnsi="Arial"/>
                <w:sz w:val="18"/>
                <w:szCs w:val="18"/>
                <w:b w:val="1"/>
                <w:bCs w:val="1"/>
                <w:color w:val="auto"/>
              </w:rPr>
              <w:t>40,781</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4480" w:type="dxa"/>
            <w:vAlign w:val="bottom"/>
          </w:tcPr>
          <w:p>
            <w:pPr>
              <w:ind w:left="160"/>
              <w:spacing w:after="0" w:line="181" w:lineRule="exact"/>
              <w:rPr>
                <w:sz w:val="20"/>
                <w:szCs w:val="20"/>
                <w:color w:val="auto"/>
              </w:rPr>
            </w:pPr>
            <w:r>
              <w:rPr>
                <w:rFonts w:ascii="Arial" w:cs="Arial" w:eastAsia="Arial" w:hAnsi="Arial"/>
                <w:sz w:val="18"/>
                <w:szCs w:val="18"/>
                <w:color w:val="auto"/>
              </w:rPr>
              <w:t>ASC</w:t>
            </w:r>
          </w:p>
        </w:tc>
        <w:tc>
          <w:tcPr>
            <w:tcW w:w="3180" w:type="dxa"/>
            <w:vAlign w:val="bottom"/>
            <w:vMerge w:val="continue"/>
          </w:tcPr>
          <w:p>
            <w:pPr>
              <w:spacing w:after="0"/>
              <w:rPr>
                <w:sz w:val="15"/>
                <w:szCs w:val="15"/>
                <w:color w:val="auto"/>
              </w:rPr>
            </w:pPr>
          </w:p>
        </w:tc>
        <w:tc>
          <w:tcPr>
            <w:tcW w:w="2200" w:type="dxa"/>
            <w:vAlign w:val="bottom"/>
            <w:vMerge w:val="continue"/>
          </w:tcPr>
          <w:p>
            <w:pPr>
              <w:spacing w:after="0"/>
              <w:rPr>
                <w:sz w:val="15"/>
                <w:szCs w:val="15"/>
                <w:color w:val="auto"/>
              </w:rPr>
            </w:pPr>
          </w:p>
        </w:tc>
        <w:tc>
          <w:tcPr>
            <w:tcW w:w="15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448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Other AEC</w:t>
            </w:r>
          </w:p>
        </w:tc>
        <w:tc>
          <w:tcPr>
            <w:tcW w:w="31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6,040</w:t>
            </w:r>
          </w:p>
        </w:tc>
        <w:tc>
          <w:tcPr>
            <w:tcW w:w="22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35,009</w:t>
            </w:r>
          </w:p>
        </w:tc>
        <w:tc>
          <w:tcPr>
            <w:tcW w:w="15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41,049</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48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Total Albany Engineered Composites</w:t>
            </w:r>
          </w:p>
        </w:tc>
        <w:tc>
          <w:tcPr>
            <w:tcW w:w="3180" w:type="dxa"/>
            <w:vAlign w:val="bottom"/>
            <w:tcBorders>
              <w:bottom w:val="single" w:sz="8" w:color="auto"/>
            </w:tcBorders>
          </w:tcPr>
          <w:p>
            <w:pPr>
              <w:jc w:val="right"/>
              <w:ind w:right="370"/>
              <w:spacing w:after="0" w:line="196" w:lineRule="exact"/>
              <w:rPr>
                <w:sz w:val="20"/>
                <w:szCs w:val="20"/>
                <w:color w:val="auto"/>
              </w:rPr>
            </w:pPr>
            <w:r>
              <w:rPr>
                <w:rFonts w:ascii="Arial" w:cs="Arial" w:eastAsia="Arial" w:hAnsi="Arial"/>
                <w:sz w:val="18"/>
                <w:szCs w:val="18"/>
                <w:b w:val="1"/>
                <w:bCs w:val="1"/>
                <w:color w:val="auto"/>
              </w:rPr>
              <w:t>6,040</w:t>
            </w:r>
          </w:p>
        </w:tc>
        <w:tc>
          <w:tcPr>
            <w:tcW w:w="2200" w:type="dxa"/>
            <w:vAlign w:val="bottom"/>
            <w:tcBorders>
              <w:bottom w:val="single" w:sz="8" w:color="auto"/>
            </w:tcBorders>
          </w:tcPr>
          <w:p>
            <w:pPr>
              <w:jc w:val="right"/>
              <w:ind w:right="510"/>
              <w:spacing w:after="0" w:line="196" w:lineRule="exact"/>
              <w:rPr>
                <w:sz w:val="20"/>
                <w:szCs w:val="20"/>
                <w:color w:val="auto"/>
              </w:rPr>
            </w:pPr>
            <w:r>
              <w:rPr>
                <w:rFonts w:ascii="Arial" w:cs="Arial" w:eastAsia="Arial" w:hAnsi="Arial"/>
                <w:sz w:val="18"/>
                <w:szCs w:val="18"/>
                <w:b w:val="1"/>
                <w:bCs w:val="1"/>
                <w:color w:val="auto"/>
              </w:rPr>
              <w:t>75,790</w:t>
            </w:r>
          </w:p>
        </w:tc>
        <w:tc>
          <w:tcPr>
            <w:tcW w:w="154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b w:val="1"/>
                <w:bCs w:val="1"/>
                <w:color w:val="auto"/>
              </w:rPr>
              <w:t>81,830</w:t>
            </w:r>
          </w:p>
        </w:tc>
        <w:tc>
          <w:tcPr>
            <w:tcW w:w="0" w:type="dxa"/>
            <w:vAlign w:val="bottom"/>
          </w:tcPr>
          <w:p>
            <w:pPr>
              <w:spacing w:after="0"/>
              <w:rPr>
                <w:sz w:val="1"/>
                <w:szCs w:val="1"/>
                <w:color w:val="auto"/>
              </w:rPr>
            </w:pPr>
          </w:p>
        </w:tc>
      </w:tr>
      <w:tr>
        <w:trPr>
          <w:trHeight w:val="399"/>
        </w:trPr>
        <w:tc>
          <w:tcPr>
            <w:tcW w:w="20" w:type="dxa"/>
            <w:vAlign w:val="bottom"/>
            <w:tcBorders>
              <w:bottom w:val="single" w:sz="8" w:color="auto"/>
            </w:tcBorders>
          </w:tcPr>
          <w:p>
            <w:pPr>
              <w:spacing w:after="0"/>
              <w:rPr>
                <w:sz w:val="24"/>
                <w:szCs w:val="24"/>
                <w:color w:val="auto"/>
              </w:rPr>
            </w:pPr>
          </w:p>
        </w:tc>
        <w:tc>
          <w:tcPr>
            <w:tcW w:w="4480" w:type="dxa"/>
            <w:vAlign w:val="bottom"/>
            <w:tcBorders>
              <w:bottom w:val="single" w:sz="8" w:color="auto"/>
            </w:tcBorders>
          </w:tcPr>
          <w:p>
            <w:pPr>
              <w:spacing w:after="0"/>
              <w:rPr>
                <w:sz w:val="24"/>
                <w:szCs w:val="24"/>
                <w:color w:val="auto"/>
              </w:rPr>
            </w:pPr>
          </w:p>
        </w:tc>
        <w:tc>
          <w:tcPr>
            <w:tcW w:w="3180" w:type="dxa"/>
            <w:vAlign w:val="bottom"/>
            <w:tcBorders>
              <w:bottom w:val="single" w:sz="8" w:color="auto"/>
            </w:tcBorders>
          </w:tcPr>
          <w:p>
            <w:pPr>
              <w:spacing w:after="0"/>
              <w:rPr>
                <w:sz w:val="24"/>
                <w:szCs w:val="24"/>
                <w:color w:val="auto"/>
              </w:rPr>
            </w:pPr>
          </w:p>
        </w:tc>
        <w:tc>
          <w:tcPr>
            <w:tcW w:w="220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4500" w:type="dxa"/>
            <w:vAlign w:val="bottom"/>
            <w:tcBorders>
              <w:bottom w:val="single" w:sz="8" w:color="auto"/>
            </w:tcBorders>
            <w:gridSpan w:val="2"/>
          </w:tcPr>
          <w:p>
            <w:pPr>
              <w:spacing w:after="0" w:line="209" w:lineRule="exact"/>
              <w:rPr>
                <w:sz w:val="20"/>
                <w:szCs w:val="20"/>
                <w:color w:val="auto"/>
              </w:rPr>
            </w:pPr>
            <w:r>
              <w:rPr>
                <w:rFonts w:ascii="Arial" w:cs="Arial" w:eastAsia="Arial" w:hAnsi="Arial"/>
                <w:sz w:val="20"/>
                <w:szCs w:val="20"/>
                <w:color w:val="auto"/>
              </w:rPr>
              <w:t>Total Revenue</w:t>
            </w:r>
          </w:p>
        </w:tc>
        <w:tc>
          <w:tcPr>
            <w:tcW w:w="31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$153,391</w:t>
            </w:r>
          </w:p>
        </w:tc>
        <w:tc>
          <w:tcPr>
            <w:tcW w:w="22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$76,590</w:t>
            </w:r>
          </w:p>
        </w:tc>
        <w:tc>
          <w:tcPr>
            <w:tcW w:w="15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$229,981</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840" w:firstLine="648"/>
        <w:spacing w:after="0" w:line="246" w:lineRule="auto"/>
        <w:rPr>
          <w:sz w:val="20"/>
          <w:szCs w:val="20"/>
          <w:color w:val="auto"/>
        </w:rPr>
      </w:pPr>
      <w:r>
        <w:rPr>
          <w:rFonts w:ascii="Arial" w:cs="Arial" w:eastAsia="Arial" w:hAnsi="Arial"/>
          <w:sz w:val="18"/>
          <w:szCs w:val="18"/>
          <w:color w:val="auto"/>
        </w:rPr>
        <w:t>The following table disaggregates MC segment revenue by significant product or service (paper machine clothing (PMC) and engineered fabrics), and, for PMC, the geographical region to which the paper machine clothing was sold:</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6000" w:type="dxa"/>
            <w:vAlign w:val="bottom"/>
            <w:tcBorders>
              <w:top w:val="single" w:sz="8" w:color="auto"/>
            </w:tcBorders>
          </w:tcPr>
          <w:p>
            <w:pPr>
              <w:spacing w:after="0"/>
              <w:rPr>
                <w:sz w:val="16"/>
                <w:szCs w:val="16"/>
                <w:color w:val="auto"/>
              </w:rPr>
            </w:pPr>
          </w:p>
        </w:tc>
        <w:tc>
          <w:tcPr>
            <w:tcW w:w="5420" w:type="dxa"/>
            <w:vAlign w:val="bottom"/>
            <w:tcBorders>
              <w:top w:val="single" w:sz="8" w:color="auto"/>
            </w:tcBorders>
          </w:tcPr>
          <w:p>
            <w:pPr>
              <w:jc w:val="center"/>
              <w:ind w:left="3050"/>
              <w:spacing w:after="0" w:line="194" w:lineRule="exact"/>
              <w:rPr>
                <w:sz w:val="20"/>
                <w:szCs w:val="20"/>
                <w:color w:val="auto"/>
              </w:rPr>
            </w:pPr>
            <w:r>
              <w:rPr>
                <w:rFonts w:ascii="Arial" w:cs="Arial" w:eastAsia="Arial" w:hAnsi="Arial"/>
                <w:sz w:val="18"/>
                <w:szCs w:val="18"/>
                <w:b w:val="1"/>
                <w:bCs w:val="1"/>
                <w:color w:val="auto"/>
                <w:w w:val="99"/>
              </w:rPr>
              <w:t>For the Three Months</w:t>
            </w:r>
          </w:p>
        </w:tc>
      </w:tr>
      <w:tr>
        <w:trPr>
          <w:trHeight w:val="203"/>
        </w:trPr>
        <w:tc>
          <w:tcPr>
            <w:tcW w:w="6000" w:type="dxa"/>
            <w:vAlign w:val="bottom"/>
          </w:tcPr>
          <w:p>
            <w:pPr>
              <w:spacing w:after="0"/>
              <w:rPr>
                <w:sz w:val="17"/>
                <w:szCs w:val="17"/>
                <w:color w:val="auto"/>
              </w:rPr>
            </w:pPr>
          </w:p>
        </w:tc>
        <w:tc>
          <w:tcPr>
            <w:tcW w:w="5420" w:type="dxa"/>
            <w:vAlign w:val="bottom"/>
          </w:tcPr>
          <w:p>
            <w:pPr>
              <w:jc w:val="center"/>
              <w:ind w:left="3070"/>
              <w:spacing w:after="0" w:line="202" w:lineRule="exact"/>
              <w:rPr>
                <w:sz w:val="20"/>
                <w:szCs w:val="20"/>
                <w:color w:val="auto"/>
              </w:rPr>
            </w:pPr>
            <w:r>
              <w:rPr>
                <w:rFonts w:ascii="Arial" w:cs="Arial" w:eastAsia="Arial" w:hAnsi="Arial"/>
                <w:sz w:val="18"/>
                <w:szCs w:val="18"/>
                <w:b w:val="1"/>
                <w:bCs w:val="1"/>
                <w:color w:val="auto"/>
                <w:w w:val="98"/>
              </w:rPr>
              <w:t>Ended</w:t>
            </w:r>
          </w:p>
        </w:tc>
      </w:tr>
      <w:tr>
        <w:trPr>
          <w:trHeight w:val="225"/>
        </w:trPr>
        <w:tc>
          <w:tcPr>
            <w:tcW w:w="60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(in thousands)</w:t>
            </w:r>
          </w:p>
        </w:tc>
        <w:tc>
          <w:tcPr>
            <w:tcW w:w="5420" w:type="dxa"/>
            <w:vAlign w:val="bottom"/>
            <w:tcBorders>
              <w:bottom w:val="single" w:sz="8" w:color="auto"/>
            </w:tcBorders>
          </w:tcPr>
          <w:p>
            <w:pPr>
              <w:jc w:val="center"/>
              <w:ind w:left="3050"/>
              <w:spacing w:after="0"/>
              <w:rPr>
                <w:sz w:val="20"/>
                <w:szCs w:val="20"/>
                <w:color w:val="auto"/>
              </w:rPr>
            </w:pPr>
            <w:r>
              <w:rPr>
                <w:rFonts w:ascii="Arial" w:cs="Arial" w:eastAsia="Arial" w:hAnsi="Arial"/>
                <w:sz w:val="18"/>
                <w:szCs w:val="18"/>
                <w:b w:val="1"/>
                <w:bCs w:val="1"/>
                <w:color w:val="auto"/>
                <w:w w:val="99"/>
              </w:rPr>
              <w:t>March 31, 2018</w:t>
            </w:r>
          </w:p>
        </w:tc>
      </w:tr>
      <w:tr>
        <w:trPr>
          <w:trHeight w:val="376"/>
        </w:trPr>
        <w:tc>
          <w:tcPr>
            <w:tcW w:w="6000" w:type="dxa"/>
            <w:vAlign w:val="bottom"/>
          </w:tcPr>
          <w:p>
            <w:pPr>
              <w:spacing w:after="0"/>
              <w:rPr>
                <w:sz w:val="20"/>
                <w:szCs w:val="20"/>
                <w:color w:val="auto"/>
              </w:rPr>
            </w:pPr>
            <w:r>
              <w:rPr>
                <w:rFonts w:ascii="Arial" w:cs="Arial" w:eastAsia="Arial" w:hAnsi="Arial"/>
                <w:sz w:val="18"/>
                <w:szCs w:val="18"/>
                <w:color w:val="auto"/>
              </w:rPr>
              <w:t>Americas PMC</w:t>
            </w:r>
          </w:p>
        </w:tc>
        <w:tc>
          <w:tcPr>
            <w:tcW w:w="5420" w:type="dxa"/>
            <w:vAlign w:val="bottom"/>
          </w:tcPr>
          <w:p>
            <w:pPr>
              <w:jc w:val="right"/>
              <w:ind w:right="10"/>
              <w:spacing w:after="0"/>
              <w:rPr>
                <w:sz w:val="20"/>
                <w:szCs w:val="20"/>
                <w:color w:val="auto"/>
              </w:rPr>
            </w:pPr>
            <w:r>
              <w:rPr>
                <w:rFonts w:ascii="Arial" w:cs="Arial" w:eastAsia="Arial" w:hAnsi="Arial"/>
                <w:sz w:val="18"/>
                <w:szCs w:val="18"/>
                <w:b w:val="1"/>
                <w:bCs w:val="1"/>
                <w:color w:val="auto"/>
              </w:rPr>
              <w:t>$69,858</w:t>
            </w:r>
          </w:p>
        </w:tc>
      </w:tr>
      <w:tr>
        <w:trPr>
          <w:trHeight w:val="203"/>
        </w:trPr>
        <w:tc>
          <w:tcPr>
            <w:tcW w:w="6000" w:type="dxa"/>
            <w:vAlign w:val="bottom"/>
          </w:tcPr>
          <w:p>
            <w:pPr>
              <w:spacing w:after="0" w:line="202" w:lineRule="exact"/>
              <w:rPr>
                <w:sz w:val="20"/>
                <w:szCs w:val="20"/>
                <w:color w:val="auto"/>
              </w:rPr>
            </w:pPr>
            <w:r>
              <w:rPr>
                <w:rFonts w:ascii="Arial" w:cs="Arial" w:eastAsia="Arial" w:hAnsi="Arial"/>
                <w:sz w:val="18"/>
                <w:szCs w:val="18"/>
                <w:color w:val="auto"/>
              </w:rPr>
              <w:t>Eurasia PMC</w:t>
            </w:r>
          </w:p>
        </w:tc>
        <w:tc>
          <w:tcPr>
            <w:tcW w:w="5420" w:type="dxa"/>
            <w:vAlign w:val="bottom"/>
          </w:tcPr>
          <w:p>
            <w:pPr>
              <w:jc w:val="right"/>
              <w:ind w:right="10"/>
              <w:spacing w:after="0" w:line="202" w:lineRule="exact"/>
              <w:rPr>
                <w:sz w:val="20"/>
                <w:szCs w:val="20"/>
                <w:color w:val="auto"/>
              </w:rPr>
            </w:pPr>
            <w:r>
              <w:rPr>
                <w:rFonts w:ascii="Arial" w:cs="Arial" w:eastAsia="Arial" w:hAnsi="Arial"/>
                <w:sz w:val="18"/>
                <w:szCs w:val="18"/>
                <w:b w:val="1"/>
                <w:bCs w:val="1"/>
                <w:color w:val="auto"/>
              </w:rPr>
              <w:t>56,933</w:t>
            </w:r>
          </w:p>
        </w:tc>
      </w:tr>
      <w:tr>
        <w:trPr>
          <w:trHeight w:val="225"/>
        </w:trPr>
        <w:tc>
          <w:tcPr>
            <w:tcW w:w="60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Engineered Fabrics</w:t>
            </w:r>
          </w:p>
        </w:tc>
        <w:tc>
          <w:tcPr>
            <w:tcW w:w="54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21,360</w:t>
            </w:r>
          </w:p>
        </w:tc>
      </w:tr>
      <w:tr>
        <w:trPr>
          <w:trHeight w:val="196"/>
        </w:trPr>
        <w:tc>
          <w:tcPr>
            <w:tcW w:w="600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Total Machine Clothing Net sales</w:t>
            </w:r>
          </w:p>
        </w:tc>
        <w:tc>
          <w:tcPr>
            <w:tcW w:w="542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b w:val="1"/>
                <w:bCs w:val="1"/>
                <w:color w:val="auto"/>
              </w:rPr>
              <w:t>$148,151</w:t>
            </w:r>
          </w:p>
        </w:tc>
      </w:tr>
    </w:tbl>
    <w:p>
      <w:pPr>
        <w:spacing w:after="0" w:line="202" w:lineRule="exact"/>
        <w:rPr>
          <w:sz w:val="20"/>
          <w:szCs w:val="20"/>
          <w:color w:val="auto"/>
        </w:rPr>
      </w:pPr>
    </w:p>
    <w:p>
      <w:pPr>
        <w:ind w:right="240" w:firstLine="648"/>
        <w:spacing w:after="0" w:line="237" w:lineRule="auto"/>
        <w:rPr>
          <w:sz w:val="20"/>
          <w:szCs w:val="20"/>
          <w:color w:val="auto"/>
        </w:rPr>
      </w:pPr>
      <w:r>
        <w:rPr>
          <w:rFonts w:ascii="Arial" w:cs="Arial" w:eastAsia="Arial" w:hAnsi="Arial"/>
          <w:sz w:val="18"/>
          <w:szCs w:val="18"/>
          <w:color w:val="auto"/>
        </w:rPr>
        <w:t>In accordance with ASC 606-10-50-14, we do not disclose the value of unsatisfied performance obligations for contracts with an original expected duration of one year or less. Contracts in the Machine Clothing segment are generally for periods of less than a year. Most contracts in the AEC segment are short duration firm-fixed price orders representing performance obligations with an original maturity of less than one year. Performance obligations as of March 31, 2018 that had an original duration of greater than one year totaled $ 115 million and relate primarily to firm contracts in the AEC segment. Of that amount, we expect to recognize as revenue approximately $50 million during 2018, with the remainder to be recognized between 2019 and 2021.</w:t>
      </w:r>
    </w:p>
    <w:p>
      <w:pPr>
        <w:spacing w:after="0" w:line="192" w:lineRule="exact"/>
        <w:rPr>
          <w:sz w:val="20"/>
          <w:szCs w:val="20"/>
          <w:color w:val="auto"/>
        </w:rPr>
      </w:pPr>
    </w:p>
    <w:p>
      <w:pPr>
        <w:ind w:right="140" w:firstLine="648"/>
        <w:spacing w:after="0" w:line="238" w:lineRule="auto"/>
        <w:rPr>
          <w:sz w:val="20"/>
          <w:szCs w:val="20"/>
          <w:color w:val="auto"/>
        </w:rPr>
      </w:pPr>
      <w:r>
        <w:rPr>
          <w:rFonts w:ascii="Arial" w:cs="Arial" w:eastAsia="Arial" w:hAnsi="Arial"/>
          <w:sz w:val="18"/>
          <w:szCs w:val="18"/>
          <w:color w:val="auto"/>
        </w:rPr>
        <w:t>For some AEC contracts, we perform pre-production or nonrecurring engineering services. These costs are normally considered a fulfillment activity, rather than a performance obligation. Fulfillment activities that create resources that will be used in satisfying performance obligations in the future, and are expected to be recovered, are capitalized to Other Assets, which is classified as a noncurrent asset in the Consolidated Balance Sheets. The capitalized costs are amortized into Cost of goods sold over the period over which the asset is expected to contribute to future cash flows.</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342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12" w:name="page13"/>
    <w:bookmarkEnd w:id="12"/>
    <w:p>
      <w:pPr>
        <w:ind w:right="80" w:firstLine="648"/>
        <w:spacing w:after="0"/>
        <w:rPr>
          <w:sz w:val="20"/>
          <w:szCs w:val="20"/>
          <w:color w:val="auto"/>
        </w:rPr>
      </w:pPr>
      <w:r>
        <w:rPr>
          <w:rFonts w:ascii="Arial" w:cs="Arial" w:eastAsia="Arial" w:hAnsi="Arial"/>
          <w:sz w:val="18"/>
          <w:szCs w:val="18"/>
          <w:color w:val="auto"/>
        </w:rPr>
        <w:t>As a result of applying the cumulative effect method for transition to ASC 606, we are required to disclose the effect of the new standard on each line of the consolidated financial statements. The following tables show the balances as reported for the period ended March 31, 2018, and how the consolidated financial statements would have appeared if we had not adopted ASC 606.</w:t>
      </w:r>
    </w:p>
    <w:p>
      <w:pPr>
        <w:spacing w:after="0" w:line="388" w:lineRule="exact"/>
        <w:rPr>
          <w:sz w:val="20"/>
          <w:szCs w:val="20"/>
          <w:color w:val="auto"/>
        </w:rPr>
      </w:pPr>
    </w:p>
    <w:p>
      <w:pPr>
        <w:jc w:val="center"/>
        <w:ind w:left="640"/>
        <w:spacing w:after="0"/>
        <w:rPr>
          <w:sz w:val="20"/>
          <w:szCs w:val="20"/>
          <w:color w:val="auto"/>
        </w:rPr>
      </w:pPr>
      <w:r>
        <w:rPr>
          <w:rFonts w:ascii="Arial" w:cs="Arial" w:eastAsia="Arial" w:hAnsi="Arial"/>
          <w:sz w:val="18"/>
          <w:szCs w:val="18"/>
          <w:color w:val="auto"/>
        </w:rPr>
        <w:t>ALBANY INTERNATIONAL CORP.</w:t>
      </w:r>
    </w:p>
    <w:p>
      <w:pPr>
        <w:jc w:val="center"/>
        <w:ind w:left="660"/>
        <w:spacing w:after="0" w:line="234" w:lineRule="auto"/>
        <w:rPr>
          <w:sz w:val="20"/>
          <w:szCs w:val="20"/>
          <w:color w:val="auto"/>
        </w:rPr>
      </w:pPr>
      <w:r>
        <w:rPr>
          <w:rFonts w:ascii="Arial" w:cs="Arial" w:eastAsia="Arial" w:hAnsi="Arial"/>
          <w:sz w:val="18"/>
          <w:szCs w:val="18"/>
          <w:color w:val="auto"/>
        </w:rPr>
        <w:t>CONSOLIDATED STATEMENT OF INCOME</w:t>
      </w:r>
    </w:p>
    <w:p>
      <w:pPr>
        <w:jc w:val="center"/>
        <w:ind w:left="660"/>
        <w:spacing w:after="0" w:line="235" w:lineRule="auto"/>
        <w:rPr>
          <w:sz w:val="20"/>
          <w:szCs w:val="20"/>
          <w:color w:val="auto"/>
        </w:rPr>
      </w:pPr>
      <w:r>
        <w:rPr>
          <w:rFonts w:ascii="Arial" w:cs="Arial" w:eastAsia="Arial" w:hAnsi="Arial"/>
          <w:sz w:val="18"/>
          <w:szCs w:val="18"/>
          <w:color w:val="auto"/>
        </w:rPr>
        <w:t>(in thousands, except per share amounts)</w:t>
      </w:r>
    </w:p>
    <w:p>
      <w:pPr>
        <w:spacing w:after="0" w:line="1"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(unaudited)</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58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9"/>
              </w:rPr>
              <w:t>As adjusted for</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80" w:type="dxa"/>
            <w:vAlign w:val="bottom"/>
          </w:tcPr>
          <w:p>
            <w:pPr>
              <w:jc w:val="center"/>
              <w:spacing w:after="0" w:line="202" w:lineRule="exact"/>
              <w:rPr>
                <w:sz w:val="20"/>
                <w:szCs w:val="20"/>
                <w:color w:val="auto"/>
              </w:rPr>
            </w:pPr>
            <w:r>
              <w:rPr>
                <w:rFonts w:ascii="Arial" w:cs="Arial" w:eastAsia="Arial" w:hAnsi="Arial"/>
                <w:sz w:val="18"/>
                <w:szCs w:val="18"/>
                <w:color w:val="auto"/>
                <w:w w:val="99"/>
              </w:rPr>
              <w:t>the Three months</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40" w:type="dxa"/>
            <w:vAlign w:val="bottom"/>
          </w:tcPr>
          <w:p>
            <w:pPr>
              <w:spacing w:after="0"/>
              <w:rPr>
                <w:sz w:val="17"/>
                <w:szCs w:val="17"/>
                <w:color w:val="auto"/>
              </w:rPr>
            </w:pPr>
          </w:p>
        </w:tc>
        <w:tc>
          <w:tcPr>
            <w:tcW w:w="2040" w:type="dxa"/>
            <w:vAlign w:val="bottom"/>
            <w:gridSpan w:val="2"/>
          </w:tcPr>
          <w:p>
            <w:pPr>
              <w:jc w:val="center"/>
              <w:ind w:right="540"/>
              <w:spacing w:after="0" w:line="202" w:lineRule="exact"/>
              <w:rPr>
                <w:sz w:val="20"/>
                <w:szCs w:val="20"/>
                <w:color w:val="auto"/>
              </w:rPr>
            </w:pPr>
            <w:r>
              <w:rPr>
                <w:rFonts w:ascii="Arial" w:cs="Arial" w:eastAsia="Arial" w:hAnsi="Arial"/>
                <w:sz w:val="18"/>
                <w:szCs w:val="18"/>
                <w:color w:val="auto"/>
                <w:w w:val="99"/>
              </w:rPr>
              <w:t>As reported for</w:t>
            </w:r>
          </w:p>
        </w:tc>
        <w:tc>
          <w:tcPr>
            <w:tcW w:w="14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80" w:type="dxa"/>
            <w:vAlign w:val="bottom"/>
          </w:tcPr>
          <w:p>
            <w:pPr>
              <w:jc w:val="center"/>
              <w:spacing w:after="0" w:line="202" w:lineRule="exact"/>
              <w:rPr>
                <w:sz w:val="20"/>
                <w:szCs w:val="20"/>
                <w:color w:val="auto"/>
              </w:rPr>
            </w:pPr>
            <w:r>
              <w:rPr>
                <w:rFonts w:ascii="Arial" w:cs="Arial" w:eastAsia="Arial" w:hAnsi="Arial"/>
                <w:sz w:val="18"/>
                <w:szCs w:val="18"/>
                <w:color w:val="auto"/>
              </w:rPr>
              <w:t>ended March 31,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40" w:type="dxa"/>
            <w:vAlign w:val="bottom"/>
          </w:tcPr>
          <w:p>
            <w:pPr>
              <w:spacing w:after="0"/>
              <w:rPr>
                <w:sz w:val="17"/>
                <w:szCs w:val="17"/>
                <w:color w:val="auto"/>
              </w:rPr>
            </w:pPr>
          </w:p>
        </w:tc>
        <w:tc>
          <w:tcPr>
            <w:tcW w:w="2040" w:type="dxa"/>
            <w:vAlign w:val="bottom"/>
            <w:gridSpan w:val="2"/>
          </w:tcPr>
          <w:p>
            <w:pPr>
              <w:jc w:val="center"/>
              <w:ind w:right="540"/>
              <w:spacing w:after="0" w:line="202" w:lineRule="exact"/>
              <w:rPr>
                <w:sz w:val="20"/>
                <w:szCs w:val="20"/>
                <w:color w:val="auto"/>
              </w:rPr>
            </w:pPr>
            <w:r>
              <w:rPr>
                <w:rFonts w:ascii="Arial" w:cs="Arial" w:eastAsia="Arial" w:hAnsi="Arial"/>
                <w:sz w:val="18"/>
                <w:szCs w:val="18"/>
                <w:color w:val="auto"/>
              </w:rPr>
              <w:t>the Three Months</w:t>
            </w:r>
          </w:p>
        </w:tc>
        <w:tc>
          <w:tcPr>
            <w:tcW w:w="2040" w:type="dxa"/>
            <w:vAlign w:val="bottom"/>
            <w:gridSpan w:val="2"/>
          </w:tcPr>
          <w:p>
            <w:pPr>
              <w:jc w:val="center"/>
              <w:ind w:right="560"/>
              <w:spacing w:after="0" w:line="202" w:lineRule="exact"/>
              <w:rPr>
                <w:sz w:val="20"/>
                <w:szCs w:val="20"/>
                <w:color w:val="auto"/>
              </w:rPr>
            </w:pPr>
            <w:r>
              <w:rPr>
                <w:rFonts w:ascii="Arial" w:cs="Arial" w:eastAsia="Arial" w:hAnsi="Arial"/>
                <w:sz w:val="18"/>
                <w:szCs w:val="18"/>
                <w:color w:val="auto"/>
              </w:rPr>
              <w:t>Adjustments to</w:t>
            </w:r>
          </w:p>
        </w:tc>
        <w:tc>
          <w:tcPr>
            <w:tcW w:w="1480" w:type="dxa"/>
            <w:vAlign w:val="bottom"/>
          </w:tcPr>
          <w:p>
            <w:pPr>
              <w:jc w:val="center"/>
              <w:spacing w:after="0" w:line="202" w:lineRule="exact"/>
              <w:rPr>
                <w:sz w:val="20"/>
                <w:szCs w:val="20"/>
                <w:color w:val="auto"/>
              </w:rPr>
            </w:pPr>
            <w:r>
              <w:rPr>
                <w:rFonts w:ascii="Arial" w:cs="Arial" w:eastAsia="Arial" w:hAnsi="Arial"/>
                <w:sz w:val="18"/>
                <w:szCs w:val="18"/>
                <w:color w:val="auto"/>
              </w:rPr>
              <w:t>2018 to exclude</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40" w:type="dxa"/>
            <w:vAlign w:val="bottom"/>
          </w:tcPr>
          <w:p>
            <w:pPr>
              <w:spacing w:after="0"/>
              <w:rPr>
                <w:sz w:val="17"/>
                <w:szCs w:val="17"/>
                <w:color w:val="auto"/>
              </w:rPr>
            </w:pPr>
          </w:p>
        </w:tc>
        <w:tc>
          <w:tcPr>
            <w:tcW w:w="2040" w:type="dxa"/>
            <w:vAlign w:val="bottom"/>
            <w:gridSpan w:val="2"/>
          </w:tcPr>
          <w:p>
            <w:pPr>
              <w:jc w:val="center"/>
              <w:ind w:right="540"/>
              <w:spacing w:after="0" w:line="202" w:lineRule="exact"/>
              <w:rPr>
                <w:sz w:val="20"/>
                <w:szCs w:val="20"/>
                <w:color w:val="auto"/>
              </w:rPr>
            </w:pPr>
            <w:r>
              <w:rPr>
                <w:rFonts w:ascii="Arial" w:cs="Arial" w:eastAsia="Arial" w:hAnsi="Arial"/>
                <w:sz w:val="18"/>
                <w:szCs w:val="18"/>
                <w:color w:val="auto"/>
              </w:rPr>
              <w:t>Ended March 31,</w:t>
            </w:r>
          </w:p>
        </w:tc>
        <w:tc>
          <w:tcPr>
            <w:tcW w:w="2040" w:type="dxa"/>
            <w:vAlign w:val="bottom"/>
            <w:gridSpan w:val="2"/>
          </w:tcPr>
          <w:p>
            <w:pPr>
              <w:jc w:val="center"/>
              <w:ind w:right="540"/>
              <w:spacing w:after="0" w:line="202" w:lineRule="exact"/>
              <w:rPr>
                <w:sz w:val="20"/>
                <w:szCs w:val="20"/>
                <w:color w:val="auto"/>
              </w:rPr>
            </w:pPr>
            <w:r>
              <w:rPr>
                <w:rFonts w:ascii="Arial" w:cs="Arial" w:eastAsia="Arial" w:hAnsi="Arial"/>
                <w:sz w:val="18"/>
                <w:szCs w:val="18"/>
                <w:color w:val="auto"/>
                <w:w w:val="99"/>
              </w:rPr>
              <w:t>reverse effects of</w:t>
            </w:r>
          </w:p>
        </w:tc>
        <w:tc>
          <w:tcPr>
            <w:tcW w:w="1480" w:type="dxa"/>
            <w:vAlign w:val="bottom"/>
          </w:tcPr>
          <w:p>
            <w:pPr>
              <w:jc w:val="center"/>
              <w:spacing w:after="0" w:line="202" w:lineRule="exact"/>
              <w:rPr>
                <w:sz w:val="20"/>
                <w:szCs w:val="20"/>
                <w:color w:val="auto"/>
              </w:rPr>
            </w:pPr>
            <w:r>
              <w:rPr>
                <w:rFonts w:ascii="Arial" w:cs="Arial" w:eastAsia="Arial" w:hAnsi="Arial"/>
                <w:sz w:val="18"/>
                <w:szCs w:val="18"/>
                <w:color w:val="auto"/>
              </w:rPr>
              <w:t>adoption of ASC</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40" w:type="dxa"/>
            <w:vAlign w:val="bottom"/>
          </w:tcPr>
          <w:p>
            <w:pPr>
              <w:spacing w:after="0"/>
              <w:rPr>
                <w:sz w:val="17"/>
                <w:szCs w:val="17"/>
                <w:color w:val="auto"/>
              </w:rPr>
            </w:pPr>
          </w:p>
        </w:tc>
        <w:tc>
          <w:tcPr>
            <w:tcW w:w="1480" w:type="dxa"/>
            <w:vAlign w:val="bottom"/>
          </w:tcPr>
          <w:p>
            <w:pPr>
              <w:jc w:val="center"/>
              <w:spacing w:after="0" w:line="203" w:lineRule="exact"/>
              <w:rPr>
                <w:sz w:val="20"/>
                <w:szCs w:val="20"/>
                <w:color w:val="auto"/>
              </w:rPr>
            </w:pPr>
            <w:r>
              <w:rPr>
                <w:rFonts w:ascii="Arial" w:cs="Arial" w:eastAsia="Arial" w:hAnsi="Arial"/>
                <w:sz w:val="18"/>
                <w:szCs w:val="18"/>
                <w:color w:val="auto"/>
                <w:w w:val="99"/>
              </w:rPr>
              <w:t>2018</w:t>
            </w:r>
          </w:p>
        </w:tc>
        <w:tc>
          <w:tcPr>
            <w:tcW w:w="560" w:type="dxa"/>
            <w:vAlign w:val="bottom"/>
          </w:tcPr>
          <w:p>
            <w:pPr>
              <w:spacing w:after="0"/>
              <w:rPr>
                <w:sz w:val="17"/>
                <w:szCs w:val="17"/>
                <w:color w:val="auto"/>
              </w:rPr>
            </w:pPr>
          </w:p>
        </w:tc>
        <w:tc>
          <w:tcPr>
            <w:tcW w:w="2040" w:type="dxa"/>
            <w:vAlign w:val="bottom"/>
            <w:gridSpan w:val="2"/>
          </w:tcPr>
          <w:p>
            <w:pPr>
              <w:jc w:val="center"/>
              <w:ind w:right="560"/>
              <w:spacing w:after="0" w:line="203" w:lineRule="exact"/>
              <w:rPr>
                <w:sz w:val="20"/>
                <w:szCs w:val="20"/>
                <w:color w:val="auto"/>
              </w:rPr>
            </w:pPr>
            <w:r>
              <w:rPr>
                <w:rFonts w:ascii="Arial" w:cs="Arial" w:eastAsia="Arial" w:hAnsi="Arial"/>
                <w:sz w:val="18"/>
                <w:szCs w:val="18"/>
                <w:color w:val="auto"/>
                <w:w w:val="99"/>
              </w:rPr>
              <w:t>ASC 606</w:t>
            </w:r>
          </w:p>
        </w:tc>
        <w:tc>
          <w:tcPr>
            <w:tcW w:w="1480" w:type="dxa"/>
            <w:vAlign w:val="bottom"/>
          </w:tcPr>
          <w:p>
            <w:pPr>
              <w:jc w:val="center"/>
              <w:spacing w:after="0" w:line="203" w:lineRule="exact"/>
              <w:rPr>
                <w:sz w:val="20"/>
                <w:szCs w:val="20"/>
                <w:color w:val="auto"/>
              </w:rPr>
            </w:pPr>
            <w:r>
              <w:rPr>
                <w:rFonts w:ascii="Arial" w:cs="Arial" w:eastAsia="Arial" w:hAnsi="Arial"/>
                <w:sz w:val="18"/>
                <w:szCs w:val="18"/>
                <w:color w:val="auto"/>
                <w:w w:val="99"/>
              </w:rPr>
              <w:t>606</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5840" w:type="dxa"/>
            <w:vAlign w:val="bottom"/>
          </w:tcPr>
          <w:p>
            <w:pPr>
              <w:spacing w:after="0"/>
              <w:rPr>
                <w:sz w:val="17"/>
                <w:szCs w:val="17"/>
                <w:color w:val="auto"/>
              </w:rPr>
            </w:pPr>
          </w:p>
        </w:tc>
        <w:tc>
          <w:tcPr>
            <w:tcW w:w="1480" w:type="dxa"/>
            <w:vAlign w:val="bottom"/>
            <w:tcBorders>
              <w:top w:val="single" w:sz="8" w:color="auto"/>
            </w:tcBorders>
          </w:tcPr>
          <w:p>
            <w:pPr>
              <w:spacing w:after="0"/>
              <w:rPr>
                <w:sz w:val="17"/>
                <w:szCs w:val="17"/>
                <w:color w:val="auto"/>
              </w:rPr>
            </w:pPr>
          </w:p>
        </w:tc>
        <w:tc>
          <w:tcPr>
            <w:tcW w:w="560" w:type="dxa"/>
            <w:vAlign w:val="bottom"/>
          </w:tcPr>
          <w:p>
            <w:pPr>
              <w:spacing w:after="0"/>
              <w:rPr>
                <w:sz w:val="17"/>
                <w:szCs w:val="17"/>
                <w:color w:val="auto"/>
              </w:rPr>
            </w:pPr>
          </w:p>
        </w:tc>
        <w:tc>
          <w:tcPr>
            <w:tcW w:w="1480" w:type="dxa"/>
            <w:vAlign w:val="bottom"/>
            <w:tcBorders>
              <w:top w:val="single" w:sz="8" w:color="auto"/>
            </w:tcBorders>
          </w:tcPr>
          <w:p>
            <w:pPr>
              <w:spacing w:after="0"/>
              <w:rPr>
                <w:sz w:val="17"/>
                <w:szCs w:val="17"/>
                <w:color w:val="auto"/>
              </w:rPr>
            </w:pPr>
          </w:p>
        </w:tc>
        <w:tc>
          <w:tcPr>
            <w:tcW w:w="560" w:type="dxa"/>
            <w:vAlign w:val="bottom"/>
          </w:tcPr>
          <w:p>
            <w:pPr>
              <w:spacing w:after="0"/>
              <w:rPr>
                <w:sz w:val="17"/>
                <w:szCs w:val="17"/>
                <w:color w:val="auto"/>
              </w:rPr>
            </w:pPr>
          </w:p>
        </w:tc>
        <w:tc>
          <w:tcPr>
            <w:tcW w:w="148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840" w:type="dxa"/>
            <w:vAlign w:val="bottom"/>
            <w:shd w:val="clear" w:color="auto" w:fill="BFBFBF"/>
          </w:tcPr>
          <w:p>
            <w:pPr>
              <w:spacing w:after="0" w:line="202" w:lineRule="exact"/>
              <w:rPr>
                <w:sz w:val="20"/>
                <w:szCs w:val="20"/>
                <w:color w:val="auto"/>
              </w:rPr>
            </w:pPr>
            <w:r>
              <w:rPr>
                <w:rFonts w:ascii="Arial" w:cs="Arial" w:eastAsia="Arial" w:hAnsi="Arial"/>
                <w:sz w:val="18"/>
                <w:szCs w:val="18"/>
                <w:color w:val="auto"/>
              </w:rPr>
              <w:t>Net Sales</w:t>
            </w:r>
          </w:p>
        </w:tc>
        <w:tc>
          <w:tcPr>
            <w:tcW w:w="1480" w:type="dxa"/>
            <w:vAlign w:val="bottom"/>
            <w:shd w:val="clear" w:color="auto" w:fill="BFBFBF"/>
          </w:tcPr>
          <w:p>
            <w:pPr>
              <w:jc w:val="right"/>
              <w:ind w:right="10"/>
              <w:spacing w:after="0" w:line="202" w:lineRule="exact"/>
              <w:rPr>
                <w:sz w:val="20"/>
                <w:szCs w:val="20"/>
                <w:color w:val="auto"/>
              </w:rPr>
            </w:pPr>
            <w:r>
              <w:rPr>
                <w:rFonts w:ascii="Arial" w:cs="Arial" w:eastAsia="Arial" w:hAnsi="Arial"/>
                <w:sz w:val="18"/>
                <w:szCs w:val="18"/>
                <w:color w:val="auto"/>
              </w:rPr>
              <w:t>$229,981</w:t>
            </w:r>
          </w:p>
        </w:tc>
        <w:tc>
          <w:tcPr>
            <w:tcW w:w="560" w:type="dxa"/>
            <w:vAlign w:val="bottom"/>
            <w:shd w:val="clear" w:color="auto" w:fill="BFBFBF"/>
          </w:tcPr>
          <w:p>
            <w:pPr>
              <w:spacing w:after="0"/>
              <w:rPr>
                <w:sz w:val="17"/>
                <w:szCs w:val="17"/>
                <w:color w:val="auto"/>
              </w:rPr>
            </w:pPr>
          </w:p>
        </w:tc>
        <w:tc>
          <w:tcPr>
            <w:tcW w:w="1480" w:type="dxa"/>
            <w:vAlign w:val="bottom"/>
            <w:shd w:val="clear" w:color="auto" w:fill="BFBFBF"/>
          </w:tcPr>
          <w:p>
            <w:pPr>
              <w:jc w:val="right"/>
              <w:spacing w:after="0" w:line="202" w:lineRule="exact"/>
              <w:rPr>
                <w:sz w:val="20"/>
                <w:szCs w:val="20"/>
                <w:color w:val="auto"/>
              </w:rPr>
            </w:pPr>
            <w:r>
              <w:rPr>
                <w:rFonts w:ascii="Arial" w:cs="Arial" w:eastAsia="Arial" w:hAnsi="Arial"/>
                <w:sz w:val="18"/>
                <w:szCs w:val="18"/>
                <w:color w:val="auto"/>
              </w:rPr>
              <w:t>($8,434)</w:t>
            </w:r>
          </w:p>
        </w:tc>
        <w:tc>
          <w:tcPr>
            <w:tcW w:w="560" w:type="dxa"/>
            <w:vAlign w:val="bottom"/>
            <w:shd w:val="clear" w:color="auto" w:fill="BFBFBF"/>
          </w:tcPr>
          <w:p>
            <w:pPr>
              <w:spacing w:after="0"/>
              <w:rPr>
                <w:sz w:val="17"/>
                <w:szCs w:val="17"/>
                <w:color w:val="auto"/>
              </w:rPr>
            </w:pPr>
          </w:p>
        </w:tc>
        <w:tc>
          <w:tcPr>
            <w:tcW w:w="1480" w:type="dxa"/>
            <w:vAlign w:val="bottom"/>
            <w:shd w:val="clear" w:color="auto" w:fill="BFBFBF"/>
          </w:tcPr>
          <w:p>
            <w:pPr>
              <w:jc w:val="right"/>
              <w:ind w:right="10"/>
              <w:spacing w:after="0" w:line="202" w:lineRule="exact"/>
              <w:rPr>
                <w:sz w:val="20"/>
                <w:szCs w:val="20"/>
                <w:color w:val="auto"/>
              </w:rPr>
            </w:pPr>
            <w:r>
              <w:rPr>
                <w:rFonts w:ascii="Arial" w:cs="Arial" w:eastAsia="Arial" w:hAnsi="Arial"/>
                <w:sz w:val="18"/>
                <w:szCs w:val="18"/>
                <w:color w:val="auto"/>
              </w:rPr>
              <w:t>$221,547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Borders>
              <w:bottom w:val="single" w:sz="8" w:color="BFBFBF"/>
            </w:tcBorders>
          </w:tcPr>
          <w:p>
            <w:pPr>
              <w:spacing w:after="0"/>
              <w:rPr>
                <w:sz w:val="20"/>
                <w:szCs w:val="20"/>
                <w:color w:val="auto"/>
              </w:rPr>
            </w:pPr>
            <w:r>
              <w:rPr>
                <w:rFonts w:ascii="Arial" w:cs="Arial" w:eastAsia="Arial" w:hAnsi="Arial"/>
                <w:sz w:val="18"/>
                <w:szCs w:val="18"/>
                <w:color w:val="auto"/>
              </w:rPr>
              <w:t>Cost of goods sold</w:t>
            </w:r>
          </w:p>
        </w:tc>
        <w:tc>
          <w:tcPr>
            <w:tcW w:w="14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148,330</w:t>
            </w:r>
          </w:p>
        </w:tc>
        <w:tc>
          <w:tcPr>
            <w:tcW w:w="560" w:type="dxa"/>
            <w:vAlign w:val="bottom"/>
            <w:tcBorders>
              <w:bottom w:val="single" w:sz="8" w:color="BFBFBF"/>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(6,526)</w:t>
            </w:r>
          </w:p>
        </w:tc>
        <w:tc>
          <w:tcPr>
            <w:tcW w:w="560" w:type="dxa"/>
            <w:vAlign w:val="bottom"/>
            <w:tcBorders>
              <w:bottom w:val="single" w:sz="8" w:color="BFBFBF"/>
            </w:tcBorders>
          </w:tcPr>
          <w:p>
            <w:pPr>
              <w:spacing w:after="0"/>
              <w:rPr>
                <w:sz w:val="18"/>
                <w:szCs w:val="18"/>
                <w:color w:val="auto"/>
              </w:rPr>
            </w:pPr>
          </w:p>
        </w:tc>
        <w:tc>
          <w:tcPr>
            <w:tcW w:w="14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141,804</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5840" w:type="dxa"/>
            <w:vAlign w:val="bottom"/>
            <w:shd w:val="clear" w:color="auto" w:fill="BFBFBF"/>
          </w:tcPr>
          <w:p>
            <w:pPr>
              <w:spacing w:after="0"/>
              <w:rPr>
                <w:sz w:val="17"/>
                <w:szCs w:val="17"/>
                <w:color w:val="auto"/>
              </w:rPr>
            </w:pPr>
          </w:p>
        </w:tc>
        <w:tc>
          <w:tcPr>
            <w:tcW w:w="1480" w:type="dxa"/>
            <w:vAlign w:val="bottom"/>
            <w:shd w:val="clear" w:color="auto" w:fill="BFBFBF"/>
          </w:tcPr>
          <w:p>
            <w:pPr>
              <w:spacing w:after="0"/>
              <w:rPr>
                <w:sz w:val="17"/>
                <w:szCs w:val="17"/>
                <w:color w:val="auto"/>
              </w:rPr>
            </w:pPr>
          </w:p>
        </w:tc>
        <w:tc>
          <w:tcPr>
            <w:tcW w:w="560" w:type="dxa"/>
            <w:vAlign w:val="bottom"/>
            <w:shd w:val="clear" w:color="auto" w:fill="BFBFBF"/>
          </w:tcPr>
          <w:p>
            <w:pPr>
              <w:spacing w:after="0"/>
              <w:rPr>
                <w:sz w:val="17"/>
                <w:szCs w:val="17"/>
                <w:color w:val="auto"/>
              </w:rPr>
            </w:pPr>
          </w:p>
        </w:tc>
        <w:tc>
          <w:tcPr>
            <w:tcW w:w="1480" w:type="dxa"/>
            <w:vAlign w:val="bottom"/>
            <w:shd w:val="clear" w:color="auto" w:fill="BFBFBF"/>
          </w:tcPr>
          <w:p>
            <w:pPr>
              <w:spacing w:after="0"/>
              <w:rPr>
                <w:sz w:val="17"/>
                <w:szCs w:val="17"/>
                <w:color w:val="auto"/>
              </w:rPr>
            </w:pPr>
          </w:p>
        </w:tc>
        <w:tc>
          <w:tcPr>
            <w:tcW w:w="560" w:type="dxa"/>
            <w:vAlign w:val="bottom"/>
            <w:shd w:val="clear" w:color="auto" w:fill="BFBFBF"/>
          </w:tcPr>
          <w:p>
            <w:pPr>
              <w:spacing w:after="0"/>
              <w:rPr>
                <w:sz w:val="17"/>
                <w:szCs w:val="17"/>
                <w:color w:val="auto"/>
              </w:rPr>
            </w:pPr>
          </w:p>
        </w:tc>
        <w:tc>
          <w:tcPr>
            <w:tcW w:w="1480" w:type="dxa"/>
            <w:vAlign w:val="bottom"/>
            <w:shd w:val="clear" w:color="auto" w:fill="BFBFB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840" w:type="dxa"/>
            <w:vAlign w:val="bottom"/>
          </w:tcPr>
          <w:p>
            <w:pPr>
              <w:spacing w:after="0" w:line="202" w:lineRule="exact"/>
              <w:rPr>
                <w:sz w:val="20"/>
                <w:szCs w:val="20"/>
                <w:color w:val="auto"/>
              </w:rPr>
            </w:pPr>
            <w:r>
              <w:rPr>
                <w:rFonts w:ascii="Arial" w:cs="Arial" w:eastAsia="Arial" w:hAnsi="Arial"/>
                <w:sz w:val="18"/>
                <w:szCs w:val="18"/>
                <w:color w:val="auto"/>
              </w:rPr>
              <w:t>Gross profit</w:t>
            </w:r>
          </w:p>
        </w:tc>
        <w:tc>
          <w:tcPr>
            <w:tcW w:w="14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81,651</w:t>
            </w:r>
          </w:p>
        </w:tc>
        <w:tc>
          <w:tcPr>
            <w:tcW w:w="560" w:type="dxa"/>
            <w:vAlign w:val="bottom"/>
          </w:tcPr>
          <w:p>
            <w:pPr>
              <w:spacing w:after="0"/>
              <w:rPr>
                <w:sz w:val="17"/>
                <w:szCs w:val="17"/>
                <w:color w:val="auto"/>
              </w:rPr>
            </w:pPr>
          </w:p>
        </w:tc>
        <w:tc>
          <w:tcPr>
            <w:tcW w:w="1480" w:type="dxa"/>
            <w:vAlign w:val="bottom"/>
          </w:tcPr>
          <w:p>
            <w:pPr>
              <w:jc w:val="right"/>
              <w:spacing w:after="0" w:line="202" w:lineRule="exact"/>
              <w:rPr>
                <w:sz w:val="20"/>
                <w:szCs w:val="20"/>
                <w:color w:val="auto"/>
              </w:rPr>
            </w:pPr>
            <w:r>
              <w:rPr>
                <w:rFonts w:ascii="Arial" w:cs="Arial" w:eastAsia="Arial" w:hAnsi="Arial"/>
                <w:sz w:val="18"/>
                <w:szCs w:val="18"/>
                <w:color w:val="auto"/>
              </w:rPr>
              <w:t>(1,908)</w:t>
            </w:r>
          </w:p>
        </w:tc>
        <w:tc>
          <w:tcPr>
            <w:tcW w:w="560" w:type="dxa"/>
            <w:vAlign w:val="bottom"/>
          </w:tcPr>
          <w:p>
            <w:pPr>
              <w:spacing w:after="0"/>
              <w:rPr>
                <w:sz w:val="17"/>
                <w:szCs w:val="17"/>
                <w:color w:val="auto"/>
              </w:rPr>
            </w:pPr>
          </w:p>
        </w:tc>
        <w:tc>
          <w:tcPr>
            <w:tcW w:w="14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79,743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40" w:type="dxa"/>
            <w:vAlign w:val="bottom"/>
            <w:shd w:val="clear" w:color="auto" w:fill="BFBFBF"/>
          </w:tcPr>
          <w:p>
            <w:pPr>
              <w:ind w:left="140"/>
              <w:spacing w:after="0" w:line="202" w:lineRule="exact"/>
              <w:rPr>
                <w:sz w:val="20"/>
                <w:szCs w:val="20"/>
                <w:color w:val="auto"/>
              </w:rPr>
            </w:pPr>
            <w:r>
              <w:rPr>
                <w:rFonts w:ascii="Arial" w:cs="Arial" w:eastAsia="Arial" w:hAnsi="Arial"/>
                <w:sz w:val="18"/>
                <w:szCs w:val="18"/>
                <w:color w:val="auto"/>
              </w:rPr>
              <w:t>Selling, general, and administrative expenses</w:t>
            </w:r>
          </w:p>
        </w:tc>
        <w:tc>
          <w:tcPr>
            <w:tcW w:w="1480" w:type="dxa"/>
            <w:vAlign w:val="bottom"/>
            <w:shd w:val="clear" w:color="auto" w:fill="BFBFBF"/>
          </w:tcPr>
          <w:p>
            <w:pPr>
              <w:jc w:val="right"/>
              <w:ind w:right="10"/>
              <w:spacing w:after="0" w:line="202" w:lineRule="exact"/>
              <w:rPr>
                <w:sz w:val="20"/>
                <w:szCs w:val="20"/>
                <w:color w:val="auto"/>
              </w:rPr>
            </w:pPr>
            <w:r>
              <w:rPr>
                <w:rFonts w:ascii="Arial" w:cs="Arial" w:eastAsia="Arial" w:hAnsi="Arial"/>
                <w:sz w:val="18"/>
                <w:szCs w:val="18"/>
                <w:color w:val="auto"/>
              </w:rPr>
              <w:t>41,930</w:t>
            </w:r>
          </w:p>
        </w:tc>
        <w:tc>
          <w:tcPr>
            <w:tcW w:w="560" w:type="dxa"/>
            <w:vAlign w:val="bottom"/>
            <w:shd w:val="clear" w:color="auto" w:fill="BFBFBF"/>
          </w:tcPr>
          <w:p>
            <w:pPr>
              <w:spacing w:after="0"/>
              <w:rPr>
                <w:sz w:val="17"/>
                <w:szCs w:val="17"/>
                <w:color w:val="auto"/>
              </w:rPr>
            </w:pPr>
          </w:p>
        </w:tc>
        <w:tc>
          <w:tcPr>
            <w:tcW w:w="1480" w:type="dxa"/>
            <w:vAlign w:val="bottom"/>
            <w:shd w:val="clear" w:color="auto" w:fill="BFBFBF"/>
          </w:tcPr>
          <w:p>
            <w:pPr>
              <w:jc w:val="right"/>
              <w:spacing w:after="0" w:line="202" w:lineRule="exact"/>
              <w:rPr>
                <w:sz w:val="20"/>
                <w:szCs w:val="20"/>
                <w:color w:val="auto"/>
              </w:rPr>
            </w:pPr>
            <w:r>
              <w:rPr>
                <w:rFonts w:ascii="Arial" w:cs="Arial" w:eastAsia="Arial" w:hAnsi="Arial"/>
                <w:sz w:val="18"/>
                <w:szCs w:val="18"/>
                <w:color w:val="auto"/>
              </w:rPr>
              <w:t>(60)</w:t>
            </w:r>
          </w:p>
        </w:tc>
        <w:tc>
          <w:tcPr>
            <w:tcW w:w="560" w:type="dxa"/>
            <w:vAlign w:val="bottom"/>
            <w:shd w:val="clear" w:color="auto" w:fill="BFBFBF"/>
          </w:tcPr>
          <w:p>
            <w:pPr>
              <w:spacing w:after="0"/>
              <w:rPr>
                <w:sz w:val="17"/>
                <w:szCs w:val="17"/>
                <w:color w:val="auto"/>
              </w:rPr>
            </w:pPr>
          </w:p>
        </w:tc>
        <w:tc>
          <w:tcPr>
            <w:tcW w:w="1480" w:type="dxa"/>
            <w:vAlign w:val="bottom"/>
            <w:shd w:val="clear" w:color="auto" w:fill="BFBFBF"/>
          </w:tcPr>
          <w:p>
            <w:pPr>
              <w:jc w:val="right"/>
              <w:ind w:right="10"/>
              <w:spacing w:after="0" w:line="202" w:lineRule="exact"/>
              <w:rPr>
                <w:sz w:val="20"/>
                <w:szCs w:val="20"/>
                <w:color w:val="auto"/>
              </w:rPr>
            </w:pPr>
            <w:r>
              <w:rPr>
                <w:rFonts w:ascii="Arial" w:cs="Arial" w:eastAsia="Arial" w:hAnsi="Arial"/>
                <w:sz w:val="18"/>
                <w:szCs w:val="18"/>
                <w:color w:val="auto"/>
              </w:rPr>
              <w:t>41,870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40" w:type="dxa"/>
            <w:vAlign w:val="bottom"/>
          </w:tcPr>
          <w:p>
            <w:pPr>
              <w:ind w:left="140"/>
              <w:spacing w:after="0" w:line="202" w:lineRule="exact"/>
              <w:rPr>
                <w:sz w:val="20"/>
                <w:szCs w:val="20"/>
                <w:color w:val="auto"/>
              </w:rPr>
            </w:pPr>
            <w:r>
              <w:rPr>
                <w:rFonts w:ascii="Arial" w:cs="Arial" w:eastAsia="Arial" w:hAnsi="Arial"/>
                <w:sz w:val="18"/>
                <w:szCs w:val="18"/>
                <w:color w:val="auto"/>
              </w:rPr>
              <w:t>Technical and research expenses</w:t>
            </w:r>
          </w:p>
        </w:tc>
        <w:tc>
          <w:tcPr>
            <w:tcW w:w="14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10,317</w:t>
            </w:r>
          </w:p>
        </w:tc>
        <w:tc>
          <w:tcPr>
            <w:tcW w:w="560" w:type="dxa"/>
            <w:vAlign w:val="bottom"/>
          </w:tcPr>
          <w:p>
            <w:pPr>
              <w:spacing w:after="0"/>
              <w:rPr>
                <w:sz w:val="17"/>
                <w:szCs w:val="17"/>
                <w:color w:val="auto"/>
              </w:rPr>
            </w:pPr>
          </w:p>
        </w:tc>
        <w:tc>
          <w:tcPr>
            <w:tcW w:w="14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560" w:type="dxa"/>
            <w:vAlign w:val="bottom"/>
          </w:tcPr>
          <w:p>
            <w:pPr>
              <w:spacing w:after="0"/>
              <w:rPr>
                <w:sz w:val="17"/>
                <w:szCs w:val="17"/>
                <w:color w:val="auto"/>
              </w:rPr>
            </w:pPr>
          </w:p>
        </w:tc>
        <w:tc>
          <w:tcPr>
            <w:tcW w:w="14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10,317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BFBFBF"/>
          </w:tcPr>
          <w:p>
            <w:pPr>
              <w:ind w:left="140"/>
              <w:spacing w:after="0"/>
              <w:rPr>
                <w:sz w:val="20"/>
                <w:szCs w:val="20"/>
                <w:color w:val="auto"/>
              </w:rPr>
            </w:pPr>
            <w:r>
              <w:rPr>
                <w:rFonts w:ascii="Arial" w:cs="Arial" w:eastAsia="Arial" w:hAnsi="Arial"/>
                <w:sz w:val="18"/>
                <w:szCs w:val="18"/>
                <w:color w:val="auto"/>
              </w:rPr>
              <w:t>Restructuring expenses, net</w:t>
            </w:r>
          </w:p>
        </w:tc>
        <w:tc>
          <w:tcPr>
            <w:tcW w:w="1480" w:type="dxa"/>
            <w:vAlign w:val="bottom"/>
            <w:tcBorders>
              <w:bottom w:val="single" w:sz="8" w:color="auto"/>
            </w:tcBorders>
            <w:shd w:val="clear" w:color="auto" w:fill="BFBFBF"/>
          </w:tcPr>
          <w:p>
            <w:pPr>
              <w:jc w:val="right"/>
              <w:ind w:right="10"/>
              <w:spacing w:after="0"/>
              <w:rPr>
                <w:sz w:val="20"/>
                <w:szCs w:val="20"/>
                <w:color w:val="auto"/>
              </w:rPr>
            </w:pPr>
            <w:r>
              <w:rPr>
                <w:rFonts w:ascii="Arial" w:cs="Arial" w:eastAsia="Arial" w:hAnsi="Arial"/>
                <w:sz w:val="18"/>
                <w:szCs w:val="18"/>
                <w:color w:val="auto"/>
              </w:rPr>
              <w:t>8,573</w:t>
            </w:r>
          </w:p>
        </w:tc>
        <w:tc>
          <w:tcPr>
            <w:tcW w:w="560" w:type="dxa"/>
            <w:vAlign w:val="bottom"/>
            <w:shd w:val="clear" w:color="auto" w:fill="BFBFBF"/>
          </w:tcPr>
          <w:p>
            <w:pPr>
              <w:spacing w:after="0"/>
              <w:rPr>
                <w:sz w:val="18"/>
                <w:szCs w:val="18"/>
                <w:color w:val="auto"/>
              </w:rPr>
            </w:pPr>
          </w:p>
        </w:tc>
        <w:tc>
          <w:tcPr>
            <w:tcW w:w="1480" w:type="dxa"/>
            <w:vAlign w:val="bottom"/>
            <w:tcBorders>
              <w:bottom w:val="single" w:sz="8" w:color="auto"/>
            </w:tcBorders>
            <w:shd w:val="clear" w:color="auto" w:fill="BFBFBF"/>
          </w:tcPr>
          <w:p>
            <w:pPr>
              <w:jc w:val="right"/>
              <w:ind w:right="10"/>
              <w:spacing w:after="0"/>
              <w:rPr>
                <w:sz w:val="20"/>
                <w:szCs w:val="20"/>
                <w:color w:val="auto"/>
              </w:rPr>
            </w:pPr>
            <w:r>
              <w:rPr>
                <w:rFonts w:ascii="Arial" w:cs="Arial" w:eastAsia="Arial" w:hAnsi="Arial"/>
                <w:sz w:val="18"/>
                <w:szCs w:val="18"/>
                <w:color w:val="auto"/>
              </w:rPr>
              <w:t>-</w:t>
            </w:r>
          </w:p>
        </w:tc>
        <w:tc>
          <w:tcPr>
            <w:tcW w:w="560" w:type="dxa"/>
            <w:vAlign w:val="bottom"/>
            <w:shd w:val="clear" w:color="auto" w:fill="BFBFBF"/>
          </w:tcPr>
          <w:p>
            <w:pPr>
              <w:spacing w:after="0"/>
              <w:rPr>
                <w:sz w:val="18"/>
                <w:szCs w:val="18"/>
                <w:color w:val="auto"/>
              </w:rPr>
            </w:pPr>
          </w:p>
        </w:tc>
        <w:tc>
          <w:tcPr>
            <w:tcW w:w="1480" w:type="dxa"/>
            <w:vAlign w:val="bottom"/>
            <w:tcBorders>
              <w:bottom w:val="single" w:sz="8" w:color="auto"/>
            </w:tcBorders>
            <w:shd w:val="clear" w:color="auto" w:fill="BFBFBF"/>
          </w:tcPr>
          <w:p>
            <w:pPr>
              <w:jc w:val="right"/>
              <w:ind w:right="10"/>
              <w:spacing w:after="0"/>
              <w:rPr>
                <w:sz w:val="20"/>
                <w:szCs w:val="20"/>
                <w:color w:val="auto"/>
              </w:rPr>
            </w:pPr>
            <w:r>
              <w:rPr>
                <w:rFonts w:ascii="Arial" w:cs="Arial" w:eastAsia="Arial" w:hAnsi="Arial"/>
                <w:sz w:val="18"/>
                <w:szCs w:val="18"/>
                <w:color w:val="auto"/>
              </w:rPr>
              <w:t>8,573</w:t>
            </w:r>
          </w:p>
        </w:tc>
        <w:tc>
          <w:tcPr>
            <w:tcW w:w="0" w:type="dxa"/>
            <w:vAlign w:val="bottom"/>
          </w:tcPr>
          <w:p>
            <w:pPr>
              <w:spacing w:after="0"/>
              <w:rPr>
                <w:sz w:val="1"/>
                <w:szCs w:val="1"/>
                <w:color w:val="auto"/>
              </w:rPr>
            </w:pPr>
          </w:p>
        </w:tc>
      </w:tr>
      <w:tr>
        <w:trPr>
          <w:trHeight w:val="399"/>
        </w:trPr>
        <w:tc>
          <w:tcPr>
            <w:tcW w:w="5860" w:type="dxa"/>
            <w:vAlign w:val="bottom"/>
            <w:gridSpan w:val="2"/>
          </w:tcPr>
          <w:p>
            <w:pPr>
              <w:spacing w:after="0"/>
              <w:rPr>
                <w:sz w:val="20"/>
                <w:szCs w:val="20"/>
                <w:color w:val="auto"/>
              </w:rPr>
            </w:pPr>
            <w:r>
              <w:rPr>
                <w:rFonts w:ascii="Arial" w:cs="Arial" w:eastAsia="Arial" w:hAnsi="Arial"/>
                <w:sz w:val="18"/>
                <w:szCs w:val="18"/>
                <w:color w:val="auto"/>
              </w:rPr>
              <w:t>Operating income</w:t>
            </w: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20,831</w:t>
            </w:r>
          </w:p>
        </w:tc>
        <w:tc>
          <w:tcPr>
            <w:tcW w:w="56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(1,848)</w:t>
            </w:r>
          </w:p>
        </w:tc>
        <w:tc>
          <w:tcPr>
            <w:tcW w:w="560" w:type="dxa"/>
            <w:vAlign w:val="bottom"/>
          </w:tcPr>
          <w:p>
            <w:pPr>
              <w:spacing w:after="0"/>
              <w:rPr>
                <w:sz w:val="24"/>
                <w:szCs w:val="24"/>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18,983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40" w:type="dxa"/>
            <w:vAlign w:val="bottom"/>
            <w:shd w:val="clear" w:color="auto" w:fill="BFBFBF"/>
          </w:tcPr>
          <w:p>
            <w:pPr>
              <w:ind w:left="140"/>
              <w:spacing w:after="0" w:line="202" w:lineRule="exact"/>
              <w:rPr>
                <w:sz w:val="20"/>
                <w:szCs w:val="20"/>
                <w:color w:val="auto"/>
              </w:rPr>
            </w:pPr>
            <w:r>
              <w:rPr>
                <w:rFonts w:ascii="Arial" w:cs="Arial" w:eastAsia="Arial" w:hAnsi="Arial"/>
                <w:sz w:val="18"/>
                <w:szCs w:val="18"/>
                <w:color w:val="auto"/>
              </w:rPr>
              <w:t>Interest expense, net</w:t>
            </w:r>
          </w:p>
        </w:tc>
        <w:tc>
          <w:tcPr>
            <w:tcW w:w="1480" w:type="dxa"/>
            <w:vAlign w:val="bottom"/>
            <w:shd w:val="clear" w:color="auto" w:fill="BFBFBF"/>
          </w:tcPr>
          <w:p>
            <w:pPr>
              <w:jc w:val="right"/>
              <w:ind w:right="10"/>
              <w:spacing w:after="0" w:line="202" w:lineRule="exact"/>
              <w:rPr>
                <w:sz w:val="20"/>
                <w:szCs w:val="20"/>
                <w:color w:val="auto"/>
              </w:rPr>
            </w:pPr>
            <w:r>
              <w:rPr>
                <w:rFonts w:ascii="Arial" w:cs="Arial" w:eastAsia="Arial" w:hAnsi="Arial"/>
                <w:sz w:val="18"/>
                <w:szCs w:val="18"/>
                <w:color w:val="auto"/>
              </w:rPr>
              <w:t>4,288</w:t>
            </w:r>
          </w:p>
        </w:tc>
        <w:tc>
          <w:tcPr>
            <w:tcW w:w="560" w:type="dxa"/>
            <w:vAlign w:val="bottom"/>
            <w:shd w:val="clear" w:color="auto" w:fill="BFBFBF"/>
          </w:tcPr>
          <w:p>
            <w:pPr>
              <w:spacing w:after="0"/>
              <w:rPr>
                <w:sz w:val="17"/>
                <w:szCs w:val="17"/>
                <w:color w:val="auto"/>
              </w:rPr>
            </w:pPr>
          </w:p>
        </w:tc>
        <w:tc>
          <w:tcPr>
            <w:tcW w:w="1480" w:type="dxa"/>
            <w:vAlign w:val="bottom"/>
            <w:shd w:val="clear" w:color="auto" w:fill="BFBFBF"/>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560" w:type="dxa"/>
            <w:vAlign w:val="bottom"/>
            <w:shd w:val="clear" w:color="auto" w:fill="BFBFBF"/>
          </w:tcPr>
          <w:p>
            <w:pPr>
              <w:spacing w:after="0"/>
              <w:rPr>
                <w:sz w:val="17"/>
                <w:szCs w:val="17"/>
                <w:color w:val="auto"/>
              </w:rPr>
            </w:pPr>
          </w:p>
        </w:tc>
        <w:tc>
          <w:tcPr>
            <w:tcW w:w="1480" w:type="dxa"/>
            <w:vAlign w:val="bottom"/>
            <w:shd w:val="clear" w:color="auto" w:fill="BFBFBF"/>
          </w:tcPr>
          <w:p>
            <w:pPr>
              <w:jc w:val="right"/>
              <w:ind w:right="10"/>
              <w:spacing w:after="0" w:line="202" w:lineRule="exact"/>
              <w:rPr>
                <w:sz w:val="20"/>
                <w:szCs w:val="20"/>
                <w:color w:val="auto"/>
              </w:rPr>
            </w:pPr>
            <w:r>
              <w:rPr>
                <w:rFonts w:ascii="Arial" w:cs="Arial" w:eastAsia="Arial" w:hAnsi="Arial"/>
                <w:sz w:val="18"/>
                <w:szCs w:val="18"/>
                <w:color w:val="auto"/>
              </w:rPr>
              <w:t>4,288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Borders>
              <w:bottom w:val="single" w:sz="8" w:color="BFBFBF"/>
            </w:tcBorders>
          </w:tcPr>
          <w:p>
            <w:pPr>
              <w:ind w:left="140"/>
              <w:spacing w:after="0"/>
              <w:rPr>
                <w:sz w:val="20"/>
                <w:szCs w:val="20"/>
                <w:color w:val="auto"/>
              </w:rPr>
            </w:pPr>
            <w:r>
              <w:rPr>
                <w:rFonts w:ascii="Arial" w:cs="Arial" w:eastAsia="Arial" w:hAnsi="Arial"/>
                <w:sz w:val="18"/>
                <w:szCs w:val="18"/>
                <w:color w:val="auto"/>
              </w:rPr>
              <w:t>Other expense, net</w:t>
            </w:r>
          </w:p>
        </w:tc>
        <w:tc>
          <w:tcPr>
            <w:tcW w:w="14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1,452</w:t>
            </w:r>
          </w:p>
        </w:tc>
        <w:tc>
          <w:tcPr>
            <w:tcW w:w="560" w:type="dxa"/>
            <w:vAlign w:val="bottom"/>
            <w:tcBorders>
              <w:bottom w:val="single" w:sz="8" w:color="BFBFBF"/>
            </w:tcBorders>
          </w:tcPr>
          <w:p>
            <w:pPr>
              <w:spacing w:after="0"/>
              <w:rPr>
                <w:sz w:val="18"/>
                <w:szCs w:val="18"/>
                <w:color w:val="auto"/>
              </w:rPr>
            </w:pPr>
          </w:p>
        </w:tc>
        <w:tc>
          <w:tcPr>
            <w:tcW w:w="14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BFBFBF"/>
            </w:tcBorders>
          </w:tcPr>
          <w:p>
            <w:pPr>
              <w:spacing w:after="0"/>
              <w:rPr>
                <w:sz w:val="18"/>
                <w:szCs w:val="18"/>
                <w:color w:val="auto"/>
              </w:rPr>
            </w:pPr>
          </w:p>
        </w:tc>
        <w:tc>
          <w:tcPr>
            <w:tcW w:w="14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1,452</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5840" w:type="dxa"/>
            <w:vAlign w:val="bottom"/>
            <w:shd w:val="clear" w:color="auto" w:fill="BFBFBF"/>
          </w:tcPr>
          <w:p>
            <w:pPr>
              <w:spacing w:after="0"/>
              <w:rPr>
                <w:sz w:val="17"/>
                <w:szCs w:val="17"/>
                <w:color w:val="auto"/>
              </w:rPr>
            </w:pPr>
          </w:p>
        </w:tc>
        <w:tc>
          <w:tcPr>
            <w:tcW w:w="1480" w:type="dxa"/>
            <w:vAlign w:val="bottom"/>
            <w:shd w:val="clear" w:color="auto" w:fill="BFBFBF"/>
          </w:tcPr>
          <w:p>
            <w:pPr>
              <w:spacing w:after="0"/>
              <w:rPr>
                <w:sz w:val="17"/>
                <w:szCs w:val="17"/>
                <w:color w:val="auto"/>
              </w:rPr>
            </w:pPr>
          </w:p>
        </w:tc>
        <w:tc>
          <w:tcPr>
            <w:tcW w:w="560" w:type="dxa"/>
            <w:vAlign w:val="bottom"/>
            <w:shd w:val="clear" w:color="auto" w:fill="BFBFBF"/>
          </w:tcPr>
          <w:p>
            <w:pPr>
              <w:spacing w:after="0"/>
              <w:rPr>
                <w:sz w:val="17"/>
                <w:szCs w:val="17"/>
                <w:color w:val="auto"/>
              </w:rPr>
            </w:pPr>
          </w:p>
        </w:tc>
        <w:tc>
          <w:tcPr>
            <w:tcW w:w="1480" w:type="dxa"/>
            <w:vAlign w:val="bottom"/>
            <w:shd w:val="clear" w:color="auto" w:fill="BFBFBF"/>
          </w:tcPr>
          <w:p>
            <w:pPr>
              <w:spacing w:after="0"/>
              <w:rPr>
                <w:sz w:val="17"/>
                <w:szCs w:val="17"/>
                <w:color w:val="auto"/>
              </w:rPr>
            </w:pPr>
          </w:p>
        </w:tc>
        <w:tc>
          <w:tcPr>
            <w:tcW w:w="560" w:type="dxa"/>
            <w:vAlign w:val="bottom"/>
            <w:shd w:val="clear" w:color="auto" w:fill="BFBFBF"/>
          </w:tcPr>
          <w:p>
            <w:pPr>
              <w:spacing w:after="0"/>
              <w:rPr>
                <w:sz w:val="17"/>
                <w:szCs w:val="17"/>
                <w:color w:val="auto"/>
              </w:rPr>
            </w:pPr>
          </w:p>
        </w:tc>
        <w:tc>
          <w:tcPr>
            <w:tcW w:w="1480" w:type="dxa"/>
            <w:vAlign w:val="bottom"/>
            <w:shd w:val="clear" w:color="auto" w:fill="BFBFB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840" w:type="dxa"/>
            <w:vAlign w:val="bottom"/>
          </w:tcPr>
          <w:p>
            <w:pPr>
              <w:spacing w:after="0" w:line="202" w:lineRule="exact"/>
              <w:rPr>
                <w:sz w:val="20"/>
                <w:szCs w:val="20"/>
                <w:color w:val="auto"/>
              </w:rPr>
            </w:pPr>
            <w:r>
              <w:rPr>
                <w:rFonts w:ascii="Arial" w:cs="Arial" w:eastAsia="Arial" w:hAnsi="Arial"/>
                <w:sz w:val="18"/>
                <w:szCs w:val="18"/>
                <w:color w:val="auto"/>
              </w:rPr>
              <w:t>Income before income taxes</w:t>
            </w:r>
          </w:p>
        </w:tc>
        <w:tc>
          <w:tcPr>
            <w:tcW w:w="14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15,091</w:t>
            </w:r>
          </w:p>
        </w:tc>
        <w:tc>
          <w:tcPr>
            <w:tcW w:w="560" w:type="dxa"/>
            <w:vAlign w:val="bottom"/>
          </w:tcPr>
          <w:p>
            <w:pPr>
              <w:spacing w:after="0"/>
              <w:rPr>
                <w:sz w:val="17"/>
                <w:szCs w:val="17"/>
                <w:color w:val="auto"/>
              </w:rPr>
            </w:pPr>
          </w:p>
        </w:tc>
        <w:tc>
          <w:tcPr>
            <w:tcW w:w="1480" w:type="dxa"/>
            <w:vAlign w:val="bottom"/>
          </w:tcPr>
          <w:p>
            <w:pPr>
              <w:jc w:val="right"/>
              <w:spacing w:after="0" w:line="202" w:lineRule="exact"/>
              <w:rPr>
                <w:sz w:val="20"/>
                <w:szCs w:val="20"/>
                <w:color w:val="auto"/>
              </w:rPr>
            </w:pPr>
            <w:r>
              <w:rPr>
                <w:rFonts w:ascii="Arial" w:cs="Arial" w:eastAsia="Arial" w:hAnsi="Arial"/>
                <w:sz w:val="18"/>
                <w:szCs w:val="18"/>
                <w:color w:val="auto"/>
              </w:rPr>
              <w:t>(1,848)</w:t>
            </w:r>
          </w:p>
        </w:tc>
        <w:tc>
          <w:tcPr>
            <w:tcW w:w="560" w:type="dxa"/>
            <w:vAlign w:val="bottom"/>
          </w:tcPr>
          <w:p>
            <w:pPr>
              <w:spacing w:after="0"/>
              <w:rPr>
                <w:sz w:val="17"/>
                <w:szCs w:val="17"/>
                <w:color w:val="auto"/>
              </w:rPr>
            </w:pPr>
          </w:p>
        </w:tc>
        <w:tc>
          <w:tcPr>
            <w:tcW w:w="14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13,243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BFBFBF"/>
          </w:tcPr>
          <w:p>
            <w:pPr>
              <w:ind w:left="140"/>
              <w:spacing w:after="0"/>
              <w:rPr>
                <w:sz w:val="20"/>
                <w:szCs w:val="20"/>
                <w:color w:val="auto"/>
              </w:rPr>
            </w:pPr>
            <w:r>
              <w:rPr>
                <w:rFonts w:ascii="Arial" w:cs="Arial" w:eastAsia="Arial" w:hAnsi="Arial"/>
                <w:sz w:val="18"/>
                <w:szCs w:val="18"/>
                <w:color w:val="auto"/>
              </w:rPr>
              <w:t>Income tax expense</w:t>
            </w:r>
          </w:p>
        </w:tc>
        <w:tc>
          <w:tcPr>
            <w:tcW w:w="1480" w:type="dxa"/>
            <w:vAlign w:val="bottom"/>
            <w:tcBorders>
              <w:bottom w:val="single" w:sz="8" w:color="auto"/>
            </w:tcBorders>
            <w:shd w:val="clear" w:color="auto" w:fill="BFBFBF"/>
          </w:tcPr>
          <w:p>
            <w:pPr>
              <w:jc w:val="right"/>
              <w:ind w:right="10"/>
              <w:spacing w:after="0"/>
              <w:rPr>
                <w:sz w:val="20"/>
                <w:szCs w:val="20"/>
                <w:color w:val="auto"/>
              </w:rPr>
            </w:pPr>
            <w:r>
              <w:rPr>
                <w:rFonts w:ascii="Arial" w:cs="Arial" w:eastAsia="Arial" w:hAnsi="Arial"/>
                <w:sz w:val="18"/>
                <w:szCs w:val="18"/>
                <w:color w:val="auto"/>
              </w:rPr>
              <w:t>4,609</w:t>
            </w:r>
          </w:p>
        </w:tc>
        <w:tc>
          <w:tcPr>
            <w:tcW w:w="560" w:type="dxa"/>
            <w:vAlign w:val="bottom"/>
            <w:shd w:val="clear" w:color="auto" w:fill="BFBFBF"/>
          </w:tcPr>
          <w:p>
            <w:pPr>
              <w:spacing w:after="0"/>
              <w:rPr>
                <w:sz w:val="18"/>
                <w:szCs w:val="18"/>
                <w:color w:val="auto"/>
              </w:rPr>
            </w:pPr>
          </w:p>
        </w:tc>
        <w:tc>
          <w:tcPr>
            <w:tcW w:w="1480" w:type="dxa"/>
            <w:vAlign w:val="bottom"/>
            <w:tcBorders>
              <w:bottom w:val="single" w:sz="8" w:color="auto"/>
            </w:tcBorders>
            <w:shd w:val="clear" w:color="auto" w:fill="BFBFBF"/>
          </w:tcPr>
          <w:p>
            <w:pPr>
              <w:jc w:val="right"/>
              <w:spacing w:after="0"/>
              <w:rPr>
                <w:sz w:val="20"/>
                <w:szCs w:val="20"/>
                <w:color w:val="auto"/>
              </w:rPr>
            </w:pPr>
            <w:r>
              <w:rPr>
                <w:rFonts w:ascii="Arial" w:cs="Arial" w:eastAsia="Arial" w:hAnsi="Arial"/>
                <w:sz w:val="18"/>
                <w:szCs w:val="18"/>
                <w:color w:val="auto"/>
              </w:rPr>
              <w:t>(601)</w:t>
            </w:r>
          </w:p>
        </w:tc>
        <w:tc>
          <w:tcPr>
            <w:tcW w:w="560" w:type="dxa"/>
            <w:vAlign w:val="bottom"/>
            <w:shd w:val="clear" w:color="auto" w:fill="BFBFBF"/>
          </w:tcPr>
          <w:p>
            <w:pPr>
              <w:spacing w:after="0"/>
              <w:rPr>
                <w:sz w:val="18"/>
                <w:szCs w:val="18"/>
                <w:color w:val="auto"/>
              </w:rPr>
            </w:pPr>
          </w:p>
        </w:tc>
        <w:tc>
          <w:tcPr>
            <w:tcW w:w="1480" w:type="dxa"/>
            <w:vAlign w:val="bottom"/>
            <w:tcBorders>
              <w:bottom w:val="single" w:sz="8" w:color="auto"/>
            </w:tcBorders>
            <w:shd w:val="clear" w:color="auto" w:fill="BFBFBF"/>
          </w:tcPr>
          <w:p>
            <w:pPr>
              <w:jc w:val="right"/>
              <w:ind w:right="10"/>
              <w:spacing w:after="0"/>
              <w:rPr>
                <w:sz w:val="20"/>
                <w:szCs w:val="20"/>
                <w:color w:val="auto"/>
              </w:rPr>
            </w:pPr>
            <w:r>
              <w:rPr>
                <w:rFonts w:ascii="Arial" w:cs="Arial" w:eastAsia="Arial" w:hAnsi="Arial"/>
                <w:sz w:val="18"/>
                <w:szCs w:val="18"/>
                <w:color w:val="auto"/>
              </w:rPr>
              <w:t>4,008</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8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40" w:type="dxa"/>
            <w:vAlign w:val="bottom"/>
            <w:shd w:val="clear" w:color="auto" w:fill="BFBFBF"/>
          </w:tcPr>
          <w:p>
            <w:pPr>
              <w:ind w:left="40"/>
              <w:spacing w:after="0" w:line="202" w:lineRule="exact"/>
              <w:rPr>
                <w:sz w:val="20"/>
                <w:szCs w:val="20"/>
                <w:color w:val="auto"/>
              </w:rPr>
            </w:pPr>
            <w:r>
              <w:rPr>
                <w:rFonts w:ascii="Arial" w:cs="Arial" w:eastAsia="Arial" w:hAnsi="Arial"/>
                <w:sz w:val="18"/>
                <w:szCs w:val="18"/>
                <w:color w:val="auto"/>
              </w:rPr>
              <w:t>Net income</w:t>
            </w:r>
          </w:p>
        </w:tc>
        <w:tc>
          <w:tcPr>
            <w:tcW w:w="1480" w:type="dxa"/>
            <w:vAlign w:val="bottom"/>
            <w:shd w:val="clear" w:color="auto" w:fill="BFBFBF"/>
          </w:tcPr>
          <w:p>
            <w:pPr>
              <w:jc w:val="right"/>
              <w:ind w:right="10"/>
              <w:spacing w:after="0" w:line="202" w:lineRule="exact"/>
              <w:rPr>
                <w:sz w:val="20"/>
                <w:szCs w:val="20"/>
                <w:color w:val="auto"/>
              </w:rPr>
            </w:pPr>
            <w:r>
              <w:rPr>
                <w:rFonts w:ascii="Arial" w:cs="Arial" w:eastAsia="Arial" w:hAnsi="Arial"/>
                <w:sz w:val="18"/>
                <w:szCs w:val="18"/>
                <w:color w:val="auto"/>
              </w:rPr>
              <w:t>10,482</w:t>
            </w:r>
          </w:p>
        </w:tc>
        <w:tc>
          <w:tcPr>
            <w:tcW w:w="560" w:type="dxa"/>
            <w:vAlign w:val="bottom"/>
            <w:shd w:val="clear" w:color="auto" w:fill="BFBFBF"/>
          </w:tcPr>
          <w:p>
            <w:pPr>
              <w:spacing w:after="0"/>
              <w:rPr>
                <w:sz w:val="17"/>
                <w:szCs w:val="17"/>
                <w:color w:val="auto"/>
              </w:rPr>
            </w:pPr>
          </w:p>
        </w:tc>
        <w:tc>
          <w:tcPr>
            <w:tcW w:w="1480" w:type="dxa"/>
            <w:vAlign w:val="bottom"/>
            <w:shd w:val="clear" w:color="auto" w:fill="BFBFBF"/>
          </w:tcPr>
          <w:p>
            <w:pPr>
              <w:jc w:val="right"/>
              <w:spacing w:after="0" w:line="202" w:lineRule="exact"/>
              <w:rPr>
                <w:sz w:val="20"/>
                <w:szCs w:val="20"/>
                <w:color w:val="auto"/>
              </w:rPr>
            </w:pPr>
            <w:r>
              <w:rPr>
                <w:rFonts w:ascii="Arial" w:cs="Arial" w:eastAsia="Arial" w:hAnsi="Arial"/>
                <w:sz w:val="18"/>
                <w:szCs w:val="18"/>
                <w:color w:val="auto"/>
              </w:rPr>
              <w:t>(1,247)</w:t>
            </w:r>
          </w:p>
        </w:tc>
        <w:tc>
          <w:tcPr>
            <w:tcW w:w="560" w:type="dxa"/>
            <w:vAlign w:val="bottom"/>
            <w:shd w:val="clear" w:color="auto" w:fill="BFBFBF"/>
          </w:tcPr>
          <w:p>
            <w:pPr>
              <w:spacing w:after="0"/>
              <w:rPr>
                <w:sz w:val="17"/>
                <w:szCs w:val="17"/>
                <w:color w:val="auto"/>
              </w:rPr>
            </w:pPr>
          </w:p>
        </w:tc>
        <w:tc>
          <w:tcPr>
            <w:tcW w:w="1480" w:type="dxa"/>
            <w:vAlign w:val="bottom"/>
            <w:shd w:val="clear" w:color="auto" w:fill="BFBFBF"/>
          </w:tcPr>
          <w:p>
            <w:pPr>
              <w:jc w:val="right"/>
              <w:ind w:right="10"/>
              <w:spacing w:after="0" w:line="202" w:lineRule="exact"/>
              <w:rPr>
                <w:sz w:val="20"/>
                <w:szCs w:val="20"/>
                <w:color w:val="auto"/>
              </w:rPr>
            </w:pPr>
            <w:r>
              <w:rPr>
                <w:rFonts w:ascii="Arial" w:cs="Arial" w:eastAsia="Arial" w:hAnsi="Arial"/>
                <w:sz w:val="18"/>
                <w:szCs w:val="18"/>
                <w:color w:val="auto"/>
              </w:rPr>
              <w:t>9,235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Borders>
              <w:bottom w:val="single" w:sz="8" w:color="BFBFBF"/>
            </w:tcBorders>
          </w:tcPr>
          <w:p>
            <w:pPr>
              <w:spacing w:after="0"/>
              <w:rPr>
                <w:sz w:val="20"/>
                <w:szCs w:val="20"/>
                <w:color w:val="auto"/>
              </w:rPr>
            </w:pPr>
            <w:r>
              <w:rPr>
                <w:rFonts w:ascii="Arial" w:cs="Arial" w:eastAsia="Arial" w:hAnsi="Arial"/>
                <w:sz w:val="18"/>
                <w:szCs w:val="18"/>
                <w:color w:val="auto"/>
              </w:rPr>
              <w:t>Net income attributable to the noncontrolling interest</w:t>
            </w:r>
          </w:p>
        </w:tc>
        <w:tc>
          <w:tcPr>
            <w:tcW w:w="14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237</w:t>
            </w:r>
          </w:p>
        </w:tc>
        <w:tc>
          <w:tcPr>
            <w:tcW w:w="560" w:type="dxa"/>
            <w:vAlign w:val="bottom"/>
            <w:tcBorders>
              <w:bottom w:val="single" w:sz="8" w:color="BFBFBF"/>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w:t>
            </w:r>
          </w:p>
        </w:tc>
        <w:tc>
          <w:tcPr>
            <w:tcW w:w="560" w:type="dxa"/>
            <w:vAlign w:val="bottom"/>
            <w:tcBorders>
              <w:bottom w:val="single" w:sz="8" w:color="BFBFBF"/>
            </w:tcBorders>
          </w:tcPr>
          <w:p>
            <w:pPr>
              <w:spacing w:after="0"/>
              <w:rPr>
                <w:sz w:val="18"/>
                <w:szCs w:val="18"/>
                <w:color w:val="auto"/>
              </w:rPr>
            </w:pPr>
          </w:p>
        </w:tc>
        <w:tc>
          <w:tcPr>
            <w:tcW w:w="14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180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40" w:type="dxa"/>
            <w:vAlign w:val="bottom"/>
            <w:tcBorders>
              <w:bottom w:val="single" w:sz="8" w:color="BFBFBF"/>
            </w:tcBorders>
            <w:shd w:val="clear" w:color="auto" w:fill="BFBFBF"/>
          </w:tcPr>
          <w:p>
            <w:pPr>
              <w:ind w:left="40"/>
              <w:spacing w:after="0" w:line="197" w:lineRule="exact"/>
              <w:rPr>
                <w:sz w:val="20"/>
                <w:szCs w:val="20"/>
                <w:color w:val="auto"/>
              </w:rPr>
            </w:pPr>
            <w:r>
              <w:rPr>
                <w:rFonts w:ascii="Arial" w:cs="Arial" w:eastAsia="Arial" w:hAnsi="Arial"/>
                <w:sz w:val="18"/>
                <w:szCs w:val="18"/>
                <w:color w:val="auto"/>
              </w:rPr>
              <w:t>Net income attributable to the Company</w:t>
            </w:r>
          </w:p>
        </w:tc>
        <w:tc>
          <w:tcPr>
            <w:tcW w:w="1480" w:type="dxa"/>
            <w:vAlign w:val="bottom"/>
            <w:tcBorders>
              <w:bottom w:val="single" w:sz="8" w:color="auto"/>
            </w:tcBorders>
            <w:shd w:val="clear" w:color="auto" w:fill="BFBFBF"/>
          </w:tcPr>
          <w:p>
            <w:pPr>
              <w:jc w:val="right"/>
              <w:ind w:right="10"/>
              <w:spacing w:after="0"/>
              <w:rPr>
                <w:sz w:val="20"/>
                <w:szCs w:val="20"/>
                <w:color w:val="auto"/>
              </w:rPr>
            </w:pPr>
            <w:r>
              <w:rPr>
                <w:rFonts w:ascii="Arial" w:cs="Arial" w:eastAsia="Arial" w:hAnsi="Arial"/>
                <w:sz w:val="18"/>
                <w:szCs w:val="18"/>
                <w:color w:val="auto"/>
              </w:rPr>
              <w:t>$10,245</w:t>
            </w:r>
          </w:p>
        </w:tc>
        <w:tc>
          <w:tcPr>
            <w:tcW w:w="560" w:type="dxa"/>
            <w:vAlign w:val="bottom"/>
            <w:tcBorders>
              <w:bottom w:val="single" w:sz="8" w:color="BFBFBF"/>
            </w:tcBorders>
            <w:shd w:val="clear" w:color="auto" w:fill="BFBFBF"/>
          </w:tcPr>
          <w:p>
            <w:pPr>
              <w:spacing w:after="0"/>
              <w:rPr>
                <w:sz w:val="18"/>
                <w:szCs w:val="18"/>
                <w:color w:val="auto"/>
              </w:rPr>
            </w:pPr>
          </w:p>
        </w:tc>
        <w:tc>
          <w:tcPr>
            <w:tcW w:w="1480" w:type="dxa"/>
            <w:vAlign w:val="bottom"/>
            <w:tcBorders>
              <w:bottom w:val="single" w:sz="8" w:color="auto"/>
            </w:tcBorders>
            <w:shd w:val="clear" w:color="auto" w:fill="BFBFBF"/>
          </w:tcPr>
          <w:p>
            <w:pPr>
              <w:jc w:val="right"/>
              <w:spacing w:after="0"/>
              <w:rPr>
                <w:sz w:val="20"/>
                <w:szCs w:val="20"/>
                <w:color w:val="auto"/>
              </w:rPr>
            </w:pPr>
            <w:r>
              <w:rPr>
                <w:rFonts w:ascii="Arial" w:cs="Arial" w:eastAsia="Arial" w:hAnsi="Arial"/>
                <w:sz w:val="18"/>
                <w:szCs w:val="18"/>
                <w:color w:val="auto"/>
              </w:rPr>
              <w:t>($1,190)</w:t>
            </w:r>
          </w:p>
        </w:tc>
        <w:tc>
          <w:tcPr>
            <w:tcW w:w="560" w:type="dxa"/>
            <w:vAlign w:val="bottom"/>
            <w:tcBorders>
              <w:bottom w:val="single" w:sz="8" w:color="BFBFBF"/>
            </w:tcBorders>
            <w:shd w:val="clear" w:color="auto" w:fill="BFBFBF"/>
          </w:tcPr>
          <w:p>
            <w:pPr>
              <w:spacing w:after="0"/>
              <w:rPr>
                <w:sz w:val="18"/>
                <w:szCs w:val="18"/>
                <w:color w:val="auto"/>
              </w:rPr>
            </w:pPr>
          </w:p>
        </w:tc>
        <w:tc>
          <w:tcPr>
            <w:tcW w:w="1480" w:type="dxa"/>
            <w:vAlign w:val="bottom"/>
            <w:tcBorders>
              <w:bottom w:val="single" w:sz="8" w:color="auto"/>
            </w:tcBorders>
            <w:shd w:val="clear" w:color="auto" w:fill="BFBFBF"/>
          </w:tcPr>
          <w:p>
            <w:pPr>
              <w:jc w:val="right"/>
              <w:ind w:right="10"/>
              <w:spacing w:after="0"/>
              <w:rPr>
                <w:sz w:val="20"/>
                <w:szCs w:val="20"/>
                <w:color w:val="auto"/>
              </w:rPr>
            </w:pPr>
            <w:r>
              <w:rPr>
                <w:rFonts w:ascii="Arial" w:cs="Arial" w:eastAsia="Arial" w:hAnsi="Arial"/>
                <w:sz w:val="18"/>
                <w:szCs w:val="18"/>
                <w:color w:val="auto"/>
              </w:rPr>
              <w:t>$9,055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vMerge w:val="restart"/>
          </w:tcPr>
          <w:p>
            <w:pPr>
              <w:spacing w:after="0"/>
              <w:rPr>
                <w:sz w:val="15"/>
                <w:szCs w:val="15"/>
                <w:color w:val="auto"/>
              </w:rPr>
            </w:pPr>
          </w:p>
        </w:tc>
        <w:tc>
          <w:tcPr>
            <w:tcW w:w="58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840" w:type="dxa"/>
            <w:vAlign w:val="bottom"/>
            <w:shd w:val="clear" w:color="auto" w:fill="BFBFBF"/>
          </w:tcPr>
          <w:p>
            <w:pPr>
              <w:spacing w:after="0" w:line="202" w:lineRule="exact"/>
              <w:rPr>
                <w:sz w:val="20"/>
                <w:szCs w:val="20"/>
                <w:color w:val="auto"/>
              </w:rPr>
            </w:pPr>
            <w:r>
              <w:rPr>
                <w:rFonts w:ascii="Arial" w:cs="Arial" w:eastAsia="Arial" w:hAnsi="Arial"/>
                <w:sz w:val="18"/>
                <w:szCs w:val="18"/>
                <w:color w:val="auto"/>
              </w:rPr>
              <w:t>Earnings per share attributable to Company shareholders - Basic</w:t>
            </w:r>
          </w:p>
        </w:tc>
        <w:tc>
          <w:tcPr>
            <w:tcW w:w="1480" w:type="dxa"/>
            <w:vAlign w:val="bottom"/>
            <w:shd w:val="clear" w:color="auto" w:fill="BFBFBF"/>
          </w:tcPr>
          <w:p>
            <w:pPr>
              <w:jc w:val="right"/>
              <w:ind w:right="10"/>
              <w:spacing w:after="0" w:line="202" w:lineRule="exact"/>
              <w:rPr>
                <w:sz w:val="20"/>
                <w:szCs w:val="20"/>
                <w:color w:val="auto"/>
              </w:rPr>
            </w:pPr>
            <w:r>
              <w:rPr>
                <w:rFonts w:ascii="Arial" w:cs="Arial" w:eastAsia="Arial" w:hAnsi="Arial"/>
                <w:sz w:val="18"/>
                <w:szCs w:val="18"/>
                <w:color w:val="auto"/>
              </w:rPr>
              <w:t>$0.32</w:t>
            </w:r>
          </w:p>
        </w:tc>
        <w:tc>
          <w:tcPr>
            <w:tcW w:w="560" w:type="dxa"/>
            <w:vAlign w:val="bottom"/>
            <w:shd w:val="clear" w:color="auto" w:fill="BFBFBF"/>
          </w:tcPr>
          <w:p>
            <w:pPr>
              <w:spacing w:after="0"/>
              <w:rPr>
                <w:sz w:val="17"/>
                <w:szCs w:val="17"/>
                <w:color w:val="auto"/>
              </w:rPr>
            </w:pPr>
          </w:p>
        </w:tc>
        <w:tc>
          <w:tcPr>
            <w:tcW w:w="1480" w:type="dxa"/>
            <w:vAlign w:val="bottom"/>
            <w:shd w:val="clear" w:color="auto" w:fill="BFBFBF"/>
          </w:tcPr>
          <w:p>
            <w:pPr>
              <w:jc w:val="right"/>
              <w:spacing w:after="0" w:line="202" w:lineRule="exact"/>
              <w:rPr>
                <w:sz w:val="20"/>
                <w:szCs w:val="20"/>
                <w:color w:val="auto"/>
              </w:rPr>
            </w:pPr>
            <w:r>
              <w:rPr>
                <w:rFonts w:ascii="Arial" w:cs="Arial" w:eastAsia="Arial" w:hAnsi="Arial"/>
                <w:sz w:val="18"/>
                <w:szCs w:val="18"/>
                <w:color w:val="auto"/>
              </w:rPr>
              <w:t>($0.04)</w:t>
            </w:r>
          </w:p>
        </w:tc>
        <w:tc>
          <w:tcPr>
            <w:tcW w:w="560" w:type="dxa"/>
            <w:vAlign w:val="bottom"/>
            <w:shd w:val="clear" w:color="auto" w:fill="BFBFBF"/>
          </w:tcPr>
          <w:p>
            <w:pPr>
              <w:spacing w:after="0"/>
              <w:rPr>
                <w:sz w:val="17"/>
                <w:szCs w:val="17"/>
                <w:color w:val="auto"/>
              </w:rPr>
            </w:pPr>
          </w:p>
        </w:tc>
        <w:tc>
          <w:tcPr>
            <w:tcW w:w="1480" w:type="dxa"/>
            <w:vAlign w:val="bottom"/>
            <w:shd w:val="clear" w:color="auto" w:fill="BFBFBF"/>
          </w:tcPr>
          <w:p>
            <w:pPr>
              <w:jc w:val="right"/>
              <w:ind w:right="10"/>
              <w:spacing w:after="0" w:line="202" w:lineRule="exact"/>
              <w:rPr>
                <w:sz w:val="20"/>
                <w:szCs w:val="20"/>
                <w:color w:val="auto"/>
              </w:rPr>
            </w:pPr>
            <w:r>
              <w:rPr>
                <w:rFonts w:ascii="Arial" w:cs="Arial" w:eastAsia="Arial" w:hAnsi="Arial"/>
                <w:sz w:val="18"/>
                <w:szCs w:val="18"/>
                <w:color w:val="auto"/>
              </w:rPr>
              <w:t>$0.28</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58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840" w:type="dxa"/>
            <w:vAlign w:val="bottom"/>
            <w:shd w:val="clear" w:color="auto" w:fill="BFBFBF"/>
          </w:tcPr>
          <w:p>
            <w:pPr>
              <w:spacing w:after="0" w:line="202" w:lineRule="exact"/>
              <w:rPr>
                <w:sz w:val="20"/>
                <w:szCs w:val="20"/>
                <w:color w:val="auto"/>
              </w:rPr>
            </w:pPr>
            <w:r>
              <w:rPr>
                <w:rFonts w:ascii="Arial" w:cs="Arial" w:eastAsia="Arial" w:hAnsi="Arial"/>
                <w:sz w:val="18"/>
                <w:szCs w:val="18"/>
                <w:color w:val="auto"/>
              </w:rPr>
              <w:t>Earnings per share attributable to Company shareholders - Diluted</w:t>
            </w:r>
          </w:p>
        </w:tc>
        <w:tc>
          <w:tcPr>
            <w:tcW w:w="1480" w:type="dxa"/>
            <w:vAlign w:val="bottom"/>
            <w:shd w:val="clear" w:color="auto" w:fill="BFBFBF"/>
          </w:tcPr>
          <w:p>
            <w:pPr>
              <w:jc w:val="right"/>
              <w:ind w:right="10"/>
              <w:spacing w:after="0" w:line="202" w:lineRule="exact"/>
              <w:rPr>
                <w:sz w:val="20"/>
                <w:szCs w:val="20"/>
                <w:color w:val="auto"/>
              </w:rPr>
            </w:pPr>
            <w:r>
              <w:rPr>
                <w:rFonts w:ascii="Arial" w:cs="Arial" w:eastAsia="Arial" w:hAnsi="Arial"/>
                <w:sz w:val="18"/>
                <w:szCs w:val="18"/>
                <w:color w:val="auto"/>
              </w:rPr>
              <w:t>$0.32</w:t>
            </w:r>
          </w:p>
        </w:tc>
        <w:tc>
          <w:tcPr>
            <w:tcW w:w="560" w:type="dxa"/>
            <w:vAlign w:val="bottom"/>
            <w:shd w:val="clear" w:color="auto" w:fill="BFBFBF"/>
          </w:tcPr>
          <w:p>
            <w:pPr>
              <w:spacing w:after="0"/>
              <w:rPr>
                <w:sz w:val="17"/>
                <w:szCs w:val="17"/>
                <w:color w:val="auto"/>
              </w:rPr>
            </w:pPr>
          </w:p>
        </w:tc>
        <w:tc>
          <w:tcPr>
            <w:tcW w:w="1480" w:type="dxa"/>
            <w:vAlign w:val="bottom"/>
            <w:shd w:val="clear" w:color="auto" w:fill="BFBFBF"/>
          </w:tcPr>
          <w:p>
            <w:pPr>
              <w:jc w:val="right"/>
              <w:spacing w:after="0" w:line="202" w:lineRule="exact"/>
              <w:rPr>
                <w:sz w:val="20"/>
                <w:szCs w:val="20"/>
                <w:color w:val="auto"/>
              </w:rPr>
            </w:pPr>
            <w:r>
              <w:rPr>
                <w:rFonts w:ascii="Arial" w:cs="Arial" w:eastAsia="Arial" w:hAnsi="Arial"/>
                <w:sz w:val="18"/>
                <w:szCs w:val="18"/>
                <w:color w:val="auto"/>
              </w:rPr>
              <w:t>($0.04)</w:t>
            </w:r>
          </w:p>
        </w:tc>
        <w:tc>
          <w:tcPr>
            <w:tcW w:w="560" w:type="dxa"/>
            <w:vAlign w:val="bottom"/>
            <w:shd w:val="clear" w:color="auto" w:fill="BFBFBF"/>
          </w:tcPr>
          <w:p>
            <w:pPr>
              <w:spacing w:after="0"/>
              <w:rPr>
                <w:sz w:val="17"/>
                <w:szCs w:val="17"/>
                <w:color w:val="auto"/>
              </w:rPr>
            </w:pPr>
          </w:p>
        </w:tc>
        <w:tc>
          <w:tcPr>
            <w:tcW w:w="1480" w:type="dxa"/>
            <w:vAlign w:val="bottom"/>
            <w:shd w:val="clear" w:color="auto" w:fill="BFBFBF"/>
          </w:tcPr>
          <w:p>
            <w:pPr>
              <w:jc w:val="right"/>
              <w:ind w:right="10"/>
              <w:spacing w:after="0" w:line="202" w:lineRule="exact"/>
              <w:rPr>
                <w:sz w:val="20"/>
                <w:szCs w:val="20"/>
                <w:color w:val="auto"/>
              </w:rPr>
            </w:pPr>
            <w:r>
              <w:rPr>
                <w:rFonts w:ascii="Arial" w:cs="Arial" w:eastAsia="Arial" w:hAnsi="Arial"/>
                <w:sz w:val="18"/>
                <w:szCs w:val="18"/>
                <w:color w:val="auto"/>
              </w:rPr>
              <w:t>$0.28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342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814" w:right="239" w:bottom="1440" w:gutter="0" w:footer="0" w:header="0"/>
        </w:sectPr>
      </w:pPr>
    </w:p>
    <w:bookmarkStart w:id="13" w:name="page14"/>
    <w:bookmarkEnd w:id="13"/>
    <w:p>
      <w:pPr>
        <w:jc w:val="center"/>
        <w:ind w:left="640"/>
        <w:spacing w:after="0"/>
        <w:rPr>
          <w:sz w:val="20"/>
          <w:szCs w:val="20"/>
          <w:color w:val="auto"/>
        </w:rPr>
      </w:pPr>
      <w:r>
        <w:rPr>
          <w:rFonts w:ascii="Arial" w:cs="Arial" w:eastAsia="Arial" w:hAnsi="Arial"/>
          <w:sz w:val="18"/>
          <w:szCs w:val="18"/>
          <w:color w:val="auto"/>
        </w:rPr>
        <w:t>ALBANY INTERNATIONAL CORP.</w:t>
      </w:r>
    </w:p>
    <w:p>
      <w:pPr>
        <w:jc w:val="center"/>
        <w:ind w:left="660"/>
        <w:spacing w:after="0" w:line="234" w:lineRule="auto"/>
        <w:rPr>
          <w:sz w:val="20"/>
          <w:szCs w:val="20"/>
          <w:color w:val="auto"/>
        </w:rPr>
      </w:pPr>
      <w:r>
        <w:rPr>
          <w:rFonts w:ascii="Arial" w:cs="Arial" w:eastAsia="Arial" w:hAnsi="Arial"/>
          <w:sz w:val="18"/>
          <w:szCs w:val="18"/>
          <w:color w:val="auto"/>
        </w:rPr>
        <w:t>CONSOLIDATED STATEMENT OF COMPREHENSIVE INCOME/(LOSS)</w:t>
      </w:r>
    </w:p>
    <w:p>
      <w:pPr>
        <w:jc w:val="center"/>
        <w:ind w:left="660"/>
        <w:spacing w:after="0" w:line="235" w:lineRule="auto"/>
        <w:rPr>
          <w:sz w:val="20"/>
          <w:szCs w:val="20"/>
          <w:color w:val="auto"/>
        </w:rPr>
      </w:pPr>
      <w:r>
        <w:rPr>
          <w:rFonts w:ascii="Arial" w:cs="Arial" w:eastAsia="Arial" w:hAnsi="Arial"/>
          <w:sz w:val="18"/>
          <w:szCs w:val="18"/>
          <w:color w:val="auto"/>
        </w:rPr>
        <w:t>(in thousands)</w:t>
      </w:r>
    </w:p>
    <w:p>
      <w:pPr>
        <w:spacing w:after="0" w:line="1" w:lineRule="exact"/>
        <w:rPr>
          <w:sz w:val="20"/>
          <w:szCs w:val="20"/>
          <w:color w:val="auto"/>
        </w:rPr>
      </w:pPr>
    </w:p>
    <w:p>
      <w:pPr>
        <w:jc w:val="center"/>
        <w:ind w:left="660"/>
        <w:spacing w:after="0"/>
        <w:rPr>
          <w:sz w:val="20"/>
          <w:szCs w:val="20"/>
          <w:color w:val="auto"/>
        </w:rPr>
      </w:pPr>
      <w:r>
        <w:rPr>
          <w:rFonts w:ascii="Arial" w:cs="Arial" w:eastAsia="Arial" w:hAnsi="Arial"/>
          <w:sz w:val="18"/>
          <w:szCs w:val="18"/>
          <w:color w:val="auto"/>
        </w:rPr>
        <w:t>(unaudited)</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58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9"/>
              </w:rPr>
              <w:t>As adjusted for</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80" w:type="dxa"/>
            <w:vAlign w:val="bottom"/>
          </w:tcPr>
          <w:p>
            <w:pPr>
              <w:jc w:val="center"/>
              <w:spacing w:after="0" w:line="202" w:lineRule="exact"/>
              <w:rPr>
                <w:sz w:val="20"/>
                <w:szCs w:val="20"/>
                <w:color w:val="auto"/>
              </w:rPr>
            </w:pPr>
            <w:r>
              <w:rPr>
                <w:rFonts w:ascii="Arial" w:cs="Arial" w:eastAsia="Arial" w:hAnsi="Arial"/>
                <w:sz w:val="18"/>
                <w:szCs w:val="18"/>
                <w:color w:val="auto"/>
                <w:w w:val="99"/>
              </w:rPr>
              <w:t>the Three months</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20" w:type="dxa"/>
            <w:vAlign w:val="bottom"/>
          </w:tcPr>
          <w:p>
            <w:pPr>
              <w:spacing w:after="0"/>
              <w:rPr>
                <w:sz w:val="17"/>
                <w:szCs w:val="17"/>
                <w:color w:val="auto"/>
              </w:rPr>
            </w:pPr>
          </w:p>
        </w:tc>
        <w:tc>
          <w:tcPr>
            <w:tcW w:w="2060" w:type="dxa"/>
            <w:vAlign w:val="bottom"/>
            <w:gridSpan w:val="2"/>
          </w:tcPr>
          <w:p>
            <w:pPr>
              <w:jc w:val="center"/>
              <w:ind w:right="560"/>
              <w:spacing w:after="0" w:line="202" w:lineRule="exact"/>
              <w:rPr>
                <w:sz w:val="20"/>
                <w:szCs w:val="20"/>
                <w:color w:val="auto"/>
              </w:rPr>
            </w:pPr>
            <w:r>
              <w:rPr>
                <w:rFonts w:ascii="Arial" w:cs="Arial" w:eastAsia="Arial" w:hAnsi="Arial"/>
                <w:sz w:val="18"/>
                <w:szCs w:val="18"/>
                <w:color w:val="auto"/>
              </w:rPr>
              <w:t>As reported for the</w:t>
            </w:r>
          </w:p>
        </w:tc>
        <w:tc>
          <w:tcPr>
            <w:tcW w:w="14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80" w:type="dxa"/>
            <w:vAlign w:val="bottom"/>
          </w:tcPr>
          <w:p>
            <w:pPr>
              <w:jc w:val="center"/>
              <w:spacing w:after="0" w:line="202" w:lineRule="exact"/>
              <w:rPr>
                <w:sz w:val="20"/>
                <w:szCs w:val="20"/>
                <w:color w:val="auto"/>
              </w:rPr>
            </w:pPr>
            <w:r>
              <w:rPr>
                <w:rFonts w:ascii="Arial" w:cs="Arial" w:eastAsia="Arial" w:hAnsi="Arial"/>
                <w:sz w:val="18"/>
                <w:szCs w:val="18"/>
                <w:color w:val="auto"/>
              </w:rPr>
              <w:t>ended March 31,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20" w:type="dxa"/>
            <w:vAlign w:val="bottom"/>
          </w:tcPr>
          <w:p>
            <w:pPr>
              <w:spacing w:after="0"/>
              <w:rPr>
                <w:sz w:val="17"/>
                <w:szCs w:val="17"/>
                <w:color w:val="auto"/>
              </w:rPr>
            </w:pPr>
          </w:p>
        </w:tc>
        <w:tc>
          <w:tcPr>
            <w:tcW w:w="2060" w:type="dxa"/>
            <w:vAlign w:val="bottom"/>
            <w:gridSpan w:val="2"/>
          </w:tcPr>
          <w:p>
            <w:pPr>
              <w:jc w:val="center"/>
              <w:ind w:right="560"/>
              <w:spacing w:after="0" w:line="202" w:lineRule="exact"/>
              <w:rPr>
                <w:sz w:val="20"/>
                <w:szCs w:val="20"/>
                <w:color w:val="auto"/>
              </w:rPr>
            </w:pPr>
            <w:r>
              <w:rPr>
                <w:rFonts w:ascii="Arial" w:cs="Arial" w:eastAsia="Arial" w:hAnsi="Arial"/>
                <w:sz w:val="18"/>
                <w:szCs w:val="18"/>
                <w:color w:val="auto"/>
                <w:w w:val="99"/>
              </w:rPr>
              <w:t>Three Months</w:t>
            </w:r>
          </w:p>
        </w:tc>
        <w:tc>
          <w:tcPr>
            <w:tcW w:w="2040" w:type="dxa"/>
            <w:vAlign w:val="bottom"/>
            <w:gridSpan w:val="2"/>
          </w:tcPr>
          <w:p>
            <w:pPr>
              <w:jc w:val="center"/>
              <w:ind w:right="560"/>
              <w:spacing w:after="0" w:line="202" w:lineRule="exact"/>
              <w:rPr>
                <w:sz w:val="20"/>
                <w:szCs w:val="20"/>
                <w:color w:val="auto"/>
              </w:rPr>
            </w:pPr>
            <w:r>
              <w:rPr>
                <w:rFonts w:ascii="Arial" w:cs="Arial" w:eastAsia="Arial" w:hAnsi="Arial"/>
                <w:sz w:val="18"/>
                <w:szCs w:val="18"/>
                <w:color w:val="auto"/>
              </w:rPr>
              <w:t>Adjustments to</w:t>
            </w:r>
          </w:p>
        </w:tc>
        <w:tc>
          <w:tcPr>
            <w:tcW w:w="1480" w:type="dxa"/>
            <w:vAlign w:val="bottom"/>
          </w:tcPr>
          <w:p>
            <w:pPr>
              <w:jc w:val="center"/>
              <w:spacing w:after="0" w:line="202" w:lineRule="exact"/>
              <w:rPr>
                <w:sz w:val="20"/>
                <w:szCs w:val="20"/>
                <w:color w:val="auto"/>
              </w:rPr>
            </w:pPr>
            <w:r>
              <w:rPr>
                <w:rFonts w:ascii="Arial" w:cs="Arial" w:eastAsia="Arial" w:hAnsi="Arial"/>
                <w:sz w:val="18"/>
                <w:szCs w:val="18"/>
                <w:color w:val="auto"/>
              </w:rPr>
              <w:t>2018 to exclude</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20" w:type="dxa"/>
            <w:vAlign w:val="bottom"/>
          </w:tcPr>
          <w:p>
            <w:pPr>
              <w:spacing w:after="0"/>
              <w:rPr>
                <w:sz w:val="17"/>
                <w:szCs w:val="17"/>
                <w:color w:val="auto"/>
              </w:rPr>
            </w:pPr>
          </w:p>
        </w:tc>
        <w:tc>
          <w:tcPr>
            <w:tcW w:w="2060" w:type="dxa"/>
            <w:vAlign w:val="bottom"/>
            <w:gridSpan w:val="2"/>
          </w:tcPr>
          <w:p>
            <w:pPr>
              <w:jc w:val="center"/>
              <w:ind w:right="560"/>
              <w:spacing w:after="0" w:line="202" w:lineRule="exact"/>
              <w:rPr>
                <w:sz w:val="20"/>
                <w:szCs w:val="20"/>
                <w:color w:val="auto"/>
              </w:rPr>
            </w:pPr>
            <w:r>
              <w:rPr>
                <w:rFonts w:ascii="Arial" w:cs="Arial" w:eastAsia="Arial" w:hAnsi="Arial"/>
                <w:sz w:val="18"/>
                <w:szCs w:val="18"/>
                <w:color w:val="auto"/>
              </w:rPr>
              <w:t>Ended March 31,</w:t>
            </w:r>
          </w:p>
        </w:tc>
        <w:tc>
          <w:tcPr>
            <w:tcW w:w="2040" w:type="dxa"/>
            <w:vAlign w:val="bottom"/>
            <w:gridSpan w:val="2"/>
          </w:tcPr>
          <w:p>
            <w:pPr>
              <w:jc w:val="center"/>
              <w:ind w:right="540"/>
              <w:spacing w:after="0" w:line="202" w:lineRule="exact"/>
              <w:rPr>
                <w:sz w:val="20"/>
                <w:szCs w:val="20"/>
                <w:color w:val="auto"/>
              </w:rPr>
            </w:pPr>
            <w:r>
              <w:rPr>
                <w:rFonts w:ascii="Arial" w:cs="Arial" w:eastAsia="Arial" w:hAnsi="Arial"/>
                <w:sz w:val="18"/>
                <w:szCs w:val="18"/>
                <w:color w:val="auto"/>
                <w:w w:val="99"/>
              </w:rPr>
              <w:t>reverse effects of</w:t>
            </w:r>
          </w:p>
        </w:tc>
        <w:tc>
          <w:tcPr>
            <w:tcW w:w="1480" w:type="dxa"/>
            <w:vAlign w:val="bottom"/>
          </w:tcPr>
          <w:p>
            <w:pPr>
              <w:jc w:val="center"/>
              <w:spacing w:after="0" w:line="202" w:lineRule="exact"/>
              <w:rPr>
                <w:sz w:val="20"/>
                <w:szCs w:val="20"/>
                <w:color w:val="auto"/>
              </w:rPr>
            </w:pPr>
            <w:r>
              <w:rPr>
                <w:rFonts w:ascii="Arial" w:cs="Arial" w:eastAsia="Arial" w:hAnsi="Arial"/>
                <w:sz w:val="18"/>
                <w:szCs w:val="18"/>
                <w:color w:val="auto"/>
              </w:rPr>
              <w:t>adoption of ASC</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20" w:type="dxa"/>
            <w:vAlign w:val="bottom"/>
          </w:tcPr>
          <w:p>
            <w:pPr>
              <w:spacing w:after="0"/>
              <w:rPr>
                <w:sz w:val="17"/>
                <w:szCs w:val="17"/>
                <w:color w:val="auto"/>
              </w:rPr>
            </w:pPr>
          </w:p>
        </w:tc>
        <w:tc>
          <w:tcPr>
            <w:tcW w:w="1500" w:type="dxa"/>
            <w:vAlign w:val="bottom"/>
          </w:tcPr>
          <w:p>
            <w:pPr>
              <w:jc w:val="center"/>
              <w:spacing w:after="0" w:line="203" w:lineRule="exact"/>
              <w:rPr>
                <w:sz w:val="20"/>
                <w:szCs w:val="20"/>
                <w:color w:val="auto"/>
              </w:rPr>
            </w:pPr>
            <w:r>
              <w:rPr>
                <w:rFonts w:ascii="Arial" w:cs="Arial" w:eastAsia="Arial" w:hAnsi="Arial"/>
                <w:sz w:val="18"/>
                <w:szCs w:val="18"/>
                <w:color w:val="auto"/>
                <w:w w:val="99"/>
              </w:rPr>
              <w:t>2018</w:t>
            </w:r>
          </w:p>
        </w:tc>
        <w:tc>
          <w:tcPr>
            <w:tcW w:w="560" w:type="dxa"/>
            <w:vAlign w:val="bottom"/>
          </w:tcPr>
          <w:p>
            <w:pPr>
              <w:spacing w:after="0"/>
              <w:rPr>
                <w:sz w:val="17"/>
                <w:szCs w:val="17"/>
                <w:color w:val="auto"/>
              </w:rPr>
            </w:pPr>
          </w:p>
        </w:tc>
        <w:tc>
          <w:tcPr>
            <w:tcW w:w="2040" w:type="dxa"/>
            <w:vAlign w:val="bottom"/>
            <w:gridSpan w:val="2"/>
          </w:tcPr>
          <w:p>
            <w:pPr>
              <w:jc w:val="center"/>
              <w:ind w:right="560"/>
              <w:spacing w:after="0" w:line="203" w:lineRule="exact"/>
              <w:rPr>
                <w:sz w:val="20"/>
                <w:szCs w:val="20"/>
                <w:color w:val="auto"/>
              </w:rPr>
            </w:pPr>
            <w:r>
              <w:rPr>
                <w:rFonts w:ascii="Arial" w:cs="Arial" w:eastAsia="Arial" w:hAnsi="Arial"/>
                <w:sz w:val="18"/>
                <w:szCs w:val="18"/>
                <w:color w:val="auto"/>
                <w:w w:val="99"/>
              </w:rPr>
              <w:t>ASC 606</w:t>
            </w:r>
          </w:p>
        </w:tc>
        <w:tc>
          <w:tcPr>
            <w:tcW w:w="1480" w:type="dxa"/>
            <w:vAlign w:val="bottom"/>
          </w:tcPr>
          <w:p>
            <w:pPr>
              <w:jc w:val="center"/>
              <w:spacing w:after="0" w:line="203" w:lineRule="exact"/>
              <w:rPr>
                <w:sz w:val="20"/>
                <w:szCs w:val="20"/>
                <w:color w:val="auto"/>
              </w:rPr>
            </w:pPr>
            <w:r>
              <w:rPr>
                <w:rFonts w:ascii="Arial" w:cs="Arial" w:eastAsia="Arial" w:hAnsi="Arial"/>
                <w:sz w:val="18"/>
                <w:szCs w:val="18"/>
                <w:color w:val="auto"/>
                <w:w w:val="99"/>
              </w:rPr>
              <w:t>606</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5820" w:type="dxa"/>
            <w:vAlign w:val="bottom"/>
          </w:tcPr>
          <w:p>
            <w:pPr>
              <w:spacing w:after="0"/>
              <w:rPr>
                <w:sz w:val="17"/>
                <w:szCs w:val="17"/>
                <w:color w:val="auto"/>
              </w:rPr>
            </w:pPr>
          </w:p>
        </w:tc>
        <w:tc>
          <w:tcPr>
            <w:tcW w:w="1500" w:type="dxa"/>
            <w:vAlign w:val="bottom"/>
            <w:tcBorders>
              <w:top w:val="single" w:sz="8" w:color="auto"/>
            </w:tcBorders>
          </w:tcPr>
          <w:p>
            <w:pPr>
              <w:spacing w:after="0"/>
              <w:rPr>
                <w:sz w:val="17"/>
                <w:szCs w:val="17"/>
                <w:color w:val="auto"/>
              </w:rPr>
            </w:pPr>
          </w:p>
        </w:tc>
        <w:tc>
          <w:tcPr>
            <w:tcW w:w="560" w:type="dxa"/>
            <w:vAlign w:val="bottom"/>
          </w:tcPr>
          <w:p>
            <w:pPr>
              <w:spacing w:after="0"/>
              <w:rPr>
                <w:sz w:val="17"/>
                <w:szCs w:val="17"/>
                <w:color w:val="auto"/>
              </w:rPr>
            </w:pPr>
          </w:p>
        </w:tc>
        <w:tc>
          <w:tcPr>
            <w:tcW w:w="1480" w:type="dxa"/>
            <w:vAlign w:val="bottom"/>
            <w:tcBorders>
              <w:top w:val="single" w:sz="8" w:color="auto"/>
            </w:tcBorders>
          </w:tcPr>
          <w:p>
            <w:pPr>
              <w:spacing w:after="0"/>
              <w:rPr>
                <w:sz w:val="17"/>
                <w:szCs w:val="17"/>
                <w:color w:val="auto"/>
              </w:rPr>
            </w:pPr>
          </w:p>
        </w:tc>
        <w:tc>
          <w:tcPr>
            <w:tcW w:w="560" w:type="dxa"/>
            <w:vAlign w:val="bottom"/>
          </w:tcPr>
          <w:p>
            <w:pPr>
              <w:spacing w:after="0"/>
              <w:rPr>
                <w:sz w:val="17"/>
                <w:szCs w:val="17"/>
                <w:color w:val="auto"/>
              </w:rPr>
            </w:pPr>
          </w:p>
        </w:tc>
        <w:tc>
          <w:tcPr>
            <w:tcW w:w="148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820" w:type="dxa"/>
            <w:vAlign w:val="bottom"/>
            <w:shd w:val="clear" w:color="auto" w:fill="BFBFBF"/>
          </w:tcPr>
          <w:p>
            <w:pPr>
              <w:spacing w:after="0" w:line="202" w:lineRule="exact"/>
              <w:rPr>
                <w:sz w:val="20"/>
                <w:szCs w:val="20"/>
                <w:color w:val="auto"/>
              </w:rPr>
            </w:pPr>
            <w:r>
              <w:rPr>
                <w:rFonts w:ascii="Arial" w:cs="Arial" w:eastAsia="Arial" w:hAnsi="Arial"/>
                <w:sz w:val="18"/>
                <w:szCs w:val="18"/>
                <w:color w:val="auto"/>
              </w:rPr>
              <w:t>Net income</w:t>
            </w:r>
          </w:p>
        </w:tc>
        <w:tc>
          <w:tcPr>
            <w:tcW w:w="1500" w:type="dxa"/>
            <w:vAlign w:val="bottom"/>
            <w:shd w:val="clear" w:color="auto" w:fill="BFBFBF"/>
          </w:tcPr>
          <w:p>
            <w:pPr>
              <w:jc w:val="right"/>
              <w:ind w:right="30"/>
              <w:spacing w:after="0" w:line="202" w:lineRule="exact"/>
              <w:rPr>
                <w:sz w:val="20"/>
                <w:szCs w:val="20"/>
                <w:color w:val="auto"/>
              </w:rPr>
            </w:pPr>
            <w:r>
              <w:rPr>
                <w:rFonts w:ascii="Arial" w:cs="Arial" w:eastAsia="Arial" w:hAnsi="Arial"/>
                <w:sz w:val="18"/>
                <w:szCs w:val="18"/>
                <w:color w:val="auto"/>
              </w:rPr>
              <w:t>$10,482</w:t>
            </w:r>
          </w:p>
        </w:tc>
        <w:tc>
          <w:tcPr>
            <w:tcW w:w="560" w:type="dxa"/>
            <w:vAlign w:val="bottom"/>
            <w:shd w:val="clear" w:color="auto" w:fill="BFBFBF"/>
          </w:tcPr>
          <w:p>
            <w:pPr>
              <w:spacing w:after="0"/>
              <w:rPr>
                <w:sz w:val="17"/>
                <w:szCs w:val="17"/>
                <w:color w:val="auto"/>
              </w:rPr>
            </w:pPr>
          </w:p>
        </w:tc>
        <w:tc>
          <w:tcPr>
            <w:tcW w:w="1480" w:type="dxa"/>
            <w:vAlign w:val="bottom"/>
            <w:shd w:val="clear" w:color="auto" w:fill="BFBFBF"/>
          </w:tcPr>
          <w:p>
            <w:pPr>
              <w:jc w:val="right"/>
              <w:spacing w:after="0" w:line="202" w:lineRule="exact"/>
              <w:rPr>
                <w:sz w:val="20"/>
                <w:szCs w:val="20"/>
                <w:color w:val="auto"/>
              </w:rPr>
            </w:pPr>
            <w:r>
              <w:rPr>
                <w:rFonts w:ascii="Arial" w:cs="Arial" w:eastAsia="Arial" w:hAnsi="Arial"/>
                <w:sz w:val="18"/>
                <w:szCs w:val="18"/>
                <w:color w:val="auto"/>
              </w:rPr>
              <w:t>($1,247)</w:t>
            </w:r>
          </w:p>
        </w:tc>
        <w:tc>
          <w:tcPr>
            <w:tcW w:w="560" w:type="dxa"/>
            <w:vAlign w:val="bottom"/>
            <w:shd w:val="clear" w:color="auto" w:fill="BFBFBF"/>
          </w:tcPr>
          <w:p>
            <w:pPr>
              <w:spacing w:after="0"/>
              <w:rPr>
                <w:sz w:val="17"/>
                <w:szCs w:val="17"/>
                <w:color w:val="auto"/>
              </w:rPr>
            </w:pPr>
          </w:p>
        </w:tc>
        <w:tc>
          <w:tcPr>
            <w:tcW w:w="1480" w:type="dxa"/>
            <w:vAlign w:val="bottom"/>
            <w:shd w:val="clear" w:color="auto" w:fill="BFBFBF"/>
          </w:tcPr>
          <w:p>
            <w:pPr>
              <w:jc w:val="right"/>
              <w:ind w:right="10"/>
              <w:spacing w:after="0" w:line="202" w:lineRule="exact"/>
              <w:rPr>
                <w:sz w:val="20"/>
                <w:szCs w:val="20"/>
                <w:color w:val="auto"/>
              </w:rPr>
            </w:pPr>
            <w:r>
              <w:rPr>
                <w:rFonts w:ascii="Arial" w:cs="Arial" w:eastAsia="Arial" w:hAnsi="Arial"/>
                <w:sz w:val="18"/>
                <w:szCs w:val="18"/>
                <w:color w:val="auto"/>
              </w:rPr>
              <w:t>$9,235</w:t>
            </w:r>
          </w:p>
        </w:tc>
        <w:tc>
          <w:tcPr>
            <w:tcW w:w="0" w:type="dxa"/>
            <w:vAlign w:val="bottom"/>
          </w:tcPr>
          <w:p>
            <w:pPr>
              <w:spacing w:after="0"/>
              <w:rPr>
                <w:sz w:val="1"/>
                <w:szCs w:val="1"/>
                <w:color w:val="auto"/>
              </w:rPr>
            </w:pPr>
          </w:p>
        </w:tc>
      </w:tr>
      <w:tr>
        <w:trPr>
          <w:trHeight w:val="405"/>
        </w:trPr>
        <w:tc>
          <w:tcPr>
            <w:tcW w:w="5840" w:type="dxa"/>
            <w:vAlign w:val="bottom"/>
            <w:gridSpan w:val="2"/>
          </w:tcPr>
          <w:p>
            <w:pPr>
              <w:spacing w:after="0"/>
              <w:rPr>
                <w:sz w:val="20"/>
                <w:szCs w:val="20"/>
                <w:color w:val="auto"/>
              </w:rPr>
            </w:pPr>
            <w:r>
              <w:rPr>
                <w:rFonts w:ascii="Arial" w:cs="Arial" w:eastAsia="Arial" w:hAnsi="Arial"/>
                <w:sz w:val="18"/>
                <w:szCs w:val="18"/>
                <w:color w:val="auto"/>
              </w:rPr>
              <w:t>Other comprehensive income/(loss), before tax:</w:t>
            </w:r>
          </w:p>
        </w:tc>
        <w:tc>
          <w:tcPr>
            <w:tcW w:w="15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20" w:type="dxa"/>
            <w:vAlign w:val="bottom"/>
            <w:shd w:val="clear" w:color="auto" w:fill="BFBFBF"/>
          </w:tcPr>
          <w:p>
            <w:pPr>
              <w:ind w:left="100"/>
              <w:spacing w:after="0" w:line="202" w:lineRule="exact"/>
              <w:rPr>
                <w:sz w:val="20"/>
                <w:szCs w:val="20"/>
                <w:color w:val="auto"/>
              </w:rPr>
            </w:pPr>
            <w:r>
              <w:rPr>
                <w:rFonts w:ascii="Arial" w:cs="Arial" w:eastAsia="Arial" w:hAnsi="Arial"/>
                <w:sz w:val="18"/>
                <w:szCs w:val="18"/>
                <w:color w:val="auto"/>
              </w:rPr>
              <w:t>Foreign currency translation adjustments</w:t>
            </w:r>
          </w:p>
        </w:tc>
        <w:tc>
          <w:tcPr>
            <w:tcW w:w="1500" w:type="dxa"/>
            <w:vAlign w:val="bottom"/>
            <w:shd w:val="clear" w:color="auto" w:fill="BFBFBF"/>
          </w:tcPr>
          <w:p>
            <w:pPr>
              <w:jc w:val="right"/>
              <w:ind w:right="30"/>
              <w:spacing w:after="0" w:line="202" w:lineRule="exact"/>
              <w:rPr>
                <w:sz w:val="20"/>
                <w:szCs w:val="20"/>
                <w:color w:val="auto"/>
              </w:rPr>
            </w:pPr>
            <w:r>
              <w:rPr>
                <w:rFonts w:ascii="Arial" w:cs="Arial" w:eastAsia="Arial" w:hAnsi="Arial"/>
                <w:sz w:val="18"/>
                <w:szCs w:val="18"/>
                <w:color w:val="auto"/>
              </w:rPr>
              <w:t>17,505</w:t>
            </w:r>
          </w:p>
        </w:tc>
        <w:tc>
          <w:tcPr>
            <w:tcW w:w="560" w:type="dxa"/>
            <w:vAlign w:val="bottom"/>
            <w:shd w:val="clear" w:color="auto" w:fill="BFBFBF"/>
          </w:tcPr>
          <w:p>
            <w:pPr>
              <w:spacing w:after="0"/>
              <w:rPr>
                <w:sz w:val="17"/>
                <w:szCs w:val="17"/>
                <w:color w:val="auto"/>
              </w:rPr>
            </w:pPr>
          </w:p>
        </w:tc>
        <w:tc>
          <w:tcPr>
            <w:tcW w:w="1480" w:type="dxa"/>
            <w:vAlign w:val="bottom"/>
            <w:shd w:val="clear" w:color="auto" w:fill="BFBFBF"/>
          </w:tcPr>
          <w:p>
            <w:pPr>
              <w:jc w:val="right"/>
              <w:spacing w:after="0" w:line="202" w:lineRule="exact"/>
              <w:rPr>
                <w:sz w:val="20"/>
                <w:szCs w:val="20"/>
                <w:color w:val="auto"/>
              </w:rPr>
            </w:pPr>
            <w:r>
              <w:rPr>
                <w:rFonts w:ascii="Arial" w:cs="Arial" w:eastAsia="Arial" w:hAnsi="Arial"/>
                <w:sz w:val="18"/>
                <w:szCs w:val="18"/>
                <w:color w:val="auto"/>
              </w:rPr>
              <w:t>(308)</w:t>
            </w:r>
          </w:p>
        </w:tc>
        <w:tc>
          <w:tcPr>
            <w:tcW w:w="560" w:type="dxa"/>
            <w:vAlign w:val="bottom"/>
            <w:shd w:val="clear" w:color="auto" w:fill="BFBFBF"/>
          </w:tcPr>
          <w:p>
            <w:pPr>
              <w:spacing w:after="0"/>
              <w:rPr>
                <w:sz w:val="17"/>
                <w:szCs w:val="17"/>
                <w:color w:val="auto"/>
              </w:rPr>
            </w:pPr>
          </w:p>
        </w:tc>
        <w:tc>
          <w:tcPr>
            <w:tcW w:w="1480" w:type="dxa"/>
            <w:vAlign w:val="bottom"/>
            <w:shd w:val="clear" w:color="auto" w:fill="BFBFBF"/>
          </w:tcPr>
          <w:p>
            <w:pPr>
              <w:jc w:val="right"/>
              <w:ind w:right="10"/>
              <w:spacing w:after="0" w:line="202" w:lineRule="exact"/>
              <w:rPr>
                <w:sz w:val="20"/>
                <w:szCs w:val="20"/>
                <w:color w:val="auto"/>
              </w:rPr>
            </w:pPr>
            <w:r>
              <w:rPr>
                <w:rFonts w:ascii="Arial" w:cs="Arial" w:eastAsia="Arial" w:hAnsi="Arial"/>
                <w:sz w:val="18"/>
                <w:szCs w:val="18"/>
                <w:color w:val="auto"/>
              </w:rPr>
              <w:t>17,197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20" w:type="dxa"/>
            <w:vAlign w:val="bottom"/>
          </w:tcPr>
          <w:p>
            <w:pPr>
              <w:ind w:left="100"/>
              <w:spacing w:after="0" w:line="202" w:lineRule="exact"/>
              <w:rPr>
                <w:sz w:val="20"/>
                <w:szCs w:val="20"/>
                <w:color w:val="auto"/>
              </w:rPr>
            </w:pPr>
            <w:r>
              <w:rPr>
                <w:rFonts w:ascii="Arial" w:cs="Arial" w:eastAsia="Arial" w:hAnsi="Arial"/>
                <w:sz w:val="18"/>
                <w:szCs w:val="18"/>
                <w:color w:val="auto"/>
              </w:rPr>
              <w:t>Amortization of pension liability adjustments:</w:t>
            </w:r>
          </w:p>
        </w:tc>
        <w:tc>
          <w:tcPr>
            <w:tcW w:w="15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20" w:type="dxa"/>
            <w:vAlign w:val="bottom"/>
            <w:shd w:val="clear" w:color="auto" w:fill="BFBFBF"/>
          </w:tcPr>
          <w:p>
            <w:pPr>
              <w:ind w:left="260"/>
              <w:spacing w:after="0" w:line="202" w:lineRule="exact"/>
              <w:rPr>
                <w:sz w:val="20"/>
                <w:szCs w:val="20"/>
                <w:color w:val="auto"/>
              </w:rPr>
            </w:pPr>
            <w:r>
              <w:rPr>
                <w:rFonts w:ascii="Arial" w:cs="Arial" w:eastAsia="Arial" w:hAnsi="Arial"/>
                <w:sz w:val="18"/>
                <w:szCs w:val="18"/>
                <w:color w:val="auto"/>
              </w:rPr>
              <w:t>Prior service credit</w:t>
            </w:r>
          </w:p>
        </w:tc>
        <w:tc>
          <w:tcPr>
            <w:tcW w:w="1500" w:type="dxa"/>
            <w:vAlign w:val="bottom"/>
            <w:shd w:val="clear" w:color="auto" w:fill="BFBFBF"/>
          </w:tcPr>
          <w:p>
            <w:pPr>
              <w:jc w:val="right"/>
              <w:spacing w:after="0" w:line="202" w:lineRule="exact"/>
              <w:rPr>
                <w:sz w:val="20"/>
                <w:szCs w:val="20"/>
                <w:color w:val="auto"/>
              </w:rPr>
            </w:pPr>
            <w:r>
              <w:rPr>
                <w:rFonts w:ascii="Arial" w:cs="Arial" w:eastAsia="Arial" w:hAnsi="Arial"/>
                <w:sz w:val="18"/>
                <w:szCs w:val="18"/>
                <w:color w:val="auto"/>
              </w:rPr>
              <w:t>(1,114)</w:t>
            </w:r>
          </w:p>
        </w:tc>
        <w:tc>
          <w:tcPr>
            <w:tcW w:w="560" w:type="dxa"/>
            <w:vAlign w:val="bottom"/>
            <w:shd w:val="clear" w:color="auto" w:fill="BFBFBF"/>
          </w:tcPr>
          <w:p>
            <w:pPr>
              <w:spacing w:after="0"/>
              <w:rPr>
                <w:sz w:val="17"/>
                <w:szCs w:val="17"/>
                <w:color w:val="auto"/>
              </w:rPr>
            </w:pPr>
          </w:p>
        </w:tc>
        <w:tc>
          <w:tcPr>
            <w:tcW w:w="1480" w:type="dxa"/>
            <w:vAlign w:val="bottom"/>
            <w:shd w:val="clear" w:color="auto" w:fill="BFBFBF"/>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560" w:type="dxa"/>
            <w:vAlign w:val="bottom"/>
            <w:shd w:val="clear" w:color="auto" w:fill="BFBFBF"/>
          </w:tcPr>
          <w:p>
            <w:pPr>
              <w:spacing w:after="0"/>
              <w:rPr>
                <w:sz w:val="17"/>
                <w:szCs w:val="17"/>
                <w:color w:val="auto"/>
              </w:rPr>
            </w:pPr>
          </w:p>
        </w:tc>
        <w:tc>
          <w:tcPr>
            <w:tcW w:w="1480" w:type="dxa"/>
            <w:vAlign w:val="bottom"/>
            <w:shd w:val="clear" w:color="auto" w:fill="BFBFBF"/>
          </w:tcPr>
          <w:p>
            <w:pPr>
              <w:jc w:val="right"/>
              <w:spacing w:after="0" w:line="202" w:lineRule="exact"/>
              <w:rPr>
                <w:sz w:val="20"/>
                <w:szCs w:val="20"/>
                <w:color w:val="auto"/>
              </w:rPr>
            </w:pPr>
            <w:r>
              <w:rPr>
                <w:rFonts w:ascii="Arial" w:cs="Arial" w:eastAsia="Arial" w:hAnsi="Arial"/>
                <w:sz w:val="18"/>
                <w:szCs w:val="18"/>
                <w:color w:val="auto"/>
              </w:rPr>
              <w:t>(1,114)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20" w:type="dxa"/>
            <w:vAlign w:val="bottom"/>
          </w:tcPr>
          <w:p>
            <w:pPr>
              <w:ind w:left="260"/>
              <w:spacing w:after="0" w:line="202" w:lineRule="exact"/>
              <w:rPr>
                <w:sz w:val="20"/>
                <w:szCs w:val="20"/>
                <w:color w:val="auto"/>
              </w:rPr>
            </w:pPr>
            <w:r>
              <w:rPr>
                <w:rFonts w:ascii="Arial" w:cs="Arial" w:eastAsia="Arial" w:hAnsi="Arial"/>
                <w:sz w:val="18"/>
                <w:szCs w:val="18"/>
                <w:color w:val="auto"/>
              </w:rPr>
              <w:t>Net actuarial loss</w:t>
            </w:r>
          </w:p>
        </w:tc>
        <w:tc>
          <w:tcPr>
            <w:tcW w:w="1500" w:type="dxa"/>
            <w:vAlign w:val="bottom"/>
          </w:tcPr>
          <w:p>
            <w:pPr>
              <w:jc w:val="right"/>
              <w:ind w:right="30"/>
              <w:spacing w:after="0" w:line="202" w:lineRule="exact"/>
              <w:rPr>
                <w:sz w:val="20"/>
                <w:szCs w:val="20"/>
                <w:color w:val="auto"/>
              </w:rPr>
            </w:pPr>
            <w:r>
              <w:rPr>
                <w:rFonts w:ascii="Arial" w:cs="Arial" w:eastAsia="Arial" w:hAnsi="Arial"/>
                <w:sz w:val="18"/>
                <w:szCs w:val="18"/>
                <w:color w:val="auto"/>
              </w:rPr>
              <w:t>1,297</w:t>
            </w:r>
          </w:p>
        </w:tc>
        <w:tc>
          <w:tcPr>
            <w:tcW w:w="560" w:type="dxa"/>
            <w:vAlign w:val="bottom"/>
          </w:tcPr>
          <w:p>
            <w:pPr>
              <w:spacing w:after="0"/>
              <w:rPr>
                <w:sz w:val="17"/>
                <w:szCs w:val="17"/>
                <w:color w:val="auto"/>
              </w:rPr>
            </w:pPr>
          </w:p>
        </w:tc>
        <w:tc>
          <w:tcPr>
            <w:tcW w:w="14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560" w:type="dxa"/>
            <w:vAlign w:val="bottom"/>
          </w:tcPr>
          <w:p>
            <w:pPr>
              <w:spacing w:after="0"/>
              <w:rPr>
                <w:sz w:val="17"/>
                <w:szCs w:val="17"/>
                <w:color w:val="auto"/>
              </w:rPr>
            </w:pPr>
          </w:p>
        </w:tc>
        <w:tc>
          <w:tcPr>
            <w:tcW w:w="14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1,297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20" w:type="dxa"/>
            <w:vAlign w:val="bottom"/>
            <w:shd w:val="clear" w:color="auto" w:fill="BFBFBF"/>
          </w:tcPr>
          <w:p>
            <w:pPr>
              <w:ind w:left="100"/>
              <w:spacing w:after="0" w:line="202" w:lineRule="exact"/>
              <w:rPr>
                <w:sz w:val="20"/>
                <w:szCs w:val="20"/>
                <w:color w:val="auto"/>
              </w:rPr>
            </w:pPr>
            <w:r>
              <w:rPr>
                <w:rFonts w:ascii="Arial" w:cs="Arial" w:eastAsia="Arial" w:hAnsi="Arial"/>
                <w:sz w:val="18"/>
                <w:szCs w:val="18"/>
                <w:color w:val="auto"/>
              </w:rPr>
              <w:t>Payments related to interest rate swaps included in earnings</w:t>
            </w:r>
          </w:p>
        </w:tc>
        <w:tc>
          <w:tcPr>
            <w:tcW w:w="1500" w:type="dxa"/>
            <w:vAlign w:val="bottom"/>
            <w:shd w:val="clear" w:color="auto" w:fill="BFBFBF"/>
          </w:tcPr>
          <w:p>
            <w:pPr>
              <w:jc w:val="right"/>
              <w:ind w:right="30"/>
              <w:spacing w:after="0" w:line="202" w:lineRule="exact"/>
              <w:rPr>
                <w:sz w:val="20"/>
                <w:szCs w:val="20"/>
                <w:color w:val="auto"/>
              </w:rPr>
            </w:pPr>
            <w:r>
              <w:rPr>
                <w:rFonts w:ascii="Arial" w:cs="Arial" w:eastAsia="Arial" w:hAnsi="Arial"/>
                <w:sz w:val="18"/>
                <w:szCs w:val="18"/>
                <w:color w:val="auto"/>
              </w:rPr>
              <w:t>180</w:t>
            </w:r>
          </w:p>
        </w:tc>
        <w:tc>
          <w:tcPr>
            <w:tcW w:w="560" w:type="dxa"/>
            <w:vAlign w:val="bottom"/>
            <w:shd w:val="clear" w:color="auto" w:fill="BFBFBF"/>
          </w:tcPr>
          <w:p>
            <w:pPr>
              <w:spacing w:after="0"/>
              <w:rPr>
                <w:sz w:val="17"/>
                <w:szCs w:val="17"/>
                <w:color w:val="auto"/>
              </w:rPr>
            </w:pPr>
          </w:p>
        </w:tc>
        <w:tc>
          <w:tcPr>
            <w:tcW w:w="1480" w:type="dxa"/>
            <w:vAlign w:val="bottom"/>
            <w:shd w:val="clear" w:color="auto" w:fill="BFBFBF"/>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560" w:type="dxa"/>
            <w:vAlign w:val="bottom"/>
            <w:shd w:val="clear" w:color="auto" w:fill="BFBFBF"/>
          </w:tcPr>
          <w:p>
            <w:pPr>
              <w:spacing w:after="0"/>
              <w:rPr>
                <w:sz w:val="17"/>
                <w:szCs w:val="17"/>
                <w:color w:val="auto"/>
              </w:rPr>
            </w:pPr>
          </w:p>
        </w:tc>
        <w:tc>
          <w:tcPr>
            <w:tcW w:w="1480" w:type="dxa"/>
            <w:vAlign w:val="bottom"/>
            <w:shd w:val="clear" w:color="auto" w:fill="BFBFBF"/>
          </w:tcPr>
          <w:p>
            <w:pPr>
              <w:jc w:val="right"/>
              <w:ind w:right="10"/>
              <w:spacing w:after="0" w:line="202" w:lineRule="exact"/>
              <w:rPr>
                <w:sz w:val="20"/>
                <w:szCs w:val="20"/>
                <w:color w:val="auto"/>
              </w:rPr>
            </w:pPr>
            <w:r>
              <w:rPr>
                <w:rFonts w:ascii="Arial" w:cs="Arial" w:eastAsia="Arial" w:hAnsi="Arial"/>
                <w:sz w:val="18"/>
                <w:szCs w:val="18"/>
                <w:color w:val="auto"/>
              </w:rPr>
              <w:t>180</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820" w:type="dxa"/>
            <w:vAlign w:val="bottom"/>
          </w:tcPr>
          <w:p>
            <w:pPr>
              <w:ind w:left="100"/>
              <w:spacing w:after="0"/>
              <w:rPr>
                <w:sz w:val="20"/>
                <w:szCs w:val="20"/>
                <w:color w:val="auto"/>
              </w:rPr>
            </w:pPr>
            <w:r>
              <w:rPr>
                <w:rFonts w:ascii="Arial" w:cs="Arial" w:eastAsia="Arial" w:hAnsi="Arial"/>
                <w:sz w:val="18"/>
                <w:szCs w:val="18"/>
                <w:color w:val="auto"/>
              </w:rPr>
              <w:t>Derivative valuation adjustment</w:t>
            </w: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5,715</w:t>
            </w:r>
          </w:p>
        </w:tc>
        <w:tc>
          <w:tcPr>
            <w:tcW w:w="560" w:type="dxa"/>
            <w:vAlign w:val="bottom"/>
          </w:tcPr>
          <w:p>
            <w:pPr>
              <w:spacing w:after="0"/>
              <w:rPr>
                <w:sz w:val="18"/>
                <w:szCs w:val="18"/>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5,715</w:t>
            </w:r>
          </w:p>
        </w:tc>
        <w:tc>
          <w:tcPr>
            <w:tcW w:w="0" w:type="dxa"/>
            <w:vAlign w:val="bottom"/>
          </w:tcPr>
          <w:p>
            <w:pPr>
              <w:spacing w:after="0"/>
              <w:rPr>
                <w:sz w:val="1"/>
                <w:szCs w:val="1"/>
                <w:color w:val="auto"/>
              </w:rPr>
            </w:pPr>
          </w:p>
        </w:tc>
      </w:tr>
      <w:tr>
        <w:trPr>
          <w:trHeight w:val="188"/>
        </w:trPr>
        <w:tc>
          <w:tcPr>
            <w:tcW w:w="20" w:type="dxa"/>
            <w:vAlign w:val="bottom"/>
            <w:vMerge w:val="restart"/>
          </w:tcPr>
          <w:p>
            <w:pPr>
              <w:spacing w:after="0"/>
              <w:rPr>
                <w:sz w:val="16"/>
                <w:szCs w:val="16"/>
                <w:color w:val="auto"/>
              </w:rPr>
            </w:pPr>
          </w:p>
        </w:tc>
        <w:tc>
          <w:tcPr>
            <w:tcW w:w="58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5820" w:type="dxa"/>
            <w:vAlign w:val="bottom"/>
            <w:shd w:val="clear" w:color="auto" w:fill="BFBFBF"/>
          </w:tcPr>
          <w:p>
            <w:pPr>
              <w:spacing w:after="0" w:line="201" w:lineRule="exact"/>
              <w:rPr>
                <w:sz w:val="20"/>
                <w:szCs w:val="20"/>
                <w:color w:val="auto"/>
              </w:rPr>
            </w:pPr>
            <w:r>
              <w:rPr>
                <w:rFonts w:ascii="Arial" w:cs="Arial" w:eastAsia="Arial" w:hAnsi="Arial"/>
                <w:sz w:val="18"/>
                <w:szCs w:val="18"/>
                <w:color w:val="auto"/>
              </w:rPr>
              <w:t>Income taxes related to items of other comprehensive</w:t>
            </w:r>
          </w:p>
        </w:tc>
        <w:tc>
          <w:tcPr>
            <w:tcW w:w="1500" w:type="dxa"/>
            <w:vAlign w:val="bottom"/>
            <w:shd w:val="clear" w:color="auto" w:fill="BFBFBF"/>
          </w:tcPr>
          <w:p>
            <w:pPr>
              <w:spacing w:after="0"/>
              <w:rPr>
                <w:sz w:val="17"/>
                <w:szCs w:val="17"/>
                <w:color w:val="auto"/>
              </w:rPr>
            </w:pPr>
          </w:p>
        </w:tc>
        <w:tc>
          <w:tcPr>
            <w:tcW w:w="560" w:type="dxa"/>
            <w:vAlign w:val="bottom"/>
            <w:shd w:val="clear" w:color="auto" w:fill="BFBFBF"/>
          </w:tcPr>
          <w:p>
            <w:pPr>
              <w:spacing w:after="0"/>
              <w:rPr>
                <w:sz w:val="17"/>
                <w:szCs w:val="17"/>
                <w:color w:val="auto"/>
              </w:rPr>
            </w:pPr>
          </w:p>
        </w:tc>
        <w:tc>
          <w:tcPr>
            <w:tcW w:w="1480" w:type="dxa"/>
            <w:vAlign w:val="bottom"/>
            <w:shd w:val="clear" w:color="auto" w:fill="BFBFBF"/>
          </w:tcPr>
          <w:p>
            <w:pPr>
              <w:spacing w:after="0"/>
              <w:rPr>
                <w:sz w:val="17"/>
                <w:szCs w:val="17"/>
                <w:color w:val="auto"/>
              </w:rPr>
            </w:pPr>
          </w:p>
        </w:tc>
        <w:tc>
          <w:tcPr>
            <w:tcW w:w="560" w:type="dxa"/>
            <w:vAlign w:val="bottom"/>
            <w:shd w:val="clear" w:color="auto" w:fill="BFBFBF"/>
          </w:tcPr>
          <w:p>
            <w:pPr>
              <w:spacing w:after="0"/>
              <w:rPr>
                <w:sz w:val="17"/>
                <w:szCs w:val="17"/>
                <w:color w:val="auto"/>
              </w:rPr>
            </w:pPr>
          </w:p>
        </w:tc>
        <w:tc>
          <w:tcPr>
            <w:tcW w:w="1480" w:type="dxa"/>
            <w:vAlign w:val="bottom"/>
            <w:shd w:val="clear" w:color="auto" w:fill="BFBFB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20" w:type="dxa"/>
            <w:vAlign w:val="bottom"/>
            <w:shd w:val="clear" w:color="auto" w:fill="BFBFBF"/>
          </w:tcPr>
          <w:p>
            <w:pPr>
              <w:spacing w:after="0" w:line="203" w:lineRule="exact"/>
              <w:rPr>
                <w:sz w:val="20"/>
                <w:szCs w:val="20"/>
                <w:color w:val="auto"/>
              </w:rPr>
            </w:pPr>
            <w:r>
              <w:rPr>
                <w:rFonts w:ascii="Arial" w:cs="Arial" w:eastAsia="Arial" w:hAnsi="Arial"/>
                <w:sz w:val="18"/>
                <w:szCs w:val="18"/>
                <w:color w:val="auto"/>
              </w:rPr>
              <w:t>income/(loss):</w:t>
            </w:r>
          </w:p>
        </w:tc>
        <w:tc>
          <w:tcPr>
            <w:tcW w:w="1500" w:type="dxa"/>
            <w:vAlign w:val="bottom"/>
            <w:shd w:val="clear" w:color="auto" w:fill="BFBFBF"/>
          </w:tcPr>
          <w:p>
            <w:pPr>
              <w:spacing w:after="0"/>
              <w:rPr>
                <w:sz w:val="17"/>
                <w:szCs w:val="17"/>
                <w:color w:val="auto"/>
              </w:rPr>
            </w:pPr>
          </w:p>
        </w:tc>
        <w:tc>
          <w:tcPr>
            <w:tcW w:w="560" w:type="dxa"/>
            <w:vAlign w:val="bottom"/>
            <w:shd w:val="clear" w:color="auto" w:fill="BFBFBF"/>
          </w:tcPr>
          <w:p>
            <w:pPr>
              <w:spacing w:after="0"/>
              <w:rPr>
                <w:sz w:val="17"/>
                <w:szCs w:val="17"/>
                <w:color w:val="auto"/>
              </w:rPr>
            </w:pPr>
          </w:p>
        </w:tc>
        <w:tc>
          <w:tcPr>
            <w:tcW w:w="1480" w:type="dxa"/>
            <w:vAlign w:val="bottom"/>
            <w:shd w:val="clear" w:color="auto" w:fill="BFBFBF"/>
          </w:tcPr>
          <w:p>
            <w:pPr>
              <w:spacing w:after="0"/>
              <w:rPr>
                <w:sz w:val="17"/>
                <w:szCs w:val="17"/>
                <w:color w:val="auto"/>
              </w:rPr>
            </w:pPr>
          </w:p>
        </w:tc>
        <w:tc>
          <w:tcPr>
            <w:tcW w:w="560" w:type="dxa"/>
            <w:vAlign w:val="bottom"/>
            <w:shd w:val="clear" w:color="auto" w:fill="BFBFBF"/>
          </w:tcPr>
          <w:p>
            <w:pPr>
              <w:spacing w:after="0"/>
              <w:rPr>
                <w:sz w:val="17"/>
                <w:szCs w:val="17"/>
                <w:color w:val="auto"/>
              </w:rPr>
            </w:pPr>
          </w:p>
        </w:tc>
        <w:tc>
          <w:tcPr>
            <w:tcW w:w="1480" w:type="dxa"/>
            <w:vAlign w:val="bottom"/>
            <w:shd w:val="clear" w:color="auto" w:fill="BFBFB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20" w:type="dxa"/>
            <w:vAlign w:val="bottom"/>
          </w:tcPr>
          <w:p>
            <w:pPr>
              <w:ind w:left="100"/>
              <w:spacing w:after="0" w:line="202" w:lineRule="exact"/>
              <w:rPr>
                <w:sz w:val="20"/>
                <w:szCs w:val="20"/>
                <w:color w:val="auto"/>
              </w:rPr>
            </w:pPr>
            <w:r>
              <w:rPr>
                <w:rFonts w:ascii="Arial" w:cs="Arial" w:eastAsia="Arial" w:hAnsi="Arial"/>
                <w:sz w:val="18"/>
                <w:szCs w:val="18"/>
                <w:color w:val="auto"/>
              </w:rPr>
              <w:t>Pension/postretirement plan remeasurement</w:t>
            </w:r>
          </w:p>
        </w:tc>
        <w:tc>
          <w:tcPr>
            <w:tcW w:w="1500" w:type="dxa"/>
            <w:vAlign w:val="bottom"/>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560" w:type="dxa"/>
            <w:vAlign w:val="bottom"/>
          </w:tcPr>
          <w:p>
            <w:pPr>
              <w:spacing w:after="0"/>
              <w:rPr>
                <w:sz w:val="17"/>
                <w:szCs w:val="17"/>
                <w:color w:val="auto"/>
              </w:rPr>
            </w:pPr>
          </w:p>
        </w:tc>
        <w:tc>
          <w:tcPr>
            <w:tcW w:w="14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560" w:type="dxa"/>
            <w:vAlign w:val="bottom"/>
          </w:tcPr>
          <w:p>
            <w:pPr>
              <w:spacing w:after="0"/>
              <w:rPr>
                <w:sz w:val="17"/>
                <w:szCs w:val="17"/>
                <w:color w:val="auto"/>
              </w:rPr>
            </w:pPr>
          </w:p>
        </w:tc>
        <w:tc>
          <w:tcPr>
            <w:tcW w:w="14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20" w:type="dxa"/>
            <w:vAlign w:val="bottom"/>
            <w:shd w:val="clear" w:color="auto" w:fill="BFBFBF"/>
          </w:tcPr>
          <w:p>
            <w:pPr>
              <w:ind w:left="100"/>
              <w:spacing w:after="0" w:line="202" w:lineRule="exact"/>
              <w:rPr>
                <w:sz w:val="20"/>
                <w:szCs w:val="20"/>
                <w:color w:val="auto"/>
              </w:rPr>
            </w:pPr>
            <w:r>
              <w:rPr>
                <w:rFonts w:ascii="Arial" w:cs="Arial" w:eastAsia="Arial" w:hAnsi="Arial"/>
                <w:sz w:val="18"/>
                <w:szCs w:val="18"/>
                <w:color w:val="auto"/>
              </w:rPr>
              <w:t>Amortization of pension liability adjustment</w:t>
            </w:r>
          </w:p>
        </w:tc>
        <w:tc>
          <w:tcPr>
            <w:tcW w:w="1500" w:type="dxa"/>
            <w:vAlign w:val="bottom"/>
            <w:shd w:val="clear" w:color="auto" w:fill="BFBFBF"/>
          </w:tcPr>
          <w:p>
            <w:pPr>
              <w:jc w:val="right"/>
              <w:spacing w:after="0" w:line="202" w:lineRule="exact"/>
              <w:rPr>
                <w:sz w:val="20"/>
                <w:szCs w:val="20"/>
                <w:color w:val="auto"/>
              </w:rPr>
            </w:pPr>
            <w:r>
              <w:rPr>
                <w:rFonts w:ascii="Arial" w:cs="Arial" w:eastAsia="Arial" w:hAnsi="Arial"/>
                <w:sz w:val="18"/>
                <w:szCs w:val="18"/>
                <w:color w:val="auto"/>
              </w:rPr>
              <w:t>(55)</w:t>
            </w:r>
          </w:p>
        </w:tc>
        <w:tc>
          <w:tcPr>
            <w:tcW w:w="560" w:type="dxa"/>
            <w:vAlign w:val="bottom"/>
            <w:shd w:val="clear" w:color="auto" w:fill="BFBFBF"/>
          </w:tcPr>
          <w:p>
            <w:pPr>
              <w:spacing w:after="0"/>
              <w:rPr>
                <w:sz w:val="17"/>
                <w:szCs w:val="17"/>
                <w:color w:val="auto"/>
              </w:rPr>
            </w:pPr>
          </w:p>
        </w:tc>
        <w:tc>
          <w:tcPr>
            <w:tcW w:w="1480" w:type="dxa"/>
            <w:vAlign w:val="bottom"/>
            <w:shd w:val="clear" w:color="auto" w:fill="BFBFBF"/>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560" w:type="dxa"/>
            <w:vAlign w:val="bottom"/>
            <w:shd w:val="clear" w:color="auto" w:fill="BFBFBF"/>
          </w:tcPr>
          <w:p>
            <w:pPr>
              <w:spacing w:after="0"/>
              <w:rPr>
                <w:sz w:val="17"/>
                <w:szCs w:val="17"/>
                <w:color w:val="auto"/>
              </w:rPr>
            </w:pPr>
          </w:p>
        </w:tc>
        <w:tc>
          <w:tcPr>
            <w:tcW w:w="1480" w:type="dxa"/>
            <w:vAlign w:val="bottom"/>
            <w:shd w:val="clear" w:color="auto" w:fill="BFBFBF"/>
          </w:tcPr>
          <w:p>
            <w:pPr>
              <w:jc w:val="right"/>
              <w:spacing w:after="0" w:line="202" w:lineRule="exact"/>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20" w:type="dxa"/>
            <w:vAlign w:val="bottom"/>
          </w:tcPr>
          <w:p>
            <w:pPr>
              <w:ind w:left="100"/>
              <w:spacing w:after="0" w:line="202" w:lineRule="exact"/>
              <w:rPr>
                <w:sz w:val="20"/>
                <w:szCs w:val="20"/>
                <w:color w:val="auto"/>
              </w:rPr>
            </w:pPr>
            <w:r>
              <w:rPr>
                <w:rFonts w:ascii="Arial" w:cs="Arial" w:eastAsia="Arial" w:hAnsi="Arial"/>
                <w:sz w:val="18"/>
                <w:szCs w:val="18"/>
                <w:color w:val="auto"/>
              </w:rPr>
              <w:t>Payments related to interest rate swaps included in earnings</w:t>
            </w:r>
          </w:p>
        </w:tc>
        <w:tc>
          <w:tcPr>
            <w:tcW w:w="1500" w:type="dxa"/>
            <w:vAlign w:val="bottom"/>
          </w:tcPr>
          <w:p>
            <w:pPr>
              <w:jc w:val="right"/>
              <w:spacing w:after="0" w:line="202" w:lineRule="exact"/>
              <w:rPr>
                <w:sz w:val="20"/>
                <w:szCs w:val="20"/>
                <w:color w:val="auto"/>
              </w:rPr>
            </w:pPr>
            <w:r>
              <w:rPr>
                <w:rFonts w:ascii="Arial" w:cs="Arial" w:eastAsia="Arial" w:hAnsi="Arial"/>
                <w:sz w:val="18"/>
                <w:szCs w:val="18"/>
                <w:color w:val="auto"/>
              </w:rPr>
              <w:t>(43)</w:t>
            </w:r>
          </w:p>
        </w:tc>
        <w:tc>
          <w:tcPr>
            <w:tcW w:w="560" w:type="dxa"/>
            <w:vAlign w:val="bottom"/>
          </w:tcPr>
          <w:p>
            <w:pPr>
              <w:spacing w:after="0"/>
              <w:rPr>
                <w:sz w:val="17"/>
                <w:szCs w:val="17"/>
                <w:color w:val="auto"/>
              </w:rPr>
            </w:pPr>
          </w:p>
        </w:tc>
        <w:tc>
          <w:tcPr>
            <w:tcW w:w="14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560" w:type="dxa"/>
            <w:vAlign w:val="bottom"/>
          </w:tcPr>
          <w:p>
            <w:pPr>
              <w:spacing w:after="0"/>
              <w:rPr>
                <w:sz w:val="17"/>
                <w:szCs w:val="17"/>
                <w:color w:val="auto"/>
              </w:rPr>
            </w:pPr>
          </w:p>
        </w:tc>
        <w:tc>
          <w:tcPr>
            <w:tcW w:w="1480" w:type="dxa"/>
            <w:vAlign w:val="bottom"/>
          </w:tcPr>
          <w:p>
            <w:pPr>
              <w:jc w:val="right"/>
              <w:spacing w:after="0" w:line="202" w:lineRule="exact"/>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BFBFBF"/>
          </w:tcPr>
          <w:p>
            <w:pPr>
              <w:ind w:left="100"/>
              <w:spacing w:after="0"/>
              <w:rPr>
                <w:sz w:val="20"/>
                <w:szCs w:val="20"/>
                <w:color w:val="auto"/>
              </w:rPr>
            </w:pPr>
            <w:r>
              <w:rPr>
                <w:rFonts w:ascii="Arial" w:cs="Arial" w:eastAsia="Arial" w:hAnsi="Arial"/>
                <w:sz w:val="18"/>
                <w:szCs w:val="18"/>
                <w:color w:val="auto"/>
              </w:rPr>
              <w:t>Derivative valuation adjustment</w:t>
            </w:r>
          </w:p>
        </w:tc>
        <w:tc>
          <w:tcPr>
            <w:tcW w:w="1500" w:type="dxa"/>
            <w:vAlign w:val="bottom"/>
            <w:tcBorders>
              <w:bottom w:val="single" w:sz="8" w:color="auto"/>
            </w:tcBorders>
            <w:shd w:val="clear" w:color="auto" w:fill="BFBFBF"/>
          </w:tcPr>
          <w:p>
            <w:pPr>
              <w:jc w:val="right"/>
              <w:spacing w:after="0"/>
              <w:rPr>
                <w:sz w:val="20"/>
                <w:szCs w:val="20"/>
                <w:color w:val="auto"/>
              </w:rPr>
            </w:pPr>
            <w:r>
              <w:rPr>
                <w:rFonts w:ascii="Arial" w:cs="Arial" w:eastAsia="Arial" w:hAnsi="Arial"/>
                <w:sz w:val="18"/>
                <w:szCs w:val="18"/>
                <w:color w:val="auto"/>
              </w:rPr>
              <w:t>(1,372)</w:t>
            </w:r>
          </w:p>
        </w:tc>
        <w:tc>
          <w:tcPr>
            <w:tcW w:w="560" w:type="dxa"/>
            <w:vAlign w:val="bottom"/>
            <w:shd w:val="clear" w:color="auto" w:fill="BFBFBF"/>
          </w:tcPr>
          <w:p>
            <w:pPr>
              <w:spacing w:after="0"/>
              <w:rPr>
                <w:sz w:val="18"/>
                <w:szCs w:val="18"/>
                <w:color w:val="auto"/>
              </w:rPr>
            </w:pPr>
          </w:p>
        </w:tc>
        <w:tc>
          <w:tcPr>
            <w:tcW w:w="1480" w:type="dxa"/>
            <w:vAlign w:val="bottom"/>
            <w:tcBorders>
              <w:bottom w:val="single" w:sz="8" w:color="auto"/>
            </w:tcBorders>
            <w:shd w:val="clear" w:color="auto" w:fill="BFBFBF"/>
          </w:tcPr>
          <w:p>
            <w:pPr>
              <w:jc w:val="right"/>
              <w:ind w:right="10"/>
              <w:spacing w:after="0"/>
              <w:rPr>
                <w:sz w:val="20"/>
                <w:szCs w:val="20"/>
                <w:color w:val="auto"/>
              </w:rPr>
            </w:pPr>
            <w:r>
              <w:rPr>
                <w:rFonts w:ascii="Arial" w:cs="Arial" w:eastAsia="Arial" w:hAnsi="Arial"/>
                <w:sz w:val="18"/>
                <w:szCs w:val="18"/>
                <w:color w:val="auto"/>
              </w:rPr>
              <w:t>-</w:t>
            </w:r>
          </w:p>
        </w:tc>
        <w:tc>
          <w:tcPr>
            <w:tcW w:w="560" w:type="dxa"/>
            <w:vAlign w:val="bottom"/>
            <w:shd w:val="clear" w:color="auto" w:fill="BFBFBF"/>
          </w:tcPr>
          <w:p>
            <w:pPr>
              <w:spacing w:after="0"/>
              <w:rPr>
                <w:sz w:val="18"/>
                <w:szCs w:val="18"/>
                <w:color w:val="auto"/>
              </w:rPr>
            </w:pPr>
          </w:p>
        </w:tc>
        <w:tc>
          <w:tcPr>
            <w:tcW w:w="1480" w:type="dxa"/>
            <w:vAlign w:val="bottom"/>
            <w:tcBorders>
              <w:bottom w:val="single" w:sz="8" w:color="auto"/>
            </w:tcBorders>
            <w:shd w:val="clear" w:color="auto" w:fill="BFBFBF"/>
          </w:tcPr>
          <w:p>
            <w:pPr>
              <w:jc w:val="right"/>
              <w:spacing w:after="0"/>
              <w:rPr>
                <w:sz w:val="20"/>
                <w:szCs w:val="20"/>
                <w:color w:val="auto"/>
              </w:rPr>
            </w:pPr>
            <w:r>
              <w:rPr>
                <w:rFonts w:ascii="Arial" w:cs="Arial" w:eastAsia="Arial" w:hAnsi="Arial"/>
                <w:sz w:val="18"/>
                <w:szCs w:val="18"/>
                <w:color w:val="auto"/>
              </w:rPr>
              <w:t>(1,372)</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820" w:type="dxa"/>
            <w:vAlign w:val="bottom"/>
          </w:tcPr>
          <w:p>
            <w:pPr>
              <w:ind w:left="100"/>
              <w:spacing w:after="0" w:line="196" w:lineRule="exact"/>
              <w:rPr>
                <w:sz w:val="20"/>
                <w:szCs w:val="20"/>
                <w:color w:val="auto"/>
              </w:rPr>
            </w:pPr>
            <w:r>
              <w:rPr>
                <w:rFonts w:ascii="Arial" w:cs="Arial" w:eastAsia="Arial" w:hAnsi="Arial"/>
                <w:sz w:val="18"/>
                <w:szCs w:val="18"/>
                <w:color w:val="auto"/>
              </w:rPr>
              <w:t>Comprehensive income</w:t>
            </w:r>
          </w:p>
        </w:tc>
        <w:tc>
          <w:tcPr>
            <w:tcW w:w="1500" w:type="dxa"/>
            <w:vAlign w:val="bottom"/>
          </w:tcPr>
          <w:p>
            <w:pPr>
              <w:jc w:val="right"/>
              <w:ind w:right="30"/>
              <w:spacing w:after="0" w:line="196" w:lineRule="exact"/>
              <w:rPr>
                <w:sz w:val="20"/>
                <w:szCs w:val="20"/>
                <w:color w:val="auto"/>
              </w:rPr>
            </w:pPr>
            <w:r>
              <w:rPr>
                <w:rFonts w:ascii="Arial" w:cs="Arial" w:eastAsia="Arial" w:hAnsi="Arial"/>
                <w:sz w:val="18"/>
                <w:szCs w:val="18"/>
                <w:color w:val="auto"/>
              </w:rPr>
              <w:t>32,595</w:t>
            </w:r>
          </w:p>
        </w:tc>
        <w:tc>
          <w:tcPr>
            <w:tcW w:w="560" w:type="dxa"/>
            <w:vAlign w:val="bottom"/>
          </w:tcPr>
          <w:p>
            <w:pPr>
              <w:spacing w:after="0"/>
              <w:rPr>
                <w:sz w:val="17"/>
                <w:szCs w:val="17"/>
                <w:color w:val="auto"/>
              </w:rPr>
            </w:pPr>
          </w:p>
        </w:tc>
        <w:tc>
          <w:tcPr>
            <w:tcW w:w="1480" w:type="dxa"/>
            <w:vAlign w:val="bottom"/>
          </w:tcPr>
          <w:p>
            <w:pPr>
              <w:jc w:val="right"/>
              <w:spacing w:after="0" w:line="196" w:lineRule="exact"/>
              <w:rPr>
                <w:sz w:val="20"/>
                <w:szCs w:val="20"/>
                <w:color w:val="auto"/>
              </w:rPr>
            </w:pPr>
            <w:r>
              <w:rPr>
                <w:rFonts w:ascii="Arial" w:cs="Arial" w:eastAsia="Arial" w:hAnsi="Arial"/>
                <w:sz w:val="18"/>
                <w:szCs w:val="18"/>
                <w:color w:val="auto"/>
              </w:rPr>
              <w:t>(1,555)</w:t>
            </w:r>
          </w:p>
        </w:tc>
        <w:tc>
          <w:tcPr>
            <w:tcW w:w="560" w:type="dxa"/>
            <w:vAlign w:val="bottom"/>
          </w:tcPr>
          <w:p>
            <w:pPr>
              <w:spacing w:after="0"/>
              <w:rPr>
                <w:sz w:val="17"/>
                <w:szCs w:val="17"/>
                <w:color w:val="auto"/>
              </w:rPr>
            </w:pPr>
          </w:p>
        </w:tc>
        <w:tc>
          <w:tcPr>
            <w:tcW w:w="1480" w:type="dxa"/>
            <w:vAlign w:val="bottom"/>
          </w:tcPr>
          <w:p>
            <w:pPr>
              <w:jc w:val="right"/>
              <w:ind w:right="10"/>
              <w:spacing w:after="0" w:line="196" w:lineRule="exact"/>
              <w:rPr>
                <w:sz w:val="20"/>
                <w:szCs w:val="20"/>
                <w:color w:val="auto"/>
              </w:rPr>
            </w:pPr>
            <w:r>
              <w:rPr>
                <w:rFonts w:ascii="Arial" w:cs="Arial" w:eastAsia="Arial" w:hAnsi="Arial"/>
                <w:sz w:val="18"/>
                <w:szCs w:val="18"/>
                <w:color w:val="auto"/>
              </w:rPr>
              <w:t>31,040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BFBFBF"/>
          </w:tcPr>
          <w:p>
            <w:pPr>
              <w:spacing w:after="0"/>
              <w:rPr>
                <w:sz w:val="20"/>
                <w:szCs w:val="20"/>
                <w:color w:val="auto"/>
              </w:rPr>
            </w:pPr>
            <w:r>
              <w:rPr>
                <w:rFonts w:ascii="Arial" w:cs="Arial" w:eastAsia="Arial" w:hAnsi="Arial"/>
                <w:sz w:val="18"/>
                <w:szCs w:val="18"/>
                <w:color w:val="auto"/>
              </w:rPr>
              <w:t>Comprehensive income attributable to the noncontrolling interest</w:t>
            </w:r>
          </w:p>
        </w:tc>
        <w:tc>
          <w:tcPr>
            <w:tcW w:w="1500" w:type="dxa"/>
            <w:vAlign w:val="bottom"/>
            <w:tcBorders>
              <w:bottom w:val="single" w:sz="8" w:color="auto"/>
            </w:tcBorders>
            <w:shd w:val="clear" w:color="auto" w:fill="BFBFBF"/>
          </w:tcPr>
          <w:p>
            <w:pPr>
              <w:jc w:val="right"/>
              <w:ind w:right="30"/>
              <w:spacing w:after="0"/>
              <w:rPr>
                <w:sz w:val="20"/>
                <w:szCs w:val="20"/>
                <w:color w:val="auto"/>
              </w:rPr>
            </w:pPr>
            <w:r>
              <w:rPr>
                <w:rFonts w:ascii="Arial" w:cs="Arial" w:eastAsia="Arial" w:hAnsi="Arial"/>
                <w:sz w:val="18"/>
                <w:szCs w:val="18"/>
                <w:color w:val="auto"/>
              </w:rPr>
              <w:t>230</w:t>
            </w:r>
          </w:p>
        </w:tc>
        <w:tc>
          <w:tcPr>
            <w:tcW w:w="560" w:type="dxa"/>
            <w:vAlign w:val="bottom"/>
            <w:shd w:val="clear" w:color="auto" w:fill="BFBFBF"/>
          </w:tcPr>
          <w:p>
            <w:pPr>
              <w:spacing w:after="0"/>
              <w:rPr>
                <w:sz w:val="18"/>
                <w:szCs w:val="18"/>
                <w:color w:val="auto"/>
              </w:rPr>
            </w:pPr>
          </w:p>
        </w:tc>
        <w:tc>
          <w:tcPr>
            <w:tcW w:w="1480" w:type="dxa"/>
            <w:vAlign w:val="bottom"/>
            <w:tcBorders>
              <w:bottom w:val="single" w:sz="8" w:color="auto"/>
            </w:tcBorders>
            <w:shd w:val="clear" w:color="auto" w:fill="BFBFBF"/>
          </w:tcPr>
          <w:p>
            <w:pPr>
              <w:jc w:val="right"/>
              <w:spacing w:after="0"/>
              <w:rPr>
                <w:sz w:val="20"/>
                <w:szCs w:val="20"/>
                <w:color w:val="auto"/>
              </w:rPr>
            </w:pPr>
            <w:r>
              <w:rPr>
                <w:rFonts w:ascii="Arial" w:cs="Arial" w:eastAsia="Arial" w:hAnsi="Arial"/>
                <w:sz w:val="18"/>
                <w:szCs w:val="18"/>
                <w:color w:val="auto"/>
              </w:rPr>
              <w:t>(57)</w:t>
            </w:r>
          </w:p>
        </w:tc>
        <w:tc>
          <w:tcPr>
            <w:tcW w:w="560" w:type="dxa"/>
            <w:vAlign w:val="bottom"/>
            <w:shd w:val="clear" w:color="auto" w:fill="BFBFBF"/>
          </w:tcPr>
          <w:p>
            <w:pPr>
              <w:spacing w:after="0"/>
              <w:rPr>
                <w:sz w:val="18"/>
                <w:szCs w:val="18"/>
                <w:color w:val="auto"/>
              </w:rPr>
            </w:pPr>
          </w:p>
        </w:tc>
        <w:tc>
          <w:tcPr>
            <w:tcW w:w="1480" w:type="dxa"/>
            <w:vAlign w:val="bottom"/>
            <w:tcBorders>
              <w:bottom w:val="single" w:sz="8" w:color="auto"/>
            </w:tcBorders>
            <w:shd w:val="clear" w:color="auto" w:fill="BFBFBF"/>
          </w:tcPr>
          <w:p>
            <w:pPr>
              <w:jc w:val="right"/>
              <w:ind w:right="10"/>
              <w:spacing w:after="0"/>
              <w:rPr>
                <w:sz w:val="20"/>
                <w:szCs w:val="20"/>
                <w:color w:val="auto"/>
              </w:rPr>
            </w:pPr>
            <w:r>
              <w:rPr>
                <w:rFonts w:ascii="Arial" w:cs="Arial" w:eastAsia="Arial" w:hAnsi="Arial"/>
                <w:sz w:val="18"/>
                <w:szCs w:val="18"/>
                <w:color w:val="auto"/>
              </w:rPr>
              <w:t>173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20" w:type="dxa"/>
            <w:vAlign w:val="bottom"/>
          </w:tcPr>
          <w:p>
            <w:pPr>
              <w:spacing w:after="0" w:line="197" w:lineRule="exact"/>
              <w:rPr>
                <w:sz w:val="20"/>
                <w:szCs w:val="20"/>
                <w:color w:val="auto"/>
              </w:rPr>
            </w:pPr>
            <w:r>
              <w:rPr>
                <w:rFonts w:ascii="Arial" w:cs="Arial" w:eastAsia="Arial" w:hAnsi="Arial"/>
                <w:sz w:val="18"/>
                <w:szCs w:val="18"/>
                <w:color w:val="auto"/>
              </w:rPr>
              <w:t>Comprehensive income attributable to the Company</w:t>
            </w:r>
          </w:p>
        </w:tc>
        <w:tc>
          <w:tcPr>
            <w:tcW w:w="15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$32,365</w:t>
            </w:r>
          </w:p>
        </w:tc>
        <w:tc>
          <w:tcPr>
            <w:tcW w:w="560" w:type="dxa"/>
            <w:vAlign w:val="bottom"/>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($1,498)</w:t>
            </w:r>
          </w:p>
        </w:tc>
        <w:tc>
          <w:tcPr>
            <w:tcW w:w="560" w:type="dxa"/>
            <w:vAlign w:val="bottom"/>
          </w:tcPr>
          <w:p>
            <w:pPr>
              <w:spacing w:after="0"/>
              <w:rPr>
                <w:sz w:val="18"/>
                <w:szCs w:val="18"/>
                <w:color w:val="auto"/>
              </w:rPr>
            </w:pPr>
          </w:p>
        </w:tc>
        <w:tc>
          <w:tcPr>
            <w:tcW w:w="14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$30,867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2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342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1012" w:right="2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color w:val="auto"/>
        </w:rPr>
        <w:t>ALBANY INTERNATIONAL CORP.</w:t>
      </w:r>
    </w:p>
    <w:p>
      <w:pPr>
        <w:jc w:val="center"/>
        <w:spacing w:after="0" w:line="234" w:lineRule="auto"/>
        <w:rPr>
          <w:sz w:val="20"/>
          <w:szCs w:val="20"/>
          <w:color w:val="auto"/>
        </w:rPr>
      </w:pPr>
      <w:r>
        <w:rPr>
          <w:rFonts w:ascii="Arial" w:cs="Arial" w:eastAsia="Arial" w:hAnsi="Arial"/>
          <w:sz w:val="18"/>
          <w:szCs w:val="18"/>
          <w:color w:val="auto"/>
        </w:rPr>
        <w:t>CONSOLIDATED BALANCE SHEET</w:t>
      </w:r>
    </w:p>
    <w:p>
      <w:pPr>
        <w:ind w:left="4700"/>
        <w:spacing w:after="0" w:line="235" w:lineRule="auto"/>
        <w:rPr>
          <w:sz w:val="20"/>
          <w:szCs w:val="20"/>
          <w:color w:val="auto"/>
        </w:rPr>
      </w:pPr>
      <w:r>
        <w:rPr>
          <w:rFonts w:ascii="Arial" w:cs="Arial" w:eastAsia="Arial" w:hAnsi="Arial"/>
          <w:sz w:val="18"/>
          <w:szCs w:val="18"/>
          <w:color w:val="auto"/>
        </w:rPr>
        <w:t>(in thousands, except share data)</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080" w:type="dxa"/>
            <w:vAlign w:val="bottom"/>
          </w:tcPr>
          <w:p>
            <w:pPr>
              <w:spacing w:after="0"/>
              <w:rPr>
                <w:sz w:val="18"/>
                <w:szCs w:val="18"/>
                <w:color w:val="auto"/>
              </w:rPr>
            </w:pPr>
          </w:p>
        </w:tc>
        <w:tc>
          <w:tcPr>
            <w:tcW w:w="2820" w:type="dxa"/>
            <w:vAlign w:val="bottom"/>
            <w:gridSpan w:val="3"/>
          </w:tcPr>
          <w:p>
            <w:pPr>
              <w:ind w:left="180"/>
              <w:spacing w:after="0"/>
              <w:rPr>
                <w:sz w:val="20"/>
                <w:szCs w:val="20"/>
                <w:color w:val="auto"/>
              </w:rPr>
            </w:pPr>
            <w:r>
              <w:rPr>
                <w:rFonts w:ascii="Arial" w:cs="Arial" w:eastAsia="Arial" w:hAnsi="Arial"/>
                <w:sz w:val="18"/>
                <w:szCs w:val="18"/>
                <w:color w:val="auto"/>
              </w:rPr>
              <w:t>(unaudited)</w:t>
            </w:r>
          </w:p>
        </w:tc>
        <w:tc>
          <w:tcPr>
            <w:tcW w:w="1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80"/>
        </w:trPr>
        <w:tc>
          <w:tcPr>
            <w:tcW w:w="50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9"/>
              </w:rPr>
              <w:t>As adjusted for</w:t>
            </w:r>
          </w:p>
        </w:tc>
        <w:tc>
          <w:tcPr>
            <w:tcW w:w="0" w:type="dxa"/>
            <w:vAlign w:val="bottom"/>
          </w:tcPr>
          <w:p>
            <w:pPr>
              <w:spacing w:after="0"/>
              <w:rPr>
                <w:sz w:val="1"/>
                <w:szCs w:val="1"/>
                <w:color w:val="auto"/>
              </w:rPr>
            </w:pPr>
          </w:p>
        </w:tc>
      </w:tr>
      <w:tr>
        <w:trPr>
          <w:trHeight w:val="203"/>
        </w:trPr>
        <w:tc>
          <w:tcPr>
            <w:tcW w:w="50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80" w:type="dxa"/>
            <w:vAlign w:val="bottom"/>
          </w:tcPr>
          <w:p>
            <w:pPr>
              <w:jc w:val="center"/>
              <w:spacing w:after="0" w:line="202" w:lineRule="exact"/>
              <w:rPr>
                <w:sz w:val="20"/>
                <w:szCs w:val="20"/>
                <w:color w:val="auto"/>
              </w:rPr>
            </w:pPr>
            <w:r>
              <w:rPr>
                <w:rFonts w:ascii="Arial" w:cs="Arial" w:eastAsia="Arial" w:hAnsi="Arial"/>
                <w:sz w:val="18"/>
                <w:szCs w:val="18"/>
                <w:color w:val="auto"/>
                <w:w w:val="99"/>
              </w:rPr>
              <w:t>the Three months</w:t>
            </w:r>
          </w:p>
        </w:tc>
        <w:tc>
          <w:tcPr>
            <w:tcW w:w="0" w:type="dxa"/>
            <w:vAlign w:val="bottom"/>
          </w:tcPr>
          <w:p>
            <w:pPr>
              <w:spacing w:after="0"/>
              <w:rPr>
                <w:sz w:val="1"/>
                <w:szCs w:val="1"/>
                <w:color w:val="auto"/>
              </w:rPr>
            </w:pPr>
          </w:p>
        </w:tc>
      </w:tr>
      <w:tr>
        <w:trPr>
          <w:trHeight w:val="203"/>
        </w:trPr>
        <w:tc>
          <w:tcPr>
            <w:tcW w:w="50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80" w:type="dxa"/>
            <w:vAlign w:val="bottom"/>
          </w:tcPr>
          <w:p>
            <w:pPr>
              <w:jc w:val="center"/>
              <w:spacing w:after="0" w:line="202" w:lineRule="exact"/>
              <w:rPr>
                <w:sz w:val="20"/>
                <w:szCs w:val="20"/>
                <w:color w:val="auto"/>
              </w:rPr>
            </w:pPr>
            <w:r>
              <w:rPr>
                <w:rFonts w:ascii="Arial" w:cs="Arial" w:eastAsia="Arial" w:hAnsi="Arial"/>
                <w:sz w:val="18"/>
                <w:szCs w:val="18"/>
                <w:color w:val="auto"/>
              </w:rPr>
              <w:t>ended March 31,</w:t>
            </w:r>
          </w:p>
        </w:tc>
        <w:tc>
          <w:tcPr>
            <w:tcW w:w="0" w:type="dxa"/>
            <w:vAlign w:val="bottom"/>
          </w:tcPr>
          <w:p>
            <w:pPr>
              <w:spacing w:after="0"/>
              <w:rPr>
                <w:sz w:val="1"/>
                <w:szCs w:val="1"/>
                <w:color w:val="auto"/>
              </w:rPr>
            </w:pPr>
          </w:p>
        </w:tc>
      </w:tr>
      <w:tr>
        <w:trPr>
          <w:trHeight w:val="203"/>
        </w:trPr>
        <w:tc>
          <w:tcPr>
            <w:tcW w:w="50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40" w:type="dxa"/>
            <w:vAlign w:val="bottom"/>
            <w:gridSpan w:val="3"/>
          </w:tcPr>
          <w:p>
            <w:pPr>
              <w:jc w:val="center"/>
              <w:ind w:right="560"/>
              <w:spacing w:after="0" w:line="202" w:lineRule="exact"/>
              <w:rPr>
                <w:sz w:val="20"/>
                <w:szCs w:val="20"/>
                <w:color w:val="auto"/>
              </w:rPr>
            </w:pPr>
            <w:r>
              <w:rPr>
                <w:rFonts w:ascii="Arial" w:cs="Arial" w:eastAsia="Arial" w:hAnsi="Arial"/>
                <w:sz w:val="18"/>
                <w:szCs w:val="18"/>
                <w:color w:val="auto"/>
              </w:rPr>
              <w:t>Adjustments to</w:t>
            </w:r>
          </w:p>
        </w:tc>
        <w:tc>
          <w:tcPr>
            <w:tcW w:w="1480" w:type="dxa"/>
            <w:vAlign w:val="bottom"/>
          </w:tcPr>
          <w:p>
            <w:pPr>
              <w:jc w:val="center"/>
              <w:spacing w:after="0" w:line="202" w:lineRule="exact"/>
              <w:rPr>
                <w:sz w:val="20"/>
                <w:szCs w:val="20"/>
                <w:color w:val="auto"/>
              </w:rPr>
            </w:pPr>
            <w:r>
              <w:rPr>
                <w:rFonts w:ascii="Arial" w:cs="Arial" w:eastAsia="Arial" w:hAnsi="Arial"/>
                <w:sz w:val="18"/>
                <w:szCs w:val="18"/>
                <w:color w:val="auto"/>
              </w:rPr>
              <w:t>2018 to exclude</w:t>
            </w:r>
          </w:p>
        </w:tc>
        <w:tc>
          <w:tcPr>
            <w:tcW w:w="0" w:type="dxa"/>
            <w:vAlign w:val="bottom"/>
          </w:tcPr>
          <w:p>
            <w:pPr>
              <w:spacing w:after="0"/>
              <w:rPr>
                <w:sz w:val="1"/>
                <w:szCs w:val="1"/>
                <w:color w:val="auto"/>
              </w:rPr>
            </w:pPr>
          </w:p>
        </w:tc>
      </w:tr>
      <w:tr>
        <w:trPr>
          <w:trHeight w:val="203"/>
        </w:trPr>
        <w:tc>
          <w:tcPr>
            <w:tcW w:w="50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6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As reported March</w:t>
            </w:r>
          </w:p>
        </w:tc>
        <w:tc>
          <w:tcPr>
            <w:tcW w:w="2040" w:type="dxa"/>
            <w:vAlign w:val="bottom"/>
            <w:gridSpan w:val="3"/>
          </w:tcPr>
          <w:p>
            <w:pPr>
              <w:jc w:val="center"/>
              <w:ind w:right="540"/>
              <w:spacing w:after="0" w:line="202" w:lineRule="exact"/>
              <w:rPr>
                <w:sz w:val="20"/>
                <w:szCs w:val="20"/>
                <w:color w:val="auto"/>
              </w:rPr>
            </w:pPr>
            <w:r>
              <w:rPr>
                <w:rFonts w:ascii="Arial" w:cs="Arial" w:eastAsia="Arial" w:hAnsi="Arial"/>
                <w:sz w:val="18"/>
                <w:szCs w:val="18"/>
                <w:color w:val="auto"/>
                <w:w w:val="99"/>
              </w:rPr>
              <w:t>reverse effects of</w:t>
            </w:r>
          </w:p>
        </w:tc>
        <w:tc>
          <w:tcPr>
            <w:tcW w:w="1480" w:type="dxa"/>
            <w:vAlign w:val="bottom"/>
          </w:tcPr>
          <w:p>
            <w:pPr>
              <w:jc w:val="center"/>
              <w:spacing w:after="0" w:line="202" w:lineRule="exact"/>
              <w:rPr>
                <w:sz w:val="20"/>
                <w:szCs w:val="20"/>
                <w:color w:val="auto"/>
              </w:rPr>
            </w:pPr>
            <w:r>
              <w:rPr>
                <w:rFonts w:ascii="Arial" w:cs="Arial" w:eastAsia="Arial" w:hAnsi="Arial"/>
                <w:sz w:val="18"/>
                <w:szCs w:val="18"/>
                <w:color w:val="auto"/>
              </w:rPr>
              <w:t>adoption of ASC</w:t>
            </w:r>
          </w:p>
        </w:tc>
        <w:tc>
          <w:tcPr>
            <w:tcW w:w="0" w:type="dxa"/>
            <w:vAlign w:val="bottom"/>
          </w:tcPr>
          <w:p>
            <w:pPr>
              <w:spacing w:after="0"/>
              <w:rPr>
                <w:sz w:val="1"/>
                <w:szCs w:val="1"/>
                <w:color w:val="auto"/>
              </w:rPr>
            </w:pPr>
          </w:p>
        </w:tc>
      </w:tr>
      <w:tr>
        <w:trPr>
          <w:trHeight w:val="203"/>
        </w:trPr>
        <w:tc>
          <w:tcPr>
            <w:tcW w:w="5080" w:type="dxa"/>
            <w:vAlign w:val="bottom"/>
            <w:vMerge w:val="restart"/>
          </w:tcPr>
          <w:p>
            <w:pPr>
              <w:spacing w:after="0"/>
              <w:rPr>
                <w:sz w:val="20"/>
                <w:szCs w:val="20"/>
                <w:color w:val="auto"/>
              </w:rPr>
            </w:pPr>
            <w:r>
              <w:rPr>
                <w:rFonts w:ascii="Arial" w:cs="Arial" w:eastAsia="Arial" w:hAnsi="Arial"/>
                <w:sz w:val="18"/>
                <w:szCs w:val="18"/>
                <w:color w:val="auto"/>
              </w:rPr>
              <w:t>ASSETS</w:t>
            </w:r>
          </w:p>
        </w:tc>
        <w:tc>
          <w:tcPr>
            <w:tcW w:w="2260" w:type="dxa"/>
            <w:vAlign w:val="bottom"/>
            <w:gridSpan w:val="2"/>
          </w:tcPr>
          <w:p>
            <w:pPr>
              <w:jc w:val="right"/>
              <w:ind w:right="310"/>
              <w:spacing w:after="0" w:line="203" w:lineRule="exact"/>
              <w:rPr>
                <w:sz w:val="20"/>
                <w:szCs w:val="20"/>
                <w:color w:val="auto"/>
              </w:rPr>
            </w:pPr>
            <w:r>
              <w:rPr>
                <w:rFonts w:ascii="Arial" w:cs="Arial" w:eastAsia="Arial" w:hAnsi="Arial"/>
                <w:sz w:val="18"/>
                <w:szCs w:val="18"/>
                <w:color w:val="auto"/>
              </w:rPr>
              <w:t>31, 2018</w:t>
            </w:r>
          </w:p>
        </w:tc>
        <w:tc>
          <w:tcPr>
            <w:tcW w:w="560" w:type="dxa"/>
            <w:vAlign w:val="bottom"/>
          </w:tcPr>
          <w:p>
            <w:pPr>
              <w:spacing w:after="0"/>
              <w:rPr>
                <w:sz w:val="17"/>
                <w:szCs w:val="17"/>
                <w:color w:val="auto"/>
              </w:rPr>
            </w:pPr>
          </w:p>
        </w:tc>
        <w:tc>
          <w:tcPr>
            <w:tcW w:w="1120" w:type="dxa"/>
            <w:vAlign w:val="bottom"/>
          </w:tcPr>
          <w:p>
            <w:pPr>
              <w:jc w:val="center"/>
              <w:ind w:left="270"/>
              <w:spacing w:after="0" w:line="203" w:lineRule="exact"/>
              <w:rPr>
                <w:sz w:val="20"/>
                <w:szCs w:val="20"/>
                <w:color w:val="auto"/>
              </w:rPr>
            </w:pPr>
            <w:r>
              <w:rPr>
                <w:rFonts w:ascii="Arial" w:cs="Arial" w:eastAsia="Arial" w:hAnsi="Arial"/>
                <w:sz w:val="18"/>
                <w:szCs w:val="18"/>
                <w:color w:val="auto"/>
                <w:w w:val="99"/>
              </w:rPr>
              <w:t>ASC 606</w:t>
            </w:r>
          </w:p>
        </w:tc>
        <w:tc>
          <w:tcPr>
            <w:tcW w:w="3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80" w:type="dxa"/>
            <w:vAlign w:val="bottom"/>
          </w:tcPr>
          <w:p>
            <w:pPr>
              <w:jc w:val="center"/>
              <w:spacing w:after="0" w:line="203" w:lineRule="exact"/>
              <w:rPr>
                <w:sz w:val="20"/>
                <w:szCs w:val="20"/>
                <w:color w:val="auto"/>
              </w:rPr>
            </w:pPr>
            <w:r>
              <w:rPr>
                <w:rFonts w:ascii="Arial" w:cs="Arial" w:eastAsia="Arial" w:hAnsi="Arial"/>
                <w:sz w:val="18"/>
                <w:szCs w:val="18"/>
                <w:color w:val="auto"/>
                <w:w w:val="99"/>
              </w:rPr>
              <w:t>606</w:t>
            </w:r>
          </w:p>
        </w:tc>
        <w:tc>
          <w:tcPr>
            <w:tcW w:w="0" w:type="dxa"/>
            <w:vAlign w:val="bottom"/>
          </w:tcPr>
          <w:p>
            <w:pPr>
              <w:spacing w:after="0"/>
              <w:rPr>
                <w:sz w:val="1"/>
                <w:szCs w:val="1"/>
                <w:color w:val="auto"/>
              </w:rPr>
            </w:pPr>
          </w:p>
        </w:tc>
      </w:tr>
      <w:tr>
        <w:trPr>
          <w:trHeight w:val="196"/>
        </w:trPr>
        <w:tc>
          <w:tcPr>
            <w:tcW w:w="5080" w:type="dxa"/>
            <w:vAlign w:val="bottom"/>
            <w:vMerge w:val="continue"/>
          </w:tcPr>
          <w:p>
            <w:pPr>
              <w:spacing w:after="0"/>
              <w:rPr>
                <w:sz w:val="17"/>
                <w:szCs w:val="17"/>
                <w:color w:val="auto"/>
              </w:rPr>
            </w:pPr>
          </w:p>
        </w:tc>
        <w:tc>
          <w:tcPr>
            <w:tcW w:w="760" w:type="dxa"/>
            <w:vAlign w:val="bottom"/>
          </w:tcPr>
          <w:p>
            <w:pPr>
              <w:spacing w:after="0"/>
              <w:rPr>
                <w:sz w:val="17"/>
                <w:szCs w:val="17"/>
                <w:color w:val="auto"/>
              </w:rPr>
            </w:pPr>
          </w:p>
        </w:tc>
        <w:tc>
          <w:tcPr>
            <w:tcW w:w="1500" w:type="dxa"/>
            <w:vAlign w:val="bottom"/>
            <w:tcBorders>
              <w:top w:val="single" w:sz="8" w:color="auto"/>
            </w:tcBorders>
          </w:tcPr>
          <w:p>
            <w:pPr>
              <w:spacing w:after="0"/>
              <w:rPr>
                <w:sz w:val="17"/>
                <w:szCs w:val="17"/>
                <w:color w:val="auto"/>
              </w:rPr>
            </w:pPr>
          </w:p>
        </w:tc>
        <w:tc>
          <w:tcPr>
            <w:tcW w:w="560" w:type="dxa"/>
            <w:vAlign w:val="bottom"/>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560" w:type="dxa"/>
            <w:vAlign w:val="bottom"/>
          </w:tcPr>
          <w:p>
            <w:pPr>
              <w:spacing w:after="0"/>
              <w:rPr>
                <w:sz w:val="17"/>
                <w:szCs w:val="17"/>
                <w:color w:val="auto"/>
              </w:rPr>
            </w:pPr>
          </w:p>
        </w:tc>
        <w:tc>
          <w:tcPr>
            <w:tcW w:w="148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80" w:type="dxa"/>
            <w:vAlign w:val="bottom"/>
            <w:shd w:val="clear" w:color="auto" w:fill="C0C0C0"/>
          </w:tcPr>
          <w:p>
            <w:pPr>
              <w:ind w:left="100"/>
              <w:spacing w:after="0" w:line="202" w:lineRule="exact"/>
              <w:rPr>
                <w:sz w:val="20"/>
                <w:szCs w:val="20"/>
                <w:color w:val="auto"/>
              </w:rPr>
            </w:pPr>
            <w:r>
              <w:rPr>
                <w:rFonts w:ascii="Arial" w:cs="Arial" w:eastAsia="Arial" w:hAnsi="Arial"/>
                <w:sz w:val="18"/>
                <w:szCs w:val="18"/>
                <w:color w:val="auto"/>
              </w:rPr>
              <w:t>Cash and cash equivalents</w:t>
            </w:r>
          </w:p>
        </w:tc>
        <w:tc>
          <w:tcPr>
            <w:tcW w:w="2260" w:type="dxa"/>
            <w:vAlign w:val="bottom"/>
            <w:gridSpan w:val="2"/>
            <w:shd w:val="clear" w:color="auto" w:fill="C0C0C0"/>
          </w:tcPr>
          <w:p>
            <w:pPr>
              <w:jc w:val="right"/>
              <w:ind w:right="30"/>
              <w:spacing w:after="0" w:line="202" w:lineRule="exact"/>
              <w:rPr>
                <w:sz w:val="20"/>
                <w:szCs w:val="20"/>
                <w:color w:val="auto"/>
              </w:rPr>
            </w:pPr>
            <w:r>
              <w:rPr>
                <w:rFonts w:ascii="Arial" w:cs="Arial" w:eastAsia="Arial" w:hAnsi="Arial"/>
                <w:sz w:val="18"/>
                <w:szCs w:val="18"/>
                <w:color w:val="auto"/>
              </w:rPr>
              <w:t>$151,426</w:t>
            </w:r>
          </w:p>
        </w:tc>
        <w:tc>
          <w:tcPr>
            <w:tcW w:w="560" w:type="dxa"/>
            <w:vAlign w:val="bottom"/>
            <w:shd w:val="clear" w:color="auto" w:fill="C0C0C0"/>
          </w:tcPr>
          <w:p>
            <w:pPr>
              <w:spacing w:after="0"/>
              <w:rPr>
                <w:sz w:val="17"/>
                <w:szCs w:val="17"/>
                <w:color w:val="auto"/>
              </w:rPr>
            </w:pPr>
          </w:p>
        </w:tc>
        <w:tc>
          <w:tcPr>
            <w:tcW w:w="1120" w:type="dxa"/>
            <w:vAlign w:val="bottom"/>
            <w:shd w:val="clear" w:color="auto" w:fill="C0C0C0"/>
          </w:tcPr>
          <w:p>
            <w:pPr>
              <w:jc w:val="right"/>
              <w:spacing w:after="0" w:line="202" w:lineRule="exact"/>
              <w:rPr>
                <w:sz w:val="20"/>
                <w:szCs w:val="20"/>
                <w:color w:val="auto"/>
              </w:rPr>
            </w:pPr>
            <w:r>
              <w:rPr>
                <w:rFonts w:ascii="Arial" w:cs="Arial" w:eastAsia="Arial" w:hAnsi="Arial"/>
                <w:sz w:val="18"/>
                <w:szCs w:val="18"/>
                <w:color w:val="auto"/>
              </w:rPr>
              <w:t>$</w:t>
            </w:r>
          </w:p>
        </w:tc>
        <w:tc>
          <w:tcPr>
            <w:tcW w:w="360" w:type="dxa"/>
            <w:vAlign w:val="bottom"/>
            <w:shd w:val="clear" w:color="auto" w:fill="C0C0C0"/>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560" w:type="dxa"/>
            <w:vAlign w:val="bottom"/>
            <w:shd w:val="clear" w:color="auto" w:fill="C0C0C0"/>
          </w:tcPr>
          <w:p>
            <w:pPr>
              <w:spacing w:after="0"/>
              <w:rPr>
                <w:sz w:val="17"/>
                <w:szCs w:val="17"/>
                <w:color w:val="auto"/>
              </w:rPr>
            </w:pPr>
          </w:p>
        </w:tc>
        <w:tc>
          <w:tcPr>
            <w:tcW w:w="1480" w:type="dxa"/>
            <w:vAlign w:val="bottom"/>
            <w:shd w:val="clear" w:color="auto" w:fill="C0C0C0"/>
          </w:tcPr>
          <w:p>
            <w:pPr>
              <w:jc w:val="right"/>
              <w:ind w:right="10"/>
              <w:spacing w:after="0" w:line="202" w:lineRule="exact"/>
              <w:rPr>
                <w:sz w:val="20"/>
                <w:szCs w:val="20"/>
                <w:color w:val="auto"/>
              </w:rPr>
            </w:pPr>
            <w:r>
              <w:rPr>
                <w:rFonts w:ascii="Arial" w:cs="Arial" w:eastAsia="Arial" w:hAnsi="Arial"/>
                <w:sz w:val="18"/>
                <w:szCs w:val="18"/>
                <w:color w:val="auto"/>
              </w:rPr>
              <w:t>$151,426</w:t>
            </w:r>
          </w:p>
        </w:tc>
        <w:tc>
          <w:tcPr>
            <w:tcW w:w="0" w:type="dxa"/>
            <w:vAlign w:val="bottom"/>
          </w:tcPr>
          <w:p>
            <w:pPr>
              <w:spacing w:after="0"/>
              <w:rPr>
                <w:sz w:val="1"/>
                <w:szCs w:val="1"/>
                <w:color w:val="auto"/>
              </w:rPr>
            </w:pPr>
          </w:p>
        </w:tc>
      </w:tr>
      <w:tr>
        <w:trPr>
          <w:trHeight w:val="203"/>
        </w:trPr>
        <w:tc>
          <w:tcPr>
            <w:tcW w:w="5080" w:type="dxa"/>
            <w:vAlign w:val="bottom"/>
          </w:tcPr>
          <w:p>
            <w:pPr>
              <w:ind w:left="100"/>
              <w:spacing w:after="0" w:line="202" w:lineRule="exact"/>
              <w:rPr>
                <w:sz w:val="20"/>
                <w:szCs w:val="20"/>
                <w:color w:val="auto"/>
              </w:rPr>
            </w:pPr>
            <w:r>
              <w:rPr>
                <w:rFonts w:ascii="Arial" w:cs="Arial" w:eastAsia="Arial" w:hAnsi="Arial"/>
                <w:sz w:val="18"/>
                <w:szCs w:val="18"/>
                <w:color w:val="auto"/>
              </w:rPr>
              <w:t>Accounts receivable, net</w:t>
            </w:r>
          </w:p>
        </w:tc>
        <w:tc>
          <w:tcPr>
            <w:tcW w:w="2260" w:type="dxa"/>
            <w:vAlign w:val="bottom"/>
            <w:gridSpan w:val="2"/>
          </w:tcPr>
          <w:p>
            <w:pPr>
              <w:jc w:val="right"/>
              <w:ind w:right="30"/>
              <w:spacing w:after="0" w:line="202" w:lineRule="exact"/>
              <w:rPr>
                <w:sz w:val="20"/>
                <w:szCs w:val="20"/>
                <w:color w:val="auto"/>
              </w:rPr>
            </w:pPr>
            <w:r>
              <w:rPr>
                <w:rFonts w:ascii="Arial" w:cs="Arial" w:eastAsia="Arial" w:hAnsi="Arial"/>
                <w:sz w:val="18"/>
                <w:szCs w:val="18"/>
                <w:color w:val="auto"/>
              </w:rPr>
              <w:t>248,538</w:t>
            </w:r>
          </w:p>
        </w:tc>
        <w:tc>
          <w:tcPr>
            <w:tcW w:w="560" w:type="dxa"/>
            <w:vAlign w:val="bottom"/>
          </w:tcPr>
          <w:p>
            <w:pPr>
              <w:spacing w:after="0"/>
              <w:rPr>
                <w:sz w:val="17"/>
                <w:szCs w:val="17"/>
                <w:color w:val="auto"/>
              </w:rPr>
            </w:pPr>
          </w:p>
        </w:tc>
        <w:tc>
          <w:tcPr>
            <w:tcW w:w="14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(21,720)</w:t>
            </w:r>
          </w:p>
        </w:tc>
        <w:tc>
          <w:tcPr>
            <w:tcW w:w="560" w:type="dxa"/>
            <w:vAlign w:val="bottom"/>
          </w:tcPr>
          <w:p>
            <w:pPr>
              <w:spacing w:after="0"/>
              <w:rPr>
                <w:sz w:val="17"/>
                <w:szCs w:val="17"/>
                <w:color w:val="auto"/>
              </w:rPr>
            </w:pPr>
          </w:p>
        </w:tc>
        <w:tc>
          <w:tcPr>
            <w:tcW w:w="14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226,818</w:t>
            </w:r>
          </w:p>
        </w:tc>
        <w:tc>
          <w:tcPr>
            <w:tcW w:w="0" w:type="dxa"/>
            <w:vAlign w:val="bottom"/>
          </w:tcPr>
          <w:p>
            <w:pPr>
              <w:spacing w:after="0"/>
              <w:rPr>
                <w:sz w:val="1"/>
                <w:szCs w:val="1"/>
                <w:color w:val="auto"/>
              </w:rPr>
            </w:pPr>
          </w:p>
        </w:tc>
      </w:tr>
      <w:tr>
        <w:trPr>
          <w:trHeight w:val="203"/>
        </w:trPr>
        <w:tc>
          <w:tcPr>
            <w:tcW w:w="5080" w:type="dxa"/>
            <w:vAlign w:val="bottom"/>
            <w:shd w:val="clear" w:color="auto" w:fill="BFBFBF"/>
          </w:tcPr>
          <w:p>
            <w:pPr>
              <w:ind w:left="100"/>
              <w:spacing w:after="0" w:line="202" w:lineRule="exact"/>
              <w:rPr>
                <w:sz w:val="20"/>
                <w:szCs w:val="20"/>
                <w:color w:val="auto"/>
              </w:rPr>
            </w:pPr>
            <w:r>
              <w:rPr>
                <w:rFonts w:ascii="Arial" w:cs="Arial" w:eastAsia="Arial" w:hAnsi="Arial"/>
                <w:sz w:val="18"/>
                <w:szCs w:val="18"/>
                <w:color w:val="auto"/>
              </w:rPr>
              <w:t>Contract assets</w:t>
            </w:r>
          </w:p>
        </w:tc>
        <w:tc>
          <w:tcPr>
            <w:tcW w:w="2260" w:type="dxa"/>
            <w:vAlign w:val="bottom"/>
            <w:gridSpan w:val="2"/>
            <w:shd w:val="clear" w:color="auto" w:fill="BFBFBF"/>
          </w:tcPr>
          <w:p>
            <w:pPr>
              <w:jc w:val="right"/>
              <w:ind w:right="30"/>
              <w:spacing w:after="0" w:line="202" w:lineRule="exact"/>
              <w:rPr>
                <w:sz w:val="20"/>
                <w:szCs w:val="20"/>
                <w:color w:val="auto"/>
              </w:rPr>
            </w:pPr>
            <w:r>
              <w:rPr>
                <w:rFonts w:ascii="Arial" w:cs="Arial" w:eastAsia="Arial" w:hAnsi="Arial"/>
                <w:sz w:val="18"/>
                <w:szCs w:val="18"/>
                <w:color w:val="auto"/>
              </w:rPr>
              <w:t>42,895</w:t>
            </w:r>
          </w:p>
        </w:tc>
        <w:tc>
          <w:tcPr>
            <w:tcW w:w="560" w:type="dxa"/>
            <w:vAlign w:val="bottom"/>
            <w:shd w:val="clear" w:color="auto" w:fill="BFBFBF"/>
          </w:tcPr>
          <w:p>
            <w:pPr>
              <w:spacing w:after="0"/>
              <w:rPr>
                <w:sz w:val="17"/>
                <w:szCs w:val="17"/>
                <w:color w:val="auto"/>
              </w:rPr>
            </w:pPr>
          </w:p>
        </w:tc>
        <w:tc>
          <w:tcPr>
            <w:tcW w:w="1480" w:type="dxa"/>
            <w:vAlign w:val="bottom"/>
            <w:gridSpan w:val="2"/>
            <w:shd w:val="clear" w:color="auto" w:fill="BFBFBF"/>
          </w:tcPr>
          <w:p>
            <w:pPr>
              <w:jc w:val="right"/>
              <w:spacing w:after="0" w:line="202" w:lineRule="exact"/>
              <w:rPr>
                <w:sz w:val="20"/>
                <w:szCs w:val="20"/>
                <w:color w:val="auto"/>
              </w:rPr>
            </w:pPr>
            <w:r>
              <w:rPr>
                <w:rFonts w:ascii="Arial" w:cs="Arial" w:eastAsia="Arial" w:hAnsi="Arial"/>
                <w:sz w:val="18"/>
                <w:szCs w:val="18"/>
                <w:color w:val="auto"/>
              </w:rPr>
              <w:t>(42,895)</w:t>
            </w:r>
          </w:p>
        </w:tc>
        <w:tc>
          <w:tcPr>
            <w:tcW w:w="560" w:type="dxa"/>
            <w:vAlign w:val="bottom"/>
            <w:shd w:val="clear" w:color="auto" w:fill="BFBFBF"/>
          </w:tcPr>
          <w:p>
            <w:pPr>
              <w:spacing w:after="0"/>
              <w:rPr>
                <w:sz w:val="17"/>
                <w:szCs w:val="17"/>
                <w:color w:val="auto"/>
              </w:rPr>
            </w:pPr>
          </w:p>
        </w:tc>
        <w:tc>
          <w:tcPr>
            <w:tcW w:w="1480" w:type="dxa"/>
            <w:vAlign w:val="bottom"/>
            <w:shd w:val="clear" w:color="auto" w:fill="BFBFBF"/>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5080" w:type="dxa"/>
            <w:vAlign w:val="bottom"/>
          </w:tcPr>
          <w:p>
            <w:pPr>
              <w:ind w:left="100"/>
              <w:spacing w:after="0" w:line="202" w:lineRule="exact"/>
              <w:rPr>
                <w:sz w:val="20"/>
                <w:szCs w:val="20"/>
                <w:color w:val="auto"/>
              </w:rPr>
            </w:pPr>
            <w:r>
              <w:rPr>
                <w:rFonts w:ascii="Arial" w:cs="Arial" w:eastAsia="Arial" w:hAnsi="Arial"/>
                <w:sz w:val="18"/>
                <w:szCs w:val="18"/>
                <w:color w:val="auto"/>
              </w:rPr>
              <w:t>Inventories</w:t>
            </w:r>
          </w:p>
        </w:tc>
        <w:tc>
          <w:tcPr>
            <w:tcW w:w="2260" w:type="dxa"/>
            <w:vAlign w:val="bottom"/>
            <w:gridSpan w:val="2"/>
          </w:tcPr>
          <w:p>
            <w:pPr>
              <w:jc w:val="right"/>
              <w:ind w:right="30"/>
              <w:spacing w:after="0" w:line="202" w:lineRule="exact"/>
              <w:rPr>
                <w:sz w:val="20"/>
                <w:szCs w:val="20"/>
                <w:color w:val="auto"/>
              </w:rPr>
            </w:pPr>
            <w:r>
              <w:rPr>
                <w:rFonts w:ascii="Arial" w:cs="Arial" w:eastAsia="Arial" w:hAnsi="Arial"/>
                <w:sz w:val="18"/>
                <w:szCs w:val="18"/>
                <w:color w:val="auto"/>
              </w:rPr>
              <w:t>100,034</w:t>
            </w:r>
          </w:p>
        </w:tc>
        <w:tc>
          <w:tcPr>
            <w:tcW w:w="560" w:type="dxa"/>
            <w:vAlign w:val="bottom"/>
          </w:tcPr>
          <w:p>
            <w:pPr>
              <w:spacing w:after="0"/>
              <w:rPr>
                <w:sz w:val="17"/>
                <w:szCs w:val="17"/>
                <w:color w:val="auto"/>
              </w:rPr>
            </w:pPr>
          </w:p>
        </w:tc>
        <w:tc>
          <w:tcPr>
            <w:tcW w:w="1480" w:type="dxa"/>
            <w:vAlign w:val="bottom"/>
            <w:gridSpan w:val="2"/>
          </w:tcPr>
          <w:p>
            <w:pPr>
              <w:jc w:val="right"/>
              <w:ind w:right="10"/>
              <w:spacing w:after="0" w:line="202" w:lineRule="exact"/>
              <w:rPr>
                <w:sz w:val="20"/>
                <w:szCs w:val="20"/>
                <w:color w:val="auto"/>
              </w:rPr>
            </w:pPr>
            <w:r>
              <w:rPr>
                <w:rFonts w:ascii="Arial" w:cs="Arial" w:eastAsia="Arial" w:hAnsi="Arial"/>
                <w:sz w:val="18"/>
                <w:szCs w:val="18"/>
                <w:color w:val="auto"/>
              </w:rPr>
              <w:t>53,752</w:t>
            </w:r>
          </w:p>
        </w:tc>
        <w:tc>
          <w:tcPr>
            <w:tcW w:w="560" w:type="dxa"/>
            <w:vAlign w:val="bottom"/>
          </w:tcPr>
          <w:p>
            <w:pPr>
              <w:spacing w:after="0"/>
              <w:rPr>
                <w:sz w:val="17"/>
                <w:szCs w:val="17"/>
                <w:color w:val="auto"/>
              </w:rPr>
            </w:pPr>
          </w:p>
        </w:tc>
        <w:tc>
          <w:tcPr>
            <w:tcW w:w="14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153,786</w:t>
            </w:r>
          </w:p>
        </w:tc>
        <w:tc>
          <w:tcPr>
            <w:tcW w:w="0" w:type="dxa"/>
            <w:vAlign w:val="bottom"/>
          </w:tcPr>
          <w:p>
            <w:pPr>
              <w:spacing w:after="0"/>
              <w:rPr>
                <w:sz w:val="1"/>
                <w:szCs w:val="1"/>
                <w:color w:val="auto"/>
              </w:rPr>
            </w:pPr>
          </w:p>
        </w:tc>
      </w:tr>
      <w:tr>
        <w:trPr>
          <w:trHeight w:val="203"/>
        </w:trPr>
        <w:tc>
          <w:tcPr>
            <w:tcW w:w="5080" w:type="dxa"/>
            <w:vAlign w:val="bottom"/>
            <w:shd w:val="clear" w:color="auto" w:fill="BFBFBF"/>
          </w:tcPr>
          <w:p>
            <w:pPr>
              <w:ind w:left="100"/>
              <w:spacing w:after="0" w:line="202" w:lineRule="exact"/>
              <w:rPr>
                <w:sz w:val="20"/>
                <w:szCs w:val="20"/>
                <w:color w:val="auto"/>
              </w:rPr>
            </w:pPr>
            <w:r>
              <w:rPr>
                <w:rFonts w:ascii="Arial" w:cs="Arial" w:eastAsia="Arial" w:hAnsi="Arial"/>
                <w:sz w:val="18"/>
                <w:szCs w:val="18"/>
                <w:color w:val="auto"/>
              </w:rPr>
              <w:t>Income taxes prepaid and receivable</w:t>
            </w:r>
          </w:p>
        </w:tc>
        <w:tc>
          <w:tcPr>
            <w:tcW w:w="2260" w:type="dxa"/>
            <w:vAlign w:val="bottom"/>
            <w:gridSpan w:val="2"/>
            <w:shd w:val="clear" w:color="auto" w:fill="BFBFBF"/>
          </w:tcPr>
          <w:p>
            <w:pPr>
              <w:jc w:val="right"/>
              <w:ind w:right="30"/>
              <w:spacing w:after="0" w:line="202" w:lineRule="exact"/>
              <w:rPr>
                <w:sz w:val="20"/>
                <w:szCs w:val="20"/>
                <w:color w:val="auto"/>
              </w:rPr>
            </w:pPr>
            <w:r>
              <w:rPr>
                <w:rFonts w:ascii="Arial" w:cs="Arial" w:eastAsia="Arial" w:hAnsi="Arial"/>
                <w:sz w:val="18"/>
                <w:szCs w:val="18"/>
                <w:color w:val="auto"/>
              </w:rPr>
              <w:t>6,132</w:t>
            </w:r>
          </w:p>
        </w:tc>
        <w:tc>
          <w:tcPr>
            <w:tcW w:w="560" w:type="dxa"/>
            <w:vAlign w:val="bottom"/>
            <w:shd w:val="clear" w:color="auto" w:fill="BFBFBF"/>
          </w:tcPr>
          <w:p>
            <w:pPr>
              <w:spacing w:after="0"/>
              <w:rPr>
                <w:sz w:val="17"/>
                <w:szCs w:val="17"/>
                <w:color w:val="auto"/>
              </w:rPr>
            </w:pPr>
          </w:p>
        </w:tc>
        <w:tc>
          <w:tcPr>
            <w:tcW w:w="1120" w:type="dxa"/>
            <w:vAlign w:val="bottom"/>
            <w:shd w:val="clear" w:color="auto" w:fill="BFBFBF"/>
          </w:tcPr>
          <w:p>
            <w:pPr>
              <w:spacing w:after="0"/>
              <w:rPr>
                <w:sz w:val="17"/>
                <w:szCs w:val="17"/>
                <w:color w:val="auto"/>
              </w:rPr>
            </w:pPr>
          </w:p>
        </w:tc>
        <w:tc>
          <w:tcPr>
            <w:tcW w:w="360" w:type="dxa"/>
            <w:vAlign w:val="bottom"/>
            <w:shd w:val="clear" w:color="auto" w:fill="BFBFBF"/>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560" w:type="dxa"/>
            <w:vAlign w:val="bottom"/>
            <w:shd w:val="clear" w:color="auto" w:fill="BFBFBF"/>
          </w:tcPr>
          <w:p>
            <w:pPr>
              <w:spacing w:after="0"/>
              <w:rPr>
                <w:sz w:val="17"/>
                <w:szCs w:val="17"/>
                <w:color w:val="auto"/>
              </w:rPr>
            </w:pPr>
          </w:p>
        </w:tc>
        <w:tc>
          <w:tcPr>
            <w:tcW w:w="1480" w:type="dxa"/>
            <w:vAlign w:val="bottom"/>
            <w:shd w:val="clear" w:color="auto" w:fill="BFBFBF"/>
          </w:tcPr>
          <w:p>
            <w:pPr>
              <w:jc w:val="right"/>
              <w:ind w:right="10"/>
              <w:spacing w:after="0" w:line="202" w:lineRule="exact"/>
              <w:rPr>
                <w:sz w:val="20"/>
                <w:szCs w:val="20"/>
                <w:color w:val="auto"/>
              </w:rPr>
            </w:pPr>
            <w:r>
              <w:rPr>
                <w:rFonts w:ascii="Arial" w:cs="Arial" w:eastAsia="Arial" w:hAnsi="Arial"/>
                <w:sz w:val="18"/>
                <w:szCs w:val="18"/>
                <w:color w:val="auto"/>
              </w:rPr>
              <w:t>6,132</w:t>
            </w:r>
          </w:p>
        </w:tc>
        <w:tc>
          <w:tcPr>
            <w:tcW w:w="0" w:type="dxa"/>
            <w:vAlign w:val="bottom"/>
          </w:tcPr>
          <w:p>
            <w:pPr>
              <w:spacing w:after="0"/>
              <w:rPr>
                <w:sz w:val="1"/>
                <w:szCs w:val="1"/>
                <w:color w:val="auto"/>
              </w:rPr>
            </w:pPr>
          </w:p>
        </w:tc>
      </w:tr>
      <w:tr>
        <w:trPr>
          <w:trHeight w:val="216"/>
        </w:trPr>
        <w:tc>
          <w:tcPr>
            <w:tcW w:w="5080" w:type="dxa"/>
            <w:vAlign w:val="bottom"/>
          </w:tcPr>
          <w:p>
            <w:pPr>
              <w:ind w:left="100"/>
              <w:spacing w:after="0"/>
              <w:rPr>
                <w:sz w:val="20"/>
                <w:szCs w:val="20"/>
                <w:color w:val="auto"/>
              </w:rPr>
            </w:pPr>
            <w:r>
              <w:rPr>
                <w:rFonts w:ascii="Arial" w:cs="Arial" w:eastAsia="Arial" w:hAnsi="Arial"/>
                <w:sz w:val="18"/>
                <w:szCs w:val="18"/>
                <w:color w:val="auto"/>
              </w:rPr>
              <w:t>Prepaid expenses and other current assets</w:t>
            </w:r>
          </w:p>
        </w:tc>
        <w:tc>
          <w:tcPr>
            <w:tcW w:w="2260" w:type="dxa"/>
            <w:vAlign w:val="bottom"/>
            <w:gridSpan w:val="2"/>
          </w:tcPr>
          <w:p>
            <w:pPr>
              <w:jc w:val="right"/>
              <w:ind w:right="30"/>
              <w:spacing w:after="0"/>
              <w:rPr>
                <w:sz w:val="20"/>
                <w:szCs w:val="20"/>
                <w:color w:val="auto"/>
              </w:rPr>
            </w:pPr>
            <w:r>
              <w:rPr>
                <w:rFonts w:ascii="Arial" w:cs="Arial" w:eastAsia="Arial" w:hAnsi="Arial"/>
                <w:sz w:val="18"/>
                <w:szCs w:val="18"/>
                <w:color w:val="auto"/>
              </w:rPr>
              <w:t>18,675</w:t>
            </w:r>
          </w:p>
        </w:tc>
        <w:tc>
          <w:tcPr>
            <w:tcW w:w="5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18,675</w:t>
            </w:r>
          </w:p>
        </w:tc>
        <w:tc>
          <w:tcPr>
            <w:tcW w:w="0" w:type="dxa"/>
            <w:vAlign w:val="bottom"/>
          </w:tcPr>
          <w:p>
            <w:pPr>
              <w:spacing w:after="0"/>
              <w:rPr>
                <w:sz w:val="1"/>
                <w:szCs w:val="1"/>
                <w:color w:val="auto"/>
              </w:rPr>
            </w:pPr>
          </w:p>
        </w:tc>
      </w:tr>
      <w:tr>
        <w:trPr>
          <w:trHeight w:val="196"/>
        </w:trPr>
        <w:tc>
          <w:tcPr>
            <w:tcW w:w="5080" w:type="dxa"/>
            <w:vAlign w:val="bottom"/>
            <w:tcBorders>
              <w:top w:val="single" w:sz="8" w:color="BFBFBF"/>
            </w:tcBorders>
            <w:shd w:val="clear" w:color="auto" w:fill="BFBFBF"/>
          </w:tcPr>
          <w:p>
            <w:pPr>
              <w:ind w:left="300"/>
              <w:spacing w:after="0" w:line="196" w:lineRule="exact"/>
              <w:rPr>
                <w:sz w:val="20"/>
                <w:szCs w:val="20"/>
                <w:color w:val="auto"/>
              </w:rPr>
            </w:pPr>
            <w:r>
              <w:rPr>
                <w:rFonts w:ascii="Arial" w:cs="Arial" w:eastAsia="Arial" w:hAnsi="Arial"/>
                <w:sz w:val="18"/>
                <w:szCs w:val="18"/>
                <w:color w:val="auto"/>
              </w:rPr>
              <w:t>Total current assets</w:t>
            </w:r>
          </w:p>
        </w:tc>
        <w:tc>
          <w:tcPr>
            <w:tcW w:w="760" w:type="dxa"/>
            <w:vAlign w:val="bottom"/>
            <w:tcBorders>
              <w:top w:val="single" w:sz="8" w:color="BFBFBF"/>
            </w:tcBorders>
            <w:shd w:val="clear" w:color="auto" w:fill="BFBFBF"/>
          </w:tcPr>
          <w:p>
            <w:pPr>
              <w:spacing w:after="0"/>
              <w:rPr>
                <w:sz w:val="17"/>
                <w:szCs w:val="17"/>
                <w:color w:val="auto"/>
              </w:rPr>
            </w:pPr>
          </w:p>
        </w:tc>
        <w:tc>
          <w:tcPr>
            <w:tcW w:w="1500" w:type="dxa"/>
            <w:vAlign w:val="bottom"/>
            <w:tcBorders>
              <w:top w:val="single" w:sz="8" w:color="auto"/>
            </w:tcBorders>
            <w:shd w:val="clear" w:color="auto" w:fill="BFBFBF"/>
          </w:tcPr>
          <w:p>
            <w:pPr>
              <w:jc w:val="right"/>
              <w:ind w:right="30"/>
              <w:spacing w:after="0" w:line="196" w:lineRule="exact"/>
              <w:rPr>
                <w:sz w:val="20"/>
                <w:szCs w:val="20"/>
                <w:color w:val="auto"/>
              </w:rPr>
            </w:pPr>
            <w:r>
              <w:rPr>
                <w:rFonts w:ascii="Arial" w:cs="Arial" w:eastAsia="Arial" w:hAnsi="Arial"/>
                <w:sz w:val="18"/>
                <w:szCs w:val="18"/>
                <w:color w:val="auto"/>
              </w:rPr>
              <w:t>567,700</w:t>
            </w:r>
          </w:p>
        </w:tc>
        <w:tc>
          <w:tcPr>
            <w:tcW w:w="560" w:type="dxa"/>
            <w:vAlign w:val="bottom"/>
            <w:tcBorders>
              <w:top w:val="single" w:sz="8" w:color="BFBFBF"/>
            </w:tcBorders>
            <w:shd w:val="clear" w:color="auto" w:fill="BFBFBF"/>
          </w:tcPr>
          <w:p>
            <w:pPr>
              <w:spacing w:after="0"/>
              <w:rPr>
                <w:sz w:val="17"/>
                <w:szCs w:val="17"/>
                <w:color w:val="auto"/>
              </w:rPr>
            </w:pPr>
          </w:p>
        </w:tc>
        <w:tc>
          <w:tcPr>
            <w:tcW w:w="1480" w:type="dxa"/>
            <w:vAlign w:val="bottom"/>
            <w:tcBorders>
              <w:top w:val="single" w:sz="8" w:color="auto"/>
            </w:tcBorders>
            <w:gridSpan w:val="2"/>
            <w:shd w:val="clear" w:color="auto" w:fill="BFBFBF"/>
          </w:tcPr>
          <w:p>
            <w:pPr>
              <w:jc w:val="right"/>
              <w:spacing w:after="0" w:line="196" w:lineRule="exact"/>
              <w:rPr>
                <w:sz w:val="20"/>
                <w:szCs w:val="20"/>
                <w:color w:val="auto"/>
              </w:rPr>
            </w:pPr>
            <w:r>
              <w:rPr>
                <w:rFonts w:ascii="Arial" w:cs="Arial" w:eastAsia="Arial" w:hAnsi="Arial"/>
                <w:sz w:val="18"/>
                <w:szCs w:val="18"/>
                <w:color w:val="auto"/>
              </w:rPr>
              <w:t>(10,863)</w:t>
            </w:r>
          </w:p>
        </w:tc>
        <w:tc>
          <w:tcPr>
            <w:tcW w:w="560" w:type="dxa"/>
            <w:vAlign w:val="bottom"/>
            <w:tcBorders>
              <w:top w:val="single" w:sz="8" w:color="BFBFBF"/>
            </w:tcBorders>
            <w:shd w:val="clear" w:color="auto" w:fill="BFBFBF"/>
          </w:tcPr>
          <w:p>
            <w:pPr>
              <w:spacing w:after="0"/>
              <w:rPr>
                <w:sz w:val="17"/>
                <w:szCs w:val="17"/>
                <w:color w:val="auto"/>
              </w:rPr>
            </w:pPr>
          </w:p>
        </w:tc>
        <w:tc>
          <w:tcPr>
            <w:tcW w:w="1480" w:type="dxa"/>
            <w:vAlign w:val="bottom"/>
            <w:tcBorders>
              <w:top w:val="single" w:sz="8" w:color="auto"/>
            </w:tcBorders>
            <w:shd w:val="clear" w:color="auto" w:fill="BFBFBF"/>
          </w:tcPr>
          <w:p>
            <w:pPr>
              <w:jc w:val="right"/>
              <w:ind w:right="10"/>
              <w:spacing w:after="0" w:line="196" w:lineRule="exact"/>
              <w:rPr>
                <w:sz w:val="20"/>
                <w:szCs w:val="20"/>
                <w:color w:val="auto"/>
              </w:rPr>
            </w:pPr>
            <w:r>
              <w:rPr>
                <w:rFonts w:ascii="Arial" w:cs="Arial" w:eastAsia="Arial" w:hAnsi="Arial"/>
                <w:sz w:val="18"/>
                <w:szCs w:val="18"/>
                <w:color w:val="auto"/>
              </w:rPr>
              <w:t>556,837</w:t>
            </w:r>
          </w:p>
        </w:tc>
        <w:tc>
          <w:tcPr>
            <w:tcW w:w="0" w:type="dxa"/>
            <w:vAlign w:val="bottom"/>
          </w:tcPr>
          <w:p>
            <w:pPr>
              <w:spacing w:after="0"/>
              <w:rPr>
                <w:sz w:val="1"/>
                <w:szCs w:val="1"/>
                <w:color w:val="auto"/>
              </w:rPr>
            </w:pPr>
          </w:p>
        </w:tc>
      </w:tr>
      <w:tr>
        <w:trPr>
          <w:trHeight w:val="405"/>
        </w:trPr>
        <w:tc>
          <w:tcPr>
            <w:tcW w:w="5080" w:type="dxa"/>
            <w:vAlign w:val="bottom"/>
          </w:tcPr>
          <w:p>
            <w:pPr>
              <w:ind w:left="100"/>
              <w:spacing w:after="0"/>
              <w:rPr>
                <w:sz w:val="20"/>
                <w:szCs w:val="20"/>
                <w:color w:val="auto"/>
              </w:rPr>
            </w:pPr>
            <w:r>
              <w:rPr>
                <w:rFonts w:ascii="Arial" w:cs="Arial" w:eastAsia="Arial" w:hAnsi="Arial"/>
                <w:sz w:val="18"/>
                <w:szCs w:val="18"/>
                <w:color w:val="auto"/>
              </w:rPr>
              <w:t>Property, plant and equipment, net</w:t>
            </w:r>
          </w:p>
        </w:tc>
        <w:tc>
          <w:tcPr>
            <w:tcW w:w="2260" w:type="dxa"/>
            <w:vAlign w:val="bottom"/>
            <w:gridSpan w:val="2"/>
          </w:tcPr>
          <w:p>
            <w:pPr>
              <w:jc w:val="right"/>
              <w:ind w:right="30"/>
              <w:spacing w:after="0"/>
              <w:rPr>
                <w:sz w:val="20"/>
                <w:szCs w:val="20"/>
                <w:color w:val="auto"/>
              </w:rPr>
            </w:pPr>
            <w:r>
              <w:rPr>
                <w:rFonts w:ascii="Arial" w:cs="Arial" w:eastAsia="Arial" w:hAnsi="Arial"/>
                <w:sz w:val="18"/>
                <w:szCs w:val="18"/>
                <w:color w:val="auto"/>
              </w:rPr>
              <w:t>459,388</w:t>
            </w:r>
          </w:p>
        </w:tc>
        <w:tc>
          <w:tcPr>
            <w:tcW w:w="5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24"/>
                <w:szCs w:val="24"/>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459,388</w:t>
            </w:r>
          </w:p>
        </w:tc>
        <w:tc>
          <w:tcPr>
            <w:tcW w:w="0" w:type="dxa"/>
            <w:vAlign w:val="bottom"/>
          </w:tcPr>
          <w:p>
            <w:pPr>
              <w:spacing w:after="0"/>
              <w:rPr>
                <w:sz w:val="1"/>
                <w:szCs w:val="1"/>
                <w:color w:val="auto"/>
              </w:rPr>
            </w:pPr>
          </w:p>
        </w:tc>
      </w:tr>
      <w:tr>
        <w:trPr>
          <w:trHeight w:val="203"/>
        </w:trPr>
        <w:tc>
          <w:tcPr>
            <w:tcW w:w="5080" w:type="dxa"/>
            <w:vAlign w:val="bottom"/>
            <w:shd w:val="clear" w:color="auto" w:fill="BFBFBF"/>
          </w:tcPr>
          <w:p>
            <w:pPr>
              <w:ind w:left="100"/>
              <w:spacing w:after="0" w:line="202" w:lineRule="exact"/>
              <w:rPr>
                <w:sz w:val="20"/>
                <w:szCs w:val="20"/>
                <w:color w:val="auto"/>
              </w:rPr>
            </w:pPr>
            <w:r>
              <w:rPr>
                <w:rFonts w:ascii="Arial" w:cs="Arial" w:eastAsia="Arial" w:hAnsi="Arial"/>
                <w:sz w:val="18"/>
                <w:szCs w:val="18"/>
                <w:color w:val="auto"/>
              </w:rPr>
              <w:t>Intangibles, net</w:t>
            </w:r>
          </w:p>
        </w:tc>
        <w:tc>
          <w:tcPr>
            <w:tcW w:w="2260" w:type="dxa"/>
            <w:vAlign w:val="bottom"/>
            <w:gridSpan w:val="2"/>
            <w:shd w:val="clear" w:color="auto" w:fill="BFBFBF"/>
          </w:tcPr>
          <w:p>
            <w:pPr>
              <w:jc w:val="right"/>
              <w:ind w:right="30"/>
              <w:spacing w:after="0" w:line="202" w:lineRule="exact"/>
              <w:rPr>
                <w:sz w:val="20"/>
                <w:szCs w:val="20"/>
                <w:color w:val="auto"/>
              </w:rPr>
            </w:pPr>
            <w:r>
              <w:rPr>
                <w:rFonts w:ascii="Arial" w:cs="Arial" w:eastAsia="Arial" w:hAnsi="Arial"/>
                <w:sz w:val="18"/>
                <w:szCs w:val="18"/>
                <w:color w:val="auto"/>
              </w:rPr>
              <w:t>53,881</w:t>
            </w:r>
          </w:p>
        </w:tc>
        <w:tc>
          <w:tcPr>
            <w:tcW w:w="560" w:type="dxa"/>
            <w:vAlign w:val="bottom"/>
            <w:shd w:val="clear" w:color="auto" w:fill="BFBFBF"/>
          </w:tcPr>
          <w:p>
            <w:pPr>
              <w:spacing w:after="0"/>
              <w:rPr>
                <w:sz w:val="17"/>
                <w:szCs w:val="17"/>
                <w:color w:val="auto"/>
              </w:rPr>
            </w:pPr>
          </w:p>
        </w:tc>
        <w:tc>
          <w:tcPr>
            <w:tcW w:w="1120" w:type="dxa"/>
            <w:vAlign w:val="bottom"/>
            <w:shd w:val="clear" w:color="auto" w:fill="BFBFBF"/>
          </w:tcPr>
          <w:p>
            <w:pPr>
              <w:spacing w:after="0"/>
              <w:rPr>
                <w:sz w:val="17"/>
                <w:szCs w:val="17"/>
                <w:color w:val="auto"/>
              </w:rPr>
            </w:pPr>
          </w:p>
        </w:tc>
        <w:tc>
          <w:tcPr>
            <w:tcW w:w="360" w:type="dxa"/>
            <w:vAlign w:val="bottom"/>
            <w:shd w:val="clear" w:color="auto" w:fill="BFBFBF"/>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560" w:type="dxa"/>
            <w:vAlign w:val="bottom"/>
            <w:shd w:val="clear" w:color="auto" w:fill="BFBFBF"/>
          </w:tcPr>
          <w:p>
            <w:pPr>
              <w:spacing w:after="0"/>
              <w:rPr>
                <w:sz w:val="17"/>
                <w:szCs w:val="17"/>
                <w:color w:val="auto"/>
              </w:rPr>
            </w:pPr>
          </w:p>
        </w:tc>
        <w:tc>
          <w:tcPr>
            <w:tcW w:w="1480" w:type="dxa"/>
            <w:vAlign w:val="bottom"/>
            <w:shd w:val="clear" w:color="auto" w:fill="BFBFBF"/>
          </w:tcPr>
          <w:p>
            <w:pPr>
              <w:jc w:val="right"/>
              <w:ind w:right="10"/>
              <w:spacing w:after="0" w:line="202" w:lineRule="exact"/>
              <w:rPr>
                <w:sz w:val="20"/>
                <w:szCs w:val="20"/>
                <w:color w:val="auto"/>
              </w:rPr>
            </w:pPr>
            <w:r>
              <w:rPr>
                <w:rFonts w:ascii="Arial" w:cs="Arial" w:eastAsia="Arial" w:hAnsi="Arial"/>
                <w:sz w:val="18"/>
                <w:szCs w:val="18"/>
                <w:color w:val="auto"/>
              </w:rPr>
              <w:t>53,881</w:t>
            </w:r>
          </w:p>
        </w:tc>
        <w:tc>
          <w:tcPr>
            <w:tcW w:w="0" w:type="dxa"/>
            <w:vAlign w:val="bottom"/>
          </w:tcPr>
          <w:p>
            <w:pPr>
              <w:spacing w:after="0"/>
              <w:rPr>
                <w:sz w:val="1"/>
                <w:szCs w:val="1"/>
                <w:color w:val="auto"/>
              </w:rPr>
            </w:pPr>
          </w:p>
        </w:tc>
      </w:tr>
      <w:tr>
        <w:trPr>
          <w:trHeight w:val="203"/>
        </w:trPr>
        <w:tc>
          <w:tcPr>
            <w:tcW w:w="5080" w:type="dxa"/>
            <w:vAlign w:val="bottom"/>
          </w:tcPr>
          <w:p>
            <w:pPr>
              <w:ind w:left="100"/>
              <w:spacing w:after="0" w:line="202" w:lineRule="exact"/>
              <w:rPr>
                <w:sz w:val="20"/>
                <w:szCs w:val="20"/>
                <w:color w:val="auto"/>
              </w:rPr>
            </w:pPr>
            <w:r>
              <w:rPr>
                <w:rFonts w:ascii="Arial" w:cs="Arial" w:eastAsia="Arial" w:hAnsi="Arial"/>
                <w:sz w:val="18"/>
                <w:szCs w:val="18"/>
                <w:color w:val="auto"/>
              </w:rPr>
              <w:t>Goodwill</w:t>
            </w:r>
          </w:p>
        </w:tc>
        <w:tc>
          <w:tcPr>
            <w:tcW w:w="2260" w:type="dxa"/>
            <w:vAlign w:val="bottom"/>
            <w:gridSpan w:val="2"/>
          </w:tcPr>
          <w:p>
            <w:pPr>
              <w:jc w:val="right"/>
              <w:ind w:right="30"/>
              <w:spacing w:after="0" w:line="202" w:lineRule="exact"/>
              <w:rPr>
                <w:sz w:val="20"/>
                <w:szCs w:val="20"/>
                <w:color w:val="auto"/>
              </w:rPr>
            </w:pPr>
            <w:r>
              <w:rPr>
                <w:rFonts w:ascii="Arial" w:cs="Arial" w:eastAsia="Arial" w:hAnsi="Arial"/>
                <w:sz w:val="18"/>
                <w:szCs w:val="18"/>
                <w:color w:val="auto"/>
              </w:rPr>
              <w:t>168,311</w:t>
            </w:r>
          </w:p>
        </w:tc>
        <w:tc>
          <w:tcPr>
            <w:tcW w:w="5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560" w:type="dxa"/>
            <w:vAlign w:val="bottom"/>
          </w:tcPr>
          <w:p>
            <w:pPr>
              <w:spacing w:after="0"/>
              <w:rPr>
                <w:sz w:val="17"/>
                <w:szCs w:val="17"/>
                <w:color w:val="auto"/>
              </w:rPr>
            </w:pPr>
          </w:p>
        </w:tc>
        <w:tc>
          <w:tcPr>
            <w:tcW w:w="14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168,311</w:t>
            </w:r>
          </w:p>
        </w:tc>
        <w:tc>
          <w:tcPr>
            <w:tcW w:w="0" w:type="dxa"/>
            <w:vAlign w:val="bottom"/>
          </w:tcPr>
          <w:p>
            <w:pPr>
              <w:spacing w:after="0"/>
              <w:rPr>
                <w:sz w:val="1"/>
                <w:szCs w:val="1"/>
                <w:color w:val="auto"/>
              </w:rPr>
            </w:pPr>
          </w:p>
        </w:tc>
      </w:tr>
      <w:tr>
        <w:trPr>
          <w:trHeight w:val="203"/>
        </w:trPr>
        <w:tc>
          <w:tcPr>
            <w:tcW w:w="5080" w:type="dxa"/>
            <w:vAlign w:val="bottom"/>
            <w:shd w:val="clear" w:color="auto" w:fill="BFBFBF"/>
          </w:tcPr>
          <w:p>
            <w:pPr>
              <w:ind w:left="100"/>
              <w:spacing w:after="0" w:line="202" w:lineRule="exact"/>
              <w:rPr>
                <w:sz w:val="20"/>
                <w:szCs w:val="20"/>
                <w:color w:val="auto"/>
              </w:rPr>
            </w:pPr>
            <w:r>
              <w:rPr>
                <w:rFonts w:ascii="Arial" w:cs="Arial" w:eastAsia="Arial" w:hAnsi="Arial"/>
                <w:sz w:val="18"/>
                <w:szCs w:val="18"/>
                <w:color w:val="auto"/>
              </w:rPr>
              <w:t>Income taxes receivable and deferred</w:t>
            </w:r>
          </w:p>
        </w:tc>
        <w:tc>
          <w:tcPr>
            <w:tcW w:w="2260" w:type="dxa"/>
            <w:vAlign w:val="bottom"/>
            <w:gridSpan w:val="2"/>
            <w:shd w:val="clear" w:color="auto" w:fill="BFBFBF"/>
          </w:tcPr>
          <w:p>
            <w:pPr>
              <w:jc w:val="right"/>
              <w:ind w:right="30"/>
              <w:spacing w:after="0" w:line="202" w:lineRule="exact"/>
              <w:rPr>
                <w:sz w:val="20"/>
                <w:szCs w:val="20"/>
                <w:color w:val="auto"/>
              </w:rPr>
            </w:pPr>
            <w:r>
              <w:rPr>
                <w:rFonts w:ascii="Arial" w:cs="Arial" w:eastAsia="Arial" w:hAnsi="Arial"/>
                <w:sz w:val="18"/>
                <w:szCs w:val="18"/>
                <w:color w:val="auto"/>
              </w:rPr>
              <w:t>70,174</w:t>
            </w:r>
          </w:p>
        </w:tc>
        <w:tc>
          <w:tcPr>
            <w:tcW w:w="560" w:type="dxa"/>
            <w:vAlign w:val="bottom"/>
            <w:shd w:val="clear" w:color="auto" w:fill="BFBFBF"/>
          </w:tcPr>
          <w:p>
            <w:pPr>
              <w:spacing w:after="0"/>
              <w:rPr>
                <w:sz w:val="17"/>
                <w:szCs w:val="17"/>
                <w:color w:val="auto"/>
              </w:rPr>
            </w:pPr>
          </w:p>
        </w:tc>
        <w:tc>
          <w:tcPr>
            <w:tcW w:w="1480" w:type="dxa"/>
            <w:vAlign w:val="bottom"/>
            <w:gridSpan w:val="2"/>
            <w:shd w:val="clear" w:color="auto" w:fill="BFBFBF"/>
          </w:tcPr>
          <w:p>
            <w:pPr>
              <w:jc w:val="right"/>
              <w:spacing w:after="0" w:line="202" w:lineRule="exact"/>
              <w:rPr>
                <w:sz w:val="20"/>
                <w:szCs w:val="20"/>
                <w:color w:val="auto"/>
              </w:rPr>
            </w:pPr>
            <w:r>
              <w:rPr>
                <w:rFonts w:ascii="Arial" w:cs="Arial" w:eastAsia="Arial" w:hAnsi="Arial"/>
                <w:sz w:val="18"/>
                <w:szCs w:val="18"/>
                <w:color w:val="auto"/>
              </w:rPr>
              <w:t>(1,155)</w:t>
            </w:r>
          </w:p>
        </w:tc>
        <w:tc>
          <w:tcPr>
            <w:tcW w:w="560" w:type="dxa"/>
            <w:vAlign w:val="bottom"/>
            <w:shd w:val="clear" w:color="auto" w:fill="BFBFBF"/>
          </w:tcPr>
          <w:p>
            <w:pPr>
              <w:spacing w:after="0"/>
              <w:rPr>
                <w:sz w:val="17"/>
                <w:szCs w:val="17"/>
                <w:color w:val="auto"/>
              </w:rPr>
            </w:pPr>
          </w:p>
        </w:tc>
        <w:tc>
          <w:tcPr>
            <w:tcW w:w="1480" w:type="dxa"/>
            <w:vAlign w:val="bottom"/>
            <w:shd w:val="clear" w:color="auto" w:fill="BFBFBF"/>
          </w:tcPr>
          <w:p>
            <w:pPr>
              <w:jc w:val="right"/>
              <w:ind w:right="10"/>
              <w:spacing w:after="0" w:line="202" w:lineRule="exact"/>
              <w:rPr>
                <w:sz w:val="20"/>
                <w:szCs w:val="20"/>
                <w:color w:val="auto"/>
              </w:rPr>
            </w:pPr>
            <w:r>
              <w:rPr>
                <w:rFonts w:ascii="Arial" w:cs="Arial" w:eastAsia="Arial" w:hAnsi="Arial"/>
                <w:sz w:val="18"/>
                <w:szCs w:val="18"/>
                <w:color w:val="auto"/>
              </w:rPr>
              <w:t>69,019</w:t>
            </w:r>
          </w:p>
        </w:tc>
        <w:tc>
          <w:tcPr>
            <w:tcW w:w="0" w:type="dxa"/>
            <w:vAlign w:val="bottom"/>
          </w:tcPr>
          <w:p>
            <w:pPr>
              <w:spacing w:after="0"/>
              <w:rPr>
                <w:sz w:val="1"/>
                <w:szCs w:val="1"/>
                <w:color w:val="auto"/>
              </w:rPr>
            </w:pPr>
          </w:p>
        </w:tc>
      </w:tr>
      <w:tr>
        <w:trPr>
          <w:trHeight w:val="203"/>
        </w:trPr>
        <w:tc>
          <w:tcPr>
            <w:tcW w:w="5080" w:type="dxa"/>
            <w:vAlign w:val="bottom"/>
          </w:tcPr>
          <w:p>
            <w:pPr>
              <w:ind w:left="100"/>
              <w:spacing w:after="0" w:line="202" w:lineRule="exact"/>
              <w:rPr>
                <w:sz w:val="20"/>
                <w:szCs w:val="20"/>
                <w:color w:val="auto"/>
              </w:rPr>
            </w:pPr>
            <w:r>
              <w:rPr>
                <w:rFonts w:ascii="Arial" w:cs="Arial" w:eastAsia="Arial" w:hAnsi="Arial"/>
                <w:sz w:val="18"/>
                <w:szCs w:val="18"/>
                <w:color w:val="auto"/>
              </w:rPr>
              <w:t>Noncurrent receivables</w:t>
            </w:r>
          </w:p>
        </w:tc>
        <w:tc>
          <w:tcPr>
            <w:tcW w:w="2260" w:type="dxa"/>
            <w:vAlign w:val="bottom"/>
            <w:gridSpan w:val="2"/>
          </w:tcPr>
          <w:p>
            <w:pPr>
              <w:jc w:val="right"/>
              <w:ind w:right="30"/>
              <w:spacing w:after="0" w:line="202" w:lineRule="exact"/>
              <w:rPr>
                <w:sz w:val="20"/>
                <w:szCs w:val="20"/>
                <w:color w:val="auto"/>
              </w:rPr>
            </w:pPr>
            <w:r>
              <w:rPr>
                <w:rFonts w:ascii="Arial" w:cs="Arial" w:eastAsia="Arial" w:hAnsi="Arial"/>
                <w:sz w:val="18"/>
                <w:szCs w:val="18"/>
                <w:color w:val="auto"/>
              </w:rPr>
              <w:t>35,338</w:t>
            </w:r>
          </w:p>
        </w:tc>
        <w:tc>
          <w:tcPr>
            <w:tcW w:w="5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560" w:type="dxa"/>
            <w:vAlign w:val="bottom"/>
          </w:tcPr>
          <w:p>
            <w:pPr>
              <w:spacing w:after="0"/>
              <w:rPr>
                <w:sz w:val="17"/>
                <w:szCs w:val="17"/>
                <w:color w:val="auto"/>
              </w:rPr>
            </w:pPr>
          </w:p>
        </w:tc>
        <w:tc>
          <w:tcPr>
            <w:tcW w:w="14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35,338</w:t>
            </w:r>
          </w:p>
        </w:tc>
        <w:tc>
          <w:tcPr>
            <w:tcW w:w="0" w:type="dxa"/>
            <w:vAlign w:val="bottom"/>
          </w:tcPr>
          <w:p>
            <w:pPr>
              <w:spacing w:after="0"/>
              <w:rPr>
                <w:sz w:val="1"/>
                <w:szCs w:val="1"/>
                <w:color w:val="auto"/>
              </w:rPr>
            </w:pPr>
          </w:p>
        </w:tc>
      </w:tr>
      <w:tr>
        <w:trPr>
          <w:trHeight w:val="216"/>
        </w:trPr>
        <w:tc>
          <w:tcPr>
            <w:tcW w:w="5080" w:type="dxa"/>
            <w:vAlign w:val="bottom"/>
            <w:shd w:val="clear" w:color="auto" w:fill="BFBFBF"/>
          </w:tcPr>
          <w:p>
            <w:pPr>
              <w:ind w:left="100"/>
              <w:spacing w:after="0"/>
              <w:rPr>
                <w:sz w:val="20"/>
                <w:szCs w:val="20"/>
                <w:color w:val="auto"/>
              </w:rPr>
            </w:pPr>
            <w:r>
              <w:rPr>
                <w:rFonts w:ascii="Arial" w:cs="Arial" w:eastAsia="Arial" w:hAnsi="Arial"/>
                <w:sz w:val="18"/>
                <w:szCs w:val="18"/>
                <w:color w:val="auto"/>
              </w:rPr>
              <w:t>Other assets</w:t>
            </w:r>
          </w:p>
        </w:tc>
        <w:tc>
          <w:tcPr>
            <w:tcW w:w="760" w:type="dxa"/>
            <w:vAlign w:val="bottom"/>
            <w:shd w:val="clear" w:color="auto" w:fill="BFBFBF"/>
          </w:tcPr>
          <w:p>
            <w:pPr>
              <w:spacing w:after="0"/>
              <w:rPr>
                <w:sz w:val="18"/>
                <w:szCs w:val="18"/>
                <w:color w:val="auto"/>
              </w:rPr>
            </w:pPr>
          </w:p>
        </w:tc>
        <w:tc>
          <w:tcPr>
            <w:tcW w:w="1500" w:type="dxa"/>
            <w:vAlign w:val="bottom"/>
            <w:tcBorders>
              <w:bottom w:val="single" w:sz="8" w:color="auto"/>
            </w:tcBorders>
            <w:shd w:val="clear" w:color="auto" w:fill="BFBFBF"/>
          </w:tcPr>
          <w:p>
            <w:pPr>
              <w:jc w:val="right"/>
              <w:ind w:right="30"/>
              <w:spacing w:after="0"/>
              <w:rPr>
                <w:sz w:val="20"/>
                <w:szCs w:val="20"/>
                <w:color w:val="auto"/>
              </w:rPr>
            </w:pPr>
            <w:r>
              <w:rPr>
                <w:rFonts w:ascii="Arial" w:cs="Arial" w:eastAsia="Arial" w:hAnsi="Arial"/>
                <w:sz w:val="18"/>
                <w:szCs w:val="18"/>
                <w:color w:val="auto"/>
              </w:rPr>
              <w:t>45,543</w:t>
            </w:r>
          </w:p>
        </w:tc>
        <w:tc>
          <w:tcPr>
            <w:tcW w:w="560" w:type="dxa"/>
            <w:vAlign w:val="bottom"/>
            <w:shd w:val="clear" w:color="auto" w:fill="BFBFBF"/>
          </w:tcPr>
          <w:p>
            <w:pPr>
              <w:spacing w:after="0"/>
              <w:rPr>
                <w:sz w:val="18"/>
                <w:szCs w:val="18"/>
                <w:color w:val="auto"/>
              </w:rPr>
            </w:pPr>
          </w:p>
        </w:tc>
        <w:tc>
          <w:tcPr>
            <w:tcW w:w="1480" w:type="dxa"/>
            <w:vAlign w:val="bottom"/>
            <w:tcBorders>
              <w:bottom w:val="single" w:sz="8" w:color="auto"/>
            </w:tcBorders>
            <w:gridSpan w:val="2"/>
            <w:shd w:val="clear" w:color="auto" w:fill="BFBFBF"/>
          </w:tcPr>
          <w:p>
            <w:pPr>
              <w:jc w:val="right"/>
              <w:spacing w:after="0"/>
              <w:rPr>
                <w:sz w:val="20"/>
                <w:szCs w:val="20"/>
                <w:color w:val="auto"/>
              </w:rPr>
            </w:pPr>
            <w:r>
              <w:rPr>
                <w:rFonts w:ascii="Arial" w:cs="Arial" w:eastAsia="Arial" w:hAnsi="Arial"/>
                <w:sz w:val="18"/>
                <w:szCs w:val="18"/>
                <w:color w:val="auto"/>
              </w:rPr>
              <w:t>(1,256)</w:t>
            </w:r>
          </w:p>
        </w:tc>
        <w:tc>
          <w:tcPr>
            <w:tcW w:w="560" w:type="dxa"/>
            <w:vAlign w:val="bottom"/>
            <w:shd w:val="clear" w:color="auto" w:fill="BFBFBF"/>
          </w:tcPr>
          <w:p>
            <w:pPr>
              <w:spacing w:after="0"/>
              <w:rPr>
                <w:sz w:val="18"/>
                <w:szCs w:val="18"/>
                <w:color w:val="auto"/>
              </w:rPr>
            </w:pPr>
          </w:p>
        </w:tc>
        <w:tc>
          <w:tcPr>
            <w:tcW w:w="1480" w:type="dxa"/>
            <w:vAlign w:val="bottom"/>
            <w:tcBorders>
              <w:bottom w:val="single" w:sz="8" w:color="auto"/>
            </w:tcBorders>
            <w:shd w:val="clear" w:color="auto" w:fill="BFBFBF"/>
          </w:tcPr>
          <w:p>
            <w:pPr>
              <w:jc w:val="right"/>
              <w:ind w:right="10"/>
              <w:spacing w:after="0"/>
              <w:rPr>
                <w:sz w:val="20"/>
                <w:szCs w:val="20"/>
                <w:color w:val="auto"/>
              </w:rPr>
            </w:pPr>
            <w:r>
              <w:rPr>
                <w:rFonts w:ascii="Arial" w:cs="Arial" w:eastAsia="Arial" w:hAnsi="Arial"/>
                <w:sz w:val="18"/>
                <w:szCs w:val="18"/>
                <w:color w:val="auto"/>
              </w:rPr>
              <w:t>44,287</w:t>
            </w:r>
          </w:p>
        </w:tc>
        <w:tc>
          <w:tcPr>
            <w:tcW w:w="0" w:type="dxa"/>
            <w:vAlign w:val="bottom"/>
          </w:tcPr>
          <w:p>
            <w:pPr>
              <w:spacing w:after="0"/>
              <w:rPr>
                <w:sz w:val="1"/>
                <w:szCs w:val="1"/>
                <w:color w:val="auto"/>
              </w:rPr>
            </w:pPr>
          </w:p>
        </w:tc>
      </w:tr>
      <w:tr>
        <w:trPr>
          <w:trHeight w:val="210"/>
        </w:trPr>
        <w:tc>
          <w:tcPr>
            <w:tcW w:w="5080" w:type="dxa"/>
            <w:vAlign w:val="bottom"/>
          </w:tcPr>
          <w:p>
            <w:pPr>
              <w:ind w:left="300"/>
              <w:spacing w:after="0" w:line="197" w:lineRule="exact"/>
              <w:rPr>
                <w:sz w:val="20"/>
                <w:szCs w:val="20"/>
                <w:color w:val="auto"/>
              </w:rPr>
            </w:pPr>
            <w:r>
              <w:rPr>
                <w:rFonts w:ascii="Arial" w:cs="Arial" w:eastAsia="Arial" w:hAnsi="Arial"/>
                <w:sz w:val="18"/>
                <w:szCs w:val="18"/>
                <w:color w:val="auto"/>
              </w:rPr>
              <w:t>Total assets</w:t>
            </w:r>
          </w:p>
        </w:tc>
        <w:tc>
          <w:tcPr>
            <w:tcW w:w="2260" w:type="dxa"/>
            <w:vAlign w:val="bottom"/>
            <w:gridSpan w:val="2"/>
          </w:tcPr>
          <w:p>
            <w:pPr>
              <w:jc w:val="right"/>
              <w:ind w:right="30"/>
              <w:spacing w:after="0"/>
              <w:rPr>
                <w:sz w:val="20"/>
                <w:szCs w:val="20"/>
                <w:color w:val="auto"/>
              </w:rPr>
            </w:pPr>
            <w:r>
              <w:rPr>
                <w:rFonts w:ascii="Arial" w:cs="Arial" w:eastAsia="Arial" w:hAnsi="Arial"/>
                <w:sz w:val="18"/>
                <w:szCs w:val="18"/>
                <w:color w:val="auto"/>
              </w:rPr>
              <w:t>$1,400,335</w:t>
            </w:r>
          </w:p>
        </w:tc>
        <w:tc>
          <w:tcPr>
            <w:tcW w:w="560" w:type="dxa"/>
            <w:vAlign w:val="bottom"/>
          </w:tcPr>
          <w:p>
            <w:pPr>
              <w:spacing w:after="0"/>
              <w:rPr>
                <w:sz w:val="18"/>
                <w:szCs w:val="18"/>
                <w:color w:val="auto"/>
              </w:rPr>
            </w:pP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($13,274)</w:t>
            </w:r>
          </w:p>
        </w:tc>
        <w:tc>
          <w:tcPr>
            <w:tcW w:w="560" w:type="dxa"/>
            <w:vAlign w:val="bottom"/>
          </w:tcPr>
          <w:p>
            <w:pPr>
              <w:spacing w:after="0"/>
              <w:rPr>
                <w:sz w:val="18"/>
                <w:szCs w:val="18"/>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$1,387,061</w:t>
            </w:r>
          </w:p>
        </w:tc>
        <w:tc>
          <w:tcPr>
            <w:tcW w:w="0" w:type="dxa"/>
            <w:vAlign w:val="bottom"/>
          </w:tcPr>
          <w:p>
            <w:pPr>
              <w:spacing w:after="0"/>
              <w:rPr>
                <w:sz w:val="1"/>
                <w:szCs w:val="1"/>
                <w:color w:val="auto"/>
              </w:rPr>
            </w:pPr>
          </w:p>
        </w:tc>
      </w:tr>
      <w:tr>
        <w:trPr>
          <w:trHeight w:val="20"/>
        </w:trPr>
        <w:tc>
          <w:tcPr>
            <w:tcW w:w="5080" w:type="dxa"/>
            <w:vAlign w:val="bottom"/>
            <w:vMerge w:val="restart"/>
          </w:tcPr>
          <w:p>
            <w:pPr>
              <w:spacing w:after="0"/>
              <w:rPr>
                <w:sz w:val="20"/>
                <w:szCs w:val="20"/>
                <w:color w:val="auto"/>
              </w:rPr>
            </w:pPr>
            <w:r>
              <w:rPr>
                <w:rFonts w:ascii="Arial" w:cs="Arial" w:eastAsia="Arial" w:hAnsi="Arial"/>
                <w:sz w:val="18"/>
                <w:szCs w:val="18"/>
                <w:color w:val="auto"/>
              </w:rPr>
              <w:t>LIABILITIES AND SHAREHOLDERS' EQUITY</w:t>
            </w:r>
          </w:p>
        </w:tc>
        <w:tc>
          <w:tcPr>
            <w:tcW w:w="760" w:type="dxa"/>
            <w:vAlign w:val="bottom"/>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5080" w:type="dxa"/>
            <w:vAlign w:val="bottom"/>
            <w:vMerge w:val="continue"/>
          </w:tcPr>
          <w:p>
            <w:pPr>
              <w:spacing w:after="0"/>
              <w:rPr>
                <w:sz w:val="24"/>
                <w:szCs w:val="24"/>
                <w:color w:val="auto"/>
              </w:rPr>
            </w:pPr>
          </w:p>
        </w:tc>
        <w:tc>
          <w:tcPr>
            <w:tcW w:w="7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5080" w:type="dxa"/>
            <w:vAlign w:val="bottom"/>
            <w:shd w:val="clear" w:color="auto" w:fill="BFBFBF"/>
          </w:tcPr>
          <w:p>
            <w:pPr>
              <w:ind w:left="100"/>
              <w:spacing w:after="0" w:line="202" w:lineRule="exact"/>
              <w:rPr>
                <w:sz w:val="20"/>
                <w:szCs w:val="20"/>
                <w:color w:val="auto"/>
              </w:rPr>
            </w:pPr>
            <w:r>
              <w:rPr>
                <w:rFonts w:ascii="Arial" w:cs="Arial" w:eastAsia="Arial" w:hAnsi="Arial"/>
                <w:sz w:val="18"/>
                <w:szCs w:val="18"/>
                <w:color w:val="auto"/>
              </w:rPr>
              <w:t>Notes and loans payable</w:t>
            </w:r>
          </w:p>
        </w:tc>
        <w:tc>
          <w:tcPr>
            <w:tcW w:w="2260" w:type="dxa"/>
            <w:vAlign w:val="bottom"/>
            <w:gridSpan w:val="2"/>
            <w:shd w:val="clear" w:color="auto" w:fill="BFBFBF"/>
          </w:tcPr>
          <w:p>
            <w:pPr>
              <w:jc w:val="right"/>
              <w:ind w:right="30"/>
              <w:spacing w:after="0" w:line="202" w:lineRule="exact"/>
              <w:rPr>
                <w:sz w:val="20"/>
                <w:szCs w:val="20"/>
                <w:color w:val="auto"/>
              </w:rPr>
            </w:pPr>
            <w:r>
              <w:rPr>
                <w:rFonts w:ascii="Arial" w:cs="Arial" w:eastAsia="Arial" w:hAnsi="Arial"/>
                <w:sz w:val="18"/>
                <w:szCs w:val="18"/>
                <w:color w:val="auto"/>
              </w:rPr>
              <w:t>$226</w:t>
            </w:r>
          </w:p>
        </w:tc>
        <w:tc>
          <w:tcPr>
            <w:tcW w:w="560" w:type="dxa"/>
            <w:vAlign w:val="bottom"/>
            <w:shd w:val="clear" w:color="auto" w:fill="BFBFBF"/>
          </w:tcPr>
          <w:p>
            <w:pPr>
              <w:spacing w:after="0"/>
              <w:rPr>
                <w:sz w:val="17"/>
                <w:szCs w:val="17"/>
                <w:color w:val="auto"/>
              </w:rPr>
            </w:pPr>
          </w:p>
        </w:tc>
        <w:tc>
          <w:tcPr>
            <w:tcW w:w="1120" w:type="dxa"/>
            <w:vAlign w:val="bottom"/>
            <w:shd w:val="clear" w:color="auto" w:fill="BFBFBF"/>
          </w:tcPr>
          <w:p>
            <w:pPr>
              <w:jc w:val="right"/>
              <w:spacing w:after="0" w:line="202" w:lineRule="exact"/>
              <w:rPr>
                <w:sz w:val="20"/>
                <w:szCs w:val="20"/>
                <w:color w:val="auto"/>
              </w:rPr>
            </w:pPr>
            <w:r>
              <w:rPr>
                <w:rFonts w:ascii="Arial" w:cs="Arial" w:eastAsia="Arial" w:hAnsi="Arial"/>
                <w:sz w:val="18"/>
                <w:szCs w:val="18"/>
                <w:color w:val="auto"/>
              </w:rPr>
              <w:t>$</w:t>
            </w:r>
          </w:p>
        </w:tc>
        <w:tc>
          <w:tcPr>
            <w:tcW w:w="360" w:type="dxa"/>
            <w:vAlign w:val="bottom"/>
            <w:shd w:val="clear" w:color="auto" w:fill="BFBFBF"/>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560" w:type="dxa"/>
            <w:vAlign w:val="bottom"/>
            <w:shd w:val="clear" w:color="auto" w:fill="BFBFBF"/>
          </w:tcPr>
          <w:p>
            <w:pPr>
              <w:spacing w:after="0"/>
              <w:rPr>
                <w:sz w:val="17"/>
                <w:szCs w:val="17"/>
                <w:color w:val="auto"/>
              </w:rPr>
            </w:pPr>
          </w:p>
        </w:tc>
        <w:tc>
          <w:tcPr>
            <w:tcW w:w="1480" w:type="dxa"/>
            <w:vAlign w:val="bottom"/>
            <w:shd w:val="clear" w:color="auto" w:fill="BFBFBF"/>
          </w:tcPr>
          <w:p>
            <w:pPr>
              <w:jc w:val="right"/>
              <w:ind w:right="10"/>
              <w:spacing w:after="0" w:line="202" w:lineRule="exact"/>
              <w:rPr>
                <w:sz w:val="20"/>
                <w:szCs w:val="20"/>
                <w:color w:val="auto"/>
              </w:rPr>
            </w:pPr>
            <w:r>
              <w:rPr>
                <w:rFonts w:ascii="Arial" w:cs="Arial" w:eastAsia="Arial" w:hAnsi="Arial"/>
                <w:sz w:val="18"/>
                <w:szCs w:val="18"/>
                <w:color w:val="auto"/>
              </w:rPr>
              <w:t>$226</w:t>
            </w:r>
          </w:p>
        </w:tc>
        <w:tc>
          <w:tcPr>
            <w:tcW w:w="0" w:type="dxa"/>
            <w:vAlign w:val="bottom"/>
          </w:tcPr>
          <w:p>
            <w:pPr>
              <w:spacing w:after="0"/>
              <w:rPr>
                <w:sz w:val="1"/>
                <w:szCs w:val="1"/>
                <w:color w:val="auto"/>
              </w:rPr>
            </w:pPr>
          </w:p>
        </w:tc>
      </w:tr>
      <w:tr>
        <w:trPr>
          <w:trHeight w:val="203"/>
        </w:trPr>
        <w:tc>
          <w:tcPr>
            <w:tcW w:w="5080" w:type="dxa"/>
            <w:vAlign w:val="bottom"/>
          </w:tcPr>
          <w:p>
            <w:pPr>
              <w:ind w:left="100"/>
              <w:spacing w:after="0" w:line="202" w:lineRule="exact"/>
              <w:rPr>
                <w:sz w:val="20"/>
                <w:szCs w:val="20"/>
                <w:color w:val="auto"/>
              </w:rPr>
            </w:pPr>
            <w:r>
              <w:rPr>
                <w:rFonts w:ascii="Arial" w:cs="Arial" w:eastAsia="Arial" w:hAnsi="Arial"/>
                <w:sz w:val="18"/>
                <w:szCs w:val="18"/>
                <w:color w:val="auto"/>
              </w:rPr>
              <w:t>Accounts payable</w:t>
            </w:r>
          </w:p>
        </w:tc>
        <w:tc>
          <w:tcPr>
            <w:tcW w:w="2260" w:type="dxa"/>
            <w:vAlign w:val="bottom"/>
            <w:gridSpan w:val="2"/>
          </w:tcPr>
          <w:p>
            <w:pPr>
              <w:jc w:val="right"/>
              <w:ind w:right="30"/>
              <w:spacing w:after="0" w:line="202" w:lineRule="exact"/>
              <w:rPr>
                <w:sz w:val="20"/>
                <w:szCs w:val="20"/>
                <w:color w:val="auto"/>
              </w:rPr>
            </w:pPr>
            <w:r>
              <w:rPr>
                <w:rFonts w:ascii="Arial" w:cs="Arial" w:eastAsia="Arial" w:hAnsi="Arial"/>
                <w:sz w:val="18"/>
                <w:szCs w:val="18"/>
                <w:color w:val="auto"/>
              </w:rPr>
              <w:t>45,694</w:t>
            </w:r>
          </w:p>
        </w:tc>
        <w:tc>
          <w:tcPr>
            <w:tcW w:w="5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560" w:type="dxa"/>
            <w:vAlign w:val="bottom"/>
          </w:tcPr>
          <w:p>
            <w:pPr>
              <w:spacing w:after="0"/>
              <w:rPr>
                <w:sz w:val="17"/>
                <w:szCs w:val="17"/>
                <w:color w:val="auto"/>
              </w:rPr>
            </w:pPr>
          </w:p>
        </w:tc>
        <w:tc>
          <w:tcPr>
            <w:tcW w:w="14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45,694</w:t>
            </w:r>
          </w:p>
        </w:tc>
        <w:tc>
          <w:tcPr>
            <w:tcW w:w="0" w:type="dxa"/>
            <w:vAlign w:val="bottom"/>
          </w:tcPr>
          <w:p>
            <w:pPr>
              <w:spacing w:after="0"/>
              <w:rPr>
                <w:sz w:val="1"/>
                <w:szCs w:val="1"/>
                <w:color w:val="auto"/>
              </w:rPr>
            </w:pPr>
          </w:p>
        </w:tc>
      </w:tr>
      <w:tr>
        <w:trPr>
          <w:trHeight w:val="203"/>
        </w:trPr>
        <w:tc>
          <w:tcPr>
            <w:tcW w:w="5080" w:type="dxa"/>
            <w:vAlign w:val="bottom"/>
            <w:shd w:val="clear" w:color="auto" w:fill="BFBFBF"/>
          </w:tcPr>
          <w:p>
            <w:pPr>
              <w:ind w:left="100"/>
              <w:spacing w:after="0" w:line="202" w:lineRule="exact"/>
              <w:rPr>
                <w:sz w:val="20"/>
                <w:szCs w:val="20"/>
                <w:color w:val="auto"/>
              </w:rPr>
            </w:pPr>
            <w:r>
              <w:rPr>
                <w:rFonts w:ascii="Arial" w:cs="Arial" w:eastAsia="Arial" w:hAnsi="Arial"/>
                <w:sz w:val="18"/>
                <w:szCs w:val="18"/>
                <w:color w:val="auto"/>
              </w:rPr>
              <w:t>Accrued liabilities</w:t>
            </w:r>
          </w:p>
        </w:tc>
        <w:tc>
          <w:tcPr>
            <w:tcW w:w="2260" w:type="dxa"/>
            <w:vAlign w:val="bottom"/>
            <w:gridSpan w:val="2"/>
            <w:shd w:val="clear" w:color="auto" w:fill="BFBFBF"/>
          </w:tcPr>
          <w:p>
            <w:pPr>
              <w:jc w:val="right"/>
              <w:ind w:right="30"/>
              <w:spacing w:after="0" w:line="202" w:lineRule="exact"/>
              <w:rPr>
                <w:sz w:val="20"/>
                <w:szCs w:val="20"/>
                <w:color w:val="auto"/>
              </w:rPr>
            </w:pPr>
            <w:r>
              <w:rPr>
                <w:rFonts w:ascii="Arial" w:cs="Arial" w:eastAsia="Arial" w:hAnsi="Arial"/>
                <w:sz w:val="18"/>
                <w:szCs w:val="18"/>
                <w:color w:val="auto"/>
              </w:rPr>
              <w:t>122,103</w:t>
            </w:r>
          </w:p>
        </w:tc>
        <w:tc>
          <w:tcPr>
            <w:tcW w:w="560" w:type="dxa"/>
            <w:vAlign w:val="bottom"/>
            <w:shd w:val="clear" w:color="auto" w:fill="BFBFBF"/>
          </w:tcPr>
          <w:p>
            <w:pPr>
              <w:spacing w:after="0"/>
              <w:rPr>
                <w:sz w:val="17"/>
                <w:szCs w:val="17"/>
                <w:color w:val="auto"/>
              </w:rPr>
            </w:pPr>
          </w:p>
        </w:tc>
        <w:tc>
          <w:tcPr>
            <w:tcW w:w="1480" w:type="dxa"/>
            <w:vAlign w:val="bottom"/>
            <w:gridSpan w:val="2"/>
            <w:shd w:val="clear" w:color="auto" w:fill="BFBFBF"/>
          </w:tcPr>
          <w:p>
            <w:pPr>
              <w:jc w:val="right"/>
              <w:spacing w:after="0" w:line="202" w:lineRule="exact"/>
              <w:rPr>
                <w:sz w:val="20"/>
                <w:szCs w:val="20"/>
                <w:color w:val="auto"/>
              </w:rPr>
            </w:pPr>
            <w:r>
              <w:rPr>
                <w:rFonts w:ascii="Arial" w:cs="Arial" w:eastAsia="Arial" w:hAnsi="Arial"/>
                <w:sz w:val="18"/>
                <w:szCs w:val="18"/>
                <w:color w:val="auto"/>
              </w:rPr>
              <w:t>(17,624)</w:t>
            </w:r>
          </w:p>
        </w:tc>
        <w:tc>
          <w:tcPr>
            <w:tcW w:w="560" w:type="dxa"/>
            <w:vAlign w:val="bottom"/>
            <w:shd w:val="clear" w:color="auto" w:fill="BFBFBF"/>
          </w:tcPr>
          <w:p>
            <w:pPr>
              <w:spacing w:after="0"/>
              <w:rPr>
                <w:sz w:val="17"/>
                <w:szCs w:val="17"/>
                <w:color w:val="auto"/>
              </w:rPr>
            </w:pPr>
          </w:p>
        </w:tc>
        <w:tc>
          <w:tcPr>
            <w:tcW w:w="1480" w:type="dxa"/>
            <w:vAlign w:val="bottom"/>
            <w:shd w:val="clear" w:color="auto" w:fill="BFBFBF"/>
          </w:tcPr>
          <w:p>
            <w:pPr>
              <w:jc w:val="right"/>
              <w:ind w:right="10"/>
              <w:spacing w:after="0" w:line="202" w:lineRule="exact"/>
              <w:rPr>
                <w:sz w:val="20"/>
                <w:szCs w:val="20"/>
                <w:color w:val="auto"/>
              </w:rPr>
            </w:pPr>
            <w:r>
              <w:rPr>
                <w:rFonts w:ascii="Arial" w:cs="Arial" w:eastAsia="Arial" w:hAnsi="Arial"/>
                <w:sz w:val="18"/>
                <w:szCs w:val="18"/>
                <w:color w:val="auto"/>
              </w:rPr>
              <w:t>104,479</w:t>
            </w:r>
          </w:p>
        </w:tc>
        <w:tc>
          <w:tcPr>
            <w:tcW w:w="0" w:type="dxa"/>
            <w:vAlign w:val="bottom"/>
          </w:tcPr>
          <w:p>
            <w:pPr>
              <w:spacing w:after="0"/>
              <w:rPr>
                <w:sz w:val="1"/>
                <w:szCs w:val="1"/>
                <w:color w:val="auto"/>
              </w:rPr>
            </w:pPr>
          </w:p>
        </w:tc>
      </w:tr>
      <w:tr>
        <w:trPr>
          <w:trHeight w:val="203"/>
        </w:trPr>
        <w:tc>
          <w:tcPr>
            <w:tcW w:w="5080" w:type="dxa"/>
            <w:vAlign w:val="bottom"/>
          </w:tcPr>
          <w:p>
            <w:pPr>
              <w:ind w:left="100"/>
              <w:spacing w:after="0" w:line="202" w:lineRule="exact"/>
              <w:rPr>
                <w:sz w:val="20"/>
                <w:szCs w:val="20"/>
                <w:color w:val="auto"/>
              </w:rPr>
            </w:pPr>
            <w:r>
              <w:rPr>
                <w:rFonts w:ascii="Arial" w:cs="Arial" w:eastAsia="Arial" w:hAnsi="Arial"/>
                <w:sz w:val="18"/>
                <w:szCs w:val="18"/>
                <w:color w:val="auto"/>
              </w:rPr>
              <w:t>Current maturities of long-term debt</w:t>
            </w:r>
          </w:p>
        </w:tc>
        <w:tc>
          <w:tcPr>
            <w:tcW w:w="2260" w:type="dxa"/>
            <w:vAlign w:val="bottom"/>
            <w:gridSpan w:val="2"/>
          </w:tcPr>
          <w:p>
            <w:pPr>
              <w:jc w:val="right"/>
              <w:ind w:right="30"/>
              <w:spacing w:after="0" w:line="202" w:lineRule="exact"/>
              <w:rPr>
                <w:sz w:val="20"/>
                <w:szCs w:val="20"/>
                <w:color w:val="auto"/>
              </w:rPr>
            </w:pPr>
            <w:r>
              <w:rPr>
                <w:rFonts w:ascii="Arial" w:cs="Arial" w:eastAsia="Arial" w:hAnsi="Arial"/>
                <w:sz w:val="18"/>
                <w:szCs w:val="18"/>
                <w:color w:val="auto"/>
              </w:rPr>
              <w:t>1,821</w:t>
            </w:r>
          </w:p>
        </w:tc>
        <w:tc>
          <w:tcPr>
            <w:tcW w:w="5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560" w:type="dxa"/>
            <w:vAlign w:val="bottom"/>
          </w:tcPr>
          <w:p>
            <w:pPr>
              <w:spacing w:after="0"/>
              <w:rPr>
                <w:sz w:val="17"/>
                <w:szCs w:val="17"/>
                <w:color w:val="auto"/>
              </w:rPr>
            </w:pPr>
          </w:p>
        </w:tc>
        <w:tc>
          <w:tcPr>
            <w:tcW w:w="14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1,821</w:t>
            </w:r>
          </w:p>
        </w:tc>
        <w:tc>
          <w:tcPr>
            <w:tcW w:w="0" w:type="dxa"/>
            <w:vAlign w:val="bottom"/>
          </w:tcPr>
          <w:p>
            <w:pPr>
              <w:spacing w:after="0"/>
              <w:rPr>
                <w:sz w:val="1"/>
                <w:szCs w:val="1"/>
                <w:color w:val="auto"/>
              </w:rPr>
            </w:pPr>
          </w:p>
        </w:tc>
      </w:tr>
      <w:tr>
        <w:trPr>
          <w:trHeight w:val="216"/>
        </w:trPr>
        <w:tc>
          <w:tcPr>
            <w:tcW w:w="5080" w:type="dxa"/>
            <w:vAlign w:val="bottom"/>
            <w:shd w:val="clear" w:color="auto" w:fill="BFBFBF"/>
          </w:tcPr>
          <w:p>
            <w:pPr>
              <w:ind w:left="100"/>
              <w:spacing w:after="0"/>
              <w:rPr>
                <w:sz w:val="20"/>
                <w:szCs w:val="20"/>
                <w:color w:val="auto"/>
              </w:rPr>
            </w:pPr>
            <w:r>
              <w:rPr>
                <w:rFonts w:ascii="Arial" w:cs="Arial" w:eastAsia="Arial" w:hAnsi="Arial"/>
                <w:sz w:val="18"/>
                <w:szCs w:val="18"/>
                <w:color w:val="auto"/>
              </w:rPr>
              <w:t>Income taxes payable</w:t>
            </w:r>
          </w:p>
        </w:tc>
        <w:tc>
          <w:tcPr>
            <w:tcW w:w="2260" w:type="dxa"/>
            <w:vAlign w:val="bottom"/>
            <w:gridSpan w:val="2"/>
            <w:shd w:val="clear" w:color="auto" w:fill="BFBFBF"/>
          </w:tcPr>
          <w:p>
            <w:pPr>
              <w:jc w:val="right"/>
              <w:ind w:right="30"/>
              <w:spacing w:after="0"/>
              <w:rPr>
                <w:sz w:val="20"/>
                <w:szCs w:val="20"/>
                <w:color w:val="auto"/>
              </w:rPr>
            </w:pPr>
            <w:r>
              <w:rPr>
                <w:rFonts w:ascii="Arial" w:cs="Arial" w:eastAsia="Arial" w:hAnsi="Arial"/>
                <w:sz w:val="18"/>
                <w:szCs w:val="18"/>
                <w:color w:val="auto"/>
              </w:rPr>
              <w:t>5,182</w:t>
            </w:r>
          </w:p>
        </w:tc>
        <w:tc>
          <w:tcPr>
            <w:tcW w:w="560" w:type="dxa"/>
            <w:vAlign w:val="bottom"/>
            <w:shd w:val="clear" w:color="auto" w:fill="BFBFBF"/>
          </w:tcPr>
          <w:p>
            <w:pPr>
              <w:spacing w:after="0"/>
              <w:rPr>
                <w:sz w:val="18"/>
                <w:szCs w:val="18"/>
                <w:color w:val="auto"/>
              </w:rPr>
            </w:pPr>
          </w:p>
        </w:tc>
        <w:tc>
          <w:tcPr>
            <w:tcW w:w="1120" w:type="dxa"/>
            <w:vAlign w:val="bottom"/>
            <w:shd w:val="clear" w:color="auto" w:fill="BFBFBF"/>
          </w:tcPr>
          <w:p>
            <w:pPr>
              <w:spacing w:after="0"/>
              <w:rPr>
                <w:sz w:val="18"/>
                <w:szCs w:val="18"/>
                <w:color w:val="auto"/>
              </w:rPr>
            </w:pPr>
          </w:p>
        </w:tc>
        <w:tc>
          <w:tcPr>
            <w:tcW w:w="360" w:type="dxa"/>
            <w:vAlign w:val="bottom"/>
            <w:shd w:val="clear" w:color="auto" w:fill="BFBFBF"/>
          </w:tcPr>
          <w:p>
            <w:pPr>
              <w:jc w:val="right"/>
              <w:ind w:right="10"/>
              <w:spacing w:after="0"/>
              <w:rPr>
                <w:sz w:val="20"/>
                <w:szCs w:val="20"/>
                <w:color w:val="auto"/>
              </w:rPr>
            </w:pPr>
            <w:r>
              <w:rPr>
                <w:rFonts w:ascii="Arial" w:cs="Arial" w:eastAsia="Arial" w:hAnsi="Arial"/>
                <w:sz w:val="18"/>
                <w:szCs w:val="18"/>
                <w:color w:val="auto"/>
              </w:rPr>
              <w:t>-</w:t>
            </w:r>
          </w:p>
        </w:tc>
        <w:tc>
          <w:tcPr>
            <w:tcW w:w="560" w:type="dxa"/>
            <w:vAlign w:val="bottom"/>
            <w:shd w:val="clear" w:color="auto" w:fill="BFBFBF"/>
          </w:tcPr>
          <w:p>
            <w:pPr>
              <w:spacing w:after="0"/>
              <w:rPr>
                <w:sz w:val="18"/>
                <w:szCs w:val="18"/>
                <w:color w:val="auto"/>
              </w:rPr>
            </w:pPr>
          </w:p>
        </w:tc>
        <w:tc>
          <w:tcPr>
            <w:tcW w:w="1480" w:type="dxa"/>
            <w:vAlign w:val="bottom"/>
            <w:shd w:val="clear" w:color="auto" w:fill="BFBFBF"/>
          </w:tcPr>
          <w:p>
            <w:pPr>
              <w:jc w:val="right"/>
              <w:ind w:right="10"/>
              <w:spacing w:after="0"/>
              <w:rPr>
                <w:sz w:val="20"/>
                <w:szCs w:val="20"/>
                <w:color w:val="auto"/>
              </w:rPr>
            </w:pPr>
            <w:r>
              <w:rPr>
                <w:rFonts w:ascii="Arial" w:cs="Arial" w:eastAsia="Arial" w:hAnsi="Arial"/>
                <w:sz w:val="18"/>
                <w:szCs w:val="18"/>
                <w:color w:val="auto"/>
              </w:rPr>
              <w:t>5,182</w:t>
            </w:r>
          </w:p>
        </w:tc>
        <w:tc>
          <w:tcPr>
            <w:tcW w:w="0" w:type="dxa"/>
            <w:vAlign w:val="bottom"/>
          </w:tcPr>
          <w:p>
            <w:pPr>
              <w:spacing w:after="0"/>
              <w:rPr>
                <w:sz w:val="1"/>
                <w:szCs w:val="1"/>
                <w:color w:val="auto"/>
              </w:rPr>
            </w:pPr>
          </w:p>
        </w:tc>
      </w:tr>
      <w:tr>
        <w:trPr>
          <w:trHeight w:val="210"/>
        </w:trPr>
        <w:tc>
          <w:tcPr>
            <w:tcW w:w="5080" w:type="dxa"/>
            <w:vAlign w:val="bottom"/>
          </w:tcPr>
          <w:p>
            <w:pPr>
              <w:ind w:left="300"/>
              <w:spacing w:after="0"/>
              <w:rPr>
                <w:sz w:val="20"/>
                <w:szCs w:val="20"/>
                <w:color w:val="auto"/>
              </w:rPr>
            </w:pPr>
            <w:r>
              <w:rPr>
                <w:rFonts w:ascii="Arial" w:cs="Arial" w:eastAsia="Arial" w:hAnsi="Arial"/>
                <w:sz w:val="18"/>
                <w:szCs w:val="18"/>
                <w:color w:val="auto"/>
              </w:rPr>
              <w:t>Total current liabilities</w:t>
            </w:r>
          </w:p>
        </w:tc>
        <w:tc>
          <w:tcPr>
            <w:tcW w:w="760" w:type="dxa"/>
            <w:vAlign w:val="bottom"/>
          </w:tcPr>
          <w:p>
            <w:pPr>
              <w:spacing w:after="0"/>
              <w:rPr>
                <w:sz w:val="18"/>
                <w:szCs w:val="18"/>
                <w:color w:val="auto"/>
              </w:rPr>
            </w:pPr>
          </w:p>
        </w:tc>
        <w:tc>
          <w:tcPr>
            <w:tcW w:w="15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175,026</w:t>
            </w:r>
          </w:p>
        </w:tc>
        <w:tc>
          <w:tcPr>
            <w:tcW w:w="560" w:type="dxa"/>
            <w:vAlign w:val="bottom"/>
          </w:tcPr>
          <w:p>
            <w:pPr>
              <w:spacing w:after="0"/>
              <w:rPr>
                <w:sz w:val="18"/>
                <w:szCs w:val="18"/>
                <w:color w:val="auto"/>
              </w:rPr>
            </w:pPr>
          </w:p>
        </w:tc>
        <w:tc>
          <w:tcPr>
            <w:tcW w:w="148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(17,624)</w:t>
            </w:r>
          </w:p>
        </w:tc>
        <w:tc>
          <w:tcPr>
            <w:tcW w:w="560" w:type="dxa"/>
            <w:vAlign w:val="bottom"/>
          </w:tcPr>
          <w:p>
            <w:pPr>
              <w:spacing w:after="0"/>
              <w:rPr>
                <w:sz w:val="18"/>
                <w:szCs w:val="18"/>
                <w:color w:val="auto"/>
              </w:rPr>
            </w:pPr>
          </w:p>
        </w:tc>
        <w:tc>
          <w:tcPr>
            <w:tcW w:w="14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157,402</w:t>
            </w:r>
          </w:p>
        </w:tc>
        <w:tc>
          <w:tcPr>
            <w:tcW w:w="0" w:type="dxa"/>
            <w:vAlign w:val="bottom"/>
          </w:tcPr>
          <w:p>
            <w:pPr>
              <w:spacing w:after="0"/>
              <w:rPr>
                <w:sz w:val="1"/>
                <w:szCs w:val="1"/>
                <w:color w:val="auto"/>
              </w:rPr>
            </w:pPr>
          </w:p>
        </w:tc>
      </w:tr>
      <w:tr>
        <w:trPr>
          <w:trHeight w:val="188"/>
        </w:trPr>
        <w:tc>
          <w:tcPr>
            <w:tcW w:w="50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080" w:type="dxa"/>
            <w:vAlign w:val="bottom"/>
            <w:shd w:val="clear" w:color="auto" w:fill="BFBFBF"/>
          </w:tcPr>
          <w:p>
            <w:pPr>
              <w:ind w:left="100"/>
              <w:spacing w:after="0" w:line="202" w:lineRule="exact"/>
              <w:rPr>
                <w:sz w:val="20"/>
                <w:szCs w:val="20"/>
                <w:color w:val="auto"/>
              </w:rPr>
            </w:pPr>
            <w:r>
              <w:rPr>
                <w:rFonts w:ascii="Arial" w:cs="Arial" w:eastAsia="Arial" w:hAnsi="Arial"/>
                <w:sz w:val="18"/>
                <w:szCs w:val="18"/>
                <w:color w:val="auto"/>
              </w:rPr>
              <w:t>Long-term debt</w:t>
            </w:r>
          </w:p>
        </w:tc>
        <w:tc>
          <w:tcPr>
            <w:tcW w:w="2260" w:type="dxa"/>
            <w:vAlign w:val="bottom"/>
            <w:gridSpan w:val="2"/>
            <w:shd w:val="clear" w:color="auto" w:fill="BFBFBF"/>
          </w:tcPr>
          <w:p>
            <w:pPr>
              <w:jc w:val="right"/>
              <w:ind w:right="30"/>
              <w:spacing w:after="0" w:line="202" w:lineRule="exact"/>
              <w:rPr>
                <w:sz w:val="20"/>
                <w:szCs w:val="20"/>
                <w:color w:val="auto"/>
              </w:rPr>
            </w:pPr>
            <w:r>
              <w:rPr>
                <w:rFonts w:ascii="Arial" w:cs="Arial" w:eastAsia="Arial" w:hAnsi="Arial"/>
                <w:sz w:val="18"/>
                <w:szCs w:val="18"/>
                <w:color w:val="auto"/>
              </w:rPr>
              <w:t>518,656</w:t>
            </w:r>
          </w:p>
        </w:tc>
        <w:tc>
          <w:tcPr>
            <w:tcW w:w="560" w:type="dxa"/>
            <w:vAlign w:val="bottom"/>
            <w:shd w:val="clear" w:color="auto" w:fill="BFBFBF"/>
          </w:tcPr>
          <w:p>
            <w:pPr>
              <w:spacing w:after="0"/>
              <w:rPr>
                <w:sz w:val="17"/>
                <w:szCs w:val="17"/>
                <w:color w:val="auto"/>
              </w:rPr>
            </w:pPr>
          </w:p>
        </w:tc>
        <w:tc>
          <w:tcPr>
            <w:tcW w:w="1120" w:type="dxa"/>
            <w:vAlign w:val="bottom"/>
            <w:shd w:val="clear" w:color="auto" w:fill="BFBFBF"/>
          </w:tcPr>
          <w:p>
            <w:pPr>
              <w:spacing w:after="0"/>
              <w:rPr>
                <w:sz w:val="17"/>
                <w:szCs w:val="17"/>
                <w:color w:val="auto"/>
              </w:rPr>
            </w:pPr>
          </w:p>
        </w:tc>
        <w:tc>
          <w:tcPr>
            <w:tcW w:w="360" w:type="dxa"/>
            <w:vAlign w:val="bottom"/>
            <w:shd w:val="clear" w:color="auto" w:fill="BFBFBF"/>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560" w:type="dxa"/>
            <w:vAlign w:val="bottom"/>
            <w:shd w:val="clear" w:color="auto" w:fill="BFBFBF"/>
          </w:tcPr>
          <w:p>
            <w:pPr>
              <w:spacing w:after="0"/>
              <w:rPr>
                <w:sz w:val="17"/>
                <w:szCs w:val="17"/>
                <w:color w:val="auto"/>
              </w:rPr>
            </w:pPr>
          </w:p>
        </w:tc>
        <w:tc>
          <w:tcPr>
            <w:tcW w:w="1480" w:type="dxa"/>
            <w:vAlign w:val="bottom"/>
            <w:shd w:val="clear" w:color="auto" w:fill="BFBFBF"/>
          </w:tcPr>
          <w:p>
            <w:pPr>
              <w:jc w:val="right"/>
              <w:ind w:right="10"/>
              <w:spacing w:after="0" w:line="202" w:lineRule="exact"/>
              <w:rPr>
                <w:sz w:val="20"/>
                <w:szCs w:val="20"/>
                <w:color w:val="auto"/>
              </w:rPr>
            </w:pPr>
            <w:r>
              <w:rPr>
                <w:rFonts w:ascii="Arial" w:cs="Arial" w:eastAsia="Arial" w:hAnsi="Arial"/>
                <w:sz w:val="18"/>
                <w:szCs w:val="18"/>
                <w:color w:val="auto"/>
              </w:rPr>
              <w:t>518,656</w:t>
            </w:r>
          </w:p>
        </w:tc>
        <w:tc>
          <w:tcPr>
            <w:tcW w:w="0" w:type="dxa"/>
            <w:vAlign w:val="bottom"/>
          </w:tcPr>
          <w:p>
            <w:pPr>
              <w:spacing w:after="0"/>
              <w:rPr>
                <w:sz w:val="1"/>
                <w:szCs w:val="1"/>
                <w:color w:val="auto"/>
              </w:rPr>
            </w:pPr>
          </w:p>
        </w:tc>
      </w:tr>
      <w:tr>
        <w:trPr>
          <w:trHeight w:val="203"/>
        </w:trPr>
        <w:tc>
          <w:tcPr>
            <w:tcW w:w="5080" w:type="dxa"/>
            <w:vAlign w:val="bottom"/>
          </w:tcPr>
          <w:p>
            <w:pPr>
              <w:ind w:left="100"/>
              <w:spacing w:after="0" w:line="202" w:lineRule="exact"/>
              <w:rPr>
                <w:sz w:val="20"/>
                <w:szCs w:val="20"/>
                <w:color w:val="auto"/>
              </w:rPr>
            </w:pPr>
            <w:r>
              <w:rPr>
                <w:rFonts w:ascii="Arial" w:cs="Arial" w:eastAsia="Arial" w:hAnsi="Arial"/>
                <w:sz w:val="18"/>
                <w:szCs w:val="18"/>
                <w:color w:val="auto"/>
              </w:rPr>
              <w:t>Other noncurrent liabilities</w:t>
            </w:r>
          </w:p>
        </w:tc>
        <w:tc>
          <w:tcPr>
            <w:tcW w:w="2260" w:type="dxa"/>
            <w:vAlign w:val="bottom"/>
            <w:gridSpan w:val="2"/>
          </w:tcPr>
          <w:p>
            <w:pPr>
              <w:jc w:val="right"/>
              <w:ind w:right="30"/>
              <w:spacing w:after="0" w:line="202" w:lineRule="exact"/>
              <w:rPr>
                <w:sz w:val="20"/>
                <w:szCs w:val="20"/>
                <w:color w:val="auto"/>
              </w:rPr>
            </w:pPr>
            <w:r>
              <w:rPr>
                <w:rFonts w:ascii="Arial" w:cs="Arial" w:eastAsia="Arial" w:hAnsi="Arial"/>
                <w:sz w:val="18"/>
                <w:szCs w:val="18"/>
                <w:color w:val="auto"/>
              </w:rPr>
              <w:t>100,170</w:t>
            </w:r>
          </w:p>
        </w:tc>
        <w:tc>
          <w:tcPr>
            <w:tcW w:w="5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560" w:type="dxa"/>
            <w:vAlign w:val="bottom"/>
          </w:tcPr>
          <w:p>
            <w:pPr>
              <w:spacing w:after="0"/>
              <w:rPr>
                <w:sz w:val="17"/>
                <w:szCs w:val="17"/>
                <w:color w:val="auto"/>
              </w:rPr>
            </w:pPr>
          </w:p>
        </w:tc>
        <w:tc>
          <w:tcPr>
            <w:tcW w:w="14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100,170</w:t>
            </w:r>
          </w:p>
        </w:tc>
        <w:tc>
          <w:tcPr>
            <w:tcW w:w="0" w:type="dxa"/>
            <w:vAlign w:val="bottom"/>
          </w:tcPr>
          <w:p>
            <w:pPr>
              <w:spacing w:after="0"/>
              <w:rPr>
                <w:sz w:val="1"/>
                <w:szCs w:val="1"/>
                <w:color w:val="auto"/>
              </w:rPr>
            </w:pPr>
          </w:p>
        </w:tc>
      </w:tr>
      <w:tr>
        <w:trPr>
          <w:trHeight w:val="216"/>
        </w:trPr>
        <w:tc>
          <w:tcPr>
            <w:tcW w:w="5080" w:type="dxa"/>
            <w:vAlign w:val="bottom"/>
            <w:shd w:val="clear" w:color="auto" w:fill="BFBFBF"/>
          </w:tcPr>
          <w:p>
            <w:pPr>
              <w:ind w:left="100"/>
              <w:spacing w:after="0"/>
              <w:rPr>
                <w:sz w:val="20"/>
                <w:szCs w:val="20"/>
                <w:color w:val="auto"/>
              </w:rPr>
            </w:pPr>
            <w:r>
              <w:rPr>
                <w:rFonts w:ascii="Arial" w:cs="Arial" w:eastAsia="Arial" w:hAnsi="Arial"/>
                <w:sz w:val="18"/>
                <w:szCs w:val="18"/>
                <w:color w:val="auto"/>
              </w:rPr>
              <w:t>Deferred taxes and other liabilities</w:t>
            </w:r>
          </w:p>
        </w:tc>
        <w:tc>
          <w:tcPr>
            <w:tcW w:w="2260" w:type="dxa"/>
            <w:vAlign w:val="bottom"/>
            <w:gridSpan w:val="2"/>
            <w:shd w:val="clear" w:color="auto" w:fill="BFBFBF"/>
          </w:tcPr>
          <w:p>
            <w:pPr>
              <w:jc w:val="right"/>
              <w:ind w:right="30"/>
              <w:spacing w:after="0"/>
              <w:rPr>
                <w:sz w:val="20"/>
                <w:szCs w:val="20"/>
                <w:color w:val="auto"/>
              </w:rPr>
            </w:pPr>
            <w:r>
              <w:rPr>
                <w:rFonts w:ascii="Arial" w:cs="Arial" w:eastAsia="Arial" w:hAnsi="Arial"/>
                <w:sz w:val="18"/>
                <w:szCs w:val="18"/>
                <w:color w:val="auto"/>
              </w:rPr>
              <w:t>11,339</w:t>
            </w:r>
          </w:p>
        </w:tc>
        <w:tc>
          <w:tcPr>
            <w:tcW w:w="560" w:type="dxa"/>
            <w:vAlign w:val="bottom"/>
            <w:shd w:val="clear" w:color="auto" w:fill="BFBFBF"/>
          </w:tcPr>
          <w:p>
            <w:pPr>
              <w:spacing w:after="0"/>
              <w:rPr>
                <w:sz w:val="18"/>
                <w:szCs w:val="18"/>
                <w:color w:val="auto"/>
              </w:rPr>
            </w:pPr>
          </w:p>
        </w:tc>
        <w:tc>
          <w:tcPr>
            <w:tcW w:w="1120" w:type="dxa"/>
            <w:vAlign w:val="bottom"/>
            <w:shd w:val="clear" w:color="auto" w:fill="BFBFBF"/>
          </w:tcPr>
          <w:p>
            <w:pPr>
              <w:spacing w:after="0"/>
              <w:rPr>
                <w:sz w:val="18"/>
                <w:szCs w:val="18"/>
                <w:color w:val="auto"/>
              </w:rPr>
            </w:pPr>
          </w:p>
        </w:tc>
        <w:tc>
          <w:tcPr>
            <w:tcW w:w="360" w:type="dxa"/>
            <w:vAlign w:val="bottom"/>
            <w:shd w:val="clear" w:color="auto" w:fill="BFBFBF"/>
          </w:tcPr>
          <w:p>
            <w:pPr>
              <w:jc w:val="right"/>
              <w:spacing w:after="0"/>
              <w:rPr>
                <w:sz w:val="20"/>
                <w:szCs w:val="20"/>
                <w:color w:val="auto"/>
              </w:rPr>
            </w:pPr>
            <w:r>
              <w:rPr>
                <w:rFonts w:ascii="Arial" w:cs="Arial" w:eastAsia="Arial" w:hAnsi="Arial"/>
                <w:sz w:val="18"/>
                <w:szCs w:val="18"/>
                <w:color w:val="auto"/>
                <w:w w:val="93"/>
              </w:rPr>
              <w:t>(51)</w:t>
            </w:r>
          </w:p>
        </w:tc>
        <w:tc>
          <w:tcPr>
            <w:tcW w:w="560" w:type="dxa"/>
            <w:vAlign w:val="bottom"/>
            <w:shd w:val="clear" w:color="auto" w:fill="BFBFBF"/>
          </w:tcPr>
          <w:p>
            <w:pPr>
              <w:spacing w:after="0"/>
              <w:rPr>
                <w:sz w:val="18"/>
                <w:szCs w:val="18"/>
                <w:color w:val="auto"/>
              </w:rPr>
            </w:pPr>
          </w:p>
        </w:tc>
        <w:tc>
          <w:tcPr>
            <w:tcW w:w="1480" w:type="dxa"/>
            <w:vAlign w:val="bottom"/>
            <w:shd w:val="clear" w:color="auto" w:fill="BFBFBF"/>
          </w:tcPr>
          <w:p>
            <w:pPr>
              <w:jc w:val="right"/>
              <w:ind w:right="10"/>
              <w:spacing w:after="0"/>
              <w:rPr>
                <w:sz w:val="20"/>
                <w:szCs w:val="20"/>
                <w:color w:val="auto"/>
              </w:rPr>
            </w:pPr>
            <w:r>
              <w:rPr>
                <w:rFonts w:ascii="Arial" w:cs="Arial" w:eastAsia="Arial" w:hAnsi="Arial"/>
                <w:sz w:val="18"/>
                <w:szCs w:val="18"/>
                <w:color w:val="auto"/>
              </w:rPr>
              <w:t>11,288</w:t>
            </w:r>
          </w:p>
        </w:tc>
        <w:tc>
          <w:tcPr>
            <w:tcW w:w="0" w:type="dxa"/>
            <w:vAlign w:val="bottom"/>
          </w:tcPr>
          <w:p>
            <w:pPr>
              <w:spacing w:after="0"/>
              <w:rPr>
                <w:sz w:val="1"/>
                <w:szCs w:val="1"/>
                <w:color w:val="auto"/>
              </w:rPr>
            </w:pPr>
          </w:p>
        </w:tc>
      </w:tr>
      <w:tr>
        <w:trPr>
          <w:trHeight w:val="196"/>
        </w:trPr>
        <w:tc>
          <w:tcPr>
            <w:tcW w:w="5080" w:type="dxa"/>
            <w:vAlign w:val="bottom"/>
          </w:tcPr>
          <w:p>
            <w:pPr>
              <w:ind w:left="300"/>
              <w:spacing w:after="0" w:line="196" w:lineRule="exact"/>
              <w:rPr>
                <w:sz w:val="20"/>
                <w:szCs w:val="20"/>
                <w:color w:val="auto"/>
              </w:rPr>
            </w:pPr>
            <w:r>
              <w:rPr>
                <w:rFonts w:ascii="Arial" w:cs="Arial" w:eastAsia="Arial" w:hAnsi="Arial"/>
                <w:sz w:val="18"/>
                <w:szCs w:val="18"/>
                <w:color w:val="auto"/>
              </w:rPr>
              <w:t>Total liabilities</w:t>
            </w:r>
          </w:p>
        </w:tc>
        <w:tc>
          <w:tcPr>
            <w:tcW w:w="760" w:type="dxa"/>
            <w:vAlign w:val="bottom"/>
          </w:tcPr>
          <w:p>
            <w:pPr>
              <w:spacing w:after="0"/>
              <w:rPr>
                <w:sz w:val="17"/>
                <w:szCs w:val="17"/>
                <w:color w:val="auto"/>
              </w:rPr>
            </w:pPr>
          </w:p>
        </w:tc>
        <w:tc>
          <w:tcPr>
            <w:tcW w:w="1500" w:type="dxa"/>
            <w:vAlign w:val="bottom"/>
            <w:tcBorders>
              <w:top w:val="single" w:sz="8" w:color="auto"/>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805,191</w:t>
            </w:r>
          </w:p>
        </w:tc>
        <w:tc>
          <w:tcPr>
            <w:tcW w:w="560" w:type="dxa"/>
            <w:vAlign w:val="bottom"/>
          </w:tcPr>
          <w:p>
            <w:pPr>
              <w:spacing w:after="0"/>
              <w:rPr>
                <w:sz w:val="17"/>
                <w:szCs w:val="17"/>
                <w:color w:val="auto"/>
              </w:rPr>
            </w:pPr>
          </w:p>
        </w:tc>
        <w:tc>
          <w:tcPr>
            <w:tcW w:w="1480" w:type="dxa"/>
            <w:vAlign w:val="bottom"/>
            <w:tcBorders>
              <w:top w:val="single" w:sz="8" w:color="auto"/>
              <w:bottom w:val="single" w:sz="8" w:color="auto"/>
            </w:tcBorders>
            <w:gridSpan w:val="2"/>
          </w:tcPr>
          <w:p>
            <w:pPr>
              <w:jc w:val="right"/>
              <w:spacing w:after="0" w:line="196" w:lineRule="exact"/>
              <w:rPr>
                <w:sz w:val="20"/>
                <w:szCs w:val="20"/>
                <w:color w:val="auto"/>
              </w:rPr>
            </w:pPr>
            <w:r>
              <w:rPr>
                <w:rFonts w:ascii="Arial" w:cs="Arial" w:eastAsia="Arial" w:hAnsi="Arial"/>
                <w:sz w:val="18"/>
                <w:szCs w:val="18"/>
                <w:color w:val="auto"/>
              </w:rPr>
              <w:t>(17,675)</w:t>
            </w:r>
          </w:p>
        </w:tc>
        <w:tc>
          <w:tcPr>
            <w:tcW w:w="560" w:type="dxa"/>
            <w:vAlign w:val="bottom"/>
          </w:tcPr>
          <w:p>
            <w:pPr>
              <w:spacing w:after="0"/>
              <w:rPr>
                <w:sz w:val="17"/>
                <w:szCs w:val="17"/>
                <w:color w:val="auto"/>
              </w:rPr>
            </w:pPr>
          </w:p>
        </w:tc>
        <w:tc>
          <w:tcPr>
            <w:tcW w:w="1480" w:type="dxa"/>
            <w:vAlign w:val="bottom"/>
            <w:tcBorders>
              <w:top w:val="single" w:sz="8" w:color="auto"/>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787,516</w:t>
            </w:r>
          </w:p>
        </w:tc>
        <w:tc>
          <w:tcPr>
            <w:tcW w:w="0" w:type="dxa"/>
            <w:vAlign w:val="bottom"/>
          </w:tcPr>
          <w:p>
            <w:pPr>
              <w:spacing w:after="0"/>
              <w:rPr>
                <w:sz w:val="1"/>
                <w:szCs w:val="1"/>
                <w:color w:val="auto"/>
              </w:rPr>
            </w:pPr>
          </w:p>
        </w:tc>
      </w:tr>
      <w:tr>
        <w:trPr>
          <w:trHeight w:val="399"/>
        </w:trPr>
        <w:tc>
          <w:tcPr>
            <w:tcW w:w="5080" w:type="dxa"/>
            <w:vAlign w:val="bottom"/>
          </w:tcPr>
          <w:p>
            <w:pPr>
              <w:spacing w:after="0"/>
              <w:rPr>
                <w:sz w:val="20"/>
                <w:szCs w:val="20"/>
                <w:color w:val="auto"/>
              </w:rPr>
            </w:pPr>
            <w:r>
              <w:rPr>
                <w:rFonts w:ascii="Arial" w:cs="Arial" w:eastAsia="Arial" w:hAnsi="Arial"/>
                <w:sz w:val="18"/>
                <w:szCs w:val="18"/>
                <w:color w:val="auto"/>
              </w:rPr>
              <w:t>SHAREHOLDERS' EQUITY</w:t>
            </w:r>
          </w:p>
        </w:tc>
        <w:tc>
          <w:tcPr>
            <w:tcW w:w="7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5080" w:type="dxa"/>
            <w:vAlign w:val="bottom"/>
            <w:shd w:val="clear" w:color="auto" w:fill="BFBFBF"/>
          </w:tcPr>
          <w:p>
            <w:pPr>
              <w:ind w:left="100"/>
              <w:spacing w:after="0" w:line="201" w:lineRule="exact"/>
              <w:rPr>
                <w:sz w:val="20"/>
                <w:szCs w:val="20"/>
                <w:color w:val="auto"/>
              </w:rPr>
            </w:pPr>
            <w:r>
              <w:rPr>
                <w:rFonts w:ascii="Arial" w:cs="Arial" w:eastAsia="Arial" w:hAnsi="Arial"/>
                <w:sz w:val="18"/>
                <w:szCs w:val="18"/>
                <w:color w:val="auto"/>
              </w:rPr>
              <w:t>Preferred stock, par value $5.00 per share;</w:t>
            </w:r>
          </w:p>
        </w:tc>
        <w:tc>
          <w:tcPr>
            <w:tcW w:w="760" w:type="dxa"/>
            <w:vAlign w:val="bottom"/>
            <w:shd w:val="clear" w:color="auto" w:fill="BFBFBF"/>
          </w:tcPr>
          <w:p>
            <w:pPr>
              <w:spacing w:after="0"/>
              <w:rPr>
                <w:sz w:val="17"/>
                <w:szCs w:val="17"/>
                <w:color w:val="auto"/>
              </w:rPr>
            </w:pPr>
          </w:p>
        </w:tc>
        <w:tc>
          <w:tcPr>
            <w:tcW w:w="1500" w:type="dxa"/>
            <w:vAlign w:val="bottom"/>
            <w:shd w:val="clear" w:color="auto" w:fill="BFBFBF"/>
          </w:tcPr>
          <w:p>
            <w:pPr>
              <w:spacing w:after="0"/>
              <w:rPr>
                <w:sz w:val="17"/>
                <w:szCs w:val="17"/>
                <w:color w:val="auto"/>
              </w:rPr>
            </w:pPr>
          </w:p>
        </w:tc>
        <w:tc>
          <w:tcPr>
            <w:tcW w:w="560" w:type="dxa"/>
            <w:vAlign w:val="bottom"/>
            <w:shd w:val="clear" w:color="auto" w:fill="BFBFBF"/>
          </w:tcPr>
          <w:p>
            <w:pPr>
              <w:spacing w:after="0"/>
              <w:rPr>
                <w:sz w:val="17"/>
                <w:szCs w:val="17"/>
                <w:color w:val="auto"/>
              </w:rPr>
            </w:pPr>
          </w:p>
        </w:tc>
        <w:tc>
          <w:tcPr>
            <w:tcW w:w="1120" w:type="dxa"/>
            <w:vAlign w:val="bottom"/>
            <w:shd w:val="clear" w:color="auto" w:fill="BFBFBF"/>
          </w:tcPr>
          <w:p>
            <w:pPr>
              <w:spacing w:after="0"/>
              <w:rPr>
                <w:sz w:val="17"/>
                <w:szCs w:val="17"/>
                <w:color w:val="auto"/>
              </w:rPr>
            </w:pPr>
          </w:p>
        </w:tc>
        <w:tc>
          <w:tcPr>
            <w:tcW w:w="360" w:type="dxa"/>
            <w:vAlign w:val="bottom"/>
            <w:shd w:val="clear" w:color="auto" w:fill="BFBFBF"/>
          </w:tcPr>
          <w:p>
            <w:pPr>
              <w:spacing w:after="0"/>
              <w:rPr>
                <w:sz w:val="17"/>
                <w:szCs w:val="17"/>
                <w:color w:val="auto"/>
              </w:rPr>
            </w:pPr>
          </w:p>
        </w:tc>
        <w:tc>
          <w:tcPr>
            <w:tcW w:w="560" w:type="dxa"/>
            <w:vAlign w:val="bottom"/>
            <w:shd w:val="clear" w:color="auto" w:fill="BFBFBF"/>
          </w:tcPr>
          <w:p>
            <w:pPr>
              <w:spacing w:after="0"/>
              <w:rPr>
                <w:sz w:val="17"/>
                <w:szCs w:val="17"/>
                <w:color w:val="auto"/>
              </w:rPr>
            </w:pPr>
          </w:p>
        </w:tc>
        <w:tc>
          <w:tcPr>
            <w:tcW w:w="1480" w:type="dxa"/>
            <w:vAlign w:val="bottom"/>
            <w:shd w:val="clear" w:color="auto" w:fill="BFBFB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80" w:type="dxa"/>
            <w:vAlign w:val="bottom"/>
            <w:shd w:val="clear" w:color="auto" w:fill="BFBFBF"/>
          </w:tcPr>
          <w:p>
            <w:pPr>
              <w:ind w:left="200"/>
              <w:spacing w:after="0" w:line="203" w:lineRule="exact"/>
              <w:rPr>
                <w:sz w:val="20"/>
                <w:szCs w:val="20"/>
                <w:color w:val="auto"/>
              </w:rPr>
            </w:pPr>
            <w:r>
              <w:rPr>
                <w:rFonts w:ascii="Arial" w:cs="Arial" w:eastAsia="Arial" w:hAnsi="Arial"/>
                <w:sz w:val="18"/>
                <w:szCs w:val="18"/>
                <w:color w:val="auto"/>
              </w:rPr>
              <w:t>authorized 2,000,000 shares; none issued</w:t>
            </w:r>
          </w:p>
        </w:tc>
        <w:tc>
          <w:tcPr>
            <w:tcW w:w="2260" w:type="dxa"/>
            <w:vAlign w:val="bottom"/>
            <w:gridSpan w:val="2"/>
            <w:shd w:val="clear" w:color="auto" w:fill="BFBFBF"/>
          </w:tcPr>
          <w:p>
            <w:pPr>
              <w:jc w:val="right"/>
              <w:ind w:right="30"/>
              <w:spacing w:after="0" w:line="203" w:lineRule="exact"/>
              <w:rPr>
                <w:sz w:val="20"/>
                <w:szCs w:val="20"/>
                <w:color w:val="auto"/>
              </w:rPr>
            </w:pPr>
            <w:r>
              <w:rPr>
                <w:rFonts w:ascii="Arial" w:cs="Arial" w:eastAsia="Arial" w:hAnsi="Arial"/>
                <w:sz w:val="18"/>
                <w:szCs w:val="18"/>
                <w:color w:val="auto"/>
              </w:rPr>
              <w:t>-</w:t>
            </w:r>
          </w:p>
        </w:tc>
        <w:tc>
          <w:tcPr>
            <w:tcW w:w="560" w:type="dxa"/>
            <w:vAlign w:val="bottom"/>
            <w:shd w:val="clear" w:color="auto" w:fill="BFBFBF"/>
          </w:tcPr>
          <w:p>
            <w:pPr>
              <w:spacing w:after="0"/>
              <w:rPr>
                <w:sz w:val="17"/>
                <w:szCs w:val="17"/>
                <w:color w:val="auto"/>
              </w:rPr>
            </w:pPr>
          </w:p>
        </w:tc>
        <w:tc>
          <w:tcPr>
            <w:tcW w:w="1120" w:type="dxa"/>
            <w:vAlign w:val="bottom"/>
            <w:shd w:val="clear" w:color="auto" w:fill="BFBFBF"/>
          </w:tcPr>
          <w:p>
            <w:pPr>
              <w:spacing w:after="0"/>
              <w:rPr>
                <w:sz w:val="17"/>
                <w:szCs w:val="17"/>
                <w:color w:val="auto"/>
              </w:rPr>
            </w:pPr>
          </w:p>
        </w:tc>
        <w:tc>
          <w:tcPr>
            <w:tcW w:w="360" w:type="dxa"/>
            <w:vAlign w:val="bottom"/>
            <w:shd w:val="clear" w:color="auto" w:fill="BFBFBF"/>
          </w:tcPr>
          <w:p>
            <w:pPr>
              <w:jc w:val="right"/>
              <w:ind w:right="10"/>
              <w:spacing w:after="0" w:line="203" w:lineRule="exact"/>
              <w:rPr>
                <w:sz w:val="20"/>
                <w:szCs w:val="20"/>
                <w:color w:val="auto"/>
              </w:rPr>
            </w:pPr>
            <w:r>
              <w:rPr>
                <w:rFonts w:ascii="Arial" w:cs="Arial" w:eastAsia="Arial" w:hAnsi="Arial"/>
                <w:sz w:val="18"/>
                <w:szCs w:val="18"/>
                <w:color w:val="auto"/>
              </w:rPr>
              <w:t>-</w:t>
            </w:r>
          </w:p>
        </w:tc>
        <w:tc>
          <w:tcPr>
            <w:tcW w:w="560" w:type="dxa"/>
            <w:vAlign w:val="bottom"/>
            <w:shd w:val="clear" w:color="auto" w:fill="BFBFBF"/>
          </w:tcPr>
          <w:p>
            <w:pPr>
              <w:spacing w:after="0"/>
              <w:rPr>
                <w:sz w:val="17"/>
                <w:szCs w:val="17"/>
                <w:color w:val="auto"/>
              </w:rPr>
            </w:pPr>
          </w:p>
        </w:tc>
        <w:tc>
          <w:tcPr>
            <w:tcW w:w="1480" w:type="dxa"/>
            <w:vAlign w:val="bottom"/>
            <w:shd w:val="clear" w:color="auto" w:fill="BFBFBF"/>
          </w:tcPr>
          <w:p>
            <w:pPr>
              <w:jc w:val="right"/>
              <w:ind w:right="10"/>
              <w:spacing w:after="0" w:line="203"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5080" w:type="dxa"/>
            <w:vAlign w:val="bottom"/>
          </w:tcPr>
          <w:p>
            <w:pPr>
              <w:ind w:left="100"/>
              <w:spacing w:after="0" w:line="201" w:lineRule="exact"/>
              <w:rPr>
                <w:sz w:val="20"/>
                <w:szCs w:val="20"/>
                <w:color w:val="auto"/>
              </w:rPr>
            </w:pPr>
            <w:r>
              <w:rPr>
                <w:rFonts w:ascii="Arial" w:cs="Arial" w:eastAsia="Arial" w:hAnsi="Arial"/>
                <w:sz w:val="18"/>
                <w:szCs w:val="18"/>
                <w:color w:val="auto"/>
              </w:rPr>
              <w:t>Class A Common Stock, par value $.001 per share;</w:t>
            </w:r>
          </w:p>
        </w:tc>
        <w:tc>
          <w:tcPr>
            <w:tcW w:w="7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80" w:type="dxa"/>
            <w:vAlign w:val="bottom"/>
          </w:tcPr>
          <w:p>
            <w:pPr>
              <w:ind w:left="200"/>
              <w:spacing w:after="0" w:line="202" w:lineRule="exact"/>
              <w:rPr>
                <w:sz w:val="20"/>
                <w:szCs w:val="20"/>
                <w:color w:val="auto"/>
              </w:rPr>
            </w:pPr>
            <w:r>
              <w:rPr>
                <w:rFonts w:ascii="Arial" w:cs="Arial" w:eastAsia="Arial" w:hAnsi="Arial"/>
                <w:sz w:val="18"/>
                <w:szCs w:val="18"/>
                <w:color w:val="auto"/>
              </w:rPr>
              <w:t>authorized 100,000,000 shares; issued 37,447,669 in 2018</w:t>
            </w:r>
          </w:p>
        </w:tc>
        <w:tc>
          <w:tcPr>
            <w:tcW w:w="7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80" w:type="dxa"/>
            <w:vAlign w:val="bottom"/>
          </w:tcPr>
          <w:p>
            <w:pPr>
              <w:ind w:left="200"/>
              <w:spacing w:after="0" w:line="203" w:lineRule="exact"/>
              <w:rPr>
                <w:sz w:val="20"/>
                <w:szCs w:val="20"/>
                <w:color w:val="auto"/>
              </w:rPr>
            </w:pPr>
            <w:r>
              <w:rPr>
                <w:rFonts w:ascii="Arial" w:cs="Arial" w:eastAsia="Arial" w:hAnsi="Arial"/>
                <w:sz w:val="18"/>
                <w:szCs w:val="18"/>
                <w:color w:val="auto"/>
              </w:rPr>
              <w:t>and 37,395,753 in 2017</w:t>
            </w:r>
          </w:p>
        </w:tc>
        <w:tc>
          <w:tcPr>
            <w:tcW w:w="2260" w:type="dxa"/>
            <w:vAlign w:val="bottom"/>
            <w:gridSpan w:val="2"/>
          </w:tcPr>
          <w:p>
            <w:pPr>
              <w:jc w:val="right"/>
              <w:ind w:right="30"/>
              <w:spacing w:after="0" w:line="203" w:lineRule="exact"/>
              <w:rPr>
                <w:sz w:val="20"/>
                <w:szCs w:val="20"/>
                <w:color w:val="auto"/>
              </w:rPr>
            </w:pPr>
            <w:r>
              <w:rPr>
                <w:rFonts w:ascii="Arial" w:cs="Arial" w:eastAsia="Arial" w:hAnsi="Arial"/>
                <w:sz w:val="18"/>
                <w:szCs w:val="18"/>
                <w:color w:val="auto"/>
              </w:rPr>
              <w:t>37</w:t>
            </w:r>
          </w:p>
        </w:tc>
        <w:tc>
          <w:tcPr>
            <w:tcW w:w="5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60" w:type="dxa"/>
            <w:vAlign w:val="bottom"/>
          </w:tcPr>
          <w:p>
            <w:pPr>
              <w:jc w:val="right"/>
              <w:ind w:right="10"/>
              <w:spacing w:after="0" w:line="203" w:lineRule="exact"/>
              <w:rPr>
                <w:sz w:val="20"/>
                <w:szCs w:val="20"/>
                <w:color w:val="auto"/>
              </w:rPr>
            </w:pPr>
            <w:r>
              <w:rPr>
                <w:rFonts w:ascii="Arial" w:cs="Arial" w:eastAsia="Arial" w:hAnsi="Arial"/>
                <w:sz w:val="18"/>
                <w:szCs w:val="18"/>
                <w:color w:val="auto"/>
              </w:rPr>
              <w:t>-</w:t>
            </w:r>
          </w:p>
        </w:tc>
        <w:tc>
          <w:tcPr>
            <w:tcW w:w="560" w:type="dxa"/>
            <w:vAlign w:val="bottom"/>
          </w:tcPr>
          <w:p>
            <w:pPr>
              <w:spacing w:after="0"/>
              <w:rPr>
                <w:sz w:val="17"/>
                <w:szCs w:val="17"/>
                <w:color w:val="auto"/>
              </w:rPr>
            </w:pPr>
          </w:p>
        </w:tc>
        <w:tc>
          <w:tcPr>
            <w:tcW w:w="1480" w:type="dxa"/>
            <w:vAlign w:val="bottom"/>
          </w:tcPr>
          <w:p>
            <w:pPr>
              <w:jc w:val="right"/>
              <w:ind w:right="10"/>
              <w:spacing w:after="0" w:line="203" w:lineRule="exact"/>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02"/>
        </w:trPr>
        <w:tc>
          <w:tcPr>
            <w:tcW w:w="5080" w:type="dxa"/>
            <w:vAlign w:val="bottom"/>
            <w:shd w:val="clear" w:color="auto" w:fill="BFBFBF"/>
          </w:tcPr>
          <w:p>
            <w:pPr>
              <w:ind w:left="100"/>
              <w:spacing w:after="0" w:line="201" w:lineRule="exact"/>
              <w:rPr>
                <w:sz w:val="20"/>
                <w:szCs w:val="20"/>
                <w:color w:val="auto"/>
              </w:rPr>
            </w:pPr>
            <w:r>
              <w:rPr>
                <w:rFonts w:ascii="Arial" w:cs="Arial" w:eastAsia="Arial" w:hAnsi="Arial"/>
                <w:sz w:val="18"/>
                <w:szCs w:val="18"/>
                <w:color w:val="auto"/>
              </w:rPr>
              <w:t>Class B Common Stock, par value $.001 per share;</w:t>
            </w:r>
          </w:p>
        </w:tc>
        <w:tc>
          <w:tcPr>
            <w:tcW w:w="760" w:type="dxa"/>
            <w:vAlign w:val="bottom"/>
            <w:shd w:val="clear" w:color="auto" w:fill="BFBFBF"/>
          </w:tcPr>
          <w:p>
            <w:pPr>
              <w:spacing w:after="0"/>
              <w:rPr>
                <w:sz w:val="17"/>
                <w:szCs w:val="17"/>
                <w:color w:val="auto"/>
              </w:rPr>
            </w:pPr>
          </w:p>
        </w:tc>
        <w:tc>
          <w:tcPr>
            <w:tcW w:w="1500" w:type="dxa"/>
            <w:vAlign w:val="bottom"/>
            <w:shd w:val="clear" w:color="auto" w:fill="BFBFBF"/>
          </w:tcPr>
          <w:p>
            <w:pPr>
              <w:spacing w:after="0"/>
              <w:rPr>
                <w:sz w:val="17"/>
                <w:szCs w:val="17"/>
                <w:color w:val="auto"/>
              </w:rPr>
            </w:pPr>
          </w:p>
        </w:tc>
        <w:tc>
          <w:tcPr>
            <w:tcW w:w="560" w:type="dxa"/>
            <w:vAlign w:val="bottom"/>
            <w:shd w:val="clear" w:color="auto" w:fill="BFBFBF"/>
          </w:tcPr>
          <w:p>
            <w:pPr>
              <w:spacing w:after="0"/>
              <w:rPr>
                <w:sz w:val="17"/>
                <w:szCs w:val="17"/>
                <w:color w:val="auto"/>
              </w:rPr>
            </w:pPr>
          </w:p>
        </w:tc>
        <w:tc>
          <w:tcPr>
            <w:tcW w:w="1120" w:type="dxa"/>
            <w:vAlign w:val="bottom"/>
            <w:shd w:val="clear" w:color="auto" w:fill="BFBFBF"/>
          </w:tcPr>
          <w:p>
            <w:pPr>
              <w:spacing w:after="0"/>
              <w:rPr>
                <w:sz w:val="17"/>
                <w:szCs w:val="17"/>
                <w:color w:val="auto"/>
              </w:rPr>
            </w:pPr>
          </w:p>
        </w:tc>
        <w:tc>
          <w:tcPr>
            <w:tcW w:w="360" w:type="dxa"/>
            <w:vAlign w:val="bottom"/>
            <w:shd w:val="clear" w:color="auto" w:fill="BFBFBF"/>
          </w:tcPr>
          <w:p>
            <w:pPr>
              <w:spacing w:after="0"/>
              <w:rPr>
                <w:sz w:val="17"/>
                <w:szCs w:val="17"/>
                <w:color w:val="auto"/>
              </w:rPr>
            </w:pPr>
          </w:p>
        </w:tc>
        <w:tc>
          <w:tcPr>
            <w:tcW w:w="560" w:type="dxa"/>
            <w:vAlign w:val="bottom"/>
            <w:shd w:val="clear" w:color="auto" w:fill="BFBFBF"/>
          </w:tcPr>
          <w:p>
            <w:pPr>
              <w:spacing w:after="0"/>
              <w:rPr>
                <w:sz w:val="17"/>
                <w:szCs w:val="17"/>
                <w:color w:val="auto"/>
              </w:rPr>
            </w:pPr>
          </w:p>
        </w:tc>
        <w:tc>
          <w:tcPr>
            <w:tcW w:w="1480" w:type="dxa"/>
            <w:vAlign w:val="bottom"/>
            <w:shd w:val="clear" w:color="auto" w:fill="BFBFB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80" w:type="dxa"/>
            <w:vAlign w:val="bottom"/>
            <w:shd w:val="clear" w:color="auto" w:fill="BFBFBF"/>
          </w:tcPr>
          <w:p>
            <w:pPr>
              <w:ind w:left="200"/>
              <w:spacing w:after="0" w:line="202" w:lineRule="exact"/>
              <w:rPr>
                <w:sz w:val="20"/>
                <w:szCs w:val="20"/>
                <w:color w:val="auto"/>
              </w:rPr>
            </w:pPr>
            <w:r>
              <w:rPr>
                <w:rFonts w:ascii="Arial" w:cs="Arial" w:eastAsia="Arial" w:hAnsi="Arial"/>
                <w:sz w:val="18"/>
                <w:szCs w:val="18"/>
                <w:color w:val="auto"/>
              </w:rPr>
              <w:t>authorized 25,000,000 shares; issued and</w:t>
            </w:r>
          </w:p>
        </w:tc>
        <w:tc>
          <w:tcPr>
            <w:tcW w:w="760" w:type="dxa"/>
            <w:vAlign w:val="bottom"/>
            <w:shd w:val="clear" w:color="auto" w:fill="BFBFBF"/>
          </w:tcPr>
          <w:p>
            <w:pPr>
              <w:spacing w:after="0"/>
              <w:rPr>
                <w:sz w:val="17"/>
                <w:szCs w:val="17"/>
                <w:color w:val="auto"/>
              </w:rPr>
            </w:pPr>
          </w:p>
        </w:tc>
        <w:tc>
          <w:tcPr>
            <w:tcW w:w="1500" w:type="dxa"/>
            <w:vAlign w:val="bottom"/>
            <w:shd w:val="clear" w:color="auto" w:fill="BFBFBF"/>
          </w:tcPr>
          <w:p>
            <w:pPr>
              <w:spacing w:after="0"/>
              <w:rPr>
                <w:sz w:val="17"/>
                <w:szCs w:val="17"/>
                <w:color w:val="auto"/>
              </w:rPr>
            </w:pPr>
          </w:p>
        </w:tc>
        <w:tc>
          <w:tcPr>
            <w:tcW w:w="560" w:type="dxa"/>
            <w:vAlign w:val="bottom"/>
            <w:shd w:val="clear" w:color="auto" w:fill="BFBFBF"/>
          </w:tcPr>
          <w:p>
            <w:pPr>
              <w:spacing w:after="0"/>
              <w:rPr>
                <w:sz w:val="17"/>
                <w:szCs w:val="17"/>
                <w:color w:val="auto"/>
              </w:rPr>
            </w:pPr>
          </w:p>
        </w:tc>
        <w:tc>
          <w:tcPr>
            <w:tcW w:w="1120" w:type="dxa"/>
            <w:vAlign w:val="bottom"/>
            <w:shd w:val="clear" w:color="auto" w:fill="BFBFBF"/>
          </w:tcPr>
          <w:p>
            <w:pPr>
              <w:spacing w:after="0"/>
              <w:rPr>
                <w:sz w:val="17"/>
                <w:szCs w:val="17"/>
                <w:color w:val="auto"/>
              </w:rPr>
            </w:pPr>
          </w:p>
        </w:tc>
        <w:tc>
          <w:tcPr>
            <w:tcW w:w="360" w:type="dxa"/>
            <w:vAlign w:val="bottom"/>
            <w:shd w:val="clear" w:color="auto" w:fill="BFBFBF"/>
          </w:tcPr>
          <w:p>
            <w:pPr>
              <w:spacing w:after="0"/>
              <w:rPr>
                <w:sz w:val="17"/>
                <w:szCs w:val="17"/>
                <w:color w:val="auto"/>
              </w:rPr>
            </w:pPr>
          </w:p>
        </w:tc>
        <w:tc>
          <w:tcPr>
            <w:tcW w:w="560" w:type="dxa"/>
            <w:vAlign w:val="bottom"/>
            <w:shd w:val="clear" w:color="auto" w:fill="BFBFBF"/>
          </w:tcPr>
          <w:p>
            <w:pPr>
              <w:spacing w:after="0"/>
              <w:rPr>
                <w:sz w:val="17"/>
                <w:szCs w:val="17"/>
                <w:color w:val="auto"/>
              </w:rPr>
            </w:pPr>
          </w:p>
        </w:tc>
        <w:tc>
          <w:tcPr>
            <w:tcW w:w="1480" w:type="dxa"/>
            <w:vAlign w:val="bottom"/>
            <w:shd w:val="clear" w:color="auto" w:fill="BFBFB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80" w:type="dxa"/>
            <w:vAlign w:val="bottom"/>
            <w:shd w:val="clear" w:color="auto" w:fill="BFBFBF"/>
          </w:tcPr>
          <w:p>
            <w:pPr>
              <w:ind w:left="200"/>
              <w:spacing w:after="0" w:line="203" w:lineRule="exact"/>
              <w:rPr>
                <w:sz w:val="20"/>
                <w:szCs w:val="20"/>
                <w:color w:val="auto"/>
              </w:rPr>
            </w:pPr>
            <w:r>
              <w:rPr>
                <w:rFonts w:ascii="Arial" w:cs="Arial" w:eastAsia="Arial" w:hAnsi="Arial"/>
                <w:sz w:val="18"/>
                <w:szCs w:val="18"/>
                <w:color w:val="auto"/>
              </w:rPr>
              <w:t>outstanding 3,233,998 in 2018 and 2017</w:t>
            </w:r>
          </w:p>
        </w:tc>
        <w:tc>
          <w:tcPr>
            <w:tcW w:w="760" w:type="dxa"/>
            <w:vAlign w:val="bottom"/>
            <w:shd w:val="clear" w:color="auto" w:fill="BFBFBF"/>
          </w:tcPr>
          <w:p>
            <w:pPr>
              <w:spacing w:after="0"/>
              <w:rPr>
                <w:sz w:val="17"/>
                <w:szCs w:val="17"/>
                <w:color w:val="auto"/>
              </w:rPr>
            </w:pPr>
          </w:p>
        </w:tc>
        <w:tc>
          <w:tcPr>
            <w:tcW w:w="1500" w:type="dxa"/>
            <w:vAlign w:val="bottom"/>
            <w:shd w:val="clear" w:color="auto" w:fill="BFBFBF"/>
          </w:tcPr>
          <w:p>
            <w:pPr>
              <w:jc w:val="right"/>
              <w:ind w:right="30"/>
              <w:spacing w:after="0" w:line="203" w:lineRule="exact"/>
              <w:rPr>
                <w:sz w:val="20"/>
                <w:szCs w:val="20"/>
                <w:color w:val="auto"/>
              </w:rPr>
            </w:pPr>
            <w:r>
              <w:rPr>
                <w:rFonts w:ascii="Arial" w:cs="Arial" w:eastAsia="Arial" w:hAnsi="Arial"/>
                <w:sz w:val="18"/>
                <w:szCs w:val="18"/>
                <w:color w:val="auto"/>
              </w:rPr>
              <w:t>3</w:t>
            </w:r>
          </w:p>
        </w:tc>
        <w:tc>
          <w:tcPr>
            <w:tcW w:w="560" w:type="dxa"/>
            <w:vAlign w:val="bottom"/>
            <w:shd w:val="clear" w:color="auto" w:fill="BFBFBF"/>
          </w:tcPr>
          <w:p>
            <w:pPr>
              <w:spacing w:after="0"/>
              <w:rPr>
                <w:sz w:val="17"/>
                <w:szCs w:val="17"/>
                <w:color w:val="auto"/>
              </w:rPr>
            </w:pPr>
          </w:p>
        </w:tc>
        <w:tc>
          <w:tcPr>
            <w:tcW w:w="1120" w:type="dxa"/>
            <w:vAlign w:val="bottom"/>
            <w:shd w:val="clear" w:color="auto" w:fill="BFBFBF"/>
          </w:tcPr>
          <w:p>
            <w:pPr>
              <w:spacing w:after="0"/>
              <w:rPr>
                <w:sz w:val="17"/>
                <w:szCs w:val="17"/>
                <w:color w:val="auto"/>
              </w:rPr>
            </w:pPr>
          </w:p>
        </w:tc>
        <w:tc>
          <w:tcPr>
            <w:tcW w:w="360" w:type="dxa"/>
            <w:vAlign w:val="bottom"/>
            <w:shd w:val="clear" w:color="auto" w:fill="BFBFBF"/>
          </w:tcPr>
          <w:p>
            <w:pPr>
              <w:jc w:val="right"/>
              <w:ind w:right="10"/>
              <w:spacing w:after="0" w:line="203" w:lineRule="exact"/>
              <w:rPr>
                <w:sz w:val="20"/>
                <w:szCs w:val="20"/>
                <w:color w:val="auto"/>
              </w:rPr>
            </w:pPr>
            <w:r>
              <w:rPr>
                <w:rFonts w:ascii="Arial" w:cs="Arial" w:eastAsia="Arial" w:hAnsi="Arial"/>
                <w:sz w:val="18"/>
                <w:szCs w:val="18"/>
                <w:color w:val="auto"/>
              </w:rPr>
              <w:t>-</w:t>
            </w:r>
          </w:p>
        </w:tc>
        <w:tc>
          <w:tcPr>
            <w:tcW w:w="560" w:type="dxa"/>
            <w:vAlign w:val="bottom"/>
            <w:shd w:val="clear" w:color="auto" w:fill="BFBFBF"/>
          </w:tcPr>
          <w:p>
            <w:pPr>
              <w:spacing w:after="0"/>
              <w:rPr>
                <w:sz w:val="17"/>
                <w:szCs w:val="17"/>
                <w:color w:val="auto"/>
              </w:rPr>
            </w:pPr>
          </w:p>
        </w:tc>
        <w:tc>
          <w:tcPr>
            <w:tcW w:w="1480" w:type="dxa"/>
            <w:vAlign w:val="bottom"/>
            <w:shd w:val="clear" w:color="auto" w:fill="BFBFBF"/>
          </w:tcPr>
          <w:p>
            <w:pPr>
              <w:jc w:val="right"/>
              <w:ind w:right="10"/>
              <w:spacing w:after="0" w:line="203"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3"/>
        </w:trPr>
        <w:tc>
          <w:tcPr>
            <w:tcW w:w="5080" w:type="dxa"/>
            <w:vAlign w:val="bottom"/>
          </w:tcPr>
          <w:p>
            <w:pPr>
              <w:ind w:left="100"/>
              <w:spacing w:after="0" w:line="202" w:lineRule="exact"/>
              <w:rPr>
                <w:sz w:val="20"/>
                <w:szCs w:val="20"/>
                <w:color w:val="auto"/>
              </w:rPr>
            </w:pPr>
            <w:r>
              <w:rPr>
                <w:rFonts w:ascii="Arial" w:cs="Arial" w:eastAsia="Arial" w:hAnsi="Arial"/>
                <w:sz w:val="18"/>
                <w:szCs w:val="18"/>
                <w:color w:val="auto"/>
              </w:rPr>
              <w:t>Additional paid in capital</w:t>
            </w:r>
          </w:p>
        </w:tc>
        <w:tc>
          <w:tcPr>
            <w:tcW w:w="760" w:type="dxa"/>
            <w:vAlign w:val="bottom"/>
          </w:tcPr>
          <w:p>
            <w:pPr>
              <w:spacing w:after="0"/>
              <w:rPr>
                <w:sz w:val="17"/>
                <w:szCs w:val="17"/>
                <w:color w:val="auto"/>
              </w:rPr>
            </w:pPr>
          </w:p>
        </w:tc>
        <w:tc>
          <w:tcPr>
            <w:tcW w:w="1500" w:type="dxa"/>
            <w:vAlign w:val="bottom"/>
          </w:tcPr>
          <w:p>
            <w:pPr>
              <w:jc w:val="right"/>
              <w:ind w:right="30"/>
              <w:spacing w:after="0" w:line="202" w:lineRule="exact"/>
              <w:rPr>
                <w:sz w:val="20"/>
                <w:szCs w:val="20"/>
                <w:color w:val="auto"/>
              </w:rPr>
            </w:pPr>
            <w:r>
              <w:rPr>
                <w:rFonts w:ascii="Arial" w:cs="Arial" w:eastAsia="Arial" w:hAnsi="Arial"/>
                <w:sz w:val="18"/>
                <w:szCs w:val="18"/>
                <w:color w:val="auto"/>
              </w:rPr>
              <w:t>428,859</w:t>
            </w:r>
          </w:p>
        </w:tc>
        <w:tc>
          <w:tcPr>
            <w:tcW w:w="5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428,859</w:t>
            </w:r>
          </w:p>
        </w:tc>
        <w:tc>
          <w:tcPr>
            <w:tcW w:w="0" w:type="dxa"/>
            <w:vAlign w:val="bottom"/>
          </w:tcPr>
          <w:p>
            <w:pPr>
              <w:spacing w:after="0"/>
              <w:rPr>
                <w:sz w:val="1"/>
                <w:szCs w:val="1"/>
                <w:color w:val="auto"/>
              </w:rPr>
            </w:pPr>
          </w:p>
        </w:tc>
      </w:tr>
      <w:tr>
        <w:trPr>
          <w:trHeight w:val="203"/>
        </w:trPr>
        <w:tc>
          <w:tcPr>
            <w:tcW w:w="5080" w:type="dxa"/>
            <w:vAlign w:val="bottom"/>
            <w:shd w:val="clear" w:color="auto" w:fill="BFBFBF"/>
          </w:tcPr>
          <w:p>
            <w:pPr>
              <w:ind w:left="100"/>
              <w:spacing w:after="0" w:line="202" w:lineRule="exact"/>
              <w:rPr>
                <w:sz w:val="20"/>
                <w:szCs w:val="20"/>
                <w:color w:val="auto"/>
              </w:rPr>
            </w:pPr>
            <w:r>
              <w:rPr>
                <w:rFonts w:ascii="Arial" w:cs="Arial" w:eastAsia="Arial" w:hAnsi="Arial"/>
                <w:sz w:val="18"/>
                <w:szCs w:val="18"/>
                <w:color w:val="auto"/>
              </w:rPr>
              <w:t>Retained earnings</w:t>
            </w:r>
          </w:p>
        </w:tc>
        <w:tc>
          <w:tcPr>
            <w:tcW w:w="2260" w:type="dxa"/>
            <w:vAlign w:val="bottom"/>
            <w:gridSpan w:val="2"/>
            <w:shd w:val="clear" w:color="auto" w:fill="BFBFBF"/>
          </w:tcPr>
          <w:p>
            <w:pPr>
              <w:jc w:val="right"/>
              <w:ind w:right="30"/>
              <w:spacing w:after="0" w:line="202" w:lineRule="exact"/>
              <w:rPr>
                <w:sz w:val="20"/>
                <w:szCs w:val="20"/>
                <w:color w:val="auto"/>
              </w:rPr>
            </w:pPr>
            <w:r>
              <w:rPr>
                <w:rFonts w:ascii="Arial" w:cs="Arial" w:eastAsia="Arial" w:hAnsi="Arial"/>
                <w:sz w:val="18"/>
                <w:szCs w:val="18"/>
                <w:color w:val="auto"/>
              </w:rPr>
              <w:t>533,759</w:t>
            </w:r>
          </w:p>
        </w:tc>
        <w:tc>
          <w:tcPr>
            <w:tcW w:w="560" w:type="dxa"/>
            <w:vAlign w:val="bottom"/>
            <w:shd w:val="clear" w:color="auto" w:fill="BFBFBF"/>
          </w:tcPr>
          <w:p>
            <w:pPr>
              <w:spacing w:after="0"/>
              <w:rPr>
                <w:sz w:val="17"/>
                <w:szCs w:val="17"/>
                <w:color w:val="auto"/>
              </w:rPr>
            </w:pPr>
          </w:p>
        </w:tc>
        <w:tc>
          <w:tcPr>
            <w:tcW w:w="1480" w:type="dxa"/>
            <w:vAlign w:val="bottom"/>
            <w:gridSpan w:val="2"/>
            <w:shd w:val="clear" w:color="auto" w:fill="BFBFBF"/>
          </w:tcPr>
          <w:p>
            <w:pPr>
              <w:jc w:val="right"/>
              <w:ind w:right="10"/>
              <w:spacing w:after="0" w:line="202" w:lineRule="exact"/>
              <w:rPr>
                <w:sz w:val="20"/>
                <w:szCs w:val="20"/>
                <w:color w:val="auto"/>
              </w:rPr>
            </w:pPr>
            <w:r>
              <w:rPr>
                <w:rFonts w:ascii="Arial" w:cs="Arial" w:eastAsia="Arial" w:hAnsi="Arial"/>
                <w:sz w:val="18"/>
                <w:szCs w:val="18"/>
                <w:color w:val="auto"/>
              </w:rPr>
              <w:t>4,439</w:t>
            </w:r>
          </w:p>
        </w:tc>
        <w:tc>
          <w:tcPr>
            <w:tcW w:w="560" w:type="dxa"/>
            <w:vAlign w:val="bottom"/>
            <w:shd w:val="clear" w:color="auto" w:fill="BFBFBF"/>
          </w:tcPr>
          <w:p>
            <w:pPr>
              <w:spacing w:after="0"/>
              <w:rPr>
                <w:sz w:val="17"/>
                <w:szCs w:val="17"/>
                <w:color w:val="auto"/>
              </w:rPr>
            </w:pPr>
          </w:p>
        </w:tc>
        <w:tc>
          <w:tcPr>
            <w:tcW w:w="1480" w:type="dxa"/>
            <w:vAlign w:val="bottom"/>
            <w:shd w:val="clear" w:color="auto" w:fill="BFBFBF"/>
          </w:tcPr>
          <w:p>
            <w:pPr>
              <w:jc w:val="right"/>
              <w:ind w:right="10"/>
              <w:spacing w:after="0" w:line="202" w:lineRule="exact"/>
              <w:rPr>
                <w:sz w:val="20"/>
                <w:szCs w:val="20"/>
                <w:color w:val="auto"/>
              </w:rPr>
            </w:pPr>
            <w:r>
              <w:rPr>
                <w:rFonts w:ascii="Arial" w:cs="Arial" w:eastAsia="Arial" w:hAnsi="Arial"/>
                <w:sz w:val="18"/>
                <w:szCs w:val="18"/>
                <w:color w:val="auto"/>
              </w:rPr>
              <w:t>538,198</w:t>
            </w:r>
          </w:p>
        </w:tc>
        <w:tc>
          <w:tcPr>
            <w:tcW w:w="0" w:type="dxa"/>
            <w:vAlign w:val="bottom"/>
          </w:tcPr>
          <w:p>
            <w:pPr>
              <w:spacing w:after="0"/>
              <w:rPr>
                <w:sz w:val="1"/>
                <w:szCs w:val="1"/>
                <w:color w:val="auto"/>
              </w:rPr>
            </w:pPr>
          </w:p>
        </w:tc>
      </w:tr>
      <w:tr>
        <w:trPr>
          <w:trHeight w:val="202"/>
        </w:trPr>
        <w:tc>
          <w:tcPr>
            <w:tcW w:w="5080" w:type="dxa"/>
            <w:vAlign w:val="bottom"/>
          </w:tcPr>
          <w:p>
            <w:pPr>
              <w:ind w:left="100"/>
              <w:spacing w:after="0" w:line="201" w:lineRule="exact"/>
              <w:rPr>
                <w:sz w:val="20"/>
                <w:szCs w:val="20"/>
                <w:color w:val="auto"/>
              </w:rPr>
            </w:pPr>
            <w:r>
              <w:rPr>
                <w:rFonts w:ascii="Arial" w:cs="Arial" w:eastAsia="Arial" w:hAnsi="Arial"/>
                <w:sz w:val="18"/>
                <w:szCs w:val="18"/>
                <w:color w:val="auto"/>
              </w:rPr>
              <w:t>Accumulated items of other comprehensive income:</w:t>
            </w:r>
          </w:p>
        </w:tc>
        <w:tc>
          <w:tcPr>
            <w:tcW w:w="7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80" w:type="dxa"/>
            <w:vAlign w:val="bottom"/>
          </w:tcPr>
          <w:p>
            <w:pPr>
              <w:ind w:left="200"/>
              <w:spacing w:after="0" w:line="203" w:lineRule="exact"/>
              <w:rPr>
                <w:sz w:val="20"/>
                <w:szCs w:val="20"/>
                <w:color w:val="auto"/>
              </w:rPr>
            </w:pPr>
            <w:r>
              <w:rPr>
                <w:rFonts w:ascii="Arial" w:cs="Arial" w:eastAsia="Arial" w:hAnsi="Arial"/>
                <w:sz w:val="18"/>
                <w:szCs w:val="18"/>
                <w:color w:val="auto"/>
              </w:rPr>
              <w:t>Translation adjustments</w:t>
            </w:r>
          </w:p>
        </w:tc>
        <w:tc>
          <w:tcPr>
            <w:tcW w:w="2260" w:type="dxa"/>
            <w:vAlign w:val="bottom"/>
            <w:gridSpan w:val="2"/>
          </w:tcPr>
          <w:p>
            <w:pPr>
              <w:jc w:val="right"/>
              <w:spacing w:after="0" w:line="203" w:lineRule="exact"/>
              <w:rPr>
                <w:sz w:val="20"/>
                <w:szCs w:val="20"/>
                <w:color w:val="auto"/>
              </w:rPr>
            </w:pPr>
            <w:r>
              <w:rPr>
                <w:rFonts w:ascii="Arial" w:cs="Arial" w:eastAsia="Arial" w:hAnsi="Arial"/>
                <w:sz w:val="18"/>
                <w:szCs w:val="18"/>
                <w:color w:val="auto"/>
              </w:rPr>
              <w:t>(69,672)</w:t>
            </w:r>
          </w:p>
        </w:tc>
        <w:tc>
          <w:tcPr>
            <w:tcW w:w="560" w:type="dxa"/>
            <w:vAlign w:val="bottom"/>
          </w:tcPr>
          <w:p>
            <w:pPr>
              <w:spacing w:after="0"/>
              <w:rPr>
                <w:sz w:val="17"/>
                <w:szCs w:val="17"/>
                <w:color w:val="auto"/>
              </w:rPr>
            </w:pPr>
          </w:p>
        </w:tc>
        <w:tc>
          <w:tcPr>
            <w:tcW w:w="1480" w:type="dxa"/>
            <w:vAlign w:val="bottom"/>
            <w:gridSpan w:val="2"/>
          </w:tcPr>
          <w:p>
            <w:pPr>
              <w:jc w:val="right"/>
              <w:spacing w:after="0" w:line="203" w:lineRule="exact"/>
              <w:rPr>
                <w:sz w:val="20"/>
                <w:szCs w:val="20"/>
                <w:color w:val="auto"/>
              </w:rPr>
            </w:pPr>
            <w:r>
              <w:rPr>
                <w:rFonts w:ascii="Arial" w:cs="Arial" w:eastAsia="Arial" w:hAnsi="Arial"/>
                <w:sz w:val="18"/>
                <w:szCs w:val="18"/>
                <w:color w:val="auto"/>
              </w:rPr>
              <w:t>(308)</w:t>
            </w:r>
          </w:p>
        </w:tc>
        <w:tc>
          <w:tcPr>
            <w:tcW w:w="560" w:type="dxa"/>
            <w:vAlign w:val="bottom"/>
          </w:tcPr>
          <w:p>
            <w:pPr>
              <w:spacing w:after="0"/>
              <w:rPr>
                <w:sz w:val="17"/>
                <w:szCs w:val="17"/>
                <w:color w:val="auto"/>
              </w:rPr>
            </w:pPr>
          </w:p>
        </w:tc>
        <w:tc>
          <w:tcPr>
            <w:tcW w:w="1480" w:type="dxa"/>
            <w:vAlign w:val="bottom"/>
          </w:tcPr>
          <w:p>
            <w:pPr>
              <w:jc w:val="right"/>
              <w:spacing w:after="0" w:line="203" w:lineRule="exact"/>
              <w:rPr>
                <w:sz w:val="20"/>
                <w:szCs w:val="20"/>
                <w:color w:val="auto"/>
              </w:rPr>
            </w:pPr>
            <w:r>
              <w:rPr>
                <w:rFonts w:ascii="Arial" w:cs="Arial" w:eastAsia="Arial" w:hAnsi="Arial"/>
                <w:sz w:val="18"/>
                <w:szCs w:val="18"/>
                <w:color w:val="auto"/>
              </w:rPr>
              <w:t>(69,980)</w:t>
            </w:r>
          </w:p>
        </w:tc>
        <w:tc>
          <w:tcPr>
            <w:tcW w:w="0" w:type="dxa"/>
            <w:vAlign w:val="bottom"/>
          </w:tcPr>
          <w:p>
            <w:pPr>
              <w:spacing w:after="0"/>
              <w:rPr>
                <w:sz w:val="1"/>
                <w:szCs w:val="1"/>
                <w:color w:val="auto"/>
              </w:rPr>
            </w:pPr>
          </w:p>
        </w:tc>
      </w:tr>
      <w:tr>
        <w:trPr>
          <w:trHeight w:val="203"/>
        </w:trPr>
        <w:tc>
          <w:tcPr>
            <w:tcW w:w="5080" w:type="dxa"/>
            <w:vAlign w:val="bottom"/>
            <w:shd w:val="clear" w:color="auto" w:fill="BFBFBF"/>
          </w:tcPr>
          <w:p>
            <w:pPr>
              <w:ind w:left="200"/>
              <w:spacing w:after="0" w:line="202" w:lineRule="exact"/>
              <w:rPr>
                <w:sz w:val="20"/>
                <w:szCs w:val="20"/>
                <w:color w:val="auto"/>
              </w:rPr>
            </w:pPr>
            <w:r>
              <w:rPr>
                <w:rFonts w:ascii="Arial" w:cs="Arial" w:eastAsia="Arial" w:hAnsi="Arial"/>
                <w:sz w:val="18"/>
                <w:szCs w:val="18"/>
                <w:color w:val="auto"/>
              </w:rPr>
              <w:t>Pension and postretirement liability adjustments</w:t>
            </w:r>
          </w:p>
        </w:tc>
        <w:tc>
          <w:tcPr>
            <w:tcW w:w="2260" w:type="dxa"/>
            <w:vAlign w:val="bottom"/>
            <w:gridSpan w:val="2"/>
            <w:shd w:val="clear" w:color="auto" w:fill="BFBFBF"/>
          </w:tcPr>
          <w:p>
            <w:pPr>
              <w:jc w:val="right"/>
              <w:spacing w:after="0" w:line="202" w:lineRule="exact"/>
              <w:rPr>
                <w:sz w:val="20"/>
                <w:szCs w:val="20"/>
                <w:color w:val="auto"/>
              </w:rPr>
            </w:pPr>
            <w:r>
              <w:rPr>
                <w:rFonts w:ascii="Arial" w:cs="Arial" w:eastAsia="Arial" w:hAnsi="Arial"/>
                <w:sz w:val="18"/>
                <w:szCs w:val="18"/>
                <w:color w:val="auto"/>
              </w:rPr>
              <w:t>(50,549)</w:t>
            </w:r>
          </w:p>
        </w:tc>
        <w:tc>
          <w:tcPr>
            <w:tcW w:w="560" w:type="dxa"/>
            <w:vAlign w:val="bottom"/>
            <w:shd w:val="clear" w:color="auto" w:fill="BFBFBF"/>
          </w:tcPr>
          <w:p>
            <w:pPr>
              <w:spacing w:after="0"/>
              <w:rPr>
                <w:sz w:val="17"/>
                <w:szCs w:val="17"/>
                <w:color w:val="auto"/>
              </w:rPr>
            </w:pPr>
          </w:p>
        </w:tc>
        <w:tc>
          <w:tcPr>
            <w:tcW w:w="1120" w:type="dxa"/>
            <w:vAlign w:val="bottom"/>
            <w:shd w:val="clear" w:color="auto" w:fill="BFBFBF"/>
          </w:tcPr>
          <w:p>
            <w:pPr>
              <w:spacing w:after="0"/>
              <w:rPr>
                <w:sz w:val="17"/>
                <w:szCs w:val="17"/>
                <w:color w:val="auto"/>
              </w:rPr>
            </w:pPr>
          </w:p>
        </w:tc>
        <w:tc>
          <w:tcPr>
            <w:tcW w:w="360" w:type="dxa"/>
            <w:vAlign w:val="bottom"/>
            <w:shd w:val="clear" w:color="auto" w:fill="BFBFBF"/>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560" w:type="dxa"/>
            <w:vAlign w:val="bottom"/>
            <w:shd w:val="clear" w:color="auto" w:fill="BFBFBF"/>
          </w:tcPr>
          <w:p>
            <w:pPr>
              <w:spacing w:after="0"/>
              <w:rPr>
                <w:sz w:val="17"/>
                <w:szCs w:val="17"/>
                <w:color w:val="auto"/>
              </w:rPr>
            </w:pPr>
          </w:p>
        </w:tc>
        <w:tc>
          <w:tcPr>
            <w:tcW w:w="1480" w:type="dxa"/>
            <w:vAlign w:val="bottom"/>
            <w:shd w:val="clear" w:color="auto" w:fill="BFBFBF"/>
          </w:tcPr>
          <w:p>
            <w:pPr>
              <w:jc w:val="right"/>
              <w:spacing w:after="0" w:line="202" w:lineRule="exact"/>
              <w:rPr>
                <w:sz w:val="20"/>
                <w:szCs w:val="20"/>
                <w:color w:val="auto"/>
              </w:rPr>
            </w:pPr>
            <w:r>
              <w:rPr>
                <w:rFonts w:ascii="Arial" w:cs="Arial" w:eastAsia="Arial" w:hAnsi="Arial"/>
                <w:sz w:val="18"/>
                <w:szCs w:val="18"/>
                <w:color w:val="auto"/>
              </w:rPr>
              <w:t>(50,549)</w:t>
            </w:r>
          </w:p>
        </w:tc>
        <w:tc>
          <w:tcPr>
            <w:tcW w:w="0" w:type="dxa"/>
            <w:vAlign w:val="bottom"/>
          </w:tcPr>
          <w:p>
            <w:pPr>
              <w:spacing w:after="0"/>
              <w:rPr>
                <w:sz w:val="1"/>
                <w:szCs w:val="1"/>
                <w:color w:val="auto"/>
              </w:rPr>
            </w:pPr>
          </w:p>
        </w:tc>
      </w:tr>
      <w:tr>
        <w:trPr>
          <w:trHeight w:val="203"/>
        </w:trPr>
        <w:tc>
          <w:tcPr>
            <w:tcW w:w="5080" w:type="dxa"/>
            <w:vAlign w:val="bottom"/>
          </w:tcPr>
          <w:p>
            <w:pPr>
              <w:ind w:left="200"/>
              <w:spacing w:after="0" w:line="202" w:lineRule="exact"/>
              <w:rPr>
                <w:sz w:val="20"/>
                <w:szCs w:val="20"/>
                <w:color w:val="auto"/>
              </w:rPr>
            </w:pPr>
            <w:r>
              <w:rPr>
                <w:rFonts w:ascii="Arial" w:cs="Arial" w:eastAsia="Arial" w:hAnsi="Arial"/>
                <w:sz w:val="18"/>
                <w:szCs w:val="18"/>
                <w:color w:val="auto"/>
              </w:rPr>
              <w:t>Derivative valuation adjustment</w:t>
            </w:r>
          </w:p>
        </w:tc>
        <w:tc>
          <w:tcPr>
            <w:tcW w:w="2260" w:type="dxa"/>
            <w:vAlign w:val="bottom"/>
            <w:gridSpan w:val="2"/>
          </w:tcPr>
          <w:p>
            <w:pPr>
              <w:jc w:val="right"/>
              <w:ind w:right="30"/>
              <w:spacing w:after="0" w:line="202" w:lineRule="exact"/>
              <w:rPr>
                <w:sz w:val="20"/>
                <w:szCs w:val="20"/>
                <w:color w:val="auto"/>
              </w:rPr>
            </w:pPr>
            <w:r>
              <w:rPr>
                <w:rFonts w:ascii="Arial" w:cs="Arial" w:eastAsia="Arial" w:hAnsi="Arial"/>
                <w:sz w:val="18"/>
                <w:szCs w:val="18"/>
                <w:color w:val="auto"/>
              </w:rPr>
              <w:t>6,433</w:t>
            </w:r>
          </w:p>
        </w:tc>
        <w:tc>
          <w:tcPr>
            <w:tcW w:w="5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560" w:type="dxa"/>
            <w:vAlign w:val="bottom"/>
          </w:tcPr>
          <w:p>
            <w:pPr>
              <w:spacing w:after="0"/>
              <w:rPr>
                <w:sz w:val="17"/>
                <w:szCs w:val="17"/>
                <w:color w:val="auto"/>
              </w:rPr>
            </w:pPr>
          </w:p>
        </w:tc>
        <w:tc>
          <w:tcPr>
            <w:tcW w:w="14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6,433</w:t>
            </w:r>
          </w:p>
        </w:tc>
        <w:tc>
          <w:tcPr>
            <w:tcW w:w="0" w:type="dxa"/>
            <w:vAlign w:val="bottom"/>
          </w:tcPr>
          <w:p>
            <w:pPr>
              <w:spacing w:after="0"/>
              <w:rPr>
                <w:sz w:val="1"/>
                <w:szCs w:val="1"/>
                <w:color w:val="auto"/>
              </w:rPr>
            </w:pPr>
          </w:p>
        </w:tc>
      </w:tr>
      <w:tr>
        <w:trPr>
          <w:trHeight w:val="202"/>
        </w:trPr>
        <w:tc>
          <w:tcPr>
            <w:tcW w:w="5080" w:type="dxa"/>
            <w:vAlign w:val="bottom"/>
            <w:shd w:val="clear" w:color="auto" w:fill="BFBFBF"/>
          </w:tcPr>
          <w:p>
            <w:pPr>
              <w:ind w:left="100"/>
              <w:spacing w:after="0" w:line="201" w:lineRule="exact"/>
              <w:rPr>
                <w:sz w:val="20"/>
                <w:szCs w:val="20"/>
                <w:color w:val="auto"/>
              </w:rPr>
            </w:pPr>
            <w:r>
              <w:rPr>
                <w:rFonts w:ascii="Arial" w:cs="Arial" w:eastAsia="Arial" w:hAnsi="Arial"/>
                <w:sz w:val="18"/>
                <w:szCs w:val="18"/>
                <w:color w:val="auto"/>
              </w:rPr>
              <w:t>Treasury stock (Class A), at cost 8,431,335 shares in 2018</w:t>
            </w:r>
          </w:p>
        </w:tc>
        <w:tc>
          <w:tcPr>
            <w:tcW w:w="760" w:type="dxa"/>
            <w:vAlign w:val="bottom"/>
            <w:shd w:val="clear" w:color="auto" w:fill="BFBFBF"/>
          </w:tcPr>
          <w:p>
            <w:pPr>
              <w:spacing w:after="0"/>
              <w:rPr>
                <w:sz w:val="17"/>
                <w:szCs w:val="17"/>
                <w:color w:val="auto"/>
              </w:rPr>
            </w:pPr>
          </w:p>
        </w:tc>
        <w:tc>
          <w:tcPr>
            <w:tcW w:w="1500" w:type="dxa"/>
            <w:vAlign w:val="bottom"/>
            <w:shd w:val="clear" w:color="auto" w:fill="BFBFBF"/>
          </w:tcPr>
          <w:p>
            <w:pPr>
              <w:spacing w:after="0"/>
              <w:rPr>
                <w:sz w:val="17"/>
                <w:szCs w:val="17"/>
                <w:color w:val="auto"/>
              </w:rPr>
            </w:pPr>
          </w:p>
        </w:tc>
        <w:tc>
          <w:tcPr>
            <w:tcW w:w="560" w:type="dxa"/>
            <w:vAlign w:val="bottom"/>
            <w:shd w:val="clear" w:color="auto" w:fill="BFBFBF"/>
          </w:tcPr>
          <w:p>
            <w:pPr>
              <w:spacing w:after="0"/>
              <w:rPr>
                <w:sz w:val="17"/>
                <w:szCs w:val="17"/>
                <w:color w:val="auto"/>
              </w:rPr>
            </w:pPr>
          </w:p>
        </w:tc>
        <w:tc>
          <w:tcPr>
            <w:tcW w:w="1120" w:type="dxa"/>
            <w:vAlign w:val="bottom"/>
            <w:shd w:val="clear" w:color="auto" w:fill="BFBFBF"/>
          </w:tcPr>
          <w:p>
            <w:pPr>
              <w:spacing w:after="0"/>
              <w:rPr>
                <w:sz w:val="17"/>
                <w:szCs w:val="17"/>
                <w:color w:val="auto"/>
              </w:rPr>
            </w:pPr>
          </w:p>
        </w:tc>
        <w:tc>
          <w:tcPr>
            <w:tcW w:w="360" w:type="dxa"/>
            <w:vAlign w:val="bottom"/>
            <w:shd w:val="clear" w:color="auto" w:fill="BFBFBF"/>
          </w:tcPr>
          <w:p>
            <w:pPr>
              <w:spacing w:after="0"/>
              <w:rPr>
                <w:sz w:val="17"/>
                <w:szCs w:val="17"/>
                <w:color w:val="auto"/>
              </w:rPr>
            </w:pPr>
          </w:p>
        </w:tc>
        <w:tc>
          <w:tcPr>
            <w:tcW w:w="560" w:type="dxa"/>
            <w:vAlign w:val="bottom"/>
            <w:shd w:val="clear" w:color="auto" w:fill="BFBFBF"/>
          </w:tcPr>
          <w:p>
            <w:pPr>
              <w:spacing w:after="0"/>
              <w:rPr>
                <w:sz w:val="17"/>
                <w:szCs w:val="17"/>
                <w:color w:val="auto"/>
              </w:rPr>
            </w:pPr>
          </w:p>
        </w:tc>
        <w:tc>
          <w:tcPr>
            <w:tcW w:w="1480" w:type="dxa"/>
            <w:vAlign w:val="bottom"/>
            <w:shd w:val="clear" w:color="auto" w:fill="BFBFB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5080" w:type="dxa"/>
            <w:vAlign w:val="bottom"/>
            <w:shd w:val="clear" w:color="auto" w:fill="BFBFBF"/>
          </w:tcPr>
          <w:p>
            <w:pPr>
              <w:ind w:left="160"/>
              <w:spacing w:after="0"/>
              <w:rPr>
                <w:sz w:val="20"/>
                <w:szCs w:val="20"/>
                <w:color w:val="auto"/>
              </w:rPr>
            </w:pPr>
            <w:r>
              <w:rPr>
                <w:rFonts w:ascii="Arial" w:cs="Arial" w:eastAsia="Arial" w:hAnsi="Arial"/>
                <w:sz w:val="18"/>
                <w:szCs w:val="18"/>
                <w:color w:val="auto"/>
              </w:rPr>
              <w:t>and 2017</w:t>
            </w:r>
          </w:p>
        </w:tc>
        <w:tc>
          <w:tcPr>
            <w:tcW w:w="2260" w:type="dxa"/>
            <w:vAlign w:val="bottom"/>
            <w:gridSpan w:val="2"/>
            <w:shd w:val="clear" w:color="auto" w:fill="BFBFBF"/>
          </w:tcPr>
          <w:p>
            <w:pPr>
              <w:jc w:val="right"/>
              <w:spacing w:after="0"/>
              <w:rPr>
                <w:sz w:val="20"/>
                <w:szCs w:val="20"/>
                <w:color w:val="auto"/>
              </w:rPr>
            </w:pPr>
            <w:r>
              <w:rPr>
                <w:rFonts w:ascii="Arial" w:cs="Arial" w:eastAsia="Arial" w:hAnsi="Arial"/>
                <w:sz w:val="18"/>
                <w:szCs w:val="18"/>
                <w:color w:val="auto"/>
              </w:rPr>
              <w:t>(256,876)</w:t>
            </w:r>
          </w:p>
        </w:tc>
        <w:tc>
          <w:tcPr>
            <w:tcW w:w="560" w:type="dxa"/>
            <w:vAlign w:val="bottom"/>
            <w:shd w:val="clear" w:color="auto" w:fill="BFBFBF"/>
          </w:tcPr>
          <w:p>
            <w:pPr>
              <w:spacing w:after="0"/>
              <w:rPr>
                <w:sz w:val="18"/>
                <w:szCs w:val="18"/>
                <w:color w:val="auto"/>
              </w:rPr>
            </w:pPr>
          </w:p>
        </w:tc>
        <w:tc>
          <w:tcPr>
            <w:tcW w:w="1120" w:type="dxa"/>
            <w:vAlign w:val="bottom"/>
            <w:shd w:val="clear" w:color="auto" w:fill="BFBFBF"/>
          </w:tcPr>
          <w:p>
            <w:pPr>
              <w:spacing w:after="0"/>
              <w:rPr>
                <w:sz w:val="18"/>
                <w:szCs w:val="18"/>
                <w:color w:val="auto"/>
              </w:rPr>
            </w:pPr>
          </w:p>
        </w:tc>
        <w:tc>
          <w:tcPr>
            <w:tcW w:w="360" w:type="dxa"/>
            <w:vAlign w:val="bottom"/>
            <w:shd w:val="clear" w:color="auto" w:fill="BFBFBF"/>
          </w:tcPr>
          <w:p>
            <w:pPr>
              <w:jc w:val="right"/>
              <w:ind w:right="10"/>
              <w:spacing w:after="0"/>
              <w:rPr>
                <w:sz w:val="20"/>
                <w:szCs w:val="20"/>
                <w:color w:val="auto"/>
              </w:rPr>
            </w:pPr>
            <w:r>
              <w:rPr>
                <w:rFonts w:ascii="Arial" w:cs="Arial" w:eastAsia="Arial" w:hAnsi="Arial"/>
                <w:sz w:val="18"/>
                <w:szCs w:val="18"/>
                <w:color w:val="auto"/>
              </w:rPr>
              <w:t>-</w:t>
            </w:r>
          </w:p>
        </w:tc>
        <w:tc>
          <w:tcPr>
            <w:tcW w:w="560" w:type="dxa"/>
            <w:vAlign w:val="bottom"/>
            <w:shd w:val="clear" w:color="auto" w:fill="BFBFBF"/>
          </w:tcPr>
          <w:p>
            <w:pPr>
              <w:spacing w:after="0"/>
              <w:rPr>
                <w:sz w:val="18"/>
                <w:szCs w:val="18"/>
                <w:color w:val="auto"/>
              </w:rPr>
            </w:pPr>
          </w:p>
        </w:tc>
        <w:tc>
          <w:tcPr>
            <w:tcW w:w="1480" w:type="dxa"/>
            <w:vAlign w:val="bottom"/>
            <w:shd w:val="clear" w:color="auto" w:fill="BFBFBF"/>
          </w:tcPr>
          <w:p>
            <w:pPr>
              <w:jc w:val="right"/>
              <w:spacing w:after="0"/>
              <w:rPr>
                <w:sz w:val="20"/>
                <w:szCs w:val="20"/>
                <w:color w:val="auto"/>
              </w:rPr>
            </w:pPr>
            <w:r>
              <w:rPr>
                <w:rFonts w:ascii="Arial" w:cs="Arial" w:eastAsia="Arial" w:hAnsi="Arial"/>
                <w:sz w:val="18"/>
                <w:szCs w:val="18"/>
                <w:color w:val="auto"/>
              </w:rPr>
              <w:t>(256,876)</w:t>
            </w:r>
          </w:p>
        </w:tc>
        <w:tc>
          <w:tcPr>
            <w:tcW w:w="0" w:type="dxa"/>
            <w:vAlign w:val="bottom"/>
          </w:tcPr>
          <w:p>
            <w:pPr>
              <w:spacing w:after="0"/>
              <w:rPr>
                <w:sz w:val="1"/>
                <w:szCs w:val="1"/>
                <w:color w:val="auto"/>
              </w:rPr>
            </w:pPr>
          </w:p>
        </w:tc>
      </w:tr>
      <w:tr>
        <w:trPr>
          <w:trHeight w:val="196"/>
        </w:trPr>
        <w:tc>
          <w:tcPr>
            <w:tcW w:w="5080" w:type="dxa"/>
            <w:vAlign w:val="bottom"/>
          </w:tcPr>
          <w:p>
            <w:pPr>
              <w:ind w:left="300"/>
              <w:spacing w:after="0" w:line="196" w:lineRule="exact"/>
              <w:rPr>
                <w:sz w:val="20"/>
                <w:szCs w:val="20"/>
                <w:color w:val="auto"/>
              </w:rPr>
            </w:pPr>
            <w:r>
              <w:rPr>
                <w:rFonts w:ascii="Arial" w:cs="Arial" w:eastAsia="Arial" w:hAnsi="Arial"/>
                <w:sz w:val="18"/>
                <w:szCs w:val="18"/>
                <w:color w:val="auto"/>
              </w:rPr>
              <w:t>Total Company shareholders' equity</w:t>
            </w:r>
          </w:p>
        </w:tc>
        <w:tc>
          <w:tcPr>
            <w:tcW w:w="760" w:type="dxa"/>
            <w:vAlign w:val="bottom"/>
          </w:tcPr>
          <w:p>
            <w:pPr>
              <w:spacing w:after="0"/>
              <w:rPr>
                <w:sz w:val="17"/>
                <w:szCs w:val="17"/>
                <w:color w:val="auto"/>
              </w:rPr>
            </w:pPr>
          </w:p>
        </w:tc>
        <w:tc>
          <w:tcPr>
            <w:tcW w:w="1500" w:type="dxa"/>
            <w:vAlign w:val="bottom"/>
            <w:tcBorders>
              <w:top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591,994</w:t>
            </w:r>
          </w:p>
        </w:tc>
        <w:tc>
          <w:tcPr>
            <w:tcW w:w="560" w:type="dxa"/>
            <w:vAlign w:val="bottom"/>
          </w:tcPr>
          <w:p>
            <w:pPr>
              <w:spacing w:after="0"/>
              <w:rPr>
                <w:sz w:val="17"/>
                <w:szCs w:val="17"/>
                <w:color w:val="auto"/>
              </w:rPr>
            </w:pPr>
          </w:p>
        </w:tc>
        <w:tc>
          <w:tcPr>
            <w:tcW w:w="1480" w:type="dxa"/>
            <w:vAlign w:val="bottom"/>
            <w:tcBorders>
              <w:top w:val="single" w:sz="8" w:color="auto"/>
            </w:tcBorders>
            <w:gridSpan w:val="2"/>
          </w:tcPr>
          <w:p>
            <w:pPr>
              <w:jc w:val="right"/>
              <w:ind w:right="10"/>
              <w:spacing w:after="0" w:line="196" w:lineRule="exact"/>
              <w:rPr>
                <w:sz w:val="20"/>
                <w:szCs w:val="20"/>
                <w:color w:val="auto"/>
              </w:rPr>
            </w:pPr>
            <w:r>
              <w:rPr>
                <w:rFonts w:ascii="Arial" w:cs="Arial" w:eastAsia="Arial" w:hAnsi="Arial"/>
                <w:sz w:val="18"/>
                <w:szCs w:val="18"/>
                <w:color w:val="auto"/>
              </w:rPr>
              <w:t>4,131</w:t>
            </w:r>
          </w:p>
        </w:tc>
        <w:tc>
          <w:tcPr>
            <w:tcW w:w="560" w:type="dxa"/>
            <w:vAlign w:val="bottom"/>
          </w:tcPr>
          <w:p>
            <w:pPr>
              <w:spacing w:after="0"/>
              <w:rPr>
                <w:sz w:val="17"/>
                <w:szCs w:val="17"/>
                <w:color w:val="auto"/>
              </w:rPr>
            </w:pPr>
          </w:p>
        </w:tc>
        <w:tc>
          <w:tcPr>
            <w:tcW w:w="1480" w:type="dxa"/>
            <w:vAlign w:val="bottom"/>
            <w:tcBorders>
              <w:top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596,125</w:t>
            </w:r>
          </w:p>
        </w:tc>
        <w:tc>
          <w:tcPr>
            <w:tcW w:w="0" w:type="dxa"/>
            <w:vAlign w:val="bottom"/>
          </w:tcPr>
          <w:p>
            <w:pPr>
              <w:spacing w:after="0"/>
              <w:rPr>
                <w:sz w:val="1"/>
                <w:szCs w:val="1"/>
                <w:color w:val="auto"/>
              </w:rPr>
            </w:pPr>
          </w:p>
        </w:tc>
      </w:tr>
      <w:tr>
        <w:trPr>
          <w:trHeight w:val="216"/>
        </w:trPr>
        <w:tc>
          <w:tcPr>
            <w:tcW w:w="5080" w:type="dxa"/>
            <w:vAlign w:val="bottom"/>
            <w:shd w:val="clear" w:color="auto" w:fill="BFBFBF"/>
          </w:tcPr>
          <w:p>
            <w:pPr>
              <w:ind w:left="100"/>
              <w:spacing w:after="0"/>
              <w:rPr>
                <w:sz w:val="20"/>
                <w:szCs w:val="20"/>
                <w:color w:val="auto"/>
              </w:rPr>
            </w:pPr>
            <w:r>
              <w:rPr>
                <w:rFonts w:ascii="Arial" w:cs="Arial" w:eastAsia="Arial" w:hAnsi="Arial"/>
                <w:sz w:val="18"/>
                <w:szCs w:val="18"/>
                <w:color w:val="auto"/>
              </w:rPr>
              <w:t>Noncontrolling interest</w:t>
            </w:r>
          </w:p>
        </w:tc>
        <w:tc>
          <w:tcPr>
            <w:tcW w:w="2260" w:type="dxa"/>
            <w:vAlign w:val="bottom"/>
            <w:gridSpan w:val="2"/>
            <w:shd w:val="clear" w:color="auto" w:fill="BFBFBF"/>
          </w:tcPr>
          <w:p>
            <w:pPr>
              <w:jc w:val="right"/>
              <w:ind w:right="30"/>
              <w:spacing w:after="0"/>
              <w:rPr>
                <w:sz w:val="20"/>
                <w:szCs w:val="20"/>
                <w:color w:val="auto"/>
              </w:rPr>
            </w:pPr>
            <w:r>
              <w:rPr>
                <w:rFonts w:ascii="Arial" w:cs="Arial" w:eastAsia="Arial" w:hAnsi="Arial"/>
                <w:sz w:val="18"/>
                <w:szCs w:val="18"/>
                <w:color w:val="auto"/>
              </w:rPr>
              <w:t>3,150</w:t>
            </w:r>
          </w:p>
        </w:tc>
        <w:tc>
          <w:tcPr>
            <w:tcW w:w="560" w:type="dxa"/>
            <w:vAlign w:val="bottom"/>
            <w:shd w:val="clear" w:color="auto" w:fill="BFBFBF"/>
          </w:tcPr>
          <w:p>
            <w:pPr>
              <w:spacing w:after="0"/>
              <w:rPr>
                <w:sz w:val="18"/>
                <w:szCs w:val="18"/>
                <w:color w:val="auto"/>
              </w:rPr>
            </w:pPr>
          </w:p>
        </w:tc>
        <w:tc>
          <w:tcPr>
            <w:tcW w:w="1480" w:type="dxa"/>
            <w:vAlign w:val="bottom"/>
            <w:gridSpan w:val="2"/>
            <w:shd w:val="clear" w:color="auto" w:fill="BFBFBF"/>
          </w:tcPr>
          <w:p>
            <w:pPr>
              <w:jc w:val="right"/>
              <w:ind w:right="10"/>
              <w:spacing w:after="0"/>
              <w:rPr>
                <w:sz w:val="20"/>
                <w:szCs w:val="20"/>
                <w:color w:val="auto"/>
              </w:rPr>
            </w:pPr>
            <w:r>
              <w:rPr>
                <w:rFonts w:ascii="Arial" w:cs="Arial" w:eastAsia="Arial" w:hAnsi="Arial"/>
                <w:sz w:val="18"/>
                <w:szCs w:val="18"/>
                <w:color w:val="auto"/>
              </w:rPr>
              <w:t>270</w:t>
            </w:r>
          </w:p>
        </w:tc>
        <w:tc>
          <w:tcPr>
            <w:tcW w:w="560" w:type="dxa"/>
            <w:vAlign w:val="bottom"/>
            <w:shd w:val="clear" w:color="auto" w:fill="BFBFBF"/>
          </w:tcPr>
          <w:p>
            <w:pPr>
              <w:spacing w:after="0"/>
              <w:rPr>
                <w:sz w:val="18"/>
                <w:szCs w:val="18"/>
                <w:color w:val="auto"/>
              </w:rPr>
            </w:pPr>
          </w:p>
        </w:tc>
        <w:tc>
          <w:tcPr>
            <w:tcW w:w="1480" w:type="dxa"/>
            <w:vAlign w:val="bottom"/>
            <w:shd w:val="clear" w:color="auto" w:fill="BFBFBF"/>
          </w:tcPr>
          <w:p>
            <w:pPr>
              <w:jc w:val="right"/>
              <w:ind w:right="10"/>
              <w:spacing w:after="0"/>
              <w:rPr>
                <w:sz w:val="20"/>
                <w:szCs w:val="20"/>
                <w:color w:val="auto"/>
              </w:rPr>
            </w:pPr>
            <w:r>
              <w:rPr>
                <w:rFonts w:ascii="Arial" w:cs="Arial" w:eastAsia="Arial" w:hAnsi="Arial"/>
                <w:sz w:val="18"/>
                <w:szCs w:val="18"/>
                <w:color w:val="auto"/>
              </w:rPr>
              <w:t>3,420</w:t>
            </w:r>
          </w:p>
        </w:tc>
        <w:tc>
          <w:tcPr>
            <w:tcW w:w="0" w:type="dxa"/>
            <w:vAlign w:val="bottom"/>
          </w:tcPr>
          <w:p>
            <w:pPr>
              <w:spacing w:after="0"/>
              <w:rPr>
                <w:sz w:val="1"/>
                <w:szCs w:val="1"/>
                <w:color w:val="auto"/>
              </w:rPr>
            </w:pPr>
          </w:p>
        </w:tc>
      </w:tr>
      <w:tr>
        <w:trPr>
          <w:trHeight w:val="196"/>
        </w:trPr>
        <w:tc>
          <w:tcPr>
            <w:tcW w:w="5080" w:type="dxa"/>
            <w:vAlign w:val="bottom"/>
            <w:tcBorders>
              <w:bottom w:val="single" w:sz="8" w:color="BFBFBF"/>
            </w:tcBorders>
          </w:tcPr>
          <w:p>
            <w:pPr>
              <w:ind w:left="60"/>
              <w:spacing w:after="0" w:line="196" w:lineRule="exact"/>
              <w:rPr>
                <w:sz w:val="20"/>
                <w:szCs w:val="20"/>
                <w:color w:val="auto"/>
              </w:rPr>
            </w:pPr>
            <w:r>
              <w:rPr>
                <w:rFonts w:ascii="Arial" w:cs="Arial" w:eastAsia="Arial" w:hAnsi="Arial"/>
                <w:sz w:val="18"/>
                <w:szCs w:val="18"/>
                <w:color w:val="auto"/>
              </w:rPr>
              <w:t>Total equity</w:t>
            </w:r>
          </w:p>
        </w:tc>
        <w:tc>
          <w:tcPr>
            <w:tcW w:w="760" w:type="dxa"/>
            <w:vAlign w:val="bottom"/>
            <w:tcBorders>
              <w:bottom w:val="single" w:sz="8" w:color="BFBFBF"/>
            </w:tcBorders>
          </w:tcPr>
          <w:p>
            <w:pPr>
              <w:spacing w:after="0"/>
              <w:rPr>
                <w:sz w:val="17"/>
                <w:szCs w:val="17"/>
                <w:color w:val="auto"/>
              </w:rPr>
            </w:pPr>
          </w:p>
        </w:tc>
        <w:tc>
          <w:tcPr>
            <w:tcW w:w="1500" w:type="dxa"/>
            <w:vAlign w:val="bottom"/>
            <w:tcBorders>
              <w:top w:val="single" w:sz="8" w:color="auto"/>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595,144</w:t>
            </w:r>
          </w:p>
        </w:tc>
        <w:tc>
          <w:tcPr>
            <w:tcW w:w="560" w:type="dxa"/>
            <w:vAlign w:val="bottom"/>
            <w:tcBorders>
              <w:bottom w:val="single" w:sz="8" w:color="BFBFBF"/>
            </w:tcBorders>
          </w:tcPr>
          <w:p>
            <w:pPr>
              <w:spacing w:after="0"/>
              <w:rPr>
                <w:sz w:val="17"/>
                <w:szCs w:val="17"/>
                <w:color w:val="auto"/>
              </w:rPr>
            </w:pPr>
          </w:p>
        </w:tc>
        <w:tc>
          <w:tcPr>
            <w:tcW w:w="1480" w:type="dxa"/>
            <w:vAlign w:val="bottom"/>
            <w:tcBorders>
              <w:top w:val="single" w:sz="8" w:color="auto"/>
              <w:bottom w:val="single" w:sz="8" w:color="auto"/>
            </w:tcBorders>
            <w:gridSpan w:val="2"/>
          </w:tcPr>
          <w:p>
            <w:pPr>
              <w:jc w:val="right"/>
              <w:ind w:right="10"/>
              <w:spacing w:after="0" w:line="196" w:lineRule="exact"/>
              <w:rPr>
                <w:sz w:val="20"/>
                <w:szCs w:val="20"/>
                <w:color w:val="auto"/>
              </w:rPr>
            </w:pPr>
            <w:r>
              <w:rPr>
                <w:rFonts w:ascii="Arial" w:cs="Arial" w:eastAsia="Arial" w:hAnsi="Arial"/>
                <w:sz w:val="18"/>
                <w:szCs w:val="18"/>
                <w:color w:val="auto"/>
              </w:rPr>
              <w:t>4,401</w:t>
            </w:r>
          </w:p>
        </w:tc>
        <w:tc>
          <w:tcPr>
            <w:tcW w:w="560" w:type="dxa"/>
            <w:vAlign w:val="bottom"/>
            <w:tcBorders>
              <w:bottom w:val="single" w:sz="8" w:color="BFBFBF"/>
            </w:tcBorders>
          </w:tcPr>
          <w:p>
            <w:pPr>
              <w:spacing w:after="0"/>
              <w:rPr>
                <w:sz w:val="17"/>
                <w:szCs w:val="17"/>
                <w:color w:val="auto"/>
              </w:rPr>
            </w:pPr>
          </w:p>
        </w:tc>
        <w:tc>
          <w:tcPr>
            <w:tcW w:w="1480" w:type="dxa"/>
            <w:vAlign w:val="bottom"/>
            <w:tcBorders>
              <w:top w:val="single" w:sz="8" w:color="auto"/>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599,545</w:t>
            </w:r>
          </w:p>
        </w:tc>
        <w:tc>
          <w:tcPr>
            <w:tcW w:w="0" w:type="dxa"/>
            <w:vAlign w:val="bottom"/>
          </w:tcPr>
          <w:p>
            <w:pPr>
              <w:spacing w:after="0"/>
              <w:rPr>
                <w:sz w:val="1"/>
                <w:szCs w:val="1"/>
                <w:color w:val="auto"/>
              </w:rPr>
            </w:pPr>
          </w:p>
        </w:tc>
      </w:tr>
      <w:tr>
        <w:trPr>
          <w:trHeight w:val="210"/>
        </w:trPr>
        <w:tc>
          <w:tcPr>
            <w:tcW w:w="5080" w:type="dxa"/>
            <w:vAlign w:val="bottom"/>
            <w:shd w:val="clear" w:color="auto" w:fill="BFBFBF"/>
          </w:tcPr>
          <w:p>
            <w:pPr>
              <w:ind w:left="300"/>
              <w:spacing w:after="0" w:line="197" w:lineRule="exact"/>
              <w:rPr>
                <w:sz w:val="20"/>
                <w:szCs w:val="20"/>
                <w:color w:val="auto"/>
              </w:rPr>
            </w:pPr>
            <w:r>
              <w:rPr>
                <w:rFonts w:ascii="Arial" w:cs="Arial" w:eastAsia="Arial" w:hAnsi="Arial"/>
                <w:sz w:val="18"/>
                <w:szCs w:val="18"/>
                <w:color w:val="auto"/>
              </w:rPr>
              <w:t>Total liabilities and shareholders' equity</w:t>
            </w:r>
          </w:p>
        </w:tc>
        <w:tc>
          <w:tcPr>
            <w:tcW w:w="2260" w:type="dxa"/>
            <w:vAlign w:val="bottom"/>
            <w:gridSpan w:val="2"/>
            <w:shd w:val="clear" w:color="auto" w:fill="BFBFBF"/>
          </w:tcPr>
          <w:p>
            <w:pPr>
              <w:jc w:val="right"/>
              <w:ind w:right="30"/>
              <w:spacing w:after="0"/>
              <w:rPr>
                <w:sz w:val="20"/>
                <w:szCs w:val="20"/>
                <w:color w:val="auto"/>
              </w:rPr>
            </w:pPr>
            <w:r>
              <w:rPr>
                <w:rFonts w:ascii="Arial" w:cs="Arial" w:eastAsia="Arial" w:hAnsi="Arial"/>
                <w:sz w:val="18"/>
                <w:szCs w:val="18"/>
                <w:color w:val="auto"/>
              </w:rPr>
              <w:t>$1,400,335</w:t>
            </w:r>
          </w:p>
        </w:tc>
        <w:tc>
          <w:tcPr>
            <w:tcW w:w="560" w:type="dxa"/>
            <w:vAlign w:val="bottom"/>
            <w:shd w:val="clear" w:color="auto" w:fill="BFBFBF"/>
          </w:tcPr>
          <w:p>
            <w:pPr>
              <w:spacing w:after="0"/>
              <w:rPr>
                <w:sz w:val="18"/>
                <w:szCs w:val="18"/>
                <w:color w:val="auto"/>
              </w:rPr>
            </w:pPr>
          </w:p>
        </w:tc>
        <w:tc>
          <w:tcPr>
            <w:tcW w:w="1480" w:type="dxa"/>
            <w:vAlign w:val="bottom"/>
            <w:gridSpan w:val="2"/>
            <w:shd w:val="clear" w:color="auto" w:fill="BFBFBF"/>
          </w:tcPr>
          <w:p>
            <w:pPr>
              <w:jc w:val="right"/>
              <w:spacing w:after="0"/>
              <w:rPr>
                <w:sz w:val="20"/>
                <w:szCs w:val="20"/>
                <w:color w:val="auto"/>
              </w:rPr>
            </w:pPr>
            <w:r>
              <w:rPr>
                <w:rFonts w:ascii="Arial" w:cs="Arial" w:eastAsia="Arial" w:hAnsi="Arial"/>
                <w:sz w:val="18"/>
                <w:szCs w:val="18"/>
                <w:color w:val="auto"/>
              </w:rPr>
              <w:t>($13,274)</w:t>
            </w:r>
          </w:p>
        </w:tc>
        <w:tc>
          <w:tcPr>
            <w:tcW w:w="560" w:type="dxa"/>
            <w:vAlign w:val="bottom"/>
            <w:shd w:val="clear" w:color="auto" w:fill="BFBFBF"/>
          </w:tcPr>
          <w:p>
            <w:pPr>
              <w:spacing w:after="0"/>
              <w:rPr>
                <w:sz w:val="18"/>
                <w:szCs w:val="18"/>
                <w:color w:val="auto"/>
              </w:rPr>
            </w:pPr>
          </w:p>
        </w:tc>
        <w:tc>
          <w:tcPr>
            <w:tcW w:w="1480" w:type="dxa"/>
            <w:vAlign w:val="bottom"/>
            <w:shd w:val="clear" w:color="auto" w:fill="BFBFBF"/>
          </w:tcPr>
          <w:p>
            <w:pPr>
              <w:jc w:val="right"/>
              <w:ind w:right="10"/>
              <w:spacing w:after="0"/>
              <w:rPr>
                <w:sz w:val="20"/>
                <w:szCs w:val="20"/>
                <w:color w:val="auto"/>
              </w:rPr>
            </w:pPr>
            <w:r>
              <w:rPr>
                <w:rFonts w:ascii="Arial" w:cs="Arial" w:eastAsia="Arial" w:hAnsi="Arial"/>
                <w:sz w:val="18"/>
                <w:szCs w:val="18"/>
                <w:color w:val="auto"/>
              </w:rPr>
              <w:t>$1,387,061</w:t>
            </w:r>
          </w:p>
        </w:tc>
        <w:tc>
          <w:tcPr>
            <w:tcW w:w="0" w:type="dxa"/>
            <w:vAlign w:val="bottom"/>
          </w:tcPr>
          <w:p>
            <w:pPr>
              <w:spacing w:after="0"/>
              <w:rPr>
                <w:sz w:val="1"/>
                <w:szCs w:val="1"/>
                <w:color w:val="auto"/>
              </w:rPr>
            </w:pPr>
          </w:p>
        </w:tc>
      </w:tr>
      <w:tr>
        <w:trPr>
          <w:trHeight w:val="20"/>
        </w:trPr>
        <w:tc>
          <w:tcPr>
            <w:tcW w:w="5080" w:type="dxa"/>
            <w:vAlign w:val="bottom"/>
            <w:tcBorders>
              <w:top w:val="single" w:sz="8" w:color="BFBFBF"/>
            </w:tcBorders>
          </w:tcPr>
          <w:p>
            <w:pPr>
              <w:spacing w:after="0" w:line="20" w:lineRule="exact"/>
              <w:rPr>
                <w:sz w:val="1"/>
                <w:szCs w:val="1"/>
                <w:color w:val="auto"/>
              </w:rPr>
            </w:pPr>
          </w:p>
        </w:tc>
        <w:tc>
          <w:tcPr>
            <w:tcW w:w="760" w:type="dxa"/>
            <w:vAlign w:val="bottom"/>
            <w:tcBorders>
              <w:top w:val="single" w:sz="8" w:color="BFBFBF"/>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BFBFB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BFBFB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342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1215" w:right="239" w:bottom="761" w:gutter="0" w:footer="0" w:header="0"/>
        </w:sectPr>
      </w:pPr>
    </w:p>
    <w:bookmarkStart w:id="15" w:name="page16"/>
    <w:bookmarkEnd w:id="15"/>
    <w:p>
      <w:pPr>
        <w:jc w:val="center"/>
        <w:ind w:left="640"/>
        <w:spacing w:after="0"/>
        <w:rPr>
          <w:sz w:val="20"/>
          <w:szCs w:val="20"/>
          <w:color w:val="auto"/>
        </w:rPr>
      </w:pPr>
      <w:r>
        <w:rPr>
          <w:rFonts w:ascii="Arial" w:cs="Arial" w:eastAsia="Arial" w:hAnsi="Arial"/>
          <w:sz w:val="18"/>
          <w:szCs w:val="18"/>
          <w:color w:val="auto"/>
        </w:rPr>
        <w:t>ALBANY INTERNATIONAL CORP.</w:t>
      </w:r>
    </w:p>
    <w:p>
      <w:pPr>
        <w:jc w:val="center"/>
        <w:ind w:left="660"/>
        <w:spacing w:after="0" w:line="234" w:lineRule="auto"/>
        <w:rPr>
          <w:sz w:val="20"/>
          <w:szCs w:val="20"/>
          <w:color w:val="auto"/>
        </w:rPr>
      </w:pPr>
      <w:r>
        <w:rPr>
          <w:rFonts w:ascii="Arial" w:cs="Arial" w:eastAsia="Arial" w:hAnsi="Arial"/>
          <w:sz w:val="18"/>
          <w:szCs w:val="18"/>
          <w:color w:val="auto"/>
        </w:rPr>
        <w:t>CONSOLIDATED STATEMENT OF CASH FLOW</w:t>
      </w:r>
    </w:p>
    <w:p>
      <w:pPr>
        <w:jc w:val="center"/>
        <w:ind w:left="660"/>
        <w:spacing w:after="0" w:line="235" w:lineRule="auto"/>
        <w:rPr>
          <w:sz w:val="20"/>
          <w:szCs w:val="20"/>
          <w:color w:val="auto"/>
        </w:rPr>
      </w:pPr>
      <w:r>
        <w:rPr>
          <w:rFonts w:ascii="Arial" w:cs="Arial" w:eastAsia="Arial" w:hAnsi="Arial"/>
          <w:sz w:val="18"/>
          <w:szCs w:val="18"/>
          <w:color w:val="auto"/>
        </w:rPr>
        <w:t>(in thousands)</w:t>
      </w:r>
    </w:p>
    <w:p>
      <w:pPr>
        <w:spacing w:after="0" w:line="1" w:lineRule="exact"/>
        <w:rPr>
          <w:sz w:val="20"/>
          <w:szCs w:val="20"/>
          <w:color w:val="auto"/>
        </w:rPr>
      </w:pPr>
    </w:p>
    <w:p>
      <w:pPr>
        <w:jc w:val="center"/>
        <w:ind w:left="660"/>
        <w:spacing w:after="0"/>
        <w:rPr>
          <w:sz w:val="20"/>
          <w:szCs w:val="20"/>
          <w:color w:val="auto"/>
        </w:rPr>
      </w:pPr>
      <w:r>
        <w:rPr>
          <w:rFonts w:ascii="Arial" w:cs="Arial" w:eastAsia="Arial" w:hAnsi="Arial"/>
          <w:sz w:val="18"/>
          <w:szCs w:val="18"/>
          <w:color w:val="auto"/>
        </w:rPr>
        <w:t>(unaudited)</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62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0" w:type="dxa"/>
            <w:vAlign w:val="bottom"/>
          </w:tcPr>
          <w:p>
            <w:pPr>
              <w:jc w:val="center"/>
              <w:spacing w:after="0"/>
              <w:rPr>
                <w:sz w:val="20"/>
                <w:szCs w:val="20"/>
                <w:color w:val="auto"/>
              </w:rPr>
            </w:pPr>
            <w:r>
              <w:rPr>
                <w:rFonts w:ascii="Arial" w:cs="Arial" w:eastAsia="Arial" w:hAnsi="Arial"/>
                <w:sz w:val="18"/>
                <w:szCs w:val="18"/>
                <w:color w:val="auto"/>
                <w:w w:val="99"/>
              </w:rPr>
              <w:t>As adjusted for</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0" w:type="dxa"/>
            <w:vAlign w:val="bottom"/>
          </w:tcPr>
          <w:p>
            <w:pPr>
              <w:jc w:val="center"/>
              <w:spacing w:after="0" w:line="202" w:lineRule="exact"/>
              <w:rPr>
                <w:sz w:val="20"/>
                <w:szCs w:val="20"/>
                <w:color w:val="auto"/>
              </w:rPr>
            </w:pPr>
            <w:r>
              <w:rPr>
                <w:rFonts w:ascii="Arial" w:cs="Arial" w:eastAsia="Arial" w:hAnsi="Arial"/>
                <w:sz w:val="18"/>
                <w:szCs w:val="18"/>
                <w:color w:val="auto"/>
                <w:w w:val="98"/>
              </w:rPr>
              <w:t>the Three</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0" w:type="dxa"/>
            <w:vAlign w:val="bottom"/>
          </w:tcPr>
          <w:p>
            <w:pPr>
              <w:jc w:val="center"/>
              <w:spacing w:after="0" w:line="202" w:lineRule="exact"/>
              <w:rPr>
                <w:sz w:val="20"/>
                <w:szCs w:val="20"/>
                <w:color w:val="auto"/>
              </w:rPr>
            </w:pPr>
            <w:r>
              <w:rPr>
                <w:rFonts w:ascii="Arial" w:cs="Arial" w:eastAsia="Arial" w:hAnsi="Arial"/>
                <w:sz w:val="18"/>
                <w:szCs w:val="18"/>
                <w:color w:val="auto"/>
                <w:w w:val="99"/>
              </w:rPr>
              <w:t>months ended</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60" w:type="dxa"/>
            <w:vAlign w:val="bottom"/>
          </w:tcPr>
          <w:p>
            <w:pPr>
              <w:spacing w:after="0"/>
              <w:rPr>
                <w:sz w:val="17"/>
                <w:szCs w:val="17"/>
                <w:color w:val="auto"/>
              </w:rPr>
            </w:pPr>
          </w:p>
        </w:tc>
        <w:tc>
          <w:tcPr>
            <w:tcW w:w="1840" w:type="dxa"/>
            <w:vAlign w:val="bottom"/>
            <w:gridSpan w:val="2"/>
          </w:tcPr>
          <w:p>
            <w:pPr>
              <w:jc w:val="center"/>
              <w:ind w:right="480"/>
              <w:spacing w:after="0" w:line="202" w:lineRule="exact"/>
              <w:rPr>
                <w:sz w:val="20"/>
                <w:szCs w:val="20"/>
                <w:color w:val="auto"/>
              </w:rPr>
            </w:pPr>
            <w:r>
              <w:rPr>
                <w:rFonts w:ascii="Arial" w:cs="Arial" w:eastAsia="Arial" w:hAnsi="Arial"/>
                <w:sz w:val="18"/>
                <w:szCs w:val="18"/>
                <w:color w:val="auto"/>
              </w:rPr>
              <w:t>As reported for</w:t>
            </w:r>
          </w:p>
        </w:tc>
        <w:tc>
          <w:tcPr>
            <w:tcW w:w="14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0" w:type="dxa"/>
            <w:vAlign w:val="bottom"/>
          </w:tcPr>
          <w:p>
            <w:pPr>
              <w:jc w:val="center"/>
              <w:spacing w:after="0" w:line="202" w:lineRule="exact"/>
              <w:rPr>
                <w:sz w:val="20"/>
                <w:szCs w:val="20"/>
                <w:color w:val="auto"/>
              </w:rPr>
            </w:pPr>
            <w:r>
              <w:rPr>
                <w:rFonts w:ascii="Arial" w:cs="Arial" w:eastAsia="Arial" w:hAnsi="Arial"/>
                <w:sz w:val="18"/>
                <w:szCs w:val="18"/>
                <w:color w:val="auto"/>
                <w:w w:val="99"/>
              </w:rPr>
              <w:t>March 31, 2018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60" w:type="dxa"/>
            <w:vAlign w:val="bottom"/>
          </w:tcPr>
          <w:p>
            <w:pPr>
              <w:spacing w:after="0"/>
              <w:rPr>
                <w:sz w:val="17"/>
                <w:szCs w:val="17"/>
                <w:color w:val="auto"/>
              </w:rPr>
            </w:pPr>
          </w:p>
        </w:tc>
        <w:tc>
          <w:tcPr>
            <w:tcW w:w="1840" w:type="dxa"/>
            <w:vAlign w:val="bottom"/>
            <w:gridSpan w:val="2"/>
          </w:tcPr>
          <w:p>
            <w:pPr>
              <w:jc w:val="center"/>
              <w:ind w:right="480"/>
              <w:spacing w:after="0" w:line="202" w:lineRule="exact"/>
              <w:rPr>
                <w:sz w:val="20"/>
                <w:szCs w:val="20"/>
                <w:color w:val="auto"/>
              </w:rPr>
            </w:pPr>
            <w:r>
              <w:rPr>
                <w:rFonts w:ascii="Arial" w:cs="Arial" w:eastAsia="Arial" w:hAnsi="Arial"/>
                <w:sz w:val="18"/>
                <w:szCs w:val="18"/>
                <w:color w:val="auto"/>
                <w:w w:val="98"/>
              </w:rPr>
              <w:t>the Three</w:t>
            </w:r>
          </w:p>
        </w:tc>
        <w:tc>
          <w:tcPr>
            <w:tcW w:w="1900" w:type="dxa"/>
            <w:vAlign w:val="bottom"/>
            <w:gridSpan w:val="2"/>
          </w:tcPr>
          <w:p>
            <w:pPr>
              <w:jc w:val="center"/>
              <w:ind w:right="480"/>
              <w:spacing w:after="0" w:line="202" w:lineRule="exact"/>
              <w:rPr>
                <w:sz w:val="20"/>
                <w:szCs w:val="20"/>
                <w:color w:val="auto"/>
              </w:rPr>
            </w:pPr>
            <w:r>
              <w:rPr>
                <w:rFonts w:ascii="Arial" w:cs="Arial" w:eastAsia="Arial" w:hAnsi="Arial"/>
                <w:sz w:val="18"/>
                <w:szCs w:val="18"/>
                <w:color w:val="auto"/>
                <w:w w:val="99"/>
              </w:rPr>
              <w:t>Adjustments to</w:t>
            </w:r>
          </w:p>
        </w:tc>
        <w:tc>
          <w:tcPr>
            <w:tcW w:w="1400" w:type="dxa"/>
            <w:vAlign w:val="bottom"/>
          </w:tcPr>
          <w:p>
            <w:pPr>
              <w:jc w:val="center"/>
              <w:spacing w:after="0" w:line="202" w:lineRule="exact"/>
              <w:rPr>
                <w:sz w:val="20"/>
                <w:szCs w:val="20"/>
                <w:color w:val="auto"/>
              </w:rPr>
            </w:pPr>
            <w:r>
              <w:rPr>
                <w:rFonts w:ascii="Arial" w:cs="Arial" w:eastAsia="Arial" w:hAnsi="Arial"/>
                <w:sz w:val="18"/>
                <w:szCs w:val="18"/>
                <w:color w:val="auto"/>
                <w:w w:val="99"/>
              </w:rPr>
              <w:t>to exclude</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60" w:type="dxa"/>
            <w:vAlign w:val="bottom"/>
          </w:tcPr>
          <w:p>
            <w:pPr>
              <w:spacing w:after="0"/>
              <w:rPr>
                <w:sz w:val="17"/>
                <w:szCs w:val="17"/>
                <w:color w:val="auto"/>
              </w:rPr>
            </w:pPr>
          </w:p>
        </w:tc>
        <w:tc>
          <w:tcPr>
            <w:tcW w:w="1840" w:type="dxa"/>
            <w:vAlign w:val="bottom"/>
            <w:gridSpan w:val="2"/>
          </w:tcPr>
          <w:p>
            <w:pPr>
              <w:jc w:val="center"/>
              <w:ind w:right="500"/>
              <w:spacing w:after="0" w:line="202" w:lineRule="exact"/>
              <w:rPr>
                <w:sz w:val="20"/>
                <w:szCs w:val="20"/>
                <w:color w:val="auto"/>
              </w:rPr>
            </w:pPr>
            <w:r>
              <w:rPr>
                <w:rFonts w:ascii="Arial" w:cs="Arial" w:eastAsia="Arial" w:hAnsi="Arial"/>
                <w:sz w:val="18"/>
                <w:szCs w:val="18"/>
                <w:color w:val="auto"/>
                <w:w w:val="99"/>
              </w:rPr>
              <w:t>Months ended</w:t>
            </w:r>
          </w:p>
        </w:tc>
        <w:tc>
          <w:tcPr>
            <w:tcW w:w="1900" w:type="dxa"/>
            <w:vAlign w:val="bottom"/>
            <w:gridSpan w:val="2"/>
          </w:tcPr>
          <w:p>
            <w:pPr>
              <w:jc w:val="center"/>
              <w:ind w:right="480"/>
              <w:spacing w:after="0" w:line="202" w:lineRule="exact"/>
              <w:rPr>
                <w:sz w:val="20"/>
                <w:szCs w:val="20"/>
                <w:color w:val="auto"/>
              </w:rPr>
            </w:pPr>
            <w:r>
              <w:rPr>
                <w:rFonts w:ascii="Arial" w:cs="Arial" w:eastAsia="Arial" w:hAnsi="Arial"/>
                <w:sz w:val="18"/>
                <w:szCs w:val="18"/>
                <w:color w:val="auto"/>
                <w:w w:val="99"/>
              </w:rPr>
              <w:t>reverse effects of</w:t>
            </w:r>
          </w:p>
        </w:tc>
        <w:tc>
          <w:tcPr>
            <w:tcW w:w="1400" w:type="dxa"/>
            <w:vAlign w:val="bottom"/>
          </w:tcPr>
          <w:p>
            <w:pPr>
              <w:jc w:val="center"/>
              <w:spacing w:after="0" w:line="202" w:lineRule="exact"/>
              <w:rPr>
                <w:sz w:val="20"/>
                <w:szCs w:val="20"/>
                <w:color w:val="auto"/>
              </w:rPr>
            </w:pPr>
            <w:r>
              <w:rPr>
                <w:rFonts w:ascii="Arial" w:cs="Arial" w:eastAsia="Arial" w:hAnsi="Arial"/>
                <w:sz w:val="18"/>
                <w:szCs w:val="18"/>
                <w:color w:val="auto"/>
              </w:rPr>
              <w:t>adoption of ASC</w:t>
            </w:r>
          </w:p>
        </w:tc>
        <w:tc>
          <w:tcPr>
            <w:tcW w:w="0" w:type="dxa"/>
            <w:vAlign w:val="bottom"/>
          </w:tcPr>
          <w:p>
            <w:pPr>
              <w:spacing w:after="0"/>
              <w:rPr>
                <w:sz w:val="1"/>
                <w:szCs w:val="1"/>
                <w:color w:val="auto"/>
              </w:rPr>
            </w:pPr>
          </w:p>
        </w:tc>
      </w:tr>
      <w:tr>
        <w:trPr>
          <w:trHeight w:val="203"/>
        </w:trPr>
        <w:tc>
          <w:tcPr>
            <w:tcW w:w="6280" w:type="dxa"/>
            <w:vAlign w:val="bottom"/>
            <w:gridSpan w:val="2"/>
            <w:vMerge w:val="restart"/>
          </w:tcPr>
          <w:p>
            <w:pPr>
              <w:spacing w:after="0"/>
              <w:rPr>
                <w:sz w:val="20"/>
                <w:szCs w:val="20"/>
                <w:color w:val="auto"/>
              </w:rPr>
            </w:pPr>
            <w:r>
              <w:rPr>
                <w:rFonts w:ascii="Arial" w:cs="Arial" w:eastAsia="Arial" w:hAnsi="Arial"/>
                <w:sz w:val="18"/>
                <w:szCs w:val="18"/>
                <w:color w:val="auto"/>
              </w:rPr>
              <w:t>OPERATING ACTIVITIES</w:t>
            </w:r>
          </w:p>
        </w:tc>
        <w:tc>
          <w:tcPr>
            <w:tcW w:w="1840" w:type="dxa"/>
            <w:vAlign w:val="bottom"/>
            <w:gridSpan w:val="2"/>
          </w:tcPr>
          <w:p>
            <w:pPr>
              <w:jc w:val="center"/>
              <w:ind w:right="480"/>
              <w:spacing w:after="0" w:line="203" w:lineRule="exact"/>
              <w:rPr>
                <w:sz w:val="20"/>
                <w:szCs w:val="20"/>
                <w:color w:val="auto"/>
              </w:rPr>
            </w:pPr>
            <w:r>
              <w:rPr>
                <w:rFonts w:ascii="Arial" w:cs="Arial" w:eastAsia="Arial" w:hAnsi="Arial"/>
                <w:sz w:val="18"/>
                <w:szCs w:val="18"/>
                <w:color w:val="auto"/>
                <w:w w:val="99"/>
              </w:rPr>
              <w:t>March 31, 2018</w:t>
            </w:r>
          </w:p>
        </w:tc>
        <w:tc>
          <w:tcPr>
            <w:tcW w:w="1900" w:type="dxa"/>
            <w:vAlign w:val="bottom"/>
            <w:gridSpan w:val="2"/>
          </w:tcPr>
          <w:p>
            <w:pPr>
              <w:jc w:val="center"/>
              <w:ind w:right="500"/>
              <w:spacing w:after="0" w:line="203" w:lineRule="exact"/>
              <w:rPr>
                <w:sz w:val="20"/>
                <w:szCs w:val="20"/>
                <w:color w:val="auto"/>
              </w:rPr>
            </w:pPr>
            <w:r>
              <w:rPr>
                <w:rFonts w:ascii="Arial" w:cs="Arial" w:eastAsia="Arial" w:hAnsi="Arial"/>
                <w:sz w:val="18"/>
                <w:szCs w:val="18"/>
                <w:color w:val="auto"/>
                <w:w w:val="99"/>
              </w:rPr>
              <w:t>ASC 606</w:t>
            </w:r>
          </w:p>
        </w:tc>
        <w:tc>
          <w:tcPr>
            <w:tcW w:w="1400" w:type="dxa"/>
            <w:vAlign w:val="bottom"/>
          </w:tcPr>
          <w:p>
            <w:pPr>
              <w:jc w:val="center"/>
              <w:spacing w:after="0" w:line="203" w:lineRule="exact"/>
              <w:rPr>
                <w:sz w:val="20"/>
                <w:szCs w:val="20"/>
                <w:color w:val="auto"/>
              </w:rPr>
            </w:pPr>
            <w:r>
              <w:rPr>
                <w:rFonts w:ascii="Arial" w:cs="Arial" w:eastAsia="Arial" w:hAnsi="Arial"/>
                <w:sz w:val="18"/>
                <w:szCs w:val="18"/>
                <w:color w:val="auto"/>
                <w:w w:val="99"/>
              </w:rPr>
              <w:t>606</w:t>
            </w:r>
          </w:p>
        </w:tc>
        <w:tc>
          <w:tcPr>
            <w:tcW w:w="0" w:type="dxa"/>
            <w:vAlign w:val="bottom"/>
          </w:tcPr>
          <w:p>
            <w:pPr>
              <w:spacing w:after="0"/>
              <w:rPr>
                <w:sz w:val="1"/>
                <w:szCs w:val="1"/>
                <w:color w:val="auto"/>
              </w:rPr>
            </w:pPr>
          </w:p>
        </w:tc>
      </w:tr>
      <w:tr>
        <w:trPr>
          <w:trHeight w:val="196"/>
        </w:trPr>
        <w:tc>
          <w:tcPr>
            <w:tcW w:w="6280" w:type="dxa"/>
            <w:vAlign w:val="bottom"/>
            <w:gridSpan w:val="2"/>
            <w:vMerge w:val="continue"/>
          </w:tcPr>
          <w:p>
            <w:pPr>
              <w:spacing w:after="0"/>
              <w:rPr>
                <w:sz w:val="17"/>
                <w:szCs w:val="17"/>
                <w:color w:val="auto"/>
              </w:rPr>
            </w:pPr>
          </w:p>
        </w:tc>
        <w:tc>
          <w:tcPr>
            <w:tcW w:w="1360" w:type="dxa"/>
            <w:vAlign w:val="bottom"/>
            <w:tcBorders>
              <w:top w:val="single" w:sz="8" w:color="auto"/>
            </w:tcBorders>
          </w:tcPr>
          <w:p>
            <w:pPr>
              <w:spacing w:after="0"/>
              <w:rPr>
                <w:sz w:val="17"/>
                <w:szCs w:val="17"/>
                <w:color w:val="auto"/>
              </w:rPr>
            </w:pPr>
          </w:p>
        </w:tc>
        <w:tc>
          <w:tcPr>
            <w:tcW w:w="480" w:type="dxa"/>
            <w:vAlign w:val="bottom"/>
          </w:tcPr>
          <w:p>
            <w:pPr>
              <w:spacing w:after="0"/>
              <w:rPr>
                <w:sz w:val="17"/>
                <w:szCs w:val="17"/>
                <w:color w:val="auto"/>
              </w:rPr>
            </w:pPr>
          </w:p>
        </w:tc>
        <w:tc>
          <w:tcPr>
            <w:tcW w:w="1400" w:type="dxa"/>
            <w:vAlign w:val="bottom"/>
            <w:tcBorders>
              <w:top w:val="single" w:sz="8" w:color="auto"/>
            </w:tcBorders>
          </w:tcPr>
          <w:p>
            <w:pPr>
              <w:spacing w:after="0"/>
              <w:rPr>
                <w:sz w:val="17"/>
                <w:szCs w:val="17"/>
                <w:color w:val="auto"/>
              </w:rPr>
            </w:pPr>
          </w:p>
        </w:tc>
        <w:tc>
          <w:tcPr>
            <w:tcW w:w="500" w:type="dxa"/>
            <w:vAlign w:val="bottom"/>
          </w:tcPr>
          <w:p>
            <w:pPr>
              <w:spacing w:after="0"/>
              <w:rPr>
                <w:sz w:val="17"/>
                <w:szCs w:val="17"/>
                <w:color w:val="auto"/>
              </w:rPr>
            </w:pPr>
          </w:p>
        </w:tc>
        <w:tc>
          <w:tcPr>
            <w:tcW w:w="14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60" w:type="dxa"/>
            <w:vAlign w:val="bottom"/>
            <w:shd w:val="clear" w:color="auto" w:fill="BFBFBF"/>
          </w:tcPr>
          <w:p>
            <w:pPr>
              <w:spacing w:after="0" w:line="202" w:lineRule="exact"/>
              <w:rPr>
                <w:sz w:val="20"/>
                <w:szCs w:val="20"/>
                <w:color w:val="auto"/>
              </w:rPr>
            </w:pPr>
            <w:r>
              <w:rPr>
                <w:rFonts w:ascii="Arial" w:cs="Arial" w:eastAsia="Arial" w:hAnsi="Arial"/>
                <w:sz w:val="18"/>
                <w:szCs w:val="18"/>
                <w:color w:val="auto"/>
              </w:rPr>
              <w:t>Net income</w:t>
            </w:r>
          </w:p>
        </w:tc>
        <w:tc>
          <w:tcPr>
            <w:tcW w:w="1360" w:type="dxa"/>
            <w:vAlign w:val="bottom"/>
            <w:shd w:val="clear" w:color="auto" w:fill="BFBFBF"/>
          </w:tcPr>
          <w:p>
            <w:pPr>
              <w:jc w:val="right"/>
              <w:ind w:right="10"/>
              <w:spacing w:after="0" w:line="202" w:lineRule="exact"/>
              <w:rPr>
                <w:sz w:val="20"/>
                <w:szCs w:val="20"/>
                <w:color w:val="auto"/>
              </w:rPr>
            </w:pPr>
            <w:r>
              <w:rPr>
                <w:rFonts w:ascii="Arial" w:cs="Arial" w:eastAsia="Arial" w:hAnsi="Arial"/>
                <w:sz w:val="18"/>
                <w:szCs w:val="18"/>
                <w:color w:val="auto"/>
              </w:rPr>
              <w:t>$10,482</w:t>
            </w:r>
          </w:p>
        </w:tc>
        <w:tc>
          <w:tcPr>
            <w:tcW w:w="480" w:type="dxa"/>
            <w:vAlign w:val="bottom"/>
            <w:shd w:val="clear" w:color="auto" w:fill="BFBFBF"/>
          </w:tcPr>
          <w:p>
            <w:pPr>
              <w:spacing w:after="0"/>
              <w:rPr>
                <w:sz w:val="17"/>
                <w:szCs w:val="17"/>
                <w:color w:val="auto"/>
              </w:rPr>
            </w:pPr>
          </w:p>
        </w:tc>
        <w:tc>
          <w:tcPr>
            <w:tcW w:w="1400" w:type="dxa"/>
            <w:vAlign w:val="bottom"/>
            <w:shd w:val="clear" w:color="auto" w:fill="BFBFBF"/>
          </w:tcPr>
          <w:p>
            <w:pPr>
              <w:jc w:val="right"/>
              <w:spacing w:after="0" w:line="202" w:lineRule="exact"/>
              <w:rPr>
                <w:sz w:val="20"/>
                <w:szCs w:val="20"/>
                <w:color w:val="auto"/>
              </w:rPr>
            </w:pPr>
            <w:r>
              <w:rPr>
                <w:rFonts w:ascii="Arial" w:cs="Arial" w:eastAsia="Arial" w:hAnsi="Arial"/>
                <w:sz w:val="18"/>
                <w:szCs w:val="18"/>
                <w:color w:val="auto"/>
              </w:rPr>
              <w:t>($1,247)</w:t>
            </w:r>
          </w:p>
        </w:tc>
        <w:tc>
          <w:tcPr>
            <w:tcW w:w="500" w:type="dxa"/>
            <w:vAlign w:val="bottom"/>
            <w:shd w:val="clear" w:color="auto" w:fill="BFBFBF"/>
          </w:tcPr>
          <w:p>
            <w:pPr>
              <w:spacing w:after="0"/>
              <w:rPr>
                <w:sz w:val="17"/>
                <w:szCs w:val="17"/>
                <w:color w:val="auto"/>
              </w:rPr>
            </w:pPr>
          </w:p>
        </w:tc>
        <w:tc>
          <w:tcPr>
            <w:tcW w:w="1400" w:type="dxa"/>
            <w:vAlign w:val="bottom"/>
            <w:shd w:val="clear" w:color="auto" w:fill="BFBFBF"/>
          </w:tcPr>
          <w:p>
            <w:pPr>
              <w:jc w:val="right"/>
              <w:ind w:right="10"/>
              <w:spacing w:after="0" w:line="202" w:lineRule="exact"/>
              <w:rPr>
                <w:sz w:val="20"/>
                <w:szCs w:val="20"/>
                <w:color w:val="auto"/>
              </w:rPr>
            </w:pPr>
            <w:r>
              <w:rPr>
                <w:rFonts w:ascii="Arial" w:cs="Arial" w:eastAsia="Arial" w:hAnsi="Arial"/>
                <w:sz w:val="18"/>
                <w:szCs w:val="18"/>
                <w:color w:val="auto"/>
              </w:rPr>
              <w:t>$9,235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260" w:type="dxa"/>
            <w:vAlign w:val="bottom"/>
          </w:tcPr>
          <w:p>
            <w:pPr>
              <w:spacing w:after="0" w:line="201" w:lineRule="exact"/>
              <w:rPr>
                <w:sz w:val="20"/>
                <w:szCs w:val="20"/>
                <w:color w:val="auto"/>
              </w:rPr>
            </w:pPr>
            <w:r>
              <w:rPr>
                <w:rFonts w:ascii="Arial" w:cs="Arial" w:eastAsia="Arial" w:hAnsi="Arial"/>
                <w:sz w:val="18"/>
                <w:szCs w:val="18"/>
                <w:color w:val="auto"/>
              </w:rPr>
              <w:t>Adjustments to reconcile net income to net cash used in operating</w:t>
            </w:r>
          </w:p>
        </w:tc>
        <w:tc>
          <w:tcPr>
            <w:tcW w:w="13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280" w:type="dxa"/>
            <w:vAlign w:val="bottom"/>
            <w:gridSpan w:val="2"/>
          </w:tcPr>
          <w:p>
            <w:pPr>
              <w:spacing w:after="0" w:line="203" w:lineRule="exact"/>
              <w:rPr>
                <w:sz w:val="20"/>
                <w:szCs w:val="20"/>
                <w:color w:val="auto"/>
              </w:rPr>
            </w:pPr>
            <w:r>
              <w:rPr>
                <w:rFonts w:ascii="Arial" w:cs="Arial" w:eastAsia="Arial" w:hAnsi="Arial"/>
                <w:sz w:val="18"/>
                <w:szCs w:val="18"/>
                <w:color w:val="auto"/>
              </w:rPr>
              <w:t>activities:</w:t>
            </w:r>
          </w:p>
        </w:tc>
        <w:tc>
          <w:tcPr>
            <w:tcW w:w="13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60" w:type="dxa"/>
            <w:vAlign w:val="bottom"/>
            <w:shd w:val="clear" w:color="auto" w:fill="BFBFBF"/>
          </w:tcPr>
          <w:p>
            <w:pPr>
              <w:ind w:left="160"/>
              <w:spacing w:after="0" w:line="202" w:lineRule="exact"/>
              <w:rPr>
                <w:sz w:val="20"/>
                <w:szCs w:val="20"/>
                <w:color w:val="auto"/>
              </w:rPr>
            </w:pPr>
            <w:r>
              <w:rPr>
                <w:rFonts w:ascii="Arial" w:cs="Arial" w:eastAsia="Arial" w:hAnsi="Arial"/>
                <w:sz w:val="18"/>
                <w:szCs w:val="18"/>
                <w:color w:val="auto"/>
              </w:rPr>
              <w:t>Depreciation</w:t>
            </w:r>
          </w:p>
        </w:tc>
        <w:tc>
          <w:tcPr>
            <w:tcW w:w="1360" w:type="dxa"/>
            <w:vAlign w:val="bottom"/>
            <w:shd w:val="clear" w:color="auto" w:fill="BFBFBF"/>
          </w:tcPr>
          <w:p>
            <w:pPr>
              <w:jc w:val="right"/>
              <w:ind w:right="10"/>
              <w:spacing w:after="0" w:line="202" w:lineRule="exact"/>
              <w:rPr>
                <w:sz w:val="20"/>
                <w:szCs w:val="20"/>
                <w:color w:val="auto"/>
              </w:rPr>
            </w:pPr>
            <w:r>
              <w:rPr>
                <w:rFonts w:ascii="Arial" w:cs="Arial" w:eastAsia="Arial" w:hAnsi="Arial"/>
                <w:sz w:val="18"/>
                <w:szCs w:val="18"/>
                <w:color w:val="auto"/>
              </w:rPr>
              <w:t>18,302</w:t>
            </w:r>
          </w:p>
        </w:tc>
        <w:tc>
          <w:tcPr>
            <w:tcW w:w="480" w:type="dxa"/>
            <w:vAlign w:val="bottom"/>
            <w:shd w:val="clear" w:color="auto" w:fill="BFBFBF"/>
          </w:tcPr>
          <w:p>
            <w:pPr>
              <w:spacing w:after="0"/>
              <w:rPr>
                <w:sz w:val="17"/>
                <w:szCs w:val="17"/>
                <w:color w:val="auto"/>
              </w:rPr>
            </w:pPr>
          </w:p>
        </w:tc>
        <w:tc>
          <w:tcPr>
            <w:tcW w:w="1400" w:type="dxa"/>
            <w:vAlign w:val="bottom"/>
            <w:shd w:val="clear" w:color="auto" w:fill="BFBFBF"/>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500" w:type="dxa"/>
            <w:vAlign w:val="bottom"/>
            <w:shd w:val="clear" w:color="auto" w:fill="BFBFBF"/>
          </w:tcPr>
          <w:p>
            <w:pPr>
              <w:spacing w:after="0"/>
              <w:rPr>
                <w:sz w:val="17"/>
                <w:szCs w:val="17"/>
                <w:color w:val="auto"/>
              </w:rPr>
            </w:pPr>
          </w:p>
        </w:tc>
        <w:tc>
          <w:tcPr>
            <w:tcW w:w="1400" w:type="dxa"/>
            <w:vAlign w:val="bottom"/>
            <w:shd w:val="clear" w:color="auto" w:fill="BFBFBF"/>
          </w:tcPr>
          <w:p>
            <w:pPr>
              <w:jc w:val="right"/>
              <w:ind w:right="10"/>
              <w:spacing w:after="0" w:line="202" w:lineRule="exact"/>
              <w:rPr>
                <w:sz w:val="20"/>
                <w:szCs w:val="20"/>
                <w:color w:val="auto"/>
              </w:rPr>
            </w:pPr>
            <w:r>
              <w:rPr>
                <w:rFonts w:ascii="Arial" w:cs="Arial" w:eastAsia="Arial" w:hAnsi="Arial"/>
                <w:sz w:val="18"/>
                <w:szCs w:val="18"/>
                <w:color w:val="auto"/>
              </w:rPr>
              <w:t>18,302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60" w:type="dxa"/>
            <w:vAlign w:val="bottom"/>
          </w:tcPr>
          <w:p>
            <w:pPr>
              <w:ind w:left="160"/>
              <w:spacing w:after="0" w:line="202" w:lineRule="exact"/>
              <w:rPr>
                <w:sz w:val="20"/>
                <w:szCs w:val="20"/>
                <w:color w:val="auto"/>
              </w:rPr>
            </w:pPr>
            <w:r>
              <w:rPr>
                <w:rFonts w:ascii="Arial" w:cs="Arial" w:eastAsia="Arial" w:hAnsi="Arial"/>
                <w:sz w:val="18"/>
                <w:szCs w:val="18"/>
                <w:color w:val="auto"/>
              </w:rPr>
              <w:t>Amortization</w:t>
            </w:r>
          </w:p>
        </w:tc>
        <w:tc>
          <w:tcPr>
            <w:tcW w:w="13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2,646</w:t>
            </w:r>
          </w:p>
        </w:tc>
        <w:tc>
          <w:tcPr>
            <w:tcW w:w="480" w:type="dxa"/>
            <w:vAlign w:val="bottom"/>
          </w:tcPr>
          <w:p>
            <w:pPr>
              <w:spacing w:after="0"/>
              <w:rPr>
                <w:sz w:val="17"/>
                <w:szCs w:val="17"/>
                <w:color w:val="auto"/>
              </w:rPr>
            </w:pPr>
          </w:p>
        </w:tc>
        <w:tc>
          <w:tcPr>
            <w:tcW w:w="14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500" w:type="dxa"/>
            <w:vAlign w:val="bottom"/>
          </w:tcPr>
          <w:p>
            <w:pPr>
              <w:spacing w:after="0"/>
              <w:rPr>
                <w:sz w:val="17"/>
                <w:szCs w:val="17"/>
                <w:color w:val="auto"/>
              </w:rPr>
            </w:pPr>
          </w:p>
        </w:tc>
        <w:tc>
          <w:tcPr>
            <w:tcW w:w="14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2,646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60" w:type="dxa"/>
            <w:vAlign w:val="bottom"/>
            <w:shd w:val="clear" w:color="auto" w:fill="BFBFBF"/>
          </w:tcPr>
          <w:p>
            <w:pPr>
              <w:ind w:left="160"/>
              <w:spacing w:after="0" w:line="202" w:lineRule="exact"/>
              <w:rPr>
                <w:sz w:val="20"/>
                <w:szCs w:val="20"/>
                <w:color w:val="auto"/>
              </w:rPr>
            </w:pPr>
            <w:r>
              <w:rPr>
                <w:rFonts w:ascii="Arial" w:cs="Arial" w:eastAsia="Arial" w:hAnsi="Arial"/>
                <w:sz w:val="18"/>
                <w:szCs w:val="18"/>
                <w:color w:val="auto"/>
              </w:rPr>
              <w:t>Change in other noncurrent liabilities</w:t>
            </w:r>
          </w:p>
        </w:tc>
        <w:tc>
          <w:tcPr>
            <w:tcW w:w="1360" w:type="dxa"/>
            <w:vAlign w:val="bottom"/>
            <w:shd w:val="clear" w:color="auto" w:fill="BFBFBF"/>
          </w:tcPr>
          <w:p>
            <w:pPr>
              <w:jc w:val="right"/>
              <w:spacing w:after="0" w:line="202" w:lineRule="exact"/>
              <w:rPr>
                <w:sz w:val="20"/>
                <w:szCs w:val="20"/>
                <w:color w:val="auto"/>
              </w:rPr>
            </w:pPr>
            <w:r>
              <w:rPr>
                <w:rFonts w:ascii="Arial" w:cs="Arial" w:eastAsia="Arial" w:hAnsi="Arial"/>
                <w:sz w:val="18"/>
                <w:szCs w:val="18"/>
                <w:color w:val="auto"/>
              </w:rPr>
              <w:t>(377)</w:t>
            </w:r>
          </w:p>
        </w:tc>
        <w:tc>
          <w:tcPr>
            <w:tcW w:w="480" w:type="dxa"/>
            <w:vAlign w:val="bottom"/>
            <w:shd w:val="clear" w:color="auto" w:fill="BFBFBF"/>
          </w:tcPr>
          <w:p>
            <w:pPr>
              <w:spacing w:after="0"/>
              <w:rPr>
                <w:sz w:val="17"/>
                <w:szCs w:val="17"/>
                <w:color w:val="auto"/>
              </w:rPr>
            </w:pPr>
          </w:p>
        </w:tc>
        <w:tc>
          <w:tcPr>
            <w:tcW w:w="1400" w:type="dxa"/>
            <w:vAlign w:val="bottom"/>
            <w:shd w:val="clear" w:color="auto" w:fill="BFBFBF"/>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500" w:type="dxa"/>
            <w:vAlign w:val="bottom"/>
            <w:shd w:val="clear" w:color="auto" w:fill="BFBFBF"/>
          </w:tcPr>
          <w:p>
            <w:pPr>
              <w:spacing w:after="0"/>
              <w:rPr>
                <w:sz w:val="17"/>
                <w:szCs w:val="17"/>
                <w:color w:val="auto"/>
              </w:rPr>
            </w:pPr>
          </w:p>
        </w:tc>
        <w:tc>
          <w:tcPr>
            <w:tcW w:w="1400" w:type="dxa"/>
            <w:vAlign w:val="bottom"/>
            <w:shd w:val="clear" w:color="auto" w:fill="BFBFBF"/>
          </w:tcPr>
          <w:p>
            <w:pPr>
              <w:jc w:val="right"/>
              <w:spacing w:after="0" w:line="202" w:lineRule="exact"/>
              <w:rPr>
                <w:sz w:val="20"/>
                <w:szCs w:val="20"/>
                <w:color w:val="auto"/>
              </w:rPr>
            </w:pPr>
            <w:r>
              <w:rPr>
                <w:rFonts w:ascii="Arial" w:cs="Arial" w:eastAsia="Arial" w:hAnsi="Arial"/>
                <w:sz w:val="18"/>
                <w:szCs w:val="18"/>
                <w:color w:val="auto"/>
              </w:rPr>
              <w:t>(377)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60" w:type="dxa"/>
            <w:vAlign w:val="bottom"/>
          </w:tcPr>
          <w:p>
            <w:pPr>
              <w:ind w:left="160"/>
              <w:spacing w:after="0" w:line="202" w:lineRule="exact"/>
              <w:rPr>
                <w:sz w:val="20"/>
                <w:szCs w:val="20"/>
                <w:color w:val="auto"/>
              </w:rPr>
            </w:pPr>
            <w:r>
              <w:rPr>
                <w:rFonts w:ascii="Arial" w:cs="Arial" w:eastAsia="Arial" w:hAnsi="Arial"/>
                <w:sz w:val="18"/>
                <w:szCs w:val="18"/>
                <w:color w:val="auto"/>
              </w:rPr>
              <w:t>Change in deferred taxes and other liabilities</w:t>
            </w: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(784)</w:t>
            </w:r>
          </w:p>
        </w:tc>
        <w:tc>
          <w:tcPr>
            <w:tcW w:w="480" w:type="dxa"/>
            <w:vAlign w:val="bottom"/>
          </w:tcPr>
          <w:p>
            <w:pPr>
              <w:spacing w:after="0"/>
              <w:rPr>
                <w:sz w:val="17"/>
                <w:szCs w:val="17"/>
                <w:color w:val="auto"/>
              </w:rPr>
            </w:pPr>
          </w:p>
        </w:tc>
        <w:tc>
          <w:tcPr>
            <w:tcW w:w="14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1,103</w:t>
            </w:r>
          </w:p>
        </w:tc>
        <w:tc>
          <w:tcPr>
            <w:tcW w:w="500" w:type="dxa"/>
            <w:vAlign w:val="bottom"/>
          </w:tcPr>
          <w:p>
            <w:pPr>
              <w:spacing w:after="0"/>
              <w:rPr>
                <w:sz w:val="17"/>
                <w:szCs w:val="17"/>
                <w:color w:val="auto"/>
              </w:rPr>
            </w:pPr>
          </w:p>
        </w:tc>
        <w:tc>
          <w:tcPr>
            <w:tcW w:w="14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319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60" w:type="dxa"/>
            <w:vAlign w:val="bottom"/>
            <w:shd w:val="clear" w:color="auto" w:fill="BFBFBF"/>
          </w:tcPr>
          <w:p>
            <w:pPr>
              <w:ind w:left="160"/>
              <w:spacing w:after="0" w:line="202" w:lineRule="exact"/>
              <w:rPr>
                <w:sz w:val="20"/>
                <w:szCs w:val="20"/>
                <w:color w:val="auto"/>
              </w:rPr>
            </w:pPr>
            <w:r>
              <w:rPr>
                <w:rFonts w:ascii="Arial" w:cs="Arial" w:eastAsia="Arial" w:hAnsi="Arial"/>
                <w:sz w:val="18"/>
                <w:szCs w:val="18"/>
                <w:color w:val="auto"/>
              </w:rPr>
              <w:t>Provision for write-off of property, plant and equipment</w:t>
            </w:r>
          </w:p>
        </w:tc>
        <w:tc>
          <w:tcPr>
            <w:tcW w:w="1360" w:type="dxa"/>
            <w:vAlign w:val="bottom"/>
            <w:shd w:val="clear" w:color="auto" w:fill="BFBFBF"/>
          </w:tcPr>
          <w:p>
            <w:pPr>
              <w:jc w:val="right"/>
              <w:ind w:right="10"/>
              <w:spacing w:after="0" w:line="202" w:lineRule="exact"/>
              <w:rPr>
                <w:sz w:val="20"/>
                <w:szCs w:val="20"/>
                <w:color w:val="auto"/>
              </w:rPr>
            </w:pPr>
            <w:r>
              <w:rPr>
                <w:rFonts w:ascii="Arial" w:cs="Arial" w:eastAsia="Arial" w:hAnsi="Arial"/>
                <w:sz w:val="18"/>
                <w:szCs w:val="18"/>
                <w:color w:val="auto"/>
              </w:rPr>
              <w:t>271</w:t>
            </w:r>
          </w:p>
        </w:tc>
        <w:tc>
          <w:tcPr>
            <w:tcW w:w="480" w:type="dxa"/>
            <w:vAlign w:val="bottom"/>
            <w:shd w:val="clear" w:color="auto" w:fill="BFBFBF"/>
          </w:tcPr>
          <w:p>
            <w:pPr>
              <w:spacing w:after="0"/>
              <w:rPr>
                <w:sz w:val="17"/>
                <w:szCs w:val="17"/>
                <w:color w:val="auto"/>
              </w:rPr>
            </w:pPr>
          </w:p>
        </w:tc>
        <w:tc>
          <w:tcPr>
            <w:tcW w:w="1400" w:type="dxa"/>
            <w:vAlign w:val="bottom"/>
            <w:shd w:val="clear" w:color="auto" w:fill="BFBFBF"/>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500" w:type="dxa"/>
            <w:vAlign w:val="bottom"/>
            <w:shd w:val="clear" w:color="auto" w:fill="BFBFBF"/>
          </w:tcPr>
          <w:p>
            <w:pPr>
              <w:spacing w:after="0"/>
              <w:rPr>
                <w:sz w:val="17"/>
                <w:szCs w:val="17"/>
                <w:color w:val="auto"/>
              </w:rPr>
            </w:pPr>
          </w:p>
        </w:tc>
        <w:tc>
          <w:tcPr>
            <w:tcW w:w="1400" w:type="dxa"/>
            <w:vAlign w:val="bottom"/>
            <w:shd w:val="clear" w:color="auto" w:fill="BFBFBF"/>
          </w:tcPr>
          <w:p>
            <w:pPr>
              <w:jc w:val="right"/>
              <w:ind w:right="10"/>
              <w:spacing w:after="0" w:line="202" w:lineRule="exact"/>
              <w:rPr>
                <w:sz w:val="20"/>
                <w:szCs w:val="20"/>
                <w:color w:val="auto"/>
              </w:rPr>
            </w:pPr>
            <w:r>
              <w:rPr>
                <w:rFonts w:ascii="Arial" w:cs="Arial" w:eastAsia="Arial" w:hAnsi="Arial"/>
                <w:sz w:val="18"/>
                <w:szCs w:val="18"/>
                <w:color w:val="auto"/>
              </w:rPr>
              <w:t>271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60" w:type="dxa"/>
            <w:vAlign w:val="bottom"/>
          </w:tcPr>
          <w:p>
            <w:pPr>
              <w:ind w:left="160"/>
              <w:spacing w:after="0" w:line="202" w:lineRule="exact"/>
              <w:rPr>
                <w:sz w:val="20"/>
                <w:szCs w:val="20"/>
                <w:color w:val="auto"/>
              </w:rPr>
            </w:pPr>
            <w:r>
              <w:rPr>
                <w:rFonts w:ascii="Arial" w:cs="Arial" w:eastAsia="Arial" w:hAnsi="Arial"/>
                <w:sz w:val="18"/>
                <w:szCs w:val="18"/>
                <w:color w:val="auto"/>
              </w:rPr>
              <w:t>Non-cash interest expense</w:t>
            </w:r>
          </w:p>
        </w:tc>
        <w:tc>
          <w:tcPr>
            <w:tcW w:w="13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480" w:type="dxa"/>
            <w:vAlign w:val="bottom"/>
          </w:tcPr>
          <w:p>
            <w:pPr>
              <w:spacing w:after="0"/>
              <w:rPr>
                <w:sz w:val="17"/>
                <w:szCs w:val="17"/>
                <w:color w:val="auto"/>
              </w:rPr>
            </w:pPr>
          </w:p>
        </w:tc>
        <w:tc>
          <w:tcPr>
            <w:tcW w:w="14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500" w:type="dxa"/>
            <w:vAlign w:val="bottom"/>
          </w:tcPr>
          <w:p>
            <w:pPr>
              <w:spacing w:after="0"/>
              <w:rPr>
                <w:sz w:val="17"/>
                <w:szCs w:val="17"/>
                <w:color w:val="auto"/>
              </w:rPr>
            </w:pPr>
          </w:p>
        </w:tc>
        <w:tc>
          <w:tcPr>
            <w:tcW w:w="14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60" w:type="dxa"/>
            <w:vAlign w:val="bottom"/>
            <w:shd w:val="clear" w:color="auto" w:fill="BFBFBF"/>
          </w:tcPr>
          <w:p>
            <w:pPr>
              <w:ind w:left="160"/>
              <w:spacing w:after="0" w:line="202" w:lineRule="exact"/>
              <w:rPr>
                <w:sz w:val="20"/>
                <w:szCs w:val="20"/>
                <w:color w:val="auto"/>
              </w:rPr>
            </w:pPr>
            <w:r>
              <w:rPr>
                <w:rFonts w:ascii="Arial" w:cs="Arial" w:eastAsia="Arial" w:hAnsi="Arial"/>
                <w:sz w:val="18"/>
                <w:szCs w:val="18"/>
                <w:color w:val="auto"/>
              </w:rPr>
              <w:t>Compensation and benefits paid or payable in Class A Common Stock</w:t>
            </w:r>
          </w:p>
        </w:tc>
        <w:tc>
          <w:tcPr>
            <w:tcW w:w="1360" w:type="dxa"/>
            <w:vAlign w:val="bottom"/>
            <w:shd w:val="clear" w:color="auto" w:fill="BFBFBF"/>
          </w:tcPr>
          <w:p>
            <w:pPr>
              <w:jc w:val="right"/>
              <w:ind w:right="10"/>
              <w:spacing w:after="0" w:line="202" w:lineRule="exact"/>
              <w:rPr>
                <w:sz w:val="20"/>
                <w:szCs w:val="20"/>
                <w:color w:val="auto"/>
              </w:rPr>
            </w:pPr>
            <w:r>
              <w:rPr>
                <w:rFonts w:ascii="Arial" w:cs="Arial" w:eastAsia="Arial" w:hAnsi="Arial"/>
                <w:sz w:val="18"/>
                <w:szCs w:val="18"/>
                <w:color w:val="auto"/>
              </w:rPr>
              <w:t>289</w:t>
            </w:r>
          </w:p>
        </w:tc>
        <w:tc>
          <w:tcPr>
            <w:tcW w:w="480" w:type="dxa"/>
            <w:vAlign w:val="bottom"/>
            <w:shd w:val="clear" w:color="auto" w:fill="BFBFBF"/>
          </w:tcPr>
          <w:p>
            <w:pPr>
              <w:spacing w:after="0"/>
              <w:rPr>
                <w:sz w:val="17"/>
                <w:szCs w:val="17"/>
                <w:color w:val="auto"/>
              </w:rPr>
            </w:pPr>
          </w:p>
        </w:tc>
        <w:tc>
          <w:tcPr>
            <w:tcW w:w="1400" w:type="dxa"/>
            <w:vAlign w:val="bottom"/>
            <w:shd w:val="clear" w:color="auto" w:fill="BFBFBF"/>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500" w:type="dxa"/>
            <w:vAlign w:val="bottom"/>
            <w:shd w:val="clear" w:color="auto" w:fill="BFBFBF"/>
          </w:tcPr>
          <w:p>
            <w:pPr>
              <w:spacing w:after="0"/>
              <w:rPr>
                <w:sz w:val="17"/>
                <w:szCs w:val="17"/>
                <w:color w:val="auto"/>
              </w:rPr>
            </w:pPr>
          </w:p>
        </w:tc>
        <w:tc>
          <w:tcPr>
            <w:tcW w:w="1400" w:type="dxa"/>
            <w:vAlign w:val="bottom"/>
            <w:shd w:val="clear" w:color="auto" w:fill="BFBFBF"/>
          </w:tcPr>
          <w:p>
            <w:pPr>
              <w:jc w:val="right"/>
              <w:ind w:right="10"/>
              <w:spacing w:after="0" w:line="202" w:lineRule="exact"/>
              <w:rPr>
                <w:sz w:val="20"/>
                <w:szCs w:val="20"/>
                <w:color w:val="auto"/>
              </w:rPr>
            </w:pPr>
            <w:r>
              <w:rPr>
                <w:rFonts w:ascii="Arial" w:cs="Arial" w:eastAsia="Arial" w:hAnsi="Arial"/>
                <w:sz w:val="18"/>
                <w:szCs w:val="18"/>
                <w:color w:val="auto"/>
              </w:rPr>
              <w:t>289</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260" w:type="dxa"/>
            <w:vAlign w:val="bottom"/>
          </w:tcPr>
          <w:p>
            <w:pPr>
              <w:ind w:left="160"/>
              <w:spacing w:after="0"/>
              <w:rPr>
                <w:sz w:val="20"/>
                <w:szCs w:val="20"/>
                <w:color w:val="auto"/>
              </w:rPr>
            </w:pPr>
            <w:r>
              <w:rPr>
                <w:rFonts w:ascii="Arial" w:cs="Arial" w:eastAsia="Arial" w:hAnsi="Arial"/>
                <w:sz w:val="18"/>
                <w:szCs w:val="18"/>
                <w:color w:val="auto"/>
              </w:rPr>
              <w:t>Fair value adjustment on foreign currency option</w:t>
            </w: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37</w:t>
            </w:r>
          </w:p>
        </w:tc>
        <w:tc>
          <w:tcPr>
            <w:tcW w:w="48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62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60" w:type="dxa"/>
            <w:vAlign w:val="bottom"/>
            <w:shd w:val="clear" w:color="auto" w:fill="BFBFBF"/>
          </w:tcPr>
          <w:p>
            <w:pPr>
              <w:ind w:left="40"/>
              <w:spacing w:after="0" w:line="202" w:lineRule="exact"/>
              <w:rPr>
                <w:sz w:val="20"/>
                <w:szCs w:val="20"/>
                <w:color w:val="auto"/>
              </w:rPr>
            </w:pPr>
            <w:r>
              <w:rPr>
                <w:rFonts w:ascii="Arial" w:cs="Arial" w:eastAsia="Arial" w:hAnsi="Arial"/>
                <w:sz w:val="18"/>
                <w:szCs w:val="18"/>
                <w:color w:val="auto"/>
              </w:rPr>
              <w:t>Changes in operating assets and liabilities that (used)/provided cash:</w:t>
            </w:r>
          </w:p>
        </w:tc>
        <w:tc>
          <w:tcPr>
            <w:tcW w:w="1360" w:type="dxa"/>
            <w:vAlign w:val="bottom"/>
            <w:shd w:val="clear" w:color="auto" w:fill="BFBFBF"/>
          </w:tcPr>
          <w:p>
            <w:pPr>
              <w:spacing w:after="0"/>
              <w:rPr>
                <w:sz w:val="17"/>
                <w:szCs w:val="17"/>
                <w:color w:val="auto"/>
              </w:rPr>
            </w:pPr>
          </w:p>
        </w:tc>
        <w:tc>
          <w:tcPr>
            <w:tcW w:w="480" w:type="dxa"/>
            <w:vAlign w:val="bottom"/>
            <w:shd w:val="clear" w:color="auto" w:fill="BFBFBF"/>
          </w:tcPr>
          <w:p>
            <w:pPr>
              <w:spacing w:after="0"/>
              <w:rPr>
                <w:sz w:val="17"/>
                <w:szCs w:val="17"/>
                <w:color w:val="auto"/>
              </w:rPr>
            </w:pPr>
          </w:p>
        </w:tc>
        <w:tc>
          <w:tcPr>
            <w:tcW w:w="1400" w:type="dxa"/>
            <w:vAlign w:val="bottom"/>
            <w:shd w:val="clear" w:color="auto" w:fill="BFBFBF"/>
          </w:tcPr>
          <w:p>
            <w:pPr>
              <w:spacing w:after="0"/>
              <w:rPr>
                <w:sz w:val="17"/>
                <w:szCs w:val="17"/>
                <w:color w:val="auto"/>
              </w:rPr>
            </w:pPr>
          </w:p>
        </w:tc>
        <w:tc>
          <w:tcPr>
            <w:tcW w:w="500" w:type="dxa"/>
            <w:vAlign w:val="bottom"/>
            <w:shd w:val="clear" w:color="auto" w:fill="BFBFBF"/>
          </w:tcPr>
          <w:p>
            <w:pPr>
              <w:spacing w:after="0"/>
              <w:rPr>
                <w:sz w:val="17"/>
                <w:szCs w:val="17"/>
                <w:color w:val="auto"/>
              </w:rPr>
            </w:pPr>
          </w:p>
        </w:tc>
        <w:tc>
          <w:tcPr>
            <w:tcW w:w="1400" w:type="dxa"/>
            <w:vAlign w:val="bottom"/>
            <w:shd w:val="clear" w:color="auto" w:fill="BFBFB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60" w:type="dxa"/>
            <w:vAlign w:val="bottom"/>
          </w:tcPr>
          <w:p>
            <w:pPr>
              <w:ind w:left="160"/>
              <w:spacing w:after="0" w:line="202" w:lineRule="exact"/>
              <w:rPr>
                <w:sz w:val="20"/>
                <w:szCs w:val="20"/>
                <w:color w:val="auto"/>
              </w:rPr>
            </w:pPr>
            <w:r>
              <w:rPr>
                <w:rFonts w:ascii="Arial" w:cs="Arial" w:eastAsia="Arial" w:hAnsi="Arial"/>
                <w:sz w:val="18"/>
                <w:szCs w:val="18"/>
                <w:color w:val="auto"/>
              </w:rPr>
              <w:t>Accounts receivable</w:t>
            </w: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(31,467)</w:t>
            </w:r>
          </w:p>
        </w:tc>
        <w:tc>
          <w:tcPr>
            <w:tcW w:w="480" w:type="dxa"/>
            <w:vAlign w:val="bottom"/>
          </w:tcPr>
          <w:p>
            <w:pPr>
              <w:spacing w:after="0"/>
              <w:rPr>
                <w:sz w:val="17"/>
                <w:szCs w:val="17"/>
                <w:color w:val="auto"/>
              </w:rPr>
            </w:pPr>
          </w:p>
        </w:tc>
        <w:tc>
          <w:tcPr>
            <w:tcW w:w="14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7,324</w:t>
            </w:r>
          </w:p>
        </w:tc>
        <w:tc>
          <w:tcPr>
            <w:tcW w:w="500" w:type="dxa"/>
            <w:vAlign w:val="bottom"/>
          </w:tcPr>
          <w:p>
            <w:pPr>
              <w:spacing w:after="0"/>
              <w:rPr>
                <w:sz w:val="17"/>
                <w:szCs w:val="17"/>
                <w:color w:val="auto"/>
              </w:rPr>
            </w:pPr>
          </w:p>
        </w:tc>
        <w:tc>
          <w:tcPr>
            <w:tcW w:w="1400" w:type="dxa"/>
            <w:vAlign w:val="bottom"/>
          </w:tcPr>
          <w:p>
            <w:pPr>
              <w:jc w:val="right"/>
              <w:spacing w:after="0" w:line="202" w:lineRule="exact"/>
              <w:rPr>
                <w:sz w:val="20"/>
                <w:szCs w:val="20"/>
                <w:color w:val="auto"/>
              </w:rPr>
            </w:pPr>
            <w:r>
              <w:rPr>
                <w:rFonts w:ascii="Arial" w:cs="Arial" w:eastAsia="Arial" w:hAnsi="Arial"/>
                <w:sz w:val="18"/>
                <w:szCs w:val="18"/>
                <w:color w:val="auto"/>
              </w:rPr>
              <w:t>(24,143)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60" w:type="dxa"/>
            <w:vAlign w:val="bottom"/>
            <w:shd w:val="clear" w:color="auto" w:fill="BFBFBF"/>
          </w:tcPr>
          <w:p>
            <w:pPr>
              <w:ind w:left="160"/>
              <w:spacing w:after="0" w:line="202" w:lineRule="exact"/>
              <w:rPr>
                <w:sz w:val="20"/>
                <w:szCs w:val="20"/>
                <w:color w:val="auto"/>
              </w:rPr>
            </w:pPr>
            <w:r>
              <w:rPr>
                <w:rFonts w:ascii="Arial" w:cs="Arial" w:eastAsia="Arial" w:hAnsi="Arial"/>
                <w:sz w:val="18"/>
                <w:szCs w:val="18"/>
                <w:color w:val="auto"/>
              </w:rPr>
              <w:t>Contract assets</w:t>
            </w:r>
          </w:p>
        </w:tc>
        <w:tc>
          <w:tcPr>
            <w:tcW w:w="1360" w:type="dxa"/>
            <w:vAlign w:val="bottom"/>
            <w:shd w:val="clear" w:color="auto" w:fill="BFBFBF"/>
          </w:tcPr>
          <w:p>
            <w:pPr>
              <w:jc w:val="right"/>
              <w:ind w:right="10"/>
              <w:spacing w:after="0" w:line="202" w:lineRule="exact"/>
              <w:rPr>
                <w:sz w:val="20"/>
                <w:szCs w:val="20"/>
                <w:color w:val="auto"/>
              </w:rPr>
            </w:pPr>
            <w:r>
              <w:rPr>
                <w:rFonts w:ascii="Arial" w:cs="Arial" w:eastAsia="Arial" w:hAnsi="Arial"/>
                <w:sz w:val="18"/>
                <w:szCs w:val="18"/>
                <w:color w:val="auto"/>
              </w:rPr>
              <w:t>2,116</w:t>
            </w:r>
          </w:p>
        </w:tc>
        <w:tc>
          <w:tcPr>
            <w:tcW w:w="480" w:type="dxa"/>
            <w:vAlign w:val="bottom"/>
            <w:shd w:val="clear" w:color="auto" w:fill="BFBFBF"/>
          </w:tcPr>
          <w:p>
            <w:pPr>
              <w:spacing w:after="0"/>
              <w:rPr>
                <w:sz w:val="17"/>
                <w:szCs w:val="17"/>
                <w:color w:val="auto"/>
              </w:rPr>
            </w:pPr>
          </w:p>
        </w:tc>
        <w:tc>
          <w:tcPr>
            <w:tcW w:w="1400" w:type="dxa"/>
            <w:vAlign w:val="bottom"/>
            <w:shd w:val="clear" w:color="auto" w:fill="BFBFBF"/>
          </w:tcPr>
          <w:p>
            <w:pPr>
              <w:jc w:val="right"/>
              <w:spacing w:after="0" w:line="202" w:lineRule="exact"/>
              <w:rPr>
                <w:sz w:val="20"/>
                <w:szCs w:val="20"/>
                <w:color w:val="auto"/>
              </w:rPr>
            </w:pPr>
            <w:r>
              <w:rPr>
                <w:rFonts w:ascii="Arial" w:cs="Arial" w:eastAsia="Arial" w:hAnsi="Arial"/>
                <w:sz w:val="18"/>
                <w:szCs w:val="18"/>
                <w:color w:val="auto"/>
              </w:rPr>
              <w:t>(2,116)</w:t>
            </w:r>
          </w:p>
        </w:tc>
        <w:tc>
          <w:tcPr>
            <w:tcW w:w="500" w:type="dxa"/>
            <w:vAlign w:val="bottom"/>
            <w:shd w:val="clear" w:color="auto" w:fill="BFBFBF"/>
          </w:tcPr>
          <w:p>
            <w:pPr>
              <w:spacing w:after="0"/>
              <w:rPr>
                <w:sz w:val="17"/>
                <w:szCs w:val="17"/>
                <w:color w:val="auto"/>
              </w:rPr>
            </w:pPr>
          </w:p>
        </w:tc>
        <w:tc>
          <w:tcPr>
            <w:tcW w:w="1400" w:type="dxa"/>
            <w:vAlign w:val="bottom"/>
            <w:shd w:val="clear" w:color="auto" w:fill="BFBFBF"/>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60" w:type="dxa"/>
            <w:vAlign w:val="bottom"/>
          </w:tcPr>
          <w:p>
            <w:pPr>
              <w:ind w:left="160"/>
              <w:spacing w:after="0" w:line="202" w:lineRule="exact"/>
              <w:rPr>
                <w:sz w:val="20"/>
                <w:szCs w:val="20"/>
                <w:color w:val="auto"/>
              </w:rPr>
            </w:pPr>
            <w:r>
              <w:rPr>
                <w:rFonts w:ascii="Arial" w:cs="Arial" w:eastAsia="Arial" w:hAnsi="Arial"/>
                <w:sz w:val="18"/>
                <w:szCs w:val="18"/>
                <w:color w:val="auto"/>
              </w:rPr>
              <w:t>Inventories</w:t>
            </w: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(9,244)</w:t>
            </w:r>
          </w:p>
        </w:tc>
        <w:tc>
          <w:tcPr>
            <w:tcW w:w="480" w:type="dxa"/>
            <w:vAlign w:val="bottom"/>
          </w:tcPr>
          <w:p>
            <w:pPr>
              <w:spacing w:after="0"/>
              <w:rPr>
                <w:sz w:val="17"/>
                <w:szCs w:val="17"/>
                <w:color w:val="auto"/>
              </w:rPr>
            </w:pPr>
          </w:p>
        </w:tc>
        <w:tc>
          <w:tcPr>
            <w:tcW w:w="1400" w:type="dxa"/>
            <w:vAlign w:val="bottom"/>
          </w:tcPr>
          <w:p>
            <w:pPr>
              <w:jc w:val="right"/>
              <w:spacing w:after="0" w:line="202" w:lineRule="exact"/>
              <w:rPr>
                <w:sz w:val="20"/>
                <w:szCs w:val="20"/>
                <w:color w:val="auto"/>
              </w:rPr>
            </w:pPr>
            <w:r>
              <w:rPr>
                <w:rFonts w:ascii="Arial" w:cs="Arial" w:eastAsia="Arial" w:hAnsi="Arial"/>
                <w:sz w:val="18"/>
                <w:szCs w:val="18"/>
                <w:color w:val="auto"/>
              </w:rPr>
              <w:t>(8,023)</w:t>
            </w:r>
          </w:p>
        </w:tc>
        <w:tc>
          <w:tcPr>
            <w:tcW w:w="500" w:type="dxa"/>
            <w:vAlign w:val="bottom"/>
          </w:tcPr>
          <w:p>
            <w:pPr>
              <w:spacing w:after="0"/>
              <w:rPr>
                <w:sz w:val="17"/>
                <w:szCs w:val="17"/>
                <w:color w:val="auto"/>
              </w:rPr>
            </w:pPr>
          </w:p>
        </w:tc>
        <w:tc>
          <w:tcPr>
            <w:tcW w:w="1400" w:type="dxa"/>
            <w:vAlign w:val="bottom"/>
          </w:tcPr>
          <w:p>
            <w:pPr>
              <w:jc w:val="right"/>
              <w:spacing w:after="0" w:line="202" w:lineRule="exact"/>
              <w:rPr>
                <w:sz w:val="20"/>
                <w:szCs w:val="20"/>
                <w:color w:val="auto"/>
              </w:rPr>
            </w:pPr>
            <w:r>
              <w:rPr>
                <w:rFonts w:ascii="Arial" w:cs="Arial" w:eastAsia="Arial" w:hAnsi="Arial"/>
                <w:sz w:val="18"/>
                <w:szCs w:val="18"/>
                <w:color w:val="auto"/>
              </w:rPr>
              <w:t>(17,267)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60" w:type="dxa"/>
            <w:vAlign w:val="bottom"/>
            <w:shd w:val="clear" w:color="auto" w:fill="BFBFBF"/>
          </w:tcPr>
          <w:p>
            <w:pPr>
              <w:ind w:left="160"/>
              <w:spacing w:after="0" w:line="202" w:lineRule="exact"/>
              <w:rPr>
                <w:sz w:val="20"/>
                <w:szCs w:val="20"/>
                <w:color w:val="auto"/>
              </w:rPr>
            </w:pPr>
            <w:r>
              <w:rPr>
                <w:rFonts w:ascii="Arial" w:cs="Arial" w:eastAsia="Arial" w:hAnsi="Arial"/>
                <w:sz w:val="18"/>
                <w:szCs w:val="18"/>
                <w:color w:val="auto"/>
              </w:rPr>
              <w:t>Prepaid expenses and other current assets</w:t>
            </w:r>
          </w:p>
        </w:tc>
        <w:tc>
          <w:tcPr>
            <w:tcW w:w="1360" w:type="dxa"/>
            <w:vAlign w:val="bottom"/>
            <w:shd w:val="clear" w:color="auto" w:fill="BFBFBF"/>
          </w:tcPr>
          <w:p>
            <w:pPr>
              <w:jc w:val="right"/>
              <w:spacing w:after="0" w:line="202" w:lineRule="exact"/>
              <w:rPr>
                <w:sz w:val="20"/>
                <w:szCs w:val="20"/>
                <w:color w:val="auto"/>
              </w:rPr>
            </w:pPr>
            <w:r>
              <w:rPr>
                <w:rFonts w:ascii="Arial" w:cs="Arial" w:eastAsia="Arial" w:hAnsi="Arial"/>
                <w:sz w:val="18"/>
                <w:szCs w:val="18"/>
                <w:color w:val="auto"/>
              </w:rPr>
              <w:t>(4,063)</w:t>
            </w:r>
          </w:p>
        </w:tc>
        <w:tc>
          <w:tcPr>
            <w:tcW w:w="480" w:type="dxa"/>
            <w:vAlign w:val="bottom"/>
            <w:shd w:val="clear" w:color="auto" w:fill="BFBFBF"/>
          </w:tcPr>
          <w:p>
            <w:pPr>
              <w:spacing w:after="0"/>
              <w:rPr>
                <w:sz w:val="17"/>
                <w:szCs w:val="17"/>
                <w:color w:val="auto"/>
              </w:rPr>
            </w:pPr>
          </w:p>
        </w:tc>
        <w:tc>
          <w:tcPr>
            <w:tcW w:w="1400" w:type="dxa"/>
            <w:vAlign w:val="bottom"/>
            <w:shd w:val="clear" w:color="auto" w:fill="BFBFBF"/>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500" w:type="dxa"/>
            <w:vAlign w:val="bottom"/>
            <w:shd w:val="clear" w:color="auto" w:fill="BFBFBF"/>
          </w:tcPr>
          <w:p>
            <w:pPr>
              <w:spacing w:after="0"/>
              <w:rPr>
                <w:sz w:val="17"/>
                <w:szCs w:val="17"/>
                <w:color w:val="auto"/>
              </w:rPr>
            </w:pPr>
          </w:p>
        </w:tc>
        <w:tc>
          <w:tcPr>
            <w:tcW w:w="1400" w:type="dxa"/>
            <w:vAlign w:val="bottom"/>
            <w:shd w:val="clear" w:color="auto" w:fill="BFBFBF"/>
          </w:tcPr>
          <w:p>
            <w:pPr>
              <w:jc w:val="right"/>
              <w:spacing w:after="0" w:line="202" w:lineRule="exact"/>
              <w:rPr>
                <w:sz w:val="20"/>
                <w:szCs w:val="20"/>
                <w:color w:val="auto"/>
              </w:rPr>
            </w:pPr>
            <w:r>
              <w:rPr>
                <w:rFonts w:ascii="Arial" w:cs="Arial" w:eastAsia="Arial" w:hAnsi="Arial"/>
                <w:sz w:val="18"/>
                <w:szCs w:val="18"/>
                <w:color w:val="auto"/>
              </w:rPr>
              <w:t>(4,063)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60" w:type="dxa"/>
            <w:vAlign w:val="bottom"/>
          </w:tcPr>
          <w:p>
            <w:pPr>
              <w:ind w:left="160"/>
              <w:spacing w:after="0" w:line="202" w:lineRule="exact"/>
              <w:rPr>
                <w:sz w:val="20"/>
                <w:szCs w:val="20"/>
                <w:color w:val="auto"/>
              </w:rPr>
            </w:pPr>
            <w:r>
              <w:rPr>
                <w:rFonts w:ascii="Arial" w:cs="Arial" w:eastAsia="Arial" w:hAnsi="Arial"/>
                <w:sz w:val="18"/>
                <w:szCs w:val="18"/>
                <w:color w:val="auto"/>
              </w:rPr>
              <w:t>Income taxes prepaid and receivable</w:t>
            </w:r>
          </w:p>
        </w:tc>
        <w:tc>
          <w:tcPr>
            <w:tcW w:w="13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102</w:t>
            </w:r>
          </w:p>
        </w:tc>
        <w:tc>
          <w:tcPr>
            <w:tcW w:w="480" w:type="dxa"/>
            <w:vAlign w:val="bottom"/>
          </w:tcPr>
          <w:p>
            <w:pPr>
              <w:spacing w:after="0"/>
              <w:rPr>
                <w:sz w:val="17"/>
                <w:szCs w:val="17"/>
                <w:color w:val="auto"/>
              </w:rPr>
            </w:pPr>
          </w:p>
        </w:tc>
        <w:tc>
          <w:tcPr>
            <w:tcW w:w="14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500" w:type="dxa"/>
            <w:vAlign w:val="bottom"/>
          </w:tcPr>
          <w:p>
            <w:pPr>
              <w:spacing w:after="0"/>
              <w:rPr>
                <w:sz w:val="17"/>
                <w:szCs w:val="17"/>
                <w:color w:val="auto"/>
              </w:rPr>
            </w:pPr>
          </w:p>
        </w:tc>
        <w:tc>
          <w:tcPr>
            <w:tcW w:w="14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60" w:type="dxa"/>
            <w:vAlign w:val="bottom"/>
            <w:shd w:val="clear" w:color="auto" w:fill="BFBFBF"/>
          </w:tcPr>
          <w:p>
            <w:pPr>
              <w:ind w:left="160"/>
              <w:spacing w:after="0" w:line="202" w:lineRule="exact"/>
              <w:rPr>
                <w:sz w:val="20"/>
                <w:szCs w:val="20"/>
                <w:color w:val="auto"/>
              </w:rPr>
            </w:pPr>
            <w:r>
              <w:rPr>
                <w:rFonts w:ascii="Arial" w:cs="Arial" w:eastAsia="Arial" w:hAnsi="Arial"/>
                <w:sz w:val="18"/>
                <w:szCs w:val="18"/>
                <w:color w:val="auto"/>
              </w:rPr>
              <w:t>Accounts payable</w:t>
            </w:r>
          </w:p>
        </w:tc>
        <w:tc>
          <w:tcPr>
            <w:tcW w:w="1360" w:type="dxa"/>
            <w:vAlign w:val="bottom"/>
            <w:shd w:val="clear" w:color="auto" w:fill="BFBFBF"/>
          </w:tcPr>
          <w:p>
            <w:pPr>
              <w:jc w:val="right"/>
              <w:spacing w:after="0" w:line="202" w:lineRule="exact"/>
              <w:rPr>
                <w:sz w:val="20"/>
                <w:szCs w:val="20"/>
                <w:color w:val="auto"/>
              </w:rPr>
            </w:pPr>
            <w:r>
              <w:rPr>
                <w:rFonts w:ascii="Arial" w:cs="Arial" w:eastAsia="Arial" w:hAnsi="Arial"/>
                <w:sz w:val="18"/>
                <w:szCs w:val="18"/>
                <w:color w:val="auto"/>
              </w:rPr>
              <w:t>(2,538)</w:t>
            </w:r>
          </w:p>
        </w:tc>
        <w:tc>
          <w:tcPr>
            <w:tcW w:w="480" w:type="dxa"/>
            <w:vAlign w:val="bottom"/>
            <w:shd w:val="clear" w:color="auto" w:fill="BFBFBF"/>
          </w:tcPr>
          <w:p>
            <w:pPr>
              <w:spacing w:after="0"/>
              <w:rPr>
                <w:sz w:val="17"/>
                <w:szCs w:val="17"/>
                <w:color w:val="auto"/>
              </w:rPr>
            </w:pPr>
          </w:p>
        </w:tc>
        <w:tc>
          <w:tcPr>
            <w:tcW w:w="1400" w:type="dxa"/>
            <w:vAlign w:val="bottom"/>
            <w:shd w:val="clear" w:color="auto" w:fill="BFBFBF"/>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500" w:type="dxa"/>
            <w:vAlign w:val="bottom"/>
            <w:shd w:val="clear" w:color="auto" w:fill="BFBFBF"/>
          </w:tcPr>
          <w:p>
            <w:pPr>
              <w:spacing w:after="0"/>
              <w:rPr>
                <w:sz w:val="17"/>
                <w:szCs w:val="17"/>
                <w:color w:val="auto"/>
              </w:rPr>
            </w:pPr>
          </w:p>
        </w:tc>
        <w:tc>
          <w:tcPr>
            <w:tcW w:w="1400" w:type="dxa"/>
            <w:vAlign w:val="bottom"/>
            <w:shd w:val="clear" w:color="auto" w:fill="BFBFBF"/>
          </w:tcPr>
          <w:p>
            <w:pPr>
              <w:jc w:val="right"/>
              <w:spacing w:after="0" w:line="202" w:lineRule="exact"/>
              <w:rPr>
                <w:sz w:val="20"/>
                <w:szCs w:val="20"/>
                <w:color w:val="auto"/>
              </w:rPr>
            </w:pPr>
            <w:r>
              <w:rPr>
                <w:rFonts w:ascii="Arial" w:cs="Arial" w:eastAsia="Arial" w:hAnsi="Arial"/>
                <w:sz w:val="18"/>
                <w:szCs w:val="18"/>
                <w:color w:val="auto"/>
              </w:rPr>
              <w:t>(2,538)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60" w:type="dxa"/>
            <w:vAlign w:val="bottom"/>
          </w:tcPr>
          <w:p>
            <w:pPr>
              <w:ind w:left="160"/>
              <w:spacing w:after="0" w:line="202" w:lineRule="exact"/>
              <w:rPr>
                <w:sz w:val="20"/>
                <w:szCs w:val="20"/>
                <w:color w:val="auto"/>
              </w:rPr>
            </w:pPr>
            <w:r>
              <w:rPr>
                <w:rFonts w:ascii="Arial" w:cs="Arial" w:eastAsia="Arial" w:hAnsi="Arial"/>
                <w:sz w:val="18"/>
                <w:szCs w:val="18"/>
                <w:color w:val="auto"/>
              </w:rPr>
              <w:t>Accrued liabilities</w:t>
            </w: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(1,185)</w:t>
            </w:r>
          </w:p>
        </w:tc>
        <w:tc>
          <w:tcPr>
            <w:tcW w:w="480" w:type="dxa"/>
            <w:vAlign w:val="bottom"/>
          </w:tcPr>
          <w:p>
            <w:pPr>
              <w:spacing w:after="0"/>
              <w:rPr>
                <w:sz w:val="17"/>
                <w:szCs w:val="17"/>
                <w:color w:val="auto"/>
              </w:rPr>
            </w:pPr>
          </w:p>
        </w:tc>
        <w:tc>
          <w:tcPr>
            <w:tcW w:w="1400" w:type="dxa"/>
            <w:vAlign w:val="bottom"/>
          </w:tcPr>
          <w:p>
            <w:pPr>
              <w:jc w:val="right"/>
              <w:spacing w:after="0" w:line="202" w:lineRule="exact"/>
              <w:rPr>
                <w:sz w:val="20"/>
                <w:szCs w:val="20"/>
                <w:color w:val="auto"/>
              </w:rPr>
            </w:pPr>
            <w:r>
              <w:rPr>
                <w:rFonts w:ascii="Arial" w:cs="Arial" w:eastAsia="Arial" w:hAnsi="Arial"/>
                <w:sz w:val="18"/>
                <w:szCs w:val="18"/>
                <w:color w:val="auto"/>
              </w:rPr>
              <w:t>(250)</w:t>
            </w:r>
          </w:p>
        </w:tc>
        <w:tc>
          <w:tcPr>
            <w:tcW w:w="500" w:type="dxa"/>
            <w:vAlign w:val="bottom"/>
          </w:tcPr>
          <w:p>
            <w:pPr>
              <w:spacing w:after="0"/>
              <w:rPr>
                <w:sz w:val="17"/>
                <w:szCs w:val="17"/>
                <w:color w:val="auto"/>
              </w:rPr>
            </w:pPr>
          </w:p>
        </w:tc>
        <w:tc>
          <w:tcPr>
            <w:tcW w:w="1400" w:type="dxa"/>
            <w:vAlign w:val="bottom"/>
          </w:tcPr>
          <w:p>
            <w:pPr>
              <w:jc w:val="right"/>
              <w:spacing w:after="0" w:line="202" w:lineRule="exact"/>
              <w:rPr>
                <w:sz w:val="20"/>
                <w:szCs w:val="20"/>
                <w:color w:val="auto"/>
              </w:rPr>
            </w:pPr>
            <w:r>
              <w:rPr>
                <w:rFonts w:ascii="Arial" w:cs="Arial" w:eastAsia="Arial" w:hAnsi="Arial"/>
                <w:sz w:val="18"/>
                <w:szCs w:val="18"/>
                <w:color w:val="auto"/>
              </w:rPr>
              <w:t>(1,435)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60" w:type="dxa"/>
            <w:vAlign w:val="bottom"/>
            <w:shd w:val="clear" w:color="auto" w:fill="BFBFBF"/>
          </w:tcPr>
          <w:p>
            <w:pPr>
              <w:ind w:left="160"/>
              <w:spacing w:after="0" w:line="202" w:lineRule="exact"/>
              <w:rPr>
                <w:sz w:val="20"/>
                <w:szCs w:val="20"/>
                <w:color w:val="auto"/>
              </w:rPr>
            </w:pPr>
            <w:r>
              <w:rPr>
                <w:rFonts w:ascii="Arial" w:cs="Arial" w:eastAsia="Arial" w:hAnsi="Arial"/>
                <w:sz w:val="18"/>
                <w:szCs w:val="18"/>
                <w:color w:val="auto"/>
              </w:rPr>
              <w:t>Income taxes payable</w:t>
            </w:r>
          </w:p>
        </w:tc>
        <w:tc>
          <w:tcPr>
            <w:tcW w:w="1360" w:type="dxa"/>
            <w:vAlign w:val="bottom"/>
            <w:shd w:val="clear" w:color="auto" w:fill="BFBFBF"/>
          </w:tcPr>
          <w:p>
            <w:pPr>
              <w:jc w:val="right"/>
              <w:spacing w:after="0" w:line="202" w:lineRule="exact"/>
              <w:rPr>
                <w:sz w:val="20"/>
                <w:szCs w:val="20"/>
                <w:color w:val="auto"/>
              </w:rPr>
            </w:pPr>
            <w:r>
              <w:rPr>
                <w:rFonts w:ascii="Arial" w:cs="Arial" w:eastAsia="Arial" w:hAnsi="Arial"/>
                <w:sz w:val="18"/>
                <w:szCs w:val="18"/>
                <w:color w:val="auto"/>
              </w:rPr>
              <w:t>(3,431)</w:t>
            </w:r>
          </w:p>
        </w:tc>
        <w:tc>
          <w:tcPr>
            <w:tcW w:w="480" w:type="dxa"/>
            <w:vAlign w:val="bottom"/>
            <w:shd w:val="clear" w:color="auto" w:fill="BFBFBF"/>
          </w:tcPr>
          <w:p>
            <w:pPr>
              <w:spacing w:after="0"/>
              <w:rPr>
                <w:sz w:val="17"/>
                <w:szCs w:val="17"/>
                <w:color w:val="auto"/>
              </w:rPr>
            </w:pPr>
          </w:p>
        </w:tc>
        <w:tc>
          <w:tcPr>
            <w:tcW w:w="1400" w:type="dxa"/>
            <w:vAlign w:val="bottom"/>
            <w:shd w:val="clear" w:color="auto" w:fill="BFBFBF"/>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500" w:type="dxa"/>
            <w:vAlign w:val="bottom"/>
            <w:shd w:val="clear" w:color="auto" w:fill="BFBFBF"/>
          </w:tcPr>
          <w:p>
            <w:pPr>
              <w:spacing w:after="0"/>
              <w:rPr>
                <w:sz w:val="17"/>
                <w:szCs w:val="17"/>
                <w:color w:val="auto"/>
              </w:rPr>
            </w:pPr>
          </w:p>
        </w:tc>
        <w:tc>
          <w:tcPr>
            <w:tcW w:w="1400" w:type="dxa"/>
            <w:vAlign w:val="bottom"/>
            <w:shd w:val="clear" w:color="auto" w:fill="BFBFBF"/>
          </w:tcPr>
          <w:p>
            <w:pPr>
              <w:jc w:val="right"/>
              <w:spacing w:after="0" w:line="202" w:lineRule="exact"/>
              <w:rPr>
                <w:sz w:val="20"/>
                <w:szCs w:val="20"/>
                <w:color w:val="auto"/>
              </w:rPr>
            </w:pPr>
            <w:r>
              <w:rPr>
                <w:rFonts w:ascii="Arial" w:cs="Arial" w:eastAsia="Arial" w:hAnsi="Arial"/>
                <w:sz w:val="18"/>
                <w:szCs w:val="18"/>
                <w:color w:val="auto"/>
              </w:rPr>
              <w:t>(3,431)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60" w:type="dxa"/>
            <w:vAlign w:val="bottom"/>
          </w:tcPr>
          <w:p>
            <w:pPr>
              <w:ind w:left="160"/>
              <w:spacing w:after="0" w:line="202" w:lineRule="exact"/>
              <w:rPr>
                <w:sz w:val="20"/>
                <w:szCs w:val="20"/>
                <w:color w:val="auto"/>
              </w:rPr>
            </w:pPr>
            <w:r>
              <w:rPr>
                <w:rFonts w:ascii="Arial" w:cs="Arial" w:eastAsia="Arial" w:hAnsi="Arial"/>
                <w:sz w:val="18"/>
                <w:szCs w:val="18"/>
                <w:color w:val="auto"/>
              </w:rPr>
              <w:t>Noncurrent receivables</w:t>
            </w:r>
          </w:p>
        </w:tc>
        <w:tc>
          <w:tcPr>
            <w:tcW w:w="13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2,527</w:t>
            </w:r>
          </w:p>
        </w:tc>
        <w:tc>
          <w:tcPr>
            <w:tcW w:w="480" w:type="dxa"/>
            <w:vAlign w:val="bottom"/>
          </w:tcPr>
          <w:p>
            <w:pPr>
              <w:spacing w:after="0"/>
              <w:rPr>
                <w:sz w:val="17"/>
                <w:szCs w:val="17"/>
                <w:color w:val="auto"/>
              </w:rPr>
            </w:pPr>
          </w:p>
        </w:tc>
        <w:tc>
          <w:tcPr>
            <w:tcW w:w="14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500" w:type="dxa"/>
            <w:vAlign w:val="bottom"/>
          </w:tcPr>
          <w:p>
            <w:pPr>
              <w:spacing w:after="0"/>
              <w:rPr>
                <w:sz w:val="17"/>
                <w:szCs w:val="17"/>
                <w:color w:val="auto"/>
              </w:rPr>
            </w:pPr>
          </w:p>
        </w:tc>
        <w:tc>
          <w:tcPr>
            <w:tcW w:w="14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2,527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BFBFBF"/>
          </w:tcPr>
          <w:p>
            <w:pPr>
              <w:ind w:left="160"/>
              <w:spacing w:after="0"/>
              <w:rPr>
                <w:sz w:val="20"/>
                <w:szCs w:val="20"/>
                <w:color w:val="auto"/>
              </w:rPr>
            </w:pPr>
            <w:r>
              <w:rPr>
                <w:rFonts w:ascii="Arial" w:cs="Arial" w:eastAsia="Arial" w:hAnsi="Arial"/>
                <w:sz w:val="18"/>
                <w:szCs w:val="18"/>
                <w:color w:val="auto"/>
              </w:rPr>
              <w:t>Other, net</w:t>
            </w:r>
          </w:p>
        </w:tc>
        <w:tc>
          <w:tcPr>
            <w:tcW w:w="1360" w:type="dxa"/>
            <w:vAlign w:val="bottom"/>
            <w:tcBorders>
              <w:bottom w:val="single" w:sz="8" w:color="auto"/>
            </w:tcBorders>
            <w:shd w:val="clear" w:color="auto" w:fill="BFBFBF"/>
          </w:tcPr>
          <w:p>
            <w:pPr>
              <w:jc w:val="right"/>
              <w:spacing w:after="0"/>
              <w:rPr>
                <w:sz w:val="20"/>
                <w:szCs w:val="20"/>
                <w:color w:val="auto"/>
              </w:rPr>
            </w:pPr>
            <w:r>
              <w:rPr>
                <w:rFonts w:ascii="Arial" w:cs="Arial" w:eastAsia="Arial" w:hAnsi="Arial"/>
                <w:sz w:val="18"/>
                <w:szCs w:val="18"/>
                <w:color w:val="auto"/>
              </w:rPr>
              <w:t>(2,630)</w:t>
            </w:r>
          </w:p>
        </w:tc>
        <w:tc>
          <w:tcPr>
            <w:tcW w:w="480" w:type="dxa"/>
            <w:vAlign w:val="bottom"/>
            <w:shd w:val="clear" w:color="auto" w:fill="BFBFBF"/>
          </w:tcPr>
          <w:p>
            <w:pPr>
              <w:spacing w:after="0"/>
              <w:rPr>
                <w:sz w:val="18"/>
                <w:szCs w:val="18"/>
                <w:color w:val="auto"/>
              </w:rPr>
            </w:pPr>
          </w:p>
        </w:tc>
        <w:tc>
          <w:tcPr>
            <w:tcW w:w="1400" w:type="dxa"/>
            <w:vAlign w:val="bottom"/>
            <w:tcBorders>
              <w:bottom w:val="single" w:sz="8" w:color="auto"/>
            </w:tcBorders>
            <w:shd w:val="clear" w:color="auto" w:fill="BFBFBF"/>
          </w:tcPr>
          <w:p>
            <w:pPr>
              <w:jc w:val="right"/>
              <w:ind w:right="10"/>
              <w:spacing w:after="0"/>
              <w:rPr>
                <w:sz w:val="20"/>
                <w:szCs w:val="20"/>
                <w:color w:val="auto"/>
              </w:rPr>
            </w:pPr>
            <w:r>
              <w:rPr>
                <w:rFonts w:ascii="Arial" w:cs="Arial" w:eastAsia="Arial" w:hAnsi="Arial"/>
                <w:sz w:val="18"/>
                <w:szCs w:val="18"/>
                <w:color w:val="auto"/>
              </w:rPr>
              <w:t>3,209</w:t>
            </w:r>
          </w:p>
        </w:tc>
        <w:tc>
          <w:tcPr>
            <w:tcW w:w="500" w:type="dxa"/>
            <w:vAlign w:val="bottom"/>
            <w:shd w:val="clear" w:color="auto" w:fill="BFBFBF"/>
          </w:tcPr>
          <w:p>
            <w:pPr>
              <w:spacing w:after="0"/>
              <w:rPr>
                <w:sz w:val="18"/>
                <w:szCs w:val="18"/>
                <w:color w:val="auto"/>
              </w:rPr>
            </w:pPr>
          </w:p>
        </w:tc>
        <w:tc>
          <w:tcPr>
            <w:tcW w:w="1400" w:type="dxa"/>
            <w:vAlign w:val="bottom"/>
            <w:tcBorders>
              <w:bottom w:val="single" w:sz="8" w:color="auto"/>
            </w:tcBorders>
            <w:shd w:val="clear" w:color="auto" w:fill="BFBFBF"/>
          </w:tcPr>
          <w:p>
            <w:pPr>
              <w:jc w:val="right"/>
              <w:ind w:right="10"/>
              <w:spacing w:after="0"/>
              <w:rPr>
                <w:sz w:val="20"/>
                <w:szCs w:val="20"/>
                <w:color w:val="auto"/>
              </w:rPr>
            </w:pPr>
            <w:r>
              <w:rPr>
                <w:rFonts w:ascii="Arial" w:cs="Arial" w:eastAsia="Arial" w:hAnsi="Arial"/>
                <w:sz w:val="18"/>
                <w:szCs w:val="18"/>
                <w:color w:val="auto"/>
              </w:rPr>
              <w:t>579</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260" w:type="dxa"/>
            <w:vAlign w:val="bottom"/>
          </w:tcPr>
          <w:p>
            <w:pPr>
              <w:ind w:left="160"/>
              <w:spacing w:after="0" w:line="196" w:lineRule="exact"/>
              <w:rPr>
                <w:sz w:val="20"/>
                <w:szCs w:val="20"/>
                <w:color w:val="auto"/>
              </w:rPr>
            </w:pPr>
            <w:r>
              <w:rPr>
                <w:rFonts w:ascii="Arial" w:cs="Arial" w:eastAsia="Arial" w:hAnsi="Arial"/>
                <w:sz w:val="18"/>
                <w:szCs w:val="18"/>
                <w:color w:val="auto"/>
              </w:rPr>
              <w:t>Net cash provided by operating activities</w:t>
            </w:r>
          </w:p>
        </w:tc>
        <w:tc>
          <w:tcPr>
            <w:tcW w:w="13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(18,947)</w:t>
            </w:r>
          </w:p>
        </w:tc>
        <w:tc>
          <w:tcPr>
            <w:tcW w:w="480" w:type="dxa"/>
            <w:vAlign w:val="bottom"/>
          </w:tcPr>
          <w:p>
            <w:pPr>
              <w:spacing w:after="0"/>
              <w:rPr>
                <w:sz w:val="17"/>
                <w:szCs w:val="17"/>
                <w:color w:val="auto"/>
              </w:rPr>
            </w:pPr>
          </w:p>
        </w:tc>
        <w:tc>
          <w:tcPr>
            <w:tcW w:w="140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w:t>
            </w:r>
          </w:p>
        </w:tc>
        <w:tc>
          <w:tcPr>
            <w:tcW w:w="500" w:type="dxa"/>
            <w:vAlign w:val="bottom"/>
          </w:tcPr>
          <w:p>
            <w:pPr>
              <w:spacing w:after="0"/>
              <w:rPr>
                <w:sz w:val="17"/>
                <w:szCs w:val="17"/>
                <w:color w:val="auto"/>
              </w:rPr>
            </w:pPr>
          </w:p>
        </w:tc>
        <w:tc>
          <w:tcPr>
            <w:tcW w:w="14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(18,947)</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2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BFBFBF"/>
          </w:tcPr>
          <w:p>
            <w:pPr>
              <w:ind w:left="160"/>
              <w:spacing w:after="0"/>
              <w:rPr>
                <w:sz w:val="20"/>
                <w:szCs w:val="20"/>
                <w:color w:val="auto"/>
              </w:rPr>
            </w:pPr>
            <w:r>
              <w:rPr>
                <w:rFonts w:ascii="Arial" w:cs="Arial" w:eastAsia="Arial" w:hAnsi="Arial"/>
                <w:sz w:val="18"/>
                <w:szCs w:val="18"/>
                <w:color w:val="auto"/>
              </w:rPr>
              <w:t>Net cash used in investing activities</w:t>
            </w:r>
          </w:p>
        </w:tc>
        <w:tc>
          <w:tcPr>
            <w:tcW w:w="1360" w:type="dxa"/>
            <w:vAlign w:val="bottom"/>
            <w:tcBorders>
              <w:bottom w:val="single" w:sz="8" w:color="auto"/>
            </w:tcBorders>
            <w:shd w:val="clear" w:color="auto" w:fill="BFBFBF"/>
          </w:tcPr>
          <w:p>
            <w:pPr>
              <w:jc w:val="right"/>
              <w:spacing w:after="0"/>
              <w:rPr>
                <w:sz w:val="20"/>
                <w:szCs w:val="20"/>
                <w:color w:val="auto"/>
              </w:rPr>
            </w:pPr>
            <w:r>
              <w:rPr>
                <w:rFonts w:ascii="Arial" w:cs="Arial" w:eastAsia="Arial" w:hAnsi="Arial"/>
                <w:sz w:val="18"/>
                <w:szCs w:val="18"/>
                <w:color w:val="auto"/>
              </w:rPr>
              <w:t>(15,800)</w:t>
            </w:r>
          </w:p>
        </w:tc>
        <w:tc>
          <w:tcPr>
            <w:tcW w:w="480" w:type="dxa"/>
            <w:vAlign w:val="bottom"/>
            <w:shd w:val="clear" w:color="auto" w:fill="BFBFBF"/>
          </w:tcPr>
          <w:p>
            <w:pPr>
              <w:spacing w:after="0"/>
              <w:rPr>
                <w:sz w:val="18"/>
                <w:szCs w:val="18"/>
                <w:color w:val="auto"/>
              </w:rPr>
            </w:pPr>
          </w:p>
        </w:tc>
        <w:tc>
          <w:tcPr>
            <w:tcW w:w="1400" w:type="dxa"/>
            <w:vAlign w:val="bottom"/>
            <w:tcBorders>
              <w:bottom w:val="single" w:sz="8" w:color="auto"/>
            </w:tcBorders>
            <w:shd w:val="clear" w:color="auto" w:fill="BFBFBF"/>
          </w:tcPr>
          <w:p>
            <w:pPr>
              <w:spacing w:after="0"/>
              <w:rPr>
                <w:sz w:val="18"/>
                <w:szCs w:val="18"/>
                <w:color w:val="auto"/>
              </w:rPr>
            </w:pPr>
          </w:p>
        </w:tc>
        <w:tc>
          <w:tcPr>
            <w:tcW w:w="500" w:type="dxa"/>
            <w:vAlign w:val="bottom"/>
            <w:shd w:val="clear" w:color="auto" w:fill="BFBFBF"/>
          </w:tcPr>
          <w:p>
            <w:pPr>
              <w:spacing w:after="0"/>
              <w:rPr>
                <w:sz w:val="18"/>
                <w:szCs w:val="18"/>
                <w:color w:val="auto"/>
              </w:rPr>
            </w:pPr>
          </w:p>
        </w:tc>
        <w:tc>
          <w:tcPr>
            <w:tcW w:w="1400" w:type="dxa"/>
            <w:vAlign w:val="bottom"/>
            <w:tcBorders>
              <w:bottom w:val="single" w:sz="8" w:color="auto"/>
            </w:tcBorders>
            <w:shd w:val="clear" w:color="auto" w:fill="BFBFBF"/>
          </w:tcPr>
          <w:p>
            <w:pPr>
              <w:jc w:val="right"/>
              <w:spacing w:after="0"/>
              <w:rPr>
                <w:sz w:val="20"/>
                <w:szCs w:val="20"/>
                <w:color w:val="auto"/>
              </w:rPr>
            </w:pPr>
            <w:r>
              <w:rPr>
                <w:rFonts w:ascii="Arial" w:cs="Arial" w:eastAsia="Arial" w:hAnsi="Arial"/>
                <w:sz w:val="18"/>
                <w:szCs w:val="18"/>
                <w:color w:val="auto"/>
              </w:rPr>
              <w:t>(15,800)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260" w:type="dxa"/>
            <w:vAlign w:val="bottom"/>
          </w:tcPr>
          <w:p>
            <w:pPr>
              <w:ind w:left="160"/>
              <w:spacing w:after="0" w:line="196" w:lineRule="exact"/>
              <w:rPr>
                <w:sz w:val="20"/>
                <w:szCs w:val="20"/>
                <w:color w:val="auto"/>
              </w:rPr>
            </w:pPr>
            <w:r>
              <w:rPr>
                <w:rFonts w:ascii="Arial" w:cs="Arial" w:eastAsia="Arial" w:hAnsi="Arial"/>
                <w:sz w:val="18"/>
                <w:szCs w:val="18"/>
                <w:color w:val="auto"/>
              </w:rPr>
              <w:t>Net cash used in financing activities</w:t>
            </w:r>
          </w:p>
        </w:tc>
        <w:tc>
          <w:tcPr>
            <w:tcW w:w="13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(2,458)</w:t>
            </w:r>
          </w:p>
        </w:tc>
        <w:tc>
          <w:tcPr>
            <w:tcW w:w="480" w:type="dxa"/>
            <w:vAlign w:val="bottom"/>
          </w:tcPr>
          <w:p>
            <w:pPr>
              <w:spacing w:after="0"/>
              <w:rPr>
                <w:sz w:val="17"/>
                <w:szCs w:val="17"/>
                <w:color w:val="auto"/>
              </w:rPr>
            </w:pPr>
          </w:p>
        </w:tc>
        <w:tc>
          <w:tcPr>
            <w:tcW w:w="140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w:t>
            </w:r>
          </w:p>
        </w:tc>
        <w:tc>
          <w:tcPr>
            <w:tcW w:w="500" w:type="dxa"/>
            <w:vAlign w:val="bottom"/>
          </w:tcPr>
          <w:p>
            <w:pPr>
              <w:spacing w:after="0"/>
              <w:rPr>
                <w:sz w:val="17"/>
                <w:szCs w:val="17"/>
                <w:color w:val="auto"/>
              </w:rPr>
            </w:pPr>
          </w:p>
        </w:tc>
        <w:tc>
          <w:tcPr>
            <w:tcW w:w="14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(2,458)</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62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60" w:type="dxa"/>
            <w:vAlign w:val="bottom"/>
            <w:shd w:val="clear" w:color="auto" w:fill="BFBFBF"/>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1360" w:type="dxa"/>
            <w:vAlign w:val="bottom"/>
            <w:tcBorders>
              <w:bottom w:val="single" w:sz="8" w:color="auto"/>
            </w:tcBorders>
            <w:shd w:val="clear" w:color="auto" w:fill="BFBFBF"/>
          </w:tcPr>
          <w:p>
            <w:pPr>
              <w:jc w:val="right"/>
              <w:ind w:right="10"/>
              <w:spacing w:after="0"/>
              <w:rPr>
                <w:sz w:val="20"/>
                <w:szCs w:val="20"/>
                <w:color w:val="auto"/>
              </w:rPr>
            </w:pPr>
            <w:r>
              <w:rPr>
                <w:rFonts w:ascii="Arial" w:cs="Arial" w:eastAsia="Arial" w:hAnsi="Arial"/>
                <w:sz w:val="18"/>
                <w:szCs w:val="18"/>
                <w:color w:val="auto"/>
              </w:rPr>
              <w:t>4,904</w:t>
            </w:r>
          </w:p>
        </w:tc>
        <w:tc>
          <w:tcPr>
            <w:tcW w:w="480" w:type="dxa"/>
            <w:vAlign w:val="bottom"/>
            <w:shd w:val="clear" w:color="auto" w:fill="BFBFBF"/>
          </w:tcPr>
          <w:p>
            <w:pPr>
              <w:spacing w:after="0"/>
              <w:rPr>
                <w:sz w:val="18"/>
                <w:szCs w:val="18"/>
                <w:color w:val="auto"/>
              </w:rPr>
            </w:pPr>
          </w:p>
        </w:tc>
        <w:tc>
          <w:tcPr>
            <w:tcW w:w="1400" w:type="dxa"/>
            <w:vAlign w:val="bottom"/>
            <w:tcBorders>
              <w:bottom w:val="single" w:sz="8" w:color="auto"/>
            </w:tcBorders>
            <w:shd w:val="clear" w:color="auto" w:fill="BFBFBF"/>
          </w:tcPr>
          <w:p>
            <w:pPr>
              <w:jc w:val="right"/>
              <w:ind w:right="10"/>
              <w:spacing w:after="0"/>
              <w:rPr>
                <w:sz w:val="20"/>
                <w:szCs w:val="20"/>
                <w:color w:val="auto"/>
              </w:rPr>
            </w:pPr>
            <w:r>
              <w:rPr>
                <w:rFonts w:ascii="Arial" w:cs="Arial" w:eastAsia="Arial" w:hAnsi="Arial"/>
                <w:sz w:val="18"/>
                <w:szCs w:val="18"/>
                <w:color w:val="auto"/>
              </w:rPr>
              <w:t>-</w:t>
            </w:r>
          </w:p>
        </w:tc>
        <w:tc>
          <w:tcPr>
            <w:tcW w:w="500" w:type="dxa"/>
            <w:vAlign w:val="bottom"/>
            <w:shd w:val="clear" w:color="auto" w:fill="BFBFBF"/>
          </w:tcPr>
          <w:p>
            <w:pPr>
              <w:spacing w:after="0"/>
              <w:rPr>
                <w:sz w:val="18"/>
                <w:szCs w:val="18"/>
                <w:color w:val="auto"/>
              </w:rPr>
            </w:pPr>
          </w:p>
        </w:tc>
        <w:tc>
          <w:tcPr>
            <w:tcW w:w="1400" w:type="dxa"/>
            <w:vAlign w:val="bottom"/>
            <w:tcBorders>
              <w:bottom w:val="single" w:sz="8" w:color="auto"/>
            </w:tcBorders>
            <w:shd w:val="clear" w:color="auto" w:fill="BFBFBF"/>
          </w:tcPr>
          <w:p>
            <w:pPr>
              <w:jc w:val="right"/>
              <w:ind w:right="10"/>
              <w:spacing w:after="0"/>
              <w:rPr>
                <w:sz w:val="20"/>
                <w:szCs w:val="20"/>
                <w:color w:val="auto"/>
              </w:rPr>
            </w:pPr>
            <w:r>
              <w:rPr>
                <w:rFonts w:ascii="Arial" w:cs="Arial" w:eastAsia="Arial" w:hAnsi="Arial"/>
                <w:sz w:val="18"/>
                <w:szCs w:val="18"/>
                <w:color w:val="auto"/>
              </w:rPr>
              <w:t>4,904</w:t>
            </w:r>
          </w:p>
        </w:tc>
        <w:tc>
          <w:tcPr>
            <w:tcW w:w="0" w:type="dxa"/>
            <w:vAlign w:val="bottom"/>
          </w:tcPr>
          <w:p>
            <w:pPr>
              <w:spacing w:after="0"/>
              <w:rPr>
                <w:sz w:val="1"/>
                <w:szCs w:val="1"/>
                <w:color w:val="auto"/>
              </w:rPr>
            </w:pPr>
          </w:p>
        </w:tc>
      </w:tr>
      <w:tr>
        <w:trPr>
          <w:trHeight w:val="399"/>
        </w:trPr>
        <w:tc>
          <w:tcPr>
            <w:tcW w:w="6280" w:type="dxa"/>
            <w:vAlign w:val="bottom"/>
            <w:gridSpan w:val="2"/>
          </w:tcPr>
          <w:p>
            <w:pPr>
              <w:spacing w:after="0"/>
              <w:rPr>
                <w:sz w:val="20"/>
                <w:szCs w:val="20"/>
                <w:color w:val="auto"/>
              </w:rPr>
            </w:pPr>
            <w:r>
              <w:rPr>
                <w:rFonts w:ascii="Arial" w:cs="Arial" w:eastAsia="Arial" w:hAnsi="Arial"/>
                <w:sz w:val="18"/>
                <w:szCs w:val="18"/>
                <w:color w:val="auto"/>
              </w:rPr>
              <w:t>Decrease in cash and cash equivalents</w:t>
            </w:r>
          </w:p>
        </w:tc>
        <w:tc>
          <w:tcPr>
            <w:tcW w:w="1360" w:type="dxa"/>
            <w:vAlign w:val="bottom"/>
          </w:tcPr>
          <w:p>
            <w:pPr>
              <w:jc w:val="right"/>
              <w:spacing w:after="0"/>
              <w:rPr>
                <w:sz w:val="20"/>
                <w:szCs w:val="20"/>
                <w:color w:val="auto"/>
              </w:rPr>
            </w:pPr>
            <w:r>
              <w:rPr>
                <w:rFonts w:ascii="Arial" w:cs="Arial" w:eastAsia="Arial" w:hAnsi="Arial"/>
                <w:sz w:val="18"/>
                <w:szCs w:val="18"/>
                <w:color w:val="auto"/>
              </w:rPr>
              <w:t>(32,301)</w:t>
            </w:r>
          </w:p>
        </w:tc>
        <w:tc>
          <w:tcPr>
            <w:tcW w:w="480" w:type="dxa"/>
            <w:vAlign w:val="bottom"/>
          </w:tcPr>
          <w:p>
            <w:pPr>
              <w:spacing w:after="0"/>
              <w:rPr>
                <w:sz w:val="24"/>
                <w:szCs w:val="24"/>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(32,301)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BFBFBF"/>
          </w:tcPr>
          <w:p>
            <w:pPr>
              <w:spacing w:after="0"/>
              <w:rPr>
                <w:sz w:val="20"/>
                <w:szCs w:val="20"/>
                <w:color w:val="auto"/>
              </w:rPr>
            </w:pPr>
            <w:r>
              <w:rPr>
                <w:rFonts w:ascii="Arial" w:cs="Arial" w:eastAsia="Arial" w:hAnsi="Arial"/>
                <w:sz w:val="18"/>
                <w:szCs w:val="18"/>
                <w:color w:val="auto"/>
              </w:rPr>
              <w:t>Cash and cash equivalents at beginning of period</w:t>
            </w:r>
          </w:p>
        </w:tc>
        <w:tc>
          <w:tcPr>
            <w:tcW w:w="1360" w:type="dxa"/>
            <w:vAlign w:val="bottom"/>
            <w:tcBorders>
              <w:bottom w:val="single" w:sz="8" w:color="auto"/>
            </w:tcBorders>
            <w:shd w:val="clear" w:color="auto" w:fill="BFBFBF"/>
          </w:tcPr>
          <w:p>
            <w:pPr>
              <w:jc w:val="right"/>
              <w:ind w:right="10"/>
              <w:spacing w:after="0"/>
              <w:rPr>
                <w:sz w:val="20"/>
                <w:szCs w:val="20"/>
                <w:color w:val="auto"/>
              </w:rPr>
            </w:pPr>
            <w:r>
              <w:rPr>
                <w:rFonts w:ascii="Arial" w:cs="Arial" w:eastAsia="Arial" w:hAnsi="Arial"/>
                <w:sz w:val="18"/>
                <w:szCs w:val="18"/>
                <w:color w:val="auto"/>
              </w:rPr>
              <w:t>183,727</w:t>
            </w:r>
          </w:p>
        </w:tc>
        <w:tc>
          <w:tcPr>
            <w:tcW w:w="480" w:type="dxa"/>
            <w:vAlign w:val="bottom"/>
            <w:shd w:val="clear" w:color="auto" w:fill="BFBFBF"/>
          </w:tcPr>
          <w:p>
            <w:pPr>
              <w:spacing w:after="0"/>
              <w:rPr>
                <w:sz w:val="18"/>
                <w:szCs w:val="18"/>
                <w:color w:val="auto"/>
              </w:rPr>
            </w:pPr>
          </w:p>
        </w:tc>
        <w:tc>
          <w:tcPr>
            <w:tcW w:w="1400" w:type="dxa"/>
            <w:vAlign w:val="bottom"/>
            <w:tcBorders>
              <w:bottom w:val="single" w:sz="8" w:color="auto"/>
            </w:tcBorders>
            <w:shd w:val="clear" w:color="auto" w:fill="BFBFBF"/>
          </w:tcPr>
          <w:p>
            <w:pPr>
              <w:jc w:val="right"/>
              <w:ind w:right="10"/>
              <w:spacing w:after="0"/>
              <w:rPr>
                <w:sz w:val="20"/>
                <w:szCs w:val="20"/>
                <w:color w:val="auto"/>
              </w:rPr>
            </w:pPr>
            <w:r>
              <w:rPr>
                <w:rFonts w:ascii="Arial" w:cs="Arial" w:eastAsia="Arial" w:hAnsi="Arial"/>
                <w:sz w:val="18"/>
                <w:szCs w:val="18"/>
                <w:color w:val="auto"/>
              </w:rPr>
              <w:t>-</w:t>
            </w:r>
          </w:p>
        </w:tc>
        <w:tc>
          <w:tcPr>
            <w:tcW w:w="500" w:type="dxa"/>
            <w:vAlign w:val="bottom"/>
            <w:shd w:val="clear" w:color="auto" w:fill="BFBFBF"/>
          </w:tcPr>
          <w:p>
            <w:pPr>
              <w:spacing w:after="0"/>
              <w:rPr>
                <w:sz w:val="18"/>
                <w:szCs w:val="18"/>
                <w:color w:val="auto"/>
              </w:rPr>
            </w:pPr>
          </w:p>
        </w:tc>
        <w:tc>
          <w:tcPr>
            <w:tcW w:w="1400" w:type="dxa"/>
            <w:vAlign w:val="bottom"/>
            <w:tcBorders>
              <w:bottom w:val="single" w:sz="8" w:color="auto"/>
            </w:tcBorders>
            <w:shd w:val="clear" w:color="auto" w:fill="BFBFBF"/>
          </w:tcPr>
          <w:p>
            <w:pPr>
              <w:jc w:val="right"/>
              <w:ind w:right="10"/>
              <w:spacing w:after="0"/>
              <w:rPr>
                <w:sz w:val="20"/>
                <w:szCs w:val="20"/>
                <w:color w:val="auto"/>
              </w:rPr>
            </w:pPr>
            <w:r>
              <w:rPr>
                <w:rFonts w:ascii="Arial" w:cs="Arial" w:eastAsia="Arial" w:hAnsi="Arial"/>
                <w:sz w:val="18"/>
                <w:szCs w:val="18"/>
                <w:color w:val="auto"/>
              </w:rPr>
              <w:t>183,727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60" w:type="dxa"/>
            <w:vAlign w:val="bottom"/>
          </w:tcPr>
          <w:p>
            <w:pPr>
              <w:spacing w:after="0" w:line="197" w:lineRule="exact"/>
              <w:rPr>
                <w:sz w:val="20"/>
                <w:szCs w:val="20"/>
                <w:color w:val="auto"/>
              </w:rPr>
            </w:pPr>
            <w:r>
              <w:rPr>
                <w:rFonts w:ascii="Arial" w:cs="Arial" w:eastAsia="Arial" w:hAnsi="Arial"/>
                <w:sz w:val="18"/>
                <w:szCs w:val="18"/>
                <w:color w:val="auto"/>
              </w:rPr>
              <w:t>Cash and cash equivalents at end of period</w:t>
            </w:r>
          </w:p>
        </w:tc>
        <w:tc>
          <w:tcPr>
            <w:tcW w:w="13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$151,426</w:t>
            </w:r>
          </w:p>
        </w:tc>
        <w:tc>
          <w:tcPr>
            <w:tcW w:w="480" w:type="dxa"/>
            <w:vAlign w:val="bottom"/>
          </w:tcPr>
          <w:p>
            <w:pPr>
              <w:spacing w:after="0"/>
              <w:rPr>
                <w:sz w:val="18"/>
                <w:szCs w:val="18"/>
                <w:color w:val="auto"/>
              </w:rPr>
            </w:pPr>
          </w:p>
        </w:tc>
        <w:tc>
          <w:tcPr>
            <w:tcW w:w="14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14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$151,426</w:t>
            </w:r>
          </w:p>
        </w:tc>
        <w:tc>
          <w:tcPr>
            <w:tcW w:w="0" w:type="dxa"/>
            <w:vAlign w:val="bottom"/>
          </w:tcPr>
          <w:p>
            <w:pPr>
              <w:spacing w:after="0"/>
              <w:rPr>
                <w:sz w:val="1"/>
                <w:szCs w:val="1"/>
                <w:color w:val="auto"/>
              </w:rPr>
            </w:pPr>
          </w:p>
        </w:tc>
      </w:tr>
      <w:tr>
        <w:trPr>
          <w:trHeight w:val="20"/>
        </w:trPr>
        <w:tc>
          <w:tcPr>
            <w:tcW w:w="6280" w:type="dxa"/>
            <w:vAlign w:val="bottom"/>
            <w:gridSpan w:val="2"/>
            <w:vMerge w:val="restart"/>
          </w:tcPr>
          <w:p>
            <w:pPr>
              <w:jc w:val="right"/>
              <w:ind w:right="390"/>
              <w:spacing w:after="0"/>
              <w:rPr>
                <w:sz w:val="20"/>
                <w:szCs w:val="20"/>
                <w:color w:val="auto"/>
              </w:rPr>
            </w:pPr>
            <w:r>
              <w:rPr>
                <w:rFonts w:ascii="Arial" w:cs="Arial" w:eastAsia="Arial" w:hAnsi="Arial"/>
                <w:sz w:val="18"/>
                <w:szCs w:val="18"/>
                <w:color w:val="auto"/>
              </w:rPr>
              <w:t>16</w:t>
            </w:r>
          </w:p>
        </w:tc>
        <w:tc>
          <w:tcPr>
            <w:tcW w:w="136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18"/>
        </w:trPr>
        <w:tc>
          <w:tcPr>
            <w:tcW w:w="6280" w:type="dxa"/>
            <w:vAlign w:val="bottom"/>
            <w:gridSpan w:val="2"/>
            <w:vMerge w:val="continue"/>
          </w:tcPr>
          <w:p>
            <w:pPr>
              <w:spacing w:after="0"/>
              <w:rPr>
                <w:sz w:val="24"/>
                <w:szCs w:val="24"/>
                <w:color w:val="auto"/>
              </w:rPr>
            </w:pPr>
          </w:p>
        </w:tc>
        <w:tc>
          <w:tcPr>
            <w:tcW w:w="13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260" w:type="dxa"/>
            <w:vAlign w:val="bottom"/>
            <w:tcBorders>
              <w:bottom w:val="single" w:sz="8" w:color="auto"/>
            </w:tcBorders>
          </w:tcPr>
          <w:p>
            <w:pPr>
              <w:spacing w:after="0"/>
              <w:rPr>
                <w:sz w:val="12"/>
                <w:szCs w:val="12"/>
                <w:color w:val="auto"/>
              </w:rPr>
            </w:pPr>
          </w:p>
        </w:tc>
        <w:tc>
          <w:tcPr>
            <w:tcW w:w="136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14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14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796" w:right="2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i w:val="1"/>
          <w:iCs w:val="1"/>
          <w:color w:val="auto"/>
        </w:rPr>
        <w:t>3. Reportable Segments</w:t>
      </w:r>
    </w:p>
    <w:p>
      <w:pPr>
        <w:spacing w:after="0" w:line="193" w:lineRule="exact"/>
        <w:rPr>
          <w:sz w:val="20"/>
          <w:szCs w:val="20"/>
          <w:color w:val="auto"/>
        </w:rPr>
      </w:pPr>
    </w:p>
    <w:p>
      <w:pPr>
        <w:ind w:right="120" w:firstLine="648"/>
        <w:spacing w:after="0" w:line="239" w:lineRule="auto"/>
        <w:rPr>
          <w:sz w:val="20"/>
          <w:szCs w:val="20"/>
          <w:color w:val="auto"/>
        </w:rPr>
      </w:pPr>
      <w:r>
        <w:rPr>
          <w:rFonts w:ascii="Arial" w:cs="Arial" w:eastAsia="Arial" w:hAnsi="Arial"/>
          <w:sz w:val="18"/>
          <w:szCs w:val="18"/>
          <w:color w:val="auto"/>
        </w:rPr>
        <w:t>As described in Note 2, the Company adopted the provisions of ASC 606, “Revenue from contracts with customers”, effective January 1, 2018, using the cumulative effect method for transition. Periods prior to 2018 have not been restated. The following tables show data by reportable segment, reconciled to consolidated totals, and the impact that ASC 606 had on first-quarter results, included in the consolidated financial statements: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20" w:type="dxa"/>
            <w:vAlign w:val="bottom"/>
          </w:tcPr>
          <w:p>
            <w:pPr>
              <w:spacing w:after="0"/>
              <w:rPr>
                <w:sz w:val="16"/>
                <w:szCs w:val="16"/>
                <w:color w:val="auto"/>
              </w:rPr>
            </w:pPr>
          </w:p>
        </w:tc>
        <w:tc>
          <w:tcPr>
            <w:tcW w:w="4300" w:type="dxa"/>
            <w:vAlign w:val="bottom"/>
            <w:tcBorders>
              <w:top w:val="single" w:sz="8" w:color="auto"/>
            </w:tcBorders>
          </w:tcPr>
          <w:p>
            <w:pPr>
              <w:spacing w:after="0"/>
              <w:rPr>
                <w:sz w:val="16"/>
                <w:szCs w:val="16"/>
                <w:color w:val="auto"/>
              </w:rPr>
            </w:pPr>
          </w:p>
        </w:tc>
        <w:tc>
          <w:tcPr>
            <w:tcW w:w="3360" w:type="dxa"/>
            <w:vAlign w:val="bottom"/>
            <w:tcBorders>
              <w:top w:val="single" w:sz="8" w:color="auto"/>
            </w:tcBorders>
          </w:tcPr>
          <w:p>
            <w:pPr>
              <w:spacing w:after="0"/>
              <w:rPr>
                <w:sz w:val="16"/>
                <w:szCs w:val="16"/>
                <w:color w:val="auto"/>
              </w:rPr>
            </w:pPr>
          </w:p>
        </w:tc>
        <w:tc>
          <w:tcPr>
            <w:tcW w:w="1760" w:type="dxa"/>
            <w:vAlign w:val="bottom"/>
            <w:tcBorders>
              <w:top w:val="single" w:sz="8" w:color="auto"/>
            </w:tcBorders>
          </w:tcPr>
          <w:p>
            <w:pPr>
              <w:spacing w:after="0"/>
              <w:rPr>
                <w:sz w:val="16"/>
                <w:szCs w:val="16"/>
                <w:color w:val="auto"/>
              </w:rPr>
            </w:pPr>
          </w:p>
        </w:tc>
        <w:tc>
          <w:tcPr>
            <w:tcW w:w="1980" w:type="dxa"/>
            <w:vAlign w:val="bottom"/>
            <w:tcBorders>
              <w:top w:val="single" w:sz="8" w:color="auto"/>
            </w:tcBorders>
          </w:tcPr>
          <w:p>
            <w:pPr>
              <w:jc w:val="center"/>
              <w:ind w:left="210"/>
              <w:spacing w:after="0" w:line="194" w:lineRule="exact"/>
              <w:rPr>
                <w:sz w:val="20"/>
                <w:szCs w:val="20"/>
                <w:color w:val="auto"/>
              </w:rPr>
            </w:pPr>
            <w:r>
              <w:rPr>
                <w:rFonts w:ascii="Arial" w:cs="Arial" w:eastAsia="Arial" w:hAnsi="Arial"/>
                <w:sz w:val="18"/>
                <w:szCs w:val="18"/>
                <w:b w:val="1"/>
                <w:bCs w:val="1"/>
                <w:color w:val="auto"/>
              </w:rPr>
              <w:t>Three months</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00" w:type="dxa"/>
            <w:vAlign w:val="bottom"/>
          </w:tcPr>
          <w:p>
            <w:pPr>
              <w:spacing w:after="0"/>
              <w:rPr>
                <w:sz w:val="17"/>
                <w:szCs w:val="17"/>
                <w:color w:val="auto"/>
              </w:rPr>
            </w:pPr>
          </w:p>
        </w:tc>
        <w:tc>
          <w:tcPr>
            <w:tcW w:w="336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2000" w:type="dxa"/>
            <w:vAlign w:val="bottom"/>
            <w:gridSpan w:val="2"/>
          </w:tcPr>
          <w:p>
            <w:pPr>
              <w:jc w:val="center"/>
              <w:ind w:left="190"/>
              <w:spacing w:after="0" w:line="202" w:lineRule="exact"/>
              <w:rPr>
                <w:sz w:val="20"/>
                <w:szCs w:val="20"/>
                <w:color w:val="auto"/>
              </w:rPr>
            </w:pPr>
            <w:r>
              <w:rPr>
                <w:rFonts w:ascii="Arial" w:cs="Arial" w:eastAsia="Arial" w:hAnsi="Arial"/>
                <w:sz w:val="18"/>
                <w:szCs w:val="18"/>
                <w:b w:val="1"/>
                <w:bCs w:val="1"/>
                <w:color w:val="auto"/>
                <w:w w:val="98"/>
              </w:rPr>
              <w:t>ended</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00" w:type="dxa"/>
            <w:vAlign w:val="bottom"/>
          </w:tcPr>
          <w:p>
            <w:pPr>
              <w:spacing w:after="0"/>
              <w:rPr>
                <w:sz w:val="17"/>
                <w:szCs w:val="17"/>
                <w:color w:val="auto"/>
              </w:rPr>
            </w:pPr>
          </w:p>
        </w:tc>
        <w:tc>
          <w:tcPr>
            <w:tcW w:w="5120" w:type="dxa"/>
            <w:vAlign w:val="bottom"/>
            <w:gridSpan w:val="2"/>
          </w:tcPr>
          <w:p>
            <w:pPr>
              <w:jc w:val="right"/>
              <w:ind w:right="590"/>
              <w:spacing w:after="0" w:line="202" w:lineRule="exact"/>
              <w:rPr>
                <w:sz w:val="20"/>
                <w:szCs w:val="20"/>
                <w:color w:val="auto"/>
              </w:rPr>
            </w:pPr>
            <w:r>
              <w:rPr>
                <w:rFonts w:ascii="Arial" w:cs="Arial" w:eastAsia="Arial" w:hAnsi="Arial"/>
                <w:sz w:val="18"/>
                <w:szCs w:val="18"/>
                <w:b w:val="1"/>
                <w:bCs w:val="1"/>
                <w:color w:val="auto"/>
              </w:rPr>
              <w:t>Three months ended March 31,</w:t>
            </w:r>
          </w:p>
        </w:tc>
        <w:tc>
          <w:tcPr>
            <w:tcW w:w="2000" w:type="dxa"/>
            <w:vAlign w:val="bottom"/>
            <w:gridSpan w:val="2"/>
          </w:tcPr>
          <w:p>
            <w:pPr>
              <w:jc w:val="center"/>
              <w:ind w:left="190"/>
              <w:spacing w:after="0" w:line="202" w:lineRule="exact"/>
              <w:rPr>
                <w:sz w:val="20"/>
                <w:szCs w:val="20"/>
                <w:color w:val="auto"/>
              </w:rPr>
            </w:pPr>
            <w:r>
              <w:rPr>
                <w:rFonts w:ascii="Arial" w:cs="Arial" w:eastAsia="Arial" w:hAnsi="Arial"/>
                <w:sz w:val="18"/>
                <w:szCs w:val="18"/>
                <w:b w:val="1"/>
                <w:bCs w:val="1"/>
                <w:color w:val="auto"/>
                <w:w w:val="99"/>
              </w:rPr>
              <w:t>March 31, 2018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00" w:type="dxa"/>
            <w:vAlign w:val="bottom"/>
          </w:tcPr>
          <w:p>
            <w:pPr>
              <w:spacing w:after="0"/>
              <w:rPr>
                <w:sz w:val="17"/>
                <w:szCs w:val="17"/>
                <w:color w:val="auto"/>
              </w:rPr>
            </w:pPr>
          </w:p>
        </w:tc>
        <w:tc>
          <w:tcPr>
            <w:tcW w:w="336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2000" w:type="dxa"/>
            <w:vAlign w:val="bottom"/>
            <w:gridSpan w:val="2"/>
          </w:tcPr>
          <w:p>
            <w:pPr>
              <w:jc w:val="center"/>
              <w:ind w:left="190"/>
              <w:spacing w:after="0" w:line="202" w:lineRule="exact"/>
              <w:rPr>
                <w:sz w:val="20"/>
                <w:szCs w:val="20"/>
                <w:color w:val="auto"/>
              </w:rPr>
            </w:pPr>
            <w:r>
              <w:rPr>
                <w:rFonts w:ascii="Arial" w:cs="Arial" w:eastAsia="Arial" w:hAnsi="Arial"/>
                <w:sz w:val="18"/>
                <w:szCs w:val="18"/>
                <w:b w:val="1"/>
                <w:bCs w:val="1"/>
                <w:color w:val="auto"/>
                <w:w w:val="99"/>
              </w:rPr>
              <w:t>Increase/(decrease)</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00" w:type="dxa"/>
            <w:vAlign w:val="bottom"/>
          </w:tcPr>
          <w:p>
            <w:pPr>
              <w:spacing w:after="0"/>
              <w:rPr>
                <w:sz w:val="17"/>
                <w:szCs w:val="17"/>
                <w:color w:val="auto"/>
              </w:rPr>
            </w:pPr>
          </w:p>
        </w:tc>
        <w:tc>
          <w:tcPr>
            <w:tcW w:w="336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2000" w:type="dxa"/>
            <w:vAlign w:val="bottom"/>
            <w:gridSpan w:val="2"/>
          </w:tcPr>
          <w:p>
            <w:pPr>
              <w:jc w:val="center"/>
              <w:ind w:left="190"/>
              <w:spacing w:after="0" w:line="202" w:lineRule="exact"/>
              <w:rPr>
                <w:sz w:val="20"/>
                <w:szCs w:val="20"/>
                <w:color w:val="auto"/>
              </w:rPr>
            </w:pPr>
            <w:r>
              <w:rPr>
                <w:rFonts w:ascii="Arial" w:cs="Arial" w:eastAsia="Arial" w:hAnsi="Arial"/>
                <w:sz w:val="18"/>
                <w:szCs w:val="18"/>
                <w:b w:val="1"/>
                <w:bCs w:val="1"/>
                <w:color w:val="auto"/>
                <w:w w:val="99"/>
              </w:rPr>
              <w:t>attributable to</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00" w:type="dxa"/>
            <w:vAlign w:val="bottom"/>
          </w:tcPr>
          <w:p>
            <w:pPr>
              <w:spacing w:after="0"/>
              <w:rPr>
                <w:sz w:val="17"/>
                <w:szCs w:val="17"/>
                <w:color w:val="auto"/>
              </w:rPr>
            </w:pPr>
          </w:p>
        </w:tc>
        <w:tc>
          <w:tcPr>
            <w:tcW w:w="336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2000" w:type="dxa"/>
            <w:vAlign w:val="bottom"/>
            <w:gridSpan w:val="2"/>
          </w:tcPr>
          <w:p>
            <w:pPr>
              <w:jc w:val="center"/>
              <w:ind w:left="190"/>
              <w:spacing w:after="0" w:line="202" w:lineRule="exact"/>
              <w:rPr>
                <w:sz w:val="20"/>
                <w:szCs w:val="20"/>
                <w:color w:val="auto"/>
              </w:rPr>
            </w:pPr>
            <w:r>
              <w:rPr>
                <w:rFonts w:ascii="Arial" w:cs="Arial" w:eastAsia="Arial" w:hAnsi="Arial"/>
                <w:sz w:val="18"/>
                <w:szCs w:val="18"/>
                <w:b w:val="1"/>
                <w:bCs w:val="1"/>
                <w:color w:val="auto"/>
                <w:w w:val="99"/>
              </w:rPr>
              <w:t>application of ASC</w:t>
            </w:r>
          </w:p>
        </w:tc>
        <w:tc>
          <w:tcPr>
            <w:tcW w:w="0" w:type="dxa"/>
            <w:vAlign w:val="bottom"/>
          </w:tcPr>
          <w:p>
            <w:pPr>
              <w:spacing w:after="0"/>
              <w:rPr>
                <w:sz w:val="1"/>
                <w:szCs w:val="1"/>
                <w:color w:val="auto"/>
              </w:rPr>
            </w:pPr>
          </w:p>
        </w:tc>
      </w:tr>
      <w:tr>
        <w:trPr>
          <w:trHeight w:val="225"/>
        </w:trPr>
        <w:tc>
          <w:tcPr>
            <w:tcW w:w="432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(in thousands)</w:t>
            </w:r>
          </w:p>
        </w:tc>
        <w:tc>
          <w:tcPr>
            <w:tcW w:w="3360" w:type="dxa"/>
            <w:vAlign w:val="bottom"/>
            <w:tcBorders>
              <w:bottom w:val="single" w:sz="8" w:color="auto"/>
            </w:tcBorders>
          </w:tcPr>
          <w:p>
            <w:pPr>
              <w:jc w:val="right"/>
              <w:ind w:right="970"/>
              <w:spacing w:after="0"/>
              <w:rPr>
                <w:sz w:val="20"/>
                <w:szCs w:val="20"/>
                <w:color w:val="auto"/>
              </w:rPr>
            </w:pPr>
            <w:r>
              <w:rPr>
                <w:rFonts w:ascii="Arial" w:cs="Arial" w:eastAsia="Arial" w:hAnsi="Arial"/>
                <w:sz w:val="18"/>
                <w:szCs w:val="18"/>
                <w:b w:val="1"/>
                <w:bCs w:val="1"/>
                <w:color w:val="auto"/>
              </w:rPr>
              <w:t>2018</w:t>
            </w:r>
          </w:p>
        </w:tc>
        <w:tc>
          <w:tcPr>
            <w:tcW w:w="1760" w:type="dxa"/>
            <w:vAlign w:val="bottom"/>
            <w:tcBorders>
              <w:bottom w:val="single" w:sz="8" w:color="auto"/>
            </w:tcBorders>
          </w:tcPr>
          <w:p>
            <w:pPr>
              <w:jc w:val="right"/>
              <w:ind w:right="710"/>
              <w:spacing w:after="0"/>
              <w:rPr>
                <w:sz w:val="20"/>
                <w:szCs w:val="20"/>
                <w:color w:val="auto"/>
              </w:rPr>
            </w:pPr>
            <w:r>
              <w:rPr>
                <w:rFonts w:ascii="Arial" w:cs="Arial" w:eastAsia="Arial" w:hAnsi="Arial"/>
                <w:sz w:val="18"/>
                <w:szCs w:val="18"/>
                <w:b w:val="1"/>
                <w:bCs w:val="1"/>
                <w:color w:val="auto"/>
              </w:rPr>
              <w:t>2017</w:t>
            </w:r>
          </w:p>
        </w:tc>
        <w:tc>
          <w:tcPr>
            <w:tcW w:w="1980" w:type="dxa"/>
            <w:vAlign w:val="bottom"/>
            <w:tcBorders>
              <w:bottom w:val="single" w:sz="8" w:color="auto"/>
            </w:tcBorders>
          </w:tcPr>
          <w:p>
            <w:pPr>
              <w:jc w:val="center"/>
              <w:ind w:left="230"/>
              <w:spacing w:after="0"/>
              <w:rPr>
                <w:sz w:val="20"/>
                <w:szCs w:val="20"/>
                <w:color w:val="auto"/>
              </w:rPr>
            </w:pPr>
            <w:r>
              <w:rPr>
                <w:rFonts w:ascii="Arial" w:cs="Arial" w:eastAsia="Arial" w:hAnsi="Arial"/>
                <w:sz w:val="18"/>
                <w:szCs w:val="18"/>
                <w:b w:val="1"/>
                <w:bCs w:val="1"/>
                <w:color w:val="auto"/>
                <w:w w:val="99"/>
              </w:rPr>
              <w:t>606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5"/>
        </w:trPr>
        <w:tc>
          <w:tcPr>
            <w:tcW w:w="4320" w:type="dxa"/>
            <w:vAlign w:val="bottom"/>
            <w:gridSpan w:val="2"/>
          </w:tcPr>
          <w:p>
            <w:pPr>
              <w:spacing w:after="0" w:line="195" w:lineRule="exact"/>
              <w:rPr>
                <w:sz w:val="20"/>
                <w:szCs w:val="20"/>
                <w:color w:val="auto"/>
              </w:rPr>
            </w:pPr>
            <w:r>
              <w:rPr>
                <w:rFonts w:ascii="Arial" w:cs="Arial" w:eastAsia="Arial" w:hAnsi="Arial"/>
                <w:sz w:val="18"/>
                <w:szCs w:val="18"/>
                <w:b w:val="1"/>
                <w:bCs w:val="1"/>
                <w:color w:val="auto"/>
              </w:rPr>
              <w:t>Net sales</w:t>
            </w:r>
          </w:p>
        </w:tc>
        <w:tc>
          <w:tcPr>
            <w:tcW w:w="3360" w:type="dxa"/>
            <w:vAlign w:val="bottom"/>
            <w:vMerge w:val="restart"/>
          </w:tcPr>
          <w:p>
            <w:pPr>
              <w:jc w:val="right"/>
              <w:ind w:right="550"/>
              <w:spacing w:after="0"/>
              <w:rPr>
                <w:sz w:val="20"/>
                <w:szCs w:val="20"/>
                <w:color w:val="auto"/>
              </w:rPr>
            </w:pPr>
            <w:r>
              <w:rPr>
                <w:rFonts w:ascii="Arial" w:cs="Arial" w:eastAsia="Arial" w:hAnsi="Arial"/>
                <w:sz w:val="18"/>
                <w:szCs w:val="18"/>
                <w:b w:val="1"/>
                <w:bCs w:val="1"/>
                <w:color w:val="auto"/>
              </w:rPr>
              <w:t>$148,151</w:t>
            </w:r>
          </w:p>
        </w:tc>
        <w:tc>
          <w:tcPr>
            <w:tcW w:w="1760" w:type="dxa"/>
            <w:vAlign w:val="bottom"/>
          </w:tcPr>
          <w:p>
            <w:pPr>
              <w:spacing w:after="0"/>
              <w:rPr>
                <w:sz w:val="16"/>
                <w:szCs w:val="16"/>
                <w:color w:val="auto"/>
              </w:rPr>
            </w:pPr>
          </w:p>
        </w:tc>
        <w:tc>
          <w:tcPr>
            <w:tcW w:w="1980" w:type="dxa"/>
            <w:vAlign w:val="bottom"/>
            <w:vMerge w:val="restart"/>
          </w:tcPr>
          <w:p>
            <w:pPr>
              <w:jc w:val="right"/>
              <w:ind w:right="30"/>
              <w:spacing w:after="0"/>
              <w:rPr>
                <w:sz w:val="20"/>
                <w:szCs w:val="20"/>
                <w:color w:val="auto"/>
              </w:rPr>
            </w:pPr>
            <w:r>
              <w:rPr>
                <w:rFonts w:ascii="Arial" w:cs="Arial" w:eastAsia="Arial" w:hAnsi="Arial"/>
                <w:sz w:val="18"/>
                <w:szCs w:val="18"/>
                <w:b w:val="1"/>
                <w:bCs w:val="1"/>
                <w:color w:val="auto"/>
              </w:rPr>
              <w:t>$4,211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4320" w:type="dxa"/>
            <w:vAlign w:val="bottom"/>
            <w:gridSpan w:val="2"/>
          </w:tcPr>
          <w:p>
            <w:pPr>
              <w:spacing w:after="0" w:line="181" w:lineRule="exact"/>
              <w:rPr>
                <w:sz w:val="20"/>
                <w:szCs w:val="20"/>
                <w:color w:val="auto"/>
              </w:rPr>
            </w:pPr>
            <w:r>
              <w:rPr>
                <w:rFonts w:ascii="Arial" w:cs="Arial" w:eastAsia="Arial" w:hAnsi="Arial"/>
                <w:sz w:val="18"/>
                <w:szCs w:val="18"/>
                <w:color w:val="auto"/>
              </w:rPr>
              <w:t>Machine Clothing</w:t>
            </w:r>
          </w:p>
        </w:tc>
        <w:tc>
          <w:tcPr>
            <w:tcW w:w="3360" w:type="dxa"/>
            <w:vAlign w:val="bottom"/>
            <w:vMerge w:val="continue"/>
          </w:tcPr>
          <w:p>
            <w:pPr>
              <w:spacing w:after="0"/>
              <w:rPr>
                <w:sz w:val="15"/>
                <w:szCs w:val="15"/>
                <w:color w:val="auto"/>
              </w:rPr>
            </w:pPr>
          </w:p>
        </w:tc>
        <w:tc>
          <w:tcPr>
            <w:tcW w:w="1760" w:type="dxa"/>
            <w:vAlign w:val="bottom"/>
          </w:tcPr>
          <w:p>
            <w:pPr>
              <w:jc w:val="right"/>
              <w:ind w:right="270"/>
              <w:spacing w:after="0" w:line="181" w:lineRule="exact"/>
              <w:rPr>
                <w:sz w:val="20"/>
                <w:szCs w:val="20"/>
                <w:color w:val="auto"/>
              </w:rPr>
            </w:pPr>
            <w:r>
              <w:rPr>
                <w:rFonts w:ascii="Arial" w:cs="Arial" w:eastAsia="Arial" w:hAnsi="Arial"/>
                <w:sz w:val="18"/>
                <w:szCs w:val="18"/>
                <w:color w:val="auto"/>
              </w:rPr>
              <w:t>$142,827</w:t>
            </w:r>
          </w:p>
        </w:tc>
        <w:tc>
          <w:tcPr>
            <w:tcW w:w="198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43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Albany Engineered Composites</w:t>
            </w:r>
          </w:p>
        </w:tc>
        <w:tc>
          <w:tcPr>
            <w:tcW w:w="336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81,830</w:t>
            </w:r>
          </w:p>
        </w:tc>
        <w:tc>
          <w:tcPr>
            <w:tcW w:w="17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56,450</w:t>
            </w:r>
          </w:p>
        </w:tc>
        <w:tc>
          <w:tcPr>
            <w:tcW w:w="1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4,223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4320" w:type="dxa"/>
            <w:vAlign w:val="bottom"/>
            <w:tcBorders>
              <w:bottom w:val="single" w:sz="8" w:color="auto"/>
            </w:tcBorders>
            <w:gridSpan w:val="2"/>
          </w:tcPr>
          <w:p>
            <w:pPr>
              <w:spacing w:after="0" w:line="196" w:lineRule="exact"/>
              <w:rPr>
                <w:sz w:val="20"/>
                <w:szCs w:val="20"/>
                <w:color w:val="auto"/>
              </w:rPr>
            </w:pPr>
            <w:r>
              <w:rPr>
                <w:rFonts w:ascii="Arial" w:cs="Arial" w:eastAsia="Arial" w:hAnsi="Arial"/>
                <w:sz w:val="18"/>
                <w:szCs w:val="18"/>
                <w:color w:val="auto"/>
              </w:rPr>
              <w:t>Consolidated total</w:t>
            </w:r>
          </w:p>
        </w:tc>
        <w:tc>
          <w:tcPr>
            <w:tcW w:w="3360" w:type="dxa"/>
            <w:vAlign w:val="bottom"/>
            <w:tcBorders>
              <w:bottom w:val="single" w:sz="8" w:color="auto"/>
            </w:tcBorders>
          </w:tcPr>
          <w:p>
            <w:pPr>
              <w:jc w:val="right"/>
              <w:ind w:right="550"/>
              <w:spacing w:after="0" w:line="196" w:lineRule="exact"/>
              <w:rPr>
                <w:sz w:val="20"/>
                <w:szCs w:val="20"/>
                <w:color w:val="auto"/>
              </w:rPr>
            </w:pPr>
            <w:r>
              <w:rPr>
                <w:rFonts w:ascii="Arial" w:cs="Arial" w:eastAsia="Arial" w:hAnsi="Arial"/>
                <w:sz w:val="18"/>
                <w:szCs w:val="18"/>
                <w:b w:val="1"/>
                <w:bCs w:val="1"/>
                <w:color w:val="auto"/>
              </w:rPr>
              <w:t>$229,981</w:t>
            </w:r>
          </w:p>
        </w:tc>
        <w:tc>
          <w:tcPr>
            <w:tcW w:w="1760" w:type="dxa"/>
            <w:vAlign w:val="bottom"/>
            <w:tcBorders>
              <w:bottom w:val="single" w:sz="8" w:color="auto"/>
            </w:tcBorders>
          </w:tcPr>
          <w:p>
            <w:pPr>
              <w:jc w:val="right"/>
              <w:ind w:right="270"/>
              <w:spacing w:after="0" w:line="196" w:lineRule="exact"/>
              <w:rPr>
                <w:sz w:val="20"/>
                <w:szCs w:val="20"/>
                <w:color w:val="auto"/>
              </w:rPr>
            </w:pPr>
            <w:r>
              <w:rPr>
                <w:rFonts w:ascii="Arial" w:cs="Arial" w:eastAsia="Arial" w:hAnsi="Arial"/>
                <w:sz w:val="18"/>
                <w:szCs w:val="18"/>
                <w:color w:val="auto"/>
              </w:rPr>
              <w:t>$199,277</w:t>
            </w:r>
          </w:p>
        </w:tc>
        <w:tc>
          <w:tcPr>
            <w:tcW w:w="198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b w:val="1"/>
                <w:bCs w:val="1"/>
                <w:color w:val="auto"/>
              </w:rPr>
              <w:t>$8,434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4320" w:type="dxa"/>
            <w:vAlign w:val="bottom"/>
            <w:gridSpan w:val="2"/>
          </w:tcPr>
          <w:p>
            <w:pPr>
              <w:spacing w:after="0" w:line="195" w:lineRule="exact"/>
              <w:rPr>
                <w:sz w:val="20"/>
                <w:szCs w:val="20"/>
                <w:color w:val="auto"/>
              </w:rPr>
            </w:pPr>
            <w:r>
              <w:rPr>
                <w:rFonts w:ascii="Arial" w:cs="Arial" w:eastAsia="Arial" w:hAnsi="Arial"/>
                <w:sz w:val="18"/>
                <w:szCs w:val="18"/>
                <w:b w:val="1"/>
                <w:bCs w:val="1"/>
                <w:color w:val="auto"/>
              </w:rPr>
              <w:t>Operating income/(loss)</w:t>
            </w:r>
          </w:p>
        </w:tc>
        <w:tc>
          <w:tcPr>
            <w:tcW w:w="3360" w:type="dxa"/>
            <w:vAlign w:val="bottom"/>
            <w:vMerge w:val="restart"/>
          </w:tcPr>
          <w:p>
            <w:pPr>
              <w:jc w:val="right"/>
              <w:ind w:right="550"/>
              <w:spacing w:after="0"/>
              <w:rPr>
                <w:sz w:val="20"/>
                <w:szCs w:val="20"/>
                <w:color w:val="auto"/>
              </w:rPr>
            </w:pPr>
            <w:r>
              <w:rPr>
                <w:rFonts w:ascii="Arial" w:cs="Arial" w:eastAsia="Arial" w:hAnsi="Arial"/>
                <w:sz w:val="18"/>
                <w:szCs w:val="18"/>
                <w:b w:val="1"/>
                <w:bCs w:val="1"/>
                <w:color w:val="auto"/>
              </w:rPr>
              <w:t>$30,769</w:t>
            </w:r>
          </w:p>
        </w:tc>
        <w:tc>
          <w:tcPr>
            <w:tcW w:w="1760" w:type="dxa"/>
            <w:vAlign w:val="bottom"/>
          </w:tcPr>
          <w:p>
            <w:pPr>
              <w:spacing w:after="0"/>
              <w:rPr>
                <w:sz w:val="16"/>
                <w:szCs w:val="16"/>
                <w:color w:val="auto"/>
              </w:rPr>
            </w:pPr>
          </w:p>
        </w:tc>
        <w:tc>
          <w:tcPr>
            <w:tcW w:w="1980" w:type="dxa"/>
            <w:vAlign w:val="bottom"/>
            <w:vMerge w:val="restart"/>
          </w:tcPr>
          <w:p>
            <w:pPr>
              <w:jc w:val="right"/>
              <w:ind w:right="30"/>
              <w:spacing w:after="0"/>
              <w:rPr>
                <w:sz w:val="20"/>
                <w:szCs w:val="20"/>
                <w:color w:val="auto"/>
              </w:rPr>
            </w:pPr>
            <w:r>
              <w:rPr>
                <w:rFonts w:ascii="Arial" w:cs="Arial" w:eastAsia="Arial" w:hAnsi="Arial"/>
                <w:sz w:val="18"/>
                <w:szCs w:val="18"/>
                <w:b w:val="1"/>
                <w:bCs w:val="1"/>
                <w:color w:val="auto"/>
              </w:rPr>
              <w:t>$979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4320" w:type="dxa"/>
            <w:vAlign w:val="bottom"/>
            <w:gridSpan w:val="2"/>
          </w:tcPr>
          <w:p>
            <w:pPr>
              <w:spacing w:after="0" w:line="181" w:lineRule="exact"/>
              <w:rPr>
                <w:sz w:val="20"/>
                <w:szCs w:val="20"/>
                <w:color w:val="auto"/>
              </w:rPr>
            </w:pPr>
            <w:r>
              <w:rPr>
                <w:rFonts w:ascii="Arial" w:cs="Arial" w:eastAsia="Arial" w:hAnsi="Arial"/>
                <w:sz w:val="18"/>
                <w:szCs w:val="18"/>
                <w:color w:val="auto"/>
              </w:rPr>
              <w:t>Machine Clothing</w:t>
            </w:r>
          </w:p>
        </w:tc>
        <w:tc>
          <w:tcPr>
            <w:tcW w:w="3360" w:type="dxa"/>
            <w:vAlign w:val="bottom"/>
            <w:vMerge w:val="continue"/>
          </w:tcPr>
          <w:p>
            <w:pPr>
              <w:spacing w:after="0"/>
              <w:rPr>
                <w:sz w:val="15"/>
                <w:szCs w:val="15"/>
                <w:color w:val="auto"/>
              </w:rPr>
            </w:pPr>
          </w:p>
        </w:tc>
        <w:tc>
          <w:tcPr>
            <w:tcW w:w="1760" w:type="dxa"/>
            <w:vAlign w:val="bottom"/>
          </w:tcPr>
          <w:p>
            <w:pPr>
              <w:jc w:val="right"/>
              <w:ind w:right="270"/>
              <w:spacing w:after="0" w:line="181" w:lineRule="exact"/>
              <w:rPr>
                <w:sz w:val="20"/>
                <w:szCs w:val="20"/>
                <w:color w:val="auto"/>
              </w:rPr>
            </w:pPr>
            <w:r>
              <w:rPr>
                <w:rFonts w:ascii="Arial" w:cs="Arial" w:eastAsia="Arial" w:hAnsi="Arial"/>
                <w:sz w:val="18"/>
                <w:szCs w:val="18"/>
                <w:color w:val="auto"/>
              </w:rPr>
              <w:t>$38,263</w:t>
            </w:r>
          </w:p>
        </w:tc>
        <w:tc>
          <w:tcPr>
            <w:tcW w:w="198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320" w:type="dxa"/>
            <w:vAlign w:val="bottom"/>
            <w:gridSpan w:val="2"/>
          </w:tcPr>
          <w:p>
            <w:pPr>
              <w:spacing w:after="0" w:line="202" w:lineRule="exact"/>
              <w:rPr>
                <w:sz w:val="20"/>
                <w:szCs w:val="20"/>
                <w:color w:val="auto"/>
              </w:rPr>
            </w:pPr>
            <w:r>
              <w:rPr>
                <w:rFonts w:ascii="Arial" w:cs="Arial" w:eastAsia="Arial" w:hAnsi="Arial"/>
                <w:sz w:val="18"/>
                <w:szCs w:val="18"/>
                <w:color w:val="auto"/>
              </w:rPr>
              <w:t>Albany Engineered Composites</w:t>
            </w:r>
          </w:p>
        </w:tc>
        <w:tc>
          <w:tcPr>
            <w:tcW w:w="3360" w:type="dxa"/>
            <w:vAlign w:val="bottom"/>
          </w:tcPr>
          <w:p>
            <w:pPr>
              <w:jc w:val="right"/>
              <w:ind w:right="550"/>
              <w:spacing w:after="0" w:line="202" w:lineRule="exact"/>
              <w:rPr>
                <w:sz w:val="20"/>
                <w:szCs w:val="20"/>
                <w:color w:val="auto"/>
              </w:rPr>
            </w:pPr>
            <w:r>
              <w:rPr>
                <w:rFonts w:ascii="Arial" w:cs="Arial" w:eastAsia="Arial" w:hAnsi="Arial"/>
                <w:sz w:val="18"/>
                <w:szCs w:val="18"/>
                <w:b w:val="1"/>
                <w:bCs w:val="1"/>
                <w:color w:val="auto"/>
              </w:rPr>
              <w:t>2,275</w:t>
            </w:r>
          </w:p>
        </w:tc>
        <w:tc>
          <w:tcPr>
            <w:tcW w:w="1760" w:type="dxa"/>
            <w:vAlign w:val="bottom"/>
          </w:tcPr>
          <w:p>
            <w:pPr>
              <w:jc w:val="right"/>
              <w:ind w:right="210"/>
              <w:spacing w:after="0" w:line="202" w:lineRule="exact"/>
              <w:rPr>
                <w:sz w:val="20"/>
                <w:szCs w:val="20"/>
                <w:color w:val="auto"/>
              </w:rPr>
            </w:pPr>
            <w:r>
              <w:rPr>
                <w:rFonts w:ascii="Arial" w:cs="Arial" w:eastAsia="Arial" w:hAnsi="Arial"/>
                <w:sz w:val="18"/>
                <w:szCs w:val="18"/>
                <w:color w:val="auto"/>
              </w:rPr>
              <w:t>(5,114)</w:t>
            </w:r>
          </w:p>
        </w:tc>
        <w:tc>
          <w:tcPr>
            <w:tcW w:w="1980" w:type="dxa"/>
            <w:vAlign w:val="bottom"/>
          </w:tcPr>
          <w:p>
            <w:pPr>
              <w:jc w:val="right"/>
              <w:ind w:right="30"/>
              <w:spacing w:after="0" w:line="202" w:lineRule="exact"/>
              <w:rPr>
                <w:sz w:val="20"/>
                <w:szCs w:val="20"/>
                <w:color w:val="auto"/>
              </w:rPr>
            </w:pPr>
            <w:r>
              <w:rPr>
                <w:rFonts w:ascii="Arial" w:cs="Arial" w:eastAsia="Arial" w:hAnsi="Arial"/>
                <w:sz w:val="18"/>
                <w:szCs w:val="18"/>
                <w:b w:val="1"/>
                <w:bCs w:val="1"/>
                <w:color w:val="auto"/>
              </w:rPr>
              <w:t>869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43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Corporate expenses</w:t>
            </w:r>
          </w:p>
        </w:tc>
        <w:tc>
          <w:tcPr>
            <w:tcW w:w="33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(12,213)</w:t>
            </w:r>
          </w:p>
        </w:tc>
        <w:tc>
          <w:tcPr>
            <w:tcW w:w="17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(10,471)</w:t>
            </w:r>
          </w:p>
        </w:tc>
        <w:tc>
          <w:tcPr>
            <w:tcW w:w="1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5"/>
        </w:trPr>
        <w:tc>
          <w:tcPr>
            <w:tcW w:w="4320" w:type="dxa"/>
            <w:vAlign w:val="bottom"/>
            <w:gridSpan w:val="2"/>
          </w:tcPr>
          <w:p>
            <w:pPr>
              <w:spacing w:after="0" w:line="195" w:lineRule="exact"/>
              <w:rPr>
                <w:sz w:val="20"/>
                <w:szCs w:val="20"/>
                <w:color w:val="auto"/>
              </w:rPr>
            </w:pPr>
            <w:r>
              <w:rPr>
                <w:rFonts w:ascii="Arial" w:cs="Arial" w:eastAsia="Arial" w:hAnsi="Arial"/>
                <w:sz w:val="18"/>
                <w:szCs w:val="18"/>
                <w:color w:val="auto"/>
              </w:rPr>
              <w:t>Operating income</w:t>
            </w:r>
          </w:p>
        </w:tc>
        <w:tc>
          <w:tcPr>
            <w:tcW w:w="3360" w:type="dxa"/>
            <w:vAlign w:val="bottom"/>
          </w:tcPr>
          <w:p>
            <w:pPr>
              <w:jc w:val="right"/>
              <w:ind w:right="550"/>
              <w:spacing w:after="0" w:line="195" w:lineRule="exact"/>
              <w:rPr>
                <w:sz w:val="20"/>
                <w:szCs w:val="20"/>
                <w:color w:val="auto"/>
              </w:rPr>
            </w:pPr>
            <w:r>
              <w:rPr>
                <w:rFonts w:ascii="Arial" w:cs="Arial" w:eastAsia="Arial" w:hAnsi="Arial"/>
                <w:sz w:val="18"/>
                <w:szCs w:val="18"/>
                <w:b w:val="1"/>
                <w:bCs w:val="1"/>
                <w:color w:val="auto"/>
              </w:rPr>
              <w:t>20,831</w:t>
            </w:r>
          </w:p>
        </w:tc>
        <w:tc>
          <w:tcPr>
            <w:tcW w:w="1760" w:type="dxa"/>
            <w:vAlign w:val="bottom"/>
          </w:tcPr>
          <w:p>
            <w:pPr>
              <w:jc w:val="right"/>
              <w:ind w:right="270"/>
              <w:spacing w:after="0" w:line="195" w:lineRule="exact"/>
              <w:rPr>
                <w:sz w:val="20"/>
                <w:szCs w:val="20"/>
                <w:color w:val="auto"/>
              </w:rPr>
            </w:pPr>
            <w:r>
              <w:rPr>
                <w:rFonts w:ascii="Arial" w:cs="Arial" w:eastAsia="Arial" w:hAnsi="Arial"/>
                <w:sz w:val="18"/>
                <w:szCs w:val="18"/>
                <w:color w:val="auto"/>
              </w:rPr>
              <w:t>22,678</w:t>
            </w:r>
          </w:p>
        </w:tc>
        <w:tc>
          <w:tcPr>
            <w:tcW w:w="1980" w:type="dxa"/>
            <w:vAlign w:val="bottom"/>
          </w:tcPr>
          <w:p>
            <w:pPr>
              <w:jc w:val="right"/>
              <w:ind w:right="30"/>
              <w:spacing w:after="0" w:line="195" w:lineRule="exact"/>
              <w:rPr>
                <w:sz w:val="20"/>
                <w:szCs w:val="20"/>
                <w:color w:val="auto"/>
              </w:rPr>
            </w:pPr>
            <w:r>
              <w:rPr>
                <w:rFonts w:ascii="Arial" w:cs="Arial" w:eastAsia="Arial" w:hAnsi="Arial"/>
                <w:sz w:val="18"/>
                <w:szCs w:val="18"/>
                <w:b w:val="1"/>
                <w:bCs w:val="1"/>
                <w:color w:val="auto"/>
              </w:rPr>
              <w:t>1,848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320" w:type="dxa"/>
            <w:vAlign w:val="bottom"/>
            <w:gridSpan w:val="2"/>
          </w:tcPr>
          <w:p>
            <w:pPr>
              <w:spacing w:after="0" w:line="202" w:lineRule="exact"/>
              <w:rPr>
                <w:sz w:val="20"/>
                <w:szCs w:val="20"/>
                <w:color w:val="auto"/>
              </w:rPr>
            </w:pPr>
            <w:r>
              <w:rPr>
                <w:rFonts w:ascii="Arial" w:cs="Arial" w:eastAsia="Arial" w:hAnsi="Arial"/>
                <w:sz w:val="18"/>
                <w:szCs w:val="18"/>
                <w:color w:val="auto"/>
              </w:rPr>
              <w:t>Reconciling items:</w:t>
            </w:r>
          </w:p>
        </w:tc>
        <w:tc>
          <w:tcPr>
            <w:tcW w:w="3360" w:type="dxa"/>
            <w:vAlign w:val="bottom"/>
            <w:vMerge w:val="restart"/>
          </w:tcPr>
          <w:p>
            <w:pPr>
              <w:jc w:val="right"/>
              <w:ind w:right="490"/>
              <w:spacing w:after="0"/>
              <w:rPr>
                <w:sz w:val="20"/>
                <w:szCs w:val="20"/>
                <w:color w:val="auto"/>
              </w:rPr>
            </w:pPr>
            <w:r>
              <w:rPr>
                <w:rFonts w:ascii="Arial" w:cs="Arial" w:eastAsia="Arial" w:hAnsi="Arial"/>
                <w:sz w:val="18"/>
                <w:szCs w:val="18"/>
                <w:b w:val="1"/>
                <w:bCs w:val="1"/>
                <w:color w:val="auto"/>
              </w:rPr>
              <w:t>(382)</w:t>
            </w:r>
          </w:p>
        </w:tc>
        <w:tc>
          <w:tcPr>
            <w:tcW w:w="1760" w:type="dxa"/>
            <w:vAlign w:val="bottom"/>
          </w:tcPr>
          <w:p>
            <w:pPr>
              <w:spacing w:after="0"/>
              <w:rPr>
                <w:sz w:val="17"/>
                <w:szCs w:val="17"/>
                <w:color w:val="auto"/>
              </w:rPr>
            </w:pPr>
          </w:p>
        </w:tc>
        <w:tc>
          <w:tcPr>
            <w:tcW w:w="1980" w:type="dxa"/>
            <w:vAlign w:val="bottom"/>
            <w:vMerge w:val="restart"/>
          </w:tcPr>
          <w:p>
            <w:pPr>
              <w:jc w:val="right"/>
              <w:ind w:right="30"/>
              <w:spacing w:after="0"/>
              <w:rPr>
                <w:sz w:val="20"/>
                <w:szCs w:val="20"/>
                <w:color w:val="auto"/>
              </w:rPr>
            </w:pPr>
            <w:r>
              <w:rPr>
                <w:rFonts w:ascii="Arial" w:cs="Arial" w:eastAsia="Arial" w:hAnsi="Arial"/>
                <w:sz w:val="18"/>
                <w:szCs w:val="18"/>
                <w:b w:val="1"/>
                <w:bCs w:val="1"/>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4300" w:type="dxa"/>
            <w:vAlign w:val="bottom"/>
          </w:tcPr>
          <w:p>
            <w:pPr>
              <w:ind w:left="160"/>
              <w:spacing w:after="0" w:line="181" w:lineRule="exact"/>
              <w:rPr>
                <w:sz w:val="20"/>
                <w:szCs w:val="20"/>
                <w:color w:val="auto"/>
              </w:rPr>
            </w:pPr>
            <w:r>
              <w:rPr>
                <w:rFonts w:ascii="Arial" w:cs="Arial" w:eastAsia="Arial" w:hAnsi="Arial"/>
                <w:sz w:val="18"/>
                <w:szCs w:val="18"/>
                <w:color w:val="auto"/>
              </w:rPr>
              <w:t>Interest income</w:t>
            </w:r>
          </w:p>
        </w:tc>
        <w:tc>
          <w:tcPr>
            <w:tcW w:w="3360" w:type="dxa"/>
            <w:vAlign w:val="bottom"/>
            <w:vMerge w:val="continue"/>
          </w:tcPr>
          <w:p>
            <w:pPr>
              <w:spacing w:after="0"/>
              <w:rPr>
                <w:sz w:val="15"/>
                <w:szCs w:val="15"/>
                <w:color w:val="auto"/>
              </w:rPr>
            </w:pPr>
          </w:p>
        </w:tc>
        <w:tc>
          <w:tcPr>
            <w:tcW w:w="1760" w:type="dxa"/>
            <w:vAlign w:val="bottom"/>
          </w:tcPr>
          <w:p>
            <w:pPr>
              <w:jc w:val="right"/>
              <w:ind w:right="210"/>
              <w:spacing w:after="0" w:line="181" w:lineRule="exact"/>
              <w:rPr>
                <w:sz w:val="20"/>
                <w:szCs w:val="20"/>
                <w:color w:val="auto"/>
              </w:rPr>
            </w:pPr>
            <w:r>
              <w:rPr>
                <w:rFonts w:ascii="Arial" w:cs="Arial" w:eastAsia="Arial" w:hAnsi="Arial"/>
                <w:sz w:val="18"/>
                <w:szCs w:val="18"/>
                <w:color w:val="auto"/>
              </w:rPr>
              <w:t>(107)</w:t>
            </w:r>
          </w:p>
        </w:tc>
        <w:tc>
          <w:tcPr>
            <w:tcW w:w="198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00" w:type="dxa"/>
            <w:vAlign w:val="bottom"/>
          </w:tcPr>
          <w:p>
            <w:pPr>
              <w:ind w:left="160"/>
              <w:spacing w:after="0" w:line="202" w:lineRule="exact"/>
              <w:rPr>
                <w:sz w:val="20"/>
                <w:szCs w:val="20"/>
                <w:color w:val="auto"/>
              </w:rPr>
            </w:pPr>
            <w:r>
              <w:rPr>
                <w:rFonts w:ascii="Arial" w:cs="Arial" w:eastAsia="Arial" w:hAnsi="Arial"/>
                <w:sz w:val="18"/>
                <w:szCs w:val="18"/>
                <w:color w:val="auto"/>
              </w:rPr>
              <w:t>Interest expense</w:t>
            </w:r>
          </w:p>
        </w:tc>
        <w:tc>
          <w:tcPr>
            <w:tcW w:w="3360" w:type="dxa"/>
            <w:vAlign w:val="bottom"/>
          </w:tcPr>
          <w:p>
            <w:pPr>
              <w:jc w:val="right"/>
              <w:ind w:right="550"/>
              <w:spacing w:after="0" w:line="202" w:lineRule="exact"/>
              <w:rPr>
                <w:sz w:val="20"/>
                <w:szCs w:val="20"/>
                <w:color w:val="auto"/>
              </w:rPr>
            </w:pPr>
            <w:r>
              <w:rPr>
                <w:rFonts w:ascii="Arial" w:cs="Arial" w:eastAsia="Arial" w:hAnsi="Arial"/>
                <w:sz w:val="18"/>
                <w:szCs w:val="18"/>
                <w:b w:val="1"/>
                <w:bCs w:val="1"/>
                <w:color w:val="auto"/>
              </w:rPr>
              <w:t>4,670</w:t>
            </w:r>
          </w:p>
        </w:tc>
        <w:tc>
          <w:tcPr>
            <w:tcW w:w="1760" w:type="dxa"/>
            <w:vAlign w:val="bottom"/>
          </w:tcPr>
          <w:p>
            <w:pPr>
              <w:jc w:val="right"/>
              <w:ind w:right="270"/>
              <w:spacing w:after="0" w:line="202" w:lineRule="exact"/>
              <w:rPr>
                <w:sz w:val="20"/>
                <w:szCs w:val="20"/>
                <w:color w:val="auto"/>
              </w:rPr>
            </w:pPr>
            <w:r>
              <w:rPr>
                <w:rFonts w:ascii="Arial" w:cs="Arial" w:eastAsia="Arial" w:hAnsi="Arial"/>
                <w:sz w:val="18"/>
                <w:szCs w:val="18"/>
                <w:color w:val="auto"/>
              </w:rPr>
              <w:t>4,435</w:t>
            </w:r>
          </w:p>
        </w:tc>
        <w:tc>
          <w:tcPr>
            <w:tcW w:w="1980" w:type="dxa"/>
            <w:vAlign w:val="bottom"/>
          </w:tcPr>
          <w:p>
            <w:pPr>
              <w:jc w:val="right"/>
              <w:ind w:right="30"/>
              <w:spacing w:after="0" w:line="202" w:lineRule="exact"/>
              <w:rPr>
                <w:sz w:val="20"/>
                <w:szCs w:val="20"/>
                <w:color w:val="auto"/>
              </w:rPr>
            </w:pPr>
            <w:r>
              <w:rPr>
                <w:rFonts w:ascii="Arial" w:cs="Arial" w:eastAsia="Arial" w:hAnsi="Arial"/>
                <w:sz w:val="18"/>
                <w:szCs w:val="18"/>
                <w:b w:val="1"/>
                <w:bCs w:val="1"/>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430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Other expense, net</w:t>
            </w:r>
          </w:p>
        </w:tc>
        <w:tc>
          <w:tcPr>
            <w:tcW w:w="336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1,452</w:t>
            </w:r>
          </w:p>
        </w:tc>
        <w:tc>
          <w:tcPr>
            <w:tcW w:w="17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826</w:t>
            </w:r>
          </w:p>
        </w:tc>
        <w:tc>
          <w:tcPr>
            <w:tcW w:w="1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20" w:type="dxa"/>
            <w:vAlign w:val="bottom"/>
            <w:tcBorders>
              <w:bottom w:val="single" w:sz="8" w:color="auto"/>
            </w:tcBorders>
          </w:tcPr>
          <w:p>
            <w:pPr>
              <w:spacing w:after="0"/>
              <w:rPr>
                <w:sz w:val="17"/>
                <w:szCs w:val="17"/>
                <w:color w:val="auto"/>
              </w:rPr>
            </w:pPr>
          </w:p>
        </w:tc>
        <w:tc>
          <w:tcPr>
            <w:tcW w:w="430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Income before income taxes</w:t>
            </w:r>
          </w:p>
        </w:tc>
        <w:tc>
          <w:tcPr>
            <w:tcW w:w="3360" w:type="dxa"/>
            <w:vAlign w:val="bottom"/>
            <w:tcBorders>
              <w:bottom w:val="single" w:sz="8" w:color="auto"/>
            </w:tcBorders>
          </w:tcPr>
          <w:p>
            <w:pPr>
              <w:jc w:val="right"/>
              <w:ind w:right="550"/>
              <w:spacing w:after="0" w:line="196" w:lineRule="exact"/>
              <w:rPr>
                <w:sz w:val="20"/>
                <w:szCs w:val="20"/>
                <w:color w:val="auto"/>
              </w:rPr>
            </w:pPr>
            <w:r>
              <w:rPr>
                <w:rFonts w:ascii="Arial" w:cs="Arial" w:eastAsia="Arial" w:hAnsi="Arial"/>
                <w:sz w:val="18"/>
                <w:szCs w:val="18"/>
                <w:b w:val="1"/>
                <w:bCs w:val="1"/>
                <w:color w:val="auto"/>
              </w:rPr>
              <w:t>$15,091</w:t>
            </w:r>
          </w:p>
        </w:tc>
        <w:tc>
          <w:tcPr>
            <w:tcW w:w="1760" w:type="dxa"/>
            <w:vAlign w:val="bottom"/>
            <w:tcBorders>
              <w:bottom w:val="single" w:sz="8" w:color="auto"/>
            </w:tcBorders>
          </w:tcPr>
          <w:p>
            <w:pPr>
              <w:jc w:val="right"/>
              <w:ind w:right="270"/>
              <w:spacing w:after="0" w:line="196" w:lineRule="exact"/>
              <w:rPr>
                <w:sz w:val="20"/>
                <w:szCs w:val="20"/>
                <w:color w:val="auto"/>
              </w:rPr>
            </w:pPr>
            <w:r>
              <w:rPr>
                <w:rFonts w:ascii="Arial" w:cs="Arial" w:eastAsia="Arial" w:hAnsi="Arial"/>
                <w:sz w:val="18"/>
                <w:szCs w:val="18"/>
                <w:color w:val="auto"/>
              </w:rPr>
              <w:t>$17,524</w:t>
            </w:r>
          </w:p>
        </w:tc>
        <w:tc>
          <w:tcPr>
            <w:tcW w:w="198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b w:val="1"/>
                <w:bCs w:val="1"/>
                <w:color w:val="auto"/>
              </w:rPr>
              <w:t>$1,848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377" w:lineRule="exact"/>
        <w:rPr>
          <w:sz w:val="20"/>
          <w:szCs w:val="20"/>
          <w:color w:val="auto"/>
        </w:rPr>
      </w:pPr>
    </w:p>
    <w:p>
      <w:pPr>
        <w:ind w:right="80" w:firstLine="648"/>
        <w:spacing w:after="0"/>
        <w:rPr>
          <w:sz w:val="20"/>
          <w:szCs w:val="20"/>
          <w:color w:val="auto"/>
        </w:rPr>
      </w:pPr>
      <w:r>
        <w:rPr>
          <w:rFonts w:ascii="Arial" w:cs="Arial" w:eastAsia="Arial" w:hAnsi="Arial"/>
          <w:sz w:val="18"/>
          <w:szCs w:val="18"/>
          <w:color w:val="auto"/>
        </w:rPr>
        <w:t>At the January 1, 2018 date of adoption of ASC 606, Machine Clothing assets increased by $22 million, and AEC assets decreased by $13 million. Except for the effect of adopting ASC 606, there were no material changes in the total assets of the reportable segments for the three months ended March 31, 2018.</w:t>
      </w:r>
    </w:p>
    <w:p>
      <w:pPr>
        <w:spacing w:after="0" w:line="162" w:lineRule="exact"/>
        <w:rPr>
          <w:sz w:val="20"/>
          <w:szCs w:val="20"/>
          <w:color w:val="auto"/>
        </w:rPr>
      </w:pPr>
    </w:p>
    <w:p>
      <w:pPr>
        <w:jc w:val="both"/>
        <w:ind w:right="660" w:firstLine="648"/>
        <w:spacing w:after="0"/>
        <w:rPr>
          <w:sz w:val="20"/>
          <w:szCs w:val="20"/>
          <w:color w:val="auto"/>
        </w:rPr>
      </w:pPr>
      <w:r>
        <w:rPr>
          <w:rFonts w:ascii="Arial" w:cs="Arial" w:eastAsia="Arial" w:hAnsi="Arial"/>
          <w:sz w:val="18"/>
          <w:szCs w:val="18"/>
          <w:color w:val="auto"/>
        </w:rPr>
        <w:t>As described in Note 4, effective January 1, 2018, the Company adopted an accounting update that affects the classification of components of pension and postretirement benefit costs. Some costs that were previously included in operating expenses shall now be included in Other expense, net. Periods prior to 2018 have been restated to conform to the current year presentation.</w:t>
      </w: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342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778" w:right="239" w:bottom="1440" w:gutter="0" w:footer="0" w:header="0"/>
        </w:sectPr>
      </w:pPr>
    </w:p>
    <w:bookmarkStart w:id="17" w:name="page18"/>
    <w:bookmarkEnd w:id="17"/>
    <w:p>
      <w:pPr>
        <w:ind w:firstLine="648"/>
        <w:spacing w:after="0" w:line="236" w:lineRule="auto"/>
        <w:rPr>
          <w:sz w:val="20"/>
          <w:szCs w:val="20"/>
          <w:color w:val="auto"/>
        </w:rPr>
      </w:pPr>
      <w:r>
        <w:rPr>
          <w:rFonts w:ascii="Arial" w:cs="Arial" w:eastAsia="Arial" w:hAnsi="Arial"/>
          <w:sz w:val="18"/>
          <w:szCs w:val="18"/>
          <w:color w:val="auto"/>
        </w:rPr>
        <w:t>The Albany Engineered Composites (AEC) segment, including Albany Safran Composites, LLC (ASC), in which our customer SAFRAN Group (Safran) owns a 10 percent noncontrolling interest, provides highly engineered, advanced composite structures to customers in the aerospace and defense industries. AEC’s largest program relates to CFM International’s LEAP engine. Under this program, AEC through ASC, is the exclusive supplier of advanced composite fan blades and cases under a long-term supply contract. The manufacturing spaces used for the production of parts under the long-term supply agreement are owned by Safran, and leased to the Company at either market rent or a minimal cost. All lease expense is reimbursable by Safran to the Company due to the cost-plus nature of the supply agreement. AEC net sales to Safran were $40.8 and $25.4 million in the first quarter of 2018 and 2017, respectively. The total of Accounts receivables, Contract assets and Noncurrent receivables due from Safran amounted to $90.0 million and $58.6 million as of March 31, 2018 and December 31, 2017, respectively.</w:t>
      </w:r>
    </w:p>
    <w:p>
      <w:pPr>
        <w:spacing w:after="0" w:line="3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table below presents restructuring costs by reportable segment (also see Note 5):</w:t>
      </w:r>
    </w:p>
    <w:p>
      <w:pPr>
        <w:spacing w:after="0" w:line="176" w:lineRule="exact"/>
        <w:rPr>
          <w:sz w:val="20"/>
          <w:szCs w:val="20"/>
          <w:color w:val="auto"/>
        </w:rPr>
      </w:pPr>
    </w:p>
    <w:p>
      <w:pPr>
        <w:ind w:left="8040"/>
        <w:spacing w:after="0"/>
        <w:rPr>
          <w:sz w:val="20"/>
          <w:szCs w:val="20"/>
          <w:color w:val="auto"/>
        </w:rPr>
      </w:pPr>
      <w:r>
        <w:rPr>
          <w:rFonts w:ascii="Arial" w:cs="Arial" w:eastAsia="Arial" w:hAnsi="Arial"/>
          <w:sz w:val="18"/>
          <w:szCs w:val="18"/>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96"/>
        </w:trPr>
        <w:tc>
          <w:tcPr>
            <w:tcW w:w="5240" w:type="dxa"/>
            <w:vAlign w:val="bottom"/>
            <w:tcBorders>
              <w:top w:val="single" w:sz="8" w:color="auto"/>
              <w:bottom w:val="single" w:sz="8" w:color="auto"/>
            </w:tcBorders>
          </w:tcPr>
          <w:p>
            <w:pPr>
              <w:spacing w:after="0" w:line="196" w:lineRule="exact"/>
              <w:rPr>
                <w:sz w:val="20"/>
                <w:szCs w:val="20"/>
                <w:color w:val="auto"/>
              </w:rPr>
            </w:pPr>
            <w:r>
              <w:rPr>
                <w:rFonts w:ascii="Arial" w:cs="Arial" w:eastAsia="Arial" w:hAnsi="Arial"/>
                <w:sz w:val="18"/>
                <w:szCs w:val="18"/>
                <w:b w:val="1"/>
                <w:bCs w:val="1"/>
                <w:color w:val="auto"/>
              </w:rPr>
              <w:t>(in thousands)</w:t>
            </w:r>
          </w:p>
        </w:tc>
        <w:tc>
          <w:tcPr>
            <w:tcW w:w="4380" w:type="dxa"/>
            <w:vAlign w:val="bottom"/>
            <w:tcBorders>
              <w:top w:val="single" w:sz="8" w:color="auto"/>
              <w:bottom w:val="single" w:sz="8" w:color="auto"/>
            </w:tcBorders>
          </w:tcPr>
          <w:p>
            <w:pPr>
              <w:jc w:val="right"/>
              <w:ind w:right="1190"/>
              <w:spacing w:after="0" w:line="196" w:lineRule="exact"/>
              <w:rPr>
                <w:sz w:val="20"/>
                <w:szCs w:val="20"/>
                <w:color w:val="auto"/>
              </w:rPr>
            </w:pPr>
            <w:r>
              <w:rPr>
                <w:rFonts w:ascii="Arial" w:cs="Arial" w:eastAsia="Arial" w:hAnsi="Arial"/>
                <w:sz w:val="18"/>
                <w:szCs w:val="18"/>
                <w:b w:val="1"/>
                <w:bCs w:val="1"/>
                <w:color w:val="auto"/>
              </w:rPr>
              <w:t>2018</w:t>
            </w:r>
          </w:p>
        </w:tc>
        <w:tc>
          <w:tcPr>
            <w:tcW w:w="1800" w:type="dxa"/>
            <w:vAlign w:val="bottom"/>
            <w:tcBorders>
              <w:top w:val="single" w:sz="8" w:color="auto"/>
              <w:bottom w:val="single" w:sz="8" w:color="auto"/>
            </w:tcBorders>
          </w:tcPr>
          <w:p>
            <w:pPr>
              <w:jc w:val="right"/>
              <w:ind w:right="490"/>
              <w:spacing w:after="0" w:line="196" w:lineRule="exact"/>
              <w:rPr>
                <w:sz w:val="20"/>
                <w:szCs w:val="20"/>
                <w:color w:val="auto"/>
              </w:rPr>
            </w:pPr>
            <w:r>
              <w:rPr>
                <w:rFonts w:ascii="Arial" w:cs="Arial" w:eastAsia="Arial" w:hAnsi="Arial"/>
                <w:sz w:val="18"/>
                <w:szCs w:val="18"/>
                <w:b w:val="1"/>
                <w:bCs w:val="1"/>
                <w:color w:val="auto"/>
              </w:rPr>
              <w:t>2017</w:t>
            </w:r>
          </w:p>
        </w:tc>
        <w:tc>
          <w:tcPr>
            <w:tcW w:w="0" w:type="dxa"/>
            <w:vAlign w:val="bottom"/>
          </w:tcPr>
          <w:p>
            <w:pPr>
              <w:spacing w:after="0"/>
              <w:rPr>
                <w:sz w:val="1"/>
                <w:szCs w:val="1"/>
                <w:color w:val="auto"/>
              </w:rPr>
            </w:pPr>
          </w:p>
        </w:tc>
      </w:tr>
      <w:tr>
        <w:trPr>
          <w:trHeight w:val="195"/>
        </w:trPr>
        <w:tc>
          <w:tcPr>
            <w:tcW w:w="5240" w:type="dxa"/>
            <w:vAlign w:val="bottom"/>
          </w:tcPr>
          <w:p>
            <w:pPr>
              <w:spacing w:after="0" w:line="195" w:lineRule="exact"/>
              <w:rPr>
                <w:sz w:val="20"/>
                <w:szCs w:val="20"/>
                <w:color w:val="auto"/>
              </w:rPr>
            </w:pPr>
            <w:r>
              <w:rPr>
                <w:rFonts w:ascii="Arial" w:cs="Arial" w:eastAsia="Arial" w:hAnsi="Arial"/>
                <w:sz w:val="18"/>
                <w:szCs w:val="18"/>
                <w:b w:val="1"/>
                <w:bCs w:val="1"/>
                <w:color w:val="auto"/>
              </w:rPr>
              <w:t>Restructuring expenses, net</w:t>
            </w:r>
          </w:p>
        </w:tc>
        <w:tc>
          <w:tcPr>
            <w:tcW w:w="4380" w:type="dxa"/>
            <w:vAlign w:val="bottom"/>
            <w:vMerge w:val="restart"/>
          </w:tcPr>
          <w:p>
            <w:pPr>
              <w:jc w:val="right"/>
              <w:ind w:right="710"/>
              <w:spacing w:after="0"/>
              <w:rPr>
                <w:sz w:val="20"/>
                <w:szCs w:val="20"/>
                <w:color w:val="auto"/>
              </w:rPr>
            </w:pPr>
            <w:r>
              <w:rPr>
                <w:rFonts w:ascii="Arial" w:cs="Arial" w:eastAsia="Arial" w:hAnsi="Arial"/>
                <w:sz w:val="18"/>
                <w:szCs w:val="18"/>
                <w:b w:val="1"/>
                <w:bCs w:val="1"/>
                <w:color w:val="auto"/>
              </w:rPr>
              <w:t>$8,352</w:t>
            </w:r>
          </w:p>
        </w:tc>
        <w:tc>
          <w:tcPr>
            <w:tcW w:w="1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5240" w:type="dxa"/>
            <w:vAlign w:val="bottom"/>
          </w:tcPr>
          <w:p>
            <w:pPr>
              <w:spacing w:after="0" w:line="181" w:lineRule="exact"/>
              <w:rPr>
                <w:sz w:val="20"/>
                <w:szCs w:val="20"/>
                <w:color w:val="auto"/>
              </w:rPr>
            </w:pPr>
            <w:r>
              <w:rPr>
                <w:rFonts w:ascii="Arial" w:cs="Arial" w:eastAsia="Arial" w:hAnsi="Arial"/>
                <w:sz w:val="18"/>
                <w:szCs w:val="18"/>
                <w:color w:val="auto"/>
              </w:rPr>
              <w:t>Machine Clothing</w:t>
            </w:r>
          </w:p>
        </w:tc>
        <w:tc>
          <w:tcPr>
            <w:tcW w:w="4380" w:type="dxa"/>
            <w:vAlign w:val="bottom"/>
            <w:vMerge w:val="continue"/>
          </w:tcPr>
          <w:p>
            <w:pPr>
              <w:spacing w:after="0"/>
              <w:rPr>
                <w:sz w:val="15"/>
                <w:szCs w:val="15"/>
                <w:color w:val="auto"/>
              </w:rPr>
            </w:pPr>
          </w:p>
        </w:tc>
        <w:tc>
          <w:tcPr>
            <w:tcW w:w="1800" w:type="dxa"/>
            <w:vAlign w:val="bottom"/>
          </w:tcPr>
          <w:p>
            <w:pPr>
              <w:jc w:val="right"/>
              <w:ind w:right="10"/>
              <w:spacing w:after="0" w:line="181" w:lineRule="exact"/>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25"/>
        </w:trPr>
        <w:tc>
          <w:tcPr>
            <w:tcW w:w="5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Albany Engineered Composites</w:t>
            </w:r>
          </w:p>
        </w:tc>
        <w:tc>
          <w:tcPr>
            <w:tcW w:w="4380" w:type="dxa"/>
            <w:vAlign w:val="bottom"/>
            <w:tcBorders>
              <w:bottom w:val="single" w:sz="8" w:color="auto"/>
            </w:tcBorders>
          </w:tcPr>
          <w:p>
            <w:pPr>
              <w:jc w:val="right"/>
              <w:ind w:right="710"/>
              <w:spacing w:after="0"/>
              <w:rPr>
                <w:sz w:val="20"/>
                <w:szCs w:val="20"/>
                <w:color w:val="auto"/>
              </w:rPr>
            </w:pPr>
            <w:r>
              <w:rPr>
                <w:rFonts w:ascii="Arial" w:cs="Arial" w:eastAsia="Arial" w:hAnsi="Arial"/>
                <w:sz w:val="18"/>
                <w:szCs w:val="18"/>
                <w:b w:val="1"/>
                <w:bCs w:val="1"/>
                <w:color w:val="auto"/>
              </w:rPr>
              <w:t>221</w:t>
            </w:r>
          </w:p>
        </w:tc>
        <w:tc>
          <w:tcPr>
            <w:tcW w:w="18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2,571</w:t>
            </w:r>
          </w:p>
        </w:tc>
        <w:tc>
          <w:tcPr>
            <w:tcW w:w="0" w:type="dxa"/>
            <w:vAlign w:val="bottom"/>
          </w:tcPr>
          <w:p>
            <w:pPr>
              <w:spacing w:after="0"/>
              <w:rPr>
                <w:sz w:val="1"/>
                <w:szCs w:val="1"/>
                <w:color w:val="auto"/>
              </w:rPr>
            </w:pPr>
          </w:p>
        </w:tc>
      </w:tr>
      <w:tr>
        <w:trPr>
          <w:trHeight w:val="196"/>
        </w:trPr>
        <w:tc>
          <w:tcPr>
            <w:tcW w:w="524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Consolidated total</w:t>
            </w:r>
          </w:p>
        </w:tc>
        <w:tc>
          <w:tcPr>
            <w:tcW w:w="4380" w:type="dxa"/>
            <w:vAlign w:val="bottom"/>
            <w:tcBorders>
              <w:bottom w:val="single" w:sz="8" w:color="auto"/>
            </w:tcBorders>
          </w:tcPr>
          <w:p>
            <w:pPr>
              <w:jc w:val="right"/>
              <w:ind w:right="710"/>
              <w:spacing w:after="0" w:line="196" w:lineRule="exact"/>
              <w:rPr>
                <w:sz w:val="20"/>
                <w:szCs w:val="20"/>
                <w:color w:val="auto"/>
              </w:rPr>
            </w:pPr>
            <w:r>
              <w:rPr>
                <w:rFonts w:ascii="Arial" w:cs="Arial" w:eastAsia="Arial" w:hAnsi="Arial"/>
                <w:sz w:val="18"/>
                <w:szCs w:val="18"/>
                <w:b w:val="1"/>
                <w:bCs w:val="1"/>
                <w:color w:val="auto"/>
              </w:rPr>
              <w:t>$8,573</w:t>
            </w:r>
          </w:p>
        </w:tc>
        <w:tc>
          <w:tcPr>
            <w:tcW w:w="180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$2,681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342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i w:val="1"/>
          <w:iCs w:val="1"/>
          <w:color w:val="auto"/>
        </w:rPr>
        <w:t>4. Pensions and Other Postretirement Benefit Plans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Pension Plans</w:t>
      </w:r>
    </w:p>
    <w:p>
      <w:pPr>
        <w:spacing w:after="0" w:line="203" w:lineRule="exact"/>
        <w:rPr>
          <w:sz w:val="20"/>
          <w:szCs w:val="20"/>
          <w:color w:val="auto"/>
        </w:rPr>
      </w:pPr>
    </w:p>
    <w:p>
      <w:pPr>
        <w:ind w:right="120" w:firstLine="648"/>
        <w:spacing w:after="0" w:line="238" w:lineRule="auto"/>
        <w:rPr>
          <w:sz w:val="20"/>
          <w:szCs w:val="20"/>
          <w:color w:val="auto"/>
        </w:rPr>
      </w:pPr>
      <w:r>
        <w:rPr>
          <w:rFonts w:ascii="Arial" w:cs="Arial" w:eastAsia="Arial" w:hAnsi="Arial"/>
          <w:sz w:val="18"/>
          <w:szCs w:val="18"/>
          <w:color w:val="auto"/>
        </w:rPr>
        <w:t>The Company has defined benefit pension plans covering certain U.S. and non-U.S. employees. The U.S. qualified defined benefit pension plan has been closed to new participants since October 1998 and, as of February 2009, benefits accrued under this plan were frozen. As a result of the freeze, employees covered by the pension plan will receive, at retirement, benefits already accrued through February 2009 but no new benefits accrue after that date. Benefit accruals under the U.S. Supplemental Executive Retirement Plan ("SERP") were similarly frozen. The eligibility, benefit formulas, and contribution requirements for plans outside of the U.S. vary by location.</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Postretirement Benefits</w:t>
      </w:r>
    </w:p>
    <w:p>
      <w:pPr>
        <w:spacing w:after="0" w:line="189" w:lineRule="exact"/>
        <w:rPr>
          <w:sz w:val="20"/>
          <w:szCs w:val="20"/>
          <w:color w:val="auto"/>
        </w:rPr>
      </w:pPr>
    </w:p>
    <w:p>
      <w:pPr>
        <w:jc w:val="both"/>
        <w:ind w:right="220" w:firstLine="648"/>
        <w:spacing w:after="0"/>
        <w:rPr>
          <w:sz w:val="20"/>
          <w:szCs w:val="20"/>
          <w:color w:val="auto"/>
        </w:rPr>
      </w:pPr>
      <w:r>
        <w:rPr>
          <w:rFonts w:ascii="Arial" w:cs="Arial" w:eastAsia="Arial" w:hAnsi="Arial"/>
          <w:sz w:val="18"/>
          <w:szCs w:val="18"/>
          <w:color w:val="auto"/>
        </w:rPr>
        <w:t>The Company also provides certain postretirement benefits to retired employees in the U.S. and Canada. The Company accrues the cost of providing postretirement benefits during the active service period of the employees. The Company currently funds the plans as claims are paid.</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composition of the net periodic benefit plan cost for the three months ended March 31, 2018 and 2017, was as follows: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4320" w:type="dxa"/>
            <w:vAlign w:val="bottom"/>
            <w:tcBorders>
              <w:top w:val="single" w:sz="8" w:color="auto"/>
            </w:tcBorders>
          </w:tcPr>
          <w:p>
            <w:pPr>
              <w:spacing w:after="0"/>
              <w:rPr>
                <w:sz w:val="16"/>
                <w:szCs w:val="16"/>
                <w:color w:val="auto"/>
              </w:rPr>
            </w:pPr>
          </w:p>
        </w:tc>
        <w:tc>
          <w:tcPr>
            <w:tcW w:w="2800" w:type="dxa"/>
            <w:vAlign w:val="bottom"/>
            <w:tcBorders>
              <w:top w:val="single" w:sz="8" w:color="auto"/>
            </w:tcBorders>
          </w:tcPr>
          <w:p>
            <w:pPr>
              <w:jc w:val="right"/>
              <w:spacing w:after="0" w:line="194" w:lineRule="exact"/>
              <w:rPr>
                <w:sz w:val="20"/>
                <w:szCs w:val="20"/>
                <w:color w:val="auto"/>
              </w:rPr>
            </w:pPr>
            <w:r>
              <w:rPr>
                <w:rFonts w:ascii="Arial" w:cs="Arial" w:eastAsia="Arial" w:hAnsi="Arial"/>
                <w:sz w:val="18"/>
                <w:szCs w:val="18"/>
                <w:b w:val="1"/>
                <w:bCs w:val="1"/>
                <w:color w:val="auto"/>
              </w:rPr>
              <w:t>Pension plans</w:t>
            </w:r>
          </w:p>
        </w:tc>
        <w:tc>
          <w:tcPr>
            <w:tcW w:w="1180" w:type="dxa"/>
            <w:vAlign w:val="bottom"/>
            <w:tcBorders>
              <w:top w:val="single" w:sz="8" w:color="auto"/>
            </w:tcBorders>
          </w:tcPr>
          <w:p>
            <w:pPr>
              <w:spacing w:after="0"/>
              <w:rPr>
                <w:sz w:val="16"/>
                <w:szCs w:val="16"/>
                <w:color w:val="auto"/>
              </w:rPr>
            </w:pPr>
          </w:p>
        </w:tc>
        <w:tc>
          <w:tcPr>
            <w:tcW w:w="3120" w:type="dxa"/>
            <w:vAlign w:val="bottom"/>
            <w:tcBorders>
              <w:top w:val="single" w:sz="8" w:color="auto"/>
            </w:tcBorders>
            <w:gridSpan w:val="2"/>
          </w:tcPr>
          <w:p>
            <w:pPr>
              <w:jc w:val="right"/>
              <w:ind w:right="170"/>
              <w:spacing w:after="0" w:line="194" w:lineRule="exact"/>
              <w:rPr>
                <w:sz w:val="20"/>
                <w:szCs w:val="20"/>
                <w:color w:val="auto"/>
              </w:rPr>
            </w:pPr>
            <w:r>
              <w:rPr>
                <w:rFonts w:ascii="Arial" w:cs="Arial" w:eastAsia="Arial" w:hAnsi="Arial"/>
                <w:sz w:val="18"/>
                <w:szCs w:val="18"/>
                <w:b w:val="1"/>
                <w:bCs w:val="1"/>
                <w:color w:val="auto"/>
              </w:rPr>
              <w:t>Other postretirement benefits</w:t>
            </w:r>
          </w:p>
        </w:tc>
        <w:tc>
          <w:tcPr>
            <w:tcW w:w="0" w:type="dxa"/>
            <w:vAlign w:val="bottom"/>
          </w:tcPr>
          <w:p>
            <w:pPr>
              <w:spacing w:after="0"/>
              <w:rPr>
                <w:sz w:val="1"/>
                <w:szCs w:val="1"/>
                <w:color w:val="auto"/>
              </w:rPr>
            </w:pPr>
          </w:p>
        </w:tc>
      </w:tr>
      <w:tr>
        <w:trPr>
          <w:trHeight w:val="225"/>
        </w:trPr>
        <w:tc>
          <w:tcPr>
            <w:tcW w:w="43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(in thousands)</w:t>
            </w:r>
          </w:p>
        </w:tc>
        <w:tc>
          <w:tcPr>
            <w:tcW w:w="2800" w:type="dxa"/>
            <w:vAlign w:val="bottom"/>
            <w:tcBorders>
              <w:bottom w:val="single" w:sz="8" w:color="auto"/>
            </w:tcBorders>
          </w:tcPr>
          <w:p>
            <w:pPr>
              <w:jc w:val="right"/>
              <w:ind w:right="1210"/>
              <w:spacing w:after="0"/>
              <w:rPr>
                <w:sz w:val="20"/>
                <w:szCs w:val="20"/>
                <w:color w:val="auto"/>
              </w:rPr>
            </w:pPr>
            <w:r>
              <w:rPr>
                <w:rFonts w:ascii="Arial" w:cs="Arial" w:eastAsia="Arial" w:hAnsi="Arial"/>
                <w:sz w:val="18"/>
                <w:szCs w:val="18"/>
                <w:b w:val="1"/>
                <w:bCs w:val="1"/>
                <w:color w:val="auto"/>
              </w:rPr>
              <w:t>2018</w:t>
            </w:r>
          </w:p>
        </w:tc>
        <w:tc>
          <w:tcPr>
            <w:tcW w:w="118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b w:val="1"/>
                <w:bCs w:val="1"/>
                <w:color w:val="auto"/>
              </w:rPr>
              <w:t>2017</w:t>
            </w:r>
          </w:p>
        </w:tc>
        <w:tc>
          <w:tcPr>
            <w:tcW w:w="1820" w:type="dxa"/>
            <w:vAlign w:val="bottom"/>
            <w:tcBorders>
              <w:bottom w:val="single" w:sz="8" w:color="auto"/>
            </w:tcBorders>
          </w:tcPr>
          <w:p>
            <w:pPr>
              <w:jc w:val="right"/>
              <w:ind w:right="770"/>
              <w:spacing w:after="0"/>
              <w:rPr>
                <w:sz w:val="20"/>
                <w:szCs w:val="20"/>
                <w:color w:val="auto"/>
              </w:rPr>
            </w:pPr>
            <w:r>
              <w:rPr>
                <w:rFonts w:ascii="Arial" w:cs="Arial" w:eastAsia="Arial" w:hAnsi="Arial"/>
                <w:sz w:val="18"/>
                <w:szCs w:val="18"/>
                <w:b w:val="1"/>
                <w:bCs w:val="1"/>
                <w:color w:val="auto"/>
              </w:rPr>
              <w:t>2018</w:t>
            </w:r>
          </w:p>
        </w:tc>
        <w:tc>
          <w:tcPr>
            <w:tcW w:w="13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2017</w:t>
            </w:r>
          </w:p>
        </w:tc>
        <w:tc>
          <w:tcPr>
            <w:tcW w:w="0" w:type="dxa"/>
            <w:vAlign w:val="bottom"/>
          </w:tcPr>
          <w:p>
            <w:pPr>
              <w:spacing w:after="0"/>
              <w:rPr>
                <w:sz w:val="1"/>
                <w:szCs w:val="1"/>
                <w:color w:val="auto"/>
              </w:rPr>
            </w:pPr>
          </w:p>
        </w:tc>
      </w:tr>
      <w:tr>
        <w:trPr>
          <w:trHeight w:val="195"/>
        </w:trPr>
        <w:tc>
          <w:tcPr>
            <w:tcW w:w="4320" w:type="dxa"/>
            <w:vAlign w:val="bottom"/>
          </w:tcPr>
          <w:p>
            <w:pPr>
              <w:spacing w:after="0" w:line="195" w:lineRule="exact"/>
              <w:rPr>
                <w:sz w:val="20"/>
                <w:szCs w:val="20"/>
                <w:color w:val="auto"/>
              </w:rPr>
            </w:pPr>
            <w:r>
              <w:rPr>
                <w:rFonts w:ascii="Arial" w:cs="Arial" w:eastAsia="Arial" w:hAnsi="Arial"/>
                <w:sz w:val="18"/>
                <w:szCs w:val="18"/>
                <w:color w:val="auto"/>
              </w:rPr>
              <w:t>Components of net periodic benefit cost:</w:t>
            </w:r>
          </w:p>
        </w:tc>
        <w:tc>
          <w:tcPr>
            <w:tcW w:w="2800" w:type="dxa"/>
            <w:vAlign w:val="bottom"/>
            <w:vMerge w:val="restart"/>
          </w:tcPr>
          <w:p>
            <w:pPr>
              <w:jc w:val="right"/>
              <w:ind w:right="830"/>
              <w:spacing w:after="0"/>
              <w:rPr>
                <w:sz w:val="20"/>
                <w:szCs w:val="20"/>
                <w:color w:val="auto"/>
              </w:rPr>
            </w:pPr>
            <w:r>
              <w:rPr>
                <w:rFonts w:ascii="Arial" w:cs="Arial" w:eastAsia="Arial" w:hAnsi="Arial"/>
                <w:sz w:val="18"/>
                <w:szCs w:val="18"/>
                <w:b w:val="1"/>
                <w:bCs w:val="1"/>
                <w:color w:val="auto"/>
              </w:rPr>
              <w:t>$699</w:t>
            </w:r>
          </w:p>
        </w:tc>
        <w:tc>
          <w:tcPr>
            <w:tcW w:w="1180" w:type="dxa"/>
            <w:vAlign w:val="bottom"/>
          </w:tcPr>
          <w:p>
            <w:pPr>
              <w:spacing w:after="0"/>
              <w:rPr>
                <w:sz w:val="16"/>
                <w:szCs w:val="16"/>
                <w:color w:val="auto"/>
              </w:rPr>
            </w:pPr>
          </w:p>
        </w:tc>
        <w:tc>
          <w:tcPr>
            <w:tcW w:w="1820" w:type="dxa"/>
            <w:vAlign w:val="bottom"/>
            <w:vMerge w:val="restart"/>
          </w:tcPr>
          <w:p>
            <w:pPr>
              <w:jc w:val="right"/>
              <w:ind w:right="410"/>
              <w:spacing w:after="0"/>
              <w:rPr>
                <w:sz w:val="20"/>
                <w:szCs w:val="20"/>
                <w:color w:val="auto"/>
              </w:rPr>
            </w:pPr>
            <w:r>
              <w:rPr>
                <w:rFonts w:ascii="Arial" w:cs="Arial" w:eastAsia="Arial" w:hAnsi="Arial"/>
                <w:sz w:val="18"/>
                <w:szCs w:val="18"/>
                <w:b w:val="1"/>
                <w:bCs w:val="1"/>
                <w:color w:val="auto"/>
              </w:rPr>
              <w:t>$58</w:t>
            </w: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4320" w:type="dxa"/>
            <w:vAlign w:val="bottom"/>
          </w:tcPr>
          <w:p>
            <w:pPr>
              <w:spacing w:after="0" w:line="181" w:lineRule="exact"/>
              <w:rPr>
                <w:sz w:val="20"/>
                <w:szCs w:val="20"/>
                <w:color w:val="auto"/>
              </w:rPr>
            </w:pPr>
            <w:r>
              <w:rPr>
                <w:rFonts w:ascii="Arial" w:cs="Arial" w:eastAsia="Arial" w:hAnsi="Arial"/>
                <w:sz w:val="18"/>
                <w:szCs w:val="18"/>
                <w:color w:val="auto"/>
              </w:rPr>
              <w:t>Service cost</w:t>
            </w:r>
          </w:p>
        </w:tc>
        <w:tc>
          <w:tcPr>
            <w:tcW w:w="2800" w:type="dxa"/>
            <w:vAlign w:val="bottom"/>
            <w:vMerge w:val="continue"/>
          </w:tcPr>
          <w:p>
            <w:pPr>
              <w:spacing w:after="0"/>
              <w:rPr>
                <w:sz w:val="15"/>
                <w:szCs w:val="15"/>
                <w:color w:val="auto"/>
              </w:rPr>
            </w:pPr>
          </w:p>
        </w:tc>
        <w:tc>
          <w:tcPr>
            <w:tcW w:w="1180" w:type="dxa"/>
            <w:vAlign w:val="bottom"/>
          </w:tcPr>
          <w:p>
            <w:pPr>
              <w:jc w:val="right"/>
              <w:ind w:right="290"/>
              <w:spacing w:after="0" w:line="181" w:lineRule="exact"/>
              <w:rPr>
                <w:sz w:val="20"/>
                <w:szCs w:val="20"/>
                <w:color w:val="auto"/>
              </w:rPr>
            </w:pPr>
            <w:r>
              <w:rPr>
                <w:rFonts w:ascii="Arial" w:cs="Arial" w:eastAsia="Arial" w:hAnsi="Arial"/>
                <w:sz w:val="18"/>
                <w:szCs w:val="18"/>
                <w:color w:val="auto"/>
              </w:rPr>
              <w:t>$651</w:t>
            </w:r>
          </w:p>
        </w:tc>
        <w:tc>
          <w:tcPr>
            <w:tcW w:w="1820" w:type="dxa"/>
            <w:vAlign w:val="bottom"/>
            <w:vMerge w:val="continue"/>
          </w:tcPr>
          <w:p>
            <w:pPr>
              <w:spacing w:after="0"/>
              <w:rPr>
                <w:sz w:val="15"/>
                <w:szCs w:val="15"/>
                <w:color w:val="auto"/>
              </w:rPr>
            </w:pPr>
          </w:p>
        </w:tc>
        <w:tc>
          <w:tcPr>
            <w:tcW w:w="1300" w:type="dxa"/>
            <w:vAlign w:val="bottom"/>
          </w:tcPr>
          <w:p>
            <w:pPr>
              <w:jc w:val="right"/>
              <w:ind w:right="10"/>
              <w:spacing w:after="0" w:line="181" w:lineRule="exact"/>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03"/>
        </w:trPr>
        <w:tc>
          <w:tcPr>
            <w:tcW w:w="4320" w:type="dxa"/>
            <w:vAlign w:val="bottom"/>
          </w:tcPr>
          <w:p>
            <w:pPr>
              <w:spacing w:after="0" w:line="202" w:lineRule="exact"/>
              <w:rPr>
                <w:sz w:val="20"/>
                <w:szCs w:val="20"/>
                <w:color w:val="auto"/>
              </w:rPr>
            </w:pPr>
            <w:r>
              <w:rPr>
                <w:rFonts w:ascii="Arial" w:cs="Arial" w:eastAsia="Arial" w:hAnsi="Arial"/>
                <w:sz w:val="18"/>
                <w:szCs w:val="18"/>
                <w:color w:val="auto"/>
              </w:rPr>
              <w:t>Interest cost</w:t>
            </w:r>
          </w:p>
        </w:tc>
        <w:tc>
          <w:tcPr>
            <w:tcW w:w="2800" w:type="dxa"/>
            <w:vAlign w:val="bottom"/>
          </w:tcPr>
          <w:p>
            <w:pPr>
              <w:jc w:val="right"/>
              <w:ind w:right="830"/>
              <w:spacing w:after="0" w:line="202" w:lineRule="exact"/>
              <w:rPr>
                <w:sz w:val="20"/>
                <w:szCs w:val="20"/>
                <w:color w:val="auto"/>
              </w:rPr>
            </w:pPr>
            <w:r>
              <w:rPr>
                <w:rFonts w:ascii="Arial" w:cs="Arial" w:eastAsia="Arial" w:hAnsi="Arial"/>
                <w:sz w:val="18"/>
                <w:szCs w:val="18"/>
                <w:b w:val="1"/>
                <w:bCs w:val="1"/>
                <w:color w:val="auto"/>
              </w:rPr>
              <w:t>1,820</w:t>
            </w:r>
          </w:p>
        </w:tc>
        <w:tc>
          <w:tcPr>
            <w:tcW w:w="1180" w:type="dxa"/>
            <w:vAlign w:val="bottom"/>
          </w:tcPr>
          <w:p>
            <w:pPr>
              <w:jc w:val="right"/>
              <w:ind w:right="290"/>
              <w:spacing w:after="0" w:line="202" w:lineRule="exact"/>
              <w:rPr>
                <w:sz w:val="20"/>
                <w:szCs w:val="20"/>
                <w:color w:val="auto"/>
              </w:rPr>
            </w:pPr>
            <w:r>
              <w:rPr>
                <w:rFonts w:ascii="Arial" w:cs="Arial" w:eastAsia="Arial" w:hAnsi="Arial"/>
                <w:sz w:val="18"/>
                <w:szCs w:val="18"/>
                <w:color w:val="auto"/>
              </w:rPr>
              <w:t>1,828</w:t>
            </w:r>
          </w:p>
        </w:tc>
        <w:tc>
          <w:tcPr>
            <w:tcW w:w="1820" w:type="dxa"/>
            <w:vAlign w:val="bottom"/>
          </w:tcPr>
          <w:p>
            <w:pPr>
              <w:jc w:val="right"/>
              <w:ind w:right="410"/>
              <w:spacing w:after="0" w:line="202" w:lineRule="exact"/>
              <w:rPr>
                <w:sz w:val="20"/>
                <w:szCs w:val="20"/>
                <w:color w:val="auto"/>
              </w:rPr>
            </w:pPr>
            <w:r>
              <w:rPr>
                <w:rFonts w:ascii="Arial" w:cs="Arial" w:eastAsia="Arial" w:hAnsi="Arial"/>
                <w:sz w:val="18"/>
                <w:szCs w:val="18"/>
                <w:b w:val="1"/>
                <w:bCs w:val="1"/>
                <w:color w:val="auto"/>
              </w:rPr>
              <w:t>507</w:t>
            </w:r>
          </w:p>
        </w:tc>
        <w:tc>
          <w:tcPr>
            <w:tcW w:w="13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553</w:t>
            </w:r>
          </w:p>
        </w:tc>
        <w:tc>
          <w:tcPr>
            <w:tcW w:w="0" w:type="dxa"/>
            <w:vAlign w:val="bottom"/>
          </w:tcPr>
          <w:p>
            <w:pPr>
              <w:spacing w:after="0"/>
              <w:rPr>
                <w:sz w:val="1"/>
                <w:szCs w:val="1"/>
                <w:color w:val="auto"/>
              </w:rPr>
            </w:pPr>
          </w:p>
        </w:tc>
      </w:tr>
      <w:tr>
        <w:trPr>
          <w:trHeight w:val="203"/>
        </w:trPr>
        <w:tc>
          <w:tcPr>
            <w:tcW w:w="4320" w:type="dxa"/>
            <w:vAlign w:val="bottom"/>
          </w:tcPr>
          <w:p>
            <w:pPr>
              <w:spacing w:after="0" w:line="202" w:lineRule="exact"/>
              <w:rPr>
                <w:sz w:val="20"/>
                <w:szCs w:val="20"/>
                <w:color w:val="auto"/>
              </w:rPr>
            </w:pPr>
            <w:r>
              <w:rPr>
                <w:rFonts w:ascii="Arial" w:cs="Arial" w:eastAsia="Arial" w:hAnsi="Arial"/>
                <w:sz w:val="18"/>
                <w:szCs w:val="18"/>
                <w:color w:val="auto"/>
              </w:rPr>
              <w:t>Expected return on assets</w:t>
            </w:r>
          </w:p>
        </w:tc>
        <w:tc>
          <w:tcPr>
            <w:tcW w:w="2800" w:type="dxa"/>
            <w:vAlign w:val="bottom"/>
          </w:tcPr>
          <w:p>
            <w:pPr>
              <w:jc w:val="right"/>
              <w:ind w:right="770"/>
              <w:spacing w:after="0" w:line="202" w:lineRule="exact"/>
              <w:rPr>
                <w:sz w:val="20"/>
                <w:szCs w:val="20"/>
                <w:color w:val="auto"/>
              </w:rPr>
            </w:pPr>
            <w:r>
              <w:rPr>
                <w:rFonts w:ascii="Arial" w:cs="Arial" w:eastAsia="Arial" w:hAnsi="Arial"/>
                <w:sz w:val="18"/>
                <w:szCs w:val="18"/>
                <w:b w:val="1"/>
                <w:bCs w:val="1"/>
                <w:color w:val="auto"/>
              </w:rPr>
              <w:t>(2,247)</w:t>
            </w:r>
          </w:p>
        </w:tc>
        <w:tc>
          <w:tcPr>
            <w:tcW w:w="1180" w:type="dxa"/>
            <w:vAlign w:val="bottom"/>
          </w:tcPr>
          <w:p>
            <w:pPr>
              <w:jc w:val="right"/>
              <w:ind w:right="230"/>
              <w:spacing w:after="0" w:line="202" w:lineRule="exact"/>
              <w:rPr>
                <w:sz w:val="20"/>
                <w:szCs w:val="20"/>
                <w:color w:val="auto"/>
              </w:rPr>
            </w:pPr>
            <w:r>
              <w:rPr>
                <w:rFonts w:ascii="Arial" w:cs="Arial" w:eastAsia="Arial" w:hAnsi="Arial"/>
                <w:sz w:val="18"/>
                <w:szCs w:val="18"/>
                <w:color w:val="auto"/>
              </w:rPr>
              <w:t>(1,993)</w:t>
            </w:r>
          </w:p>
        </w:tc>
        <w:tc>
          <w:tcPr>
            <w:tcW w:w="1820" w:type="dxa"/>
            <w:vAlign w:val="bottom"/>
          </w:tcPr>
          <w:p>
            <w:pPr>
              <w:jc w:val="right"/>
              <w:ind w:right="410"/>
              <w:spacing w:after="0" w:line="202" w:lineRule="exact"/>
              <w:rPr>
                <w:sz w:val="20"/>
                <w:szCs w:val="20"/>
                <w:color w:val="auto"/>
              </w:rPr>
            </w:pPr>
            <w:r>
              <w:rPr>
                <w:rFonts w:ascii="Arial" w:cs="Arial" w:eastAsia="Arial" w:hAnsi="Arial"/>
                <w:sz w:val="18"/>
                <w:szCs w:val="18"/>
                <w:b w:val="1"/>
                <w:bCs w:val="1"/>
                <w:color w:val="auto"/>
              </w:rPr>
              <w:t>-</w:t>
            </w:r>
          </w:p>
        </w:tc>
        <w:tc>
          <w:tcPr>
            <w:tcW w:w="13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4320" w:type="dxa"/>
            <w:vAlign w:val="bottom"/>
          </w:tcPr>
          <w:p>
            <w:pPr>
              <w:spacing w:after="0" w:line="202" w:lineRule="exact"/>
              <w:rPr>
                <w:sz w:val="20"/>
                <w:szCs w:val="20"/>
                <w:color w:val="auto"/>
              </w:rPr>
            </w:pPr>
            <w:r>
              <w:rPr>
                <w:rFonts w:ascii="Arial" w:cs="Arial" w:eastAsia="Arial" w:hAnsi="Arial"/>
                <w:sz w:val="18"/>
                <w:szCs w:val="18"/>
                <w:color w:val="auto"/>
              </w:rPr>
              <w:t>Amortization of prior service cost/(credit)</w:t>
            </w:r>
          </w:p>
        </w:tc>
        <w:tc>
          <w:tcPr>
            <w:tcW w:w="2800" w:type="dxa"/>
            <w:vAlign w:val="bottom"/>
          </w:tcPr>
          <w:p>
            <w:pPr>
              <w:jc w:val="right"/>
              <w:ind w:right="830"/>
              <w:spacing w:after="0" w:line="202" w:lineRule="exact"/>
              <w:rPr>
                <w:sz w:val="20"/>
                <w:szCs w:val="20"/>
                <w:color w:val="auto"/>
              </w:rPr>
            </w:pPr>
            <w:r>
              <w:rPr>
                <w:rFonts w:ascii="Arial" w:cs="Arial" w:eastAsia="Arial" w:hAnsi="Arial"/>
                <w:sz w:val="18"/>
                <w:szCs w:val="18"/>
                <w:b w:val="1"/>
                <w:bCs w:val="1"/>
                <w:color w:val="auto"/>
              </w:rPr>
              <w:t>8</w:t>
            </w:r>
          </w:p>
        </w:tc>
        <w:tc>
          <w:tcPr>
            <w:tcW w:w="1180" w:type="dxa"/>
            <w:vAlign w:val="bottom"/>
          </w:tcPr>
          <w:p>
            <w:pPr>
              <w:jc w:val="right"/>
              <w:ind w:right="290"/>
              <w:spacing w:after="0" w:line="202" w:lineRule="exact"/>
              <w:rPr>
                <w:sz w:val="20"/>
                <w:szCs w:val="20"/>
                <w:color w:val="auto"/>
              </w:rPr>
            </w:pPr>
            <w:r>
              <w:rPr>
                <w:rFonts w:ascii="Arial" w:cs="Arial" w:eastAsia="Arial" w:hAnsi="Arial"/>
                <w:sz w:val="18"/>
                <w:szCs w:val="18"/>
                <w:color w:val="auto"/>
              </w:rPr>
              <w:t>9</w:t>
            </w:r>
          </w:p>
        </w:tc>
        <w:tc>
          <w:tcPr>
            <w:tcW w:w="1820" w:type="dxa"/>
            <w:vAlign w:val="bottom"/>
          </w:tcPr>
          <w:p>
            <w:pPr>
              <w:jc w:val="right"/>
              <w:ind w:right="350"/>
              <w:spacing w:after="0" w:line="202" w:lineRule="exact"/>
              <w:rPr>
                <w:sz w:val="20"/>
                <w:szCs w:val="20"/>
                <w:color w:val="auto"/>
              </w:rPr>
            </w:pPr>
            <w:r>
              <w:rPr>
                <w:rFonts w:ascii="Arial" w:cs="Arial" w:eastAsia="Arial" w:hAnsi="Arial"/>
                <w:sz w:val="18"/>
                <w:szCs w:val="18"/>
                <w:b w:val="1"/>
                <w:bCs w:val="1"/>
                <w:color w:val="auto"/>
              </w:rPr>
              <w:t>(1,122)</w:t>
            </w:r>
          </w:p>
        </w:tc>
        <w:tc>
          <w:tcPr>
            <w:tcW w:w="1300" w:type="dxa"/>
            <w:vAlign w:val="bottom"/>
          </w:tcPr>
          <w:p>
            <w:pPr>
              <w:jc w:val="right"/>
              <w:spacing w:after="0" w:line="202" w:lineRule="exact"/>
              <w:rPr>
                <w:sz w:val="20"/>
                <w:szCs w:val="20"/>
                <w:color w:val="auto"/>
              </w:rPr>
            </w:pPr>
            <w:r>
              <w:rPr>
                <w:rFonts w:ascii="Arial" w:cs="Arial" w:eastAsia="Arial" w:hAnsi="Arial"/>
                <w:sz w:val="18"/>
                <w:szCs w:val="18"/>
                <w:color w:val="auto"/>
              </w:rPr>
              <w:t>(1,122)</w:t>
            </w:r>
          </w:p>
        </w:tc>
        <w:tc>
          <w:tcPr>
            <w:tcW w:w="0" w:type="dxa"/>
            <w:vAlign w:val="bottom"/>
          </w:tcPr>
          <w:p>
            <w:pPr>
              <w:spacing w:after="0"/>
              <w:rPr>
                <w:sz w:val="1"/>
                <w:szCs w:val="1"/>
                <w:color w:val="auto"/>
              </w:rPr>
            </w:pPr>
          </w:p>
        </w:tc>
      </w:tr>
      <w:tr>
        <w:trPr>
          <w:trHeight w:val="225"/>
        </w:trPr>
        <w:tc>
          <w:tcPr>
            <w:tcW w:w="4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Amortization of net actuarial loss</w:t>
            </w:r>
          </w:p>
        </w:tc>
        <w:tc>
          <w:tcPr>
            <w:tcW w:w="2800" w:type="dxa"/>
            <w:vAlign w:val="bottom"/>
            <w:tcBorders>
              <w:bottom w:val="single" w:sz="8" w:color="auto"/>
            </w:tcBorders>
          </w:tcPr>
          <w:p>
            <w:pPr>
              <w:jc w:val="right"/>
              <w:ind w:right="830"/>
              <w:spacing w:after="0"/>
              <w:rPr>
                <w:sz w:val="20"/>
                <w:szCs w:val="20"/>
                <w:color w:val="auto"/>
              </w:rPr>
            </w:pPr>
            <w:r>
              <w:rPr>
                <w:rFonts w:ascii="Arial" w:cs="Arial" w:eastAsia="Arial" w:hAnsi="Arial"/>
                <w:sz w:val="18"/>
                <w:szCs w:val="18"/>
                <w:b w:val="1"/>
                <w:bCs w:val="1"/>
                <w:color w:val="auto"/>
              </w:rPr>
              <w:t>558</w:t>
            </w:r>
          </w:p>
        </w:tc>
        <w:tc>
          <w:tcPr>
            <w:tcW w:w="11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645</w:t>
            </w:r>
          </w:p>
        </w:tc>
        <w:tc>
          <w:tcPr>
            <w:tcW w:w="18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739</w:t>
            </w:r>
          </w:p>
        </w:tc>
        <w:tc>
          <w:tcPr>
            <w:tcW w:w="13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702</w:t>
            </w:r>
          </w:p>
        </w:tc>
        <w:tc>
          <w:tcPr>
            <w:tcW w:w="0" w:type="dxa"/>
            <w:vAlign w:val="bottom"/>
          </w:tcPr>
          <w:p>
            <w:pPr>
              <w:spacing w:after="0"/>
              <w:rPr>
                <w:sz w:val="1"/>
                <w:szCs w:val="1"/>
                <w:color w:val="auto"/>
              </w:rPr>
            </w:pPr>
          </w:p>
        </w:tc>
      </w:tr>
      <w:tr>
        <w:trPr>
          <w:trHeight w:val="196"/>
        </w:trPr>
        <w:tc>
          <w:tcPr>
            <w:tcW w:w="432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Net periodic benefit cost</w:t>
            </w:r>
          </w:p>
        </w:tc>
        <w:tc>
          <w:tcPr>
            <w:tcW w:w="2800" w:type="dxa"/>
            <w:vAlign w:val="bottom"/>
            <w:tcBorders>
              <w:bottom w:val="single" w:sz="8" w:color="auto"/>
            </w:tcBorders>
          </w:tcPr>
          <w:p>
            <w:pPr>
              <w:jc w:val="right"/>
              <w:ind w:right="830"/>
              <w:spacing w:after="0" w:line="196" w:lineRule="exact"/>
              <w:rPr>
                <w:sz w:val="20"/>
                <w:szCs w:val="20"/>
                <w:color w:val="auto"/>
              </w:rPr>
            </w:pPr>
            <w:r>
              <w:rPr>
                <w:rFonts w:ascii="Arial" w:cs="Arial" w:eastAsia="Arial" w:hAnsi="Arial"/>
                <w:sz w:val="18"/>
                <w:szCs w:val="18"/>
                <w:b w:val="1"/>
                <w:bCs w:val="1"/>
                <w:color w:val="auto"/>
              </w:rPr>
              <w:t>$838</w:t>
            </w:r>
          </w:p>
        </w:tc>
        <w:tc>
          <w:tcPr>
            <w:tcW w:w="1180" w:type="dxa"/>
            <w:vAlign w:val="bottom"/>
            <w:tcBorders>
              <w:bottom w:val="single" w:sz="8" w:color="auto"/>
            </w:tcBorders>
          </w:tcPr>
          <w:p>
            <w:pPr>
              <w:jc w:val="right"/>
              <w:ind w:right="290"/>
              <w:spacing w:after="0" w:line="196" w:lineRule="exact"/>
              <w:rPr>
                <w:sz w:val="20"/>
                <w:szCs w:val="20"/>
                <w:color w:val="auto"/>
              </w:rPr>
            </w:pPr>
            <w:r>
              <w:rPr>
                <w:rFonts w:ascii="Arial" w:cs="Arial" w:eastAsia="Arial" w:hAnsi="Arial"/>
                <w:sz w:val="18"/>
                <w:szCs w:val="18"/>
                <w:color w:val="auto"/>
              </w:rPr>
              <w:t>$1,140</w:t>
            </w:r>
          </w:p>
        </w:tc>
        <w:tc>
          <w:tcPr>
            <w:tcW w:w="1820" w:type="dxa"/>
            <w:vAlign w:val="bottom"/>
            <w:tcBorders>
              <w:bottom w:val="single" w:sz="8" w:color="auto"/>
            </w:tcBorders>
          </w:tcPr>
          <w:p>
            <w:pPr>
              <w:jc w:val="right"/>
              <w:ind w:right="410"/>
              <w:spacing w:after="0" w:line="196" w:lineRule="exact"/>
              <w:rPr>
                <w:sz w:val="20"/>
                <w:szCs w:val="20"/>
                <w:color w:val="auto"/>
              </w:rPr>
            </w:pPr>
            <w:r>
              <w:rPr>
                <w:rFonts w:ascii="Arial" w:cs="Arial" w:eastAsia="Arial" w:hAnsi="Arial"/>
                <w:sz w:val="18"/>
                <w:szCs w:val="18"/>
                <w:b w:val="1"/>
                <w:bCs w:val="1"/>
                <w:color w:val="auto"/>
              </w:rPr>
              <w:t>$182</w:t>
            </w:r>
          </w:p>
        </w:tc>
        <w:tc>
          <w:tcPr>
            <w:tcW w:w="130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$194</w:t>
            </w:r>
          </w:p>
        </w:tc>
        <w:tc>
          <w:tcPr>
            <w:tcW w:w="0" w:type="dxa"/>
            <w:vAlign w:val="bottom"/>
          </w:tcPr>
          <w:p>
            <w:pPr>
              <w:spacing w:after="0"/>
              <w:rPr>
                <w:sz w:val="1"/>
                <w:szCs w:val="1"/>
                <w:color w:val="auto"/>
              </w:rPr>
            </w:pPr>
          </w:p>
        </w:tc>
      </w:tr>
    </w:tbl>
    <w:p>
      <w:pPr>
        <w:spacing w:after="0" w:line="359" w:lineRule="exact"/>
        <w:rPr>
          <w:sz w:val="20"/>
          <w:szCs w:val="20"/>
          <w:color w:val="auto"/>
        </w:rPr>
      </w:pPr>
    </w:p>
    <w:p>
      <w:pPr>
        <w:ind w:right="40" w:firstLine="648"/>
        <w:spacing w:after="0"/>
        <w:rPr>
          <w:sz w:val="20"/>
          <w:szCs w:val="20"/>
          <w:color w:val="auto"/>
        </w:rPr>
      </w:pPr>
      <w:r>
        <w:rPr>
          <w:rFonts w:ascii="Arial" w:cs="Arial" w:eastAsia="Arial" w:hAnsi="Arial"/>
          <w:sz w:val="18"/>
          <w:szCs w:val="18"/>
          <w:color w:val="auto"/>
        </w:rPr>
        <w:t>In 2018, the Company adopted the provisions of ASU 2017-07, “</w:t>
      </w:r>
      <w:r>
        <w:rPr>
          <w:rFonts w:ascii="Arial" w:cs="Arial" w:eastAsia="Arial" w:hAnsi="Arial"/>
          <w:sz w:val="18"/>
          <w:szCs w:val="18"/>
          <w:i w:val="1"/>
          <w:iCs w:val="1"/>
          <w:color w:val="auto"/>
        </w:rPr>
        <w:t>Compensation – Retirement Benefits: improving the presentation of</w:t>
      </w:r>
      <w:r>
        <w:rPr>
          <w:rFonts w:ascii="Arial" w:cs="Arial" w:eastAsia="Arial" w:hAnsi="Arial"/>
          <w:sz w:val="18"/>
          <w:szCs w:val="18"/>
          <w:color w:val="auto"/>
        </w:rPr>
        <w:t xml:space="preserve"> </w:t>
      </w:r>
      <w:r>
        <w:rPr>
          <w:rFonts w:ascii="Arial" w:cs="Arial" w:eastAsia="Arial" w:hAnsi="Arial"/>
          <w:sz w:val="18"/>
          <w:szCs w:val="18"/>
          <w:i w:val="1"/>
          <w:iCs w:val="1"/>
          <w:color w:val="auto"/>
        </w:rPr>
        <w:t>net periodic pension cost and net periodic postretirement benefit cost</w:t>
      </w:r>
      <w:r>
        <w:rPr>
          <w:rFonts w:ascii="Arial" w:cs="Arial" w:eastAsia="Arial" w:hAnsi="Arial"/>
          <w:sz w:val="18"/>
          <w:szCs w:val="18"/>
          <w:color w:val="auto"/>
        </w:rPr>
        <w:t>”. This accounting update requires that service cost for defined benefit</w:t>
      </w:r>
      <w:r>
        <w:rPr>
          <w:rFonts w:ascii="Arial" w:cs="Arial" w:eastAsia="Arial" w:hAnsi="Arial"/>
          <w:sz w:val="18"/>
          <w:szCs w:val="18"/>
          <w:i w:val="1"/>
          <w:iCs w:val="1"/>
          <w:color w:val="auto"/>
        </w:rPr>
        <w:t xml:space="preserve"> </w:t>
      </w:r>
      <w:r>
        <w:rPr>
          <w:rFonts w:ascii="Arial" w:cs="Arial" w:eastAsia="Arial" w:hAnsi="Arial"/>
          <w:sz w:val="18"/>
          <w:szCs w:val="18"/>
          <w:color w:val="auto"/>
        </w:rPr>
        <w:t>pension and postretirement plans be reported in the same line item or items as other compensation costs arising from services rendered by the pertinent employees during the period. Additionally, the other components of net periodic benefit cost are required to be presented in the income statement separately from the service cost component and outside a subtotal of income from operations. The Company elected to report the components of net periodic benefit cost other than the service component in the line item, Other expense, net in the Consolidated Statements of Income.</w:t>
      </w:r>
    </w:p>
    <w:p>
      <w:pPr>
        <w:spacing w:after="0" w:line="176" w:lineRule="exact"/>
        <w:rPr>
          <w:sz w:val="20"/>
          <w:szCs w:val="20"/>
          <w:color w:val="auto"/>
        </w:rPr>
      </w:pPr>
    </w:p>
    <w:p>
      <w:pPr>
        <w:ind w:right="80" w:firstLine="648"/>
        <w:spacing w:after="0"/>
        <w:rPr>
          <w:sz w:val="20"/>
          <w:szCs w:val="20"/>
          <w:color w:val="auto"/>
        </w:rPr>
      </w:pPr>
      <w:r>
        <w:rPr>
          <w:rFonts w:ascii="Arial" w:cs="Arial" w:eastAsia="Arial" w:hAnsi="Arial"/>
          <w:sz w:val="18"/>
          <w:szCs w:val="18"/>
          <w:color w:val="auto"/>
        </w:rPr>
        <w:t>We restated 2017 expenses using the application of a practical expedient, which permits the usage of amounts disclosed in the prior year Pension and Other Postretirement benefit plans footnote as the estimation basis for applying the retrospective presentation requirements. The tables below show the 2017 amounts reclassified by segment and financial statement line item that resulted from adopting this update:</w:t>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342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778" w:right="2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Effect by segment operating expenses: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5840" w:type="dxa"/>
            <w:vAlign w:val="bottom"/>
            <w:tcBorders>
              <w:top w:val="single" w:sz="8" w:color="auto"/>
            </w:tcBorders>
          </w:tcPr>
          <w:p>
            <w:pPr>
              <w:spacing w:after="0"/>
              <w:rPr>
                <w:sz w:val="16"/>
                <w:szCs w:val="16"/>
                <w:color w:val="auto"/>
              </w:rPr>
            </w:pPr>
          </w:p>
        </w:tc>
        <w:tc>
          <w:tcPr>
            <w:tcW w:w="5580" w:type="dxa"/>
            <w:vAlign w:val="bottom"/>
            <w:tcBorders>
              <w:top w:val="single" w:sz="8" w:color="auto"/>
            </w:tcBorders>
          </w:tcPr>
          <w:p>
            <w:pPr>
              <w:ind w:left="2280"/>
              <w:spacing w:after="0" w:line="194" w:lineRule="exact"/>
              <w:rPr>
                <w:sz w:val="20"/>
                <w:szCs w:val="20"/>
                <w:color w:val="auto"/>
              </w:rPr>
            </w:pPr>
            <w:r>
              <w:rPr>
                <w:rFonts w:ascii="Arial" w:cs="Arial" w:eastAsia="Arial" w:hAnsi="Arial"/>
                <w:sz w:val="18"/>
                <w:szCs w:val="18"/>
                <w:b w:val="1"/>
                <w:bCs w:val="1"/>
                <w:color w:val="auto"/>
              </w:rPr>
              <w:t>Increase/(decrease) in expense for the</w:t>
            </w:r>
          </w:p>
        </w:tc>
      </w:tr>
      <w:tr>
        <w:trPr>
          <w:trHeight w:val="225"/>
        </w:trPr>
        <w:tc>
          <w:tcPr>
            <w:tcW w:w="58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(in thousands)</w:t>
            </w:r>
          </w:p>
        </w:tc>
        <w:tc>
          <w:tcPr>
            <w:tcW w:w="5580" w:type="dxa"/>
            <w:vAlign w:val="bottom"/>
            <w:tcBorders>
              <w:bottom w:val="single" w:sz="8" w:color="auto"/>
            </w:tcBorders>
          </w:tcPr>
          <w:p>
            <w:pPr>
              <w:ind w:left="2280"/>
              <w:spacing w:after="0"/>
              <w:rPr>
                <w:sz w:val="20"/>
                <w:szCs w:val="20"/>
                <w:color w:val="auto"/>
              </w:rPr>
            </w:pPr>
            <w:r>
              <w:rPr>
                <w:rFonts w:ascii="Arial" w:cs="Arial" w:eastAsia="Arial" w:hAnsi="Arial"/>
                <w:sz w:val="18"/>
                <w:szCs w:val="18"/>
                <w:b w:val="1"/>
                <w:bCs w:val="1"/>
                <w:color w:val="auto"/>
              </w:rPr>
              <w:t>three months ended March 31, 2017</w:t>
            </w:r>
          </w:p>
        </w:tc>
      </w:tr>
      <w:tr>
        <w:trPr>
          <w:trHeight w:val="195"/>
        </w:trPr>
        <w:tc>
          <w:tcPr>
            <w:tcW w:w="5840" w:type="dxa"/>
            <w:vAlign w:val="bottom"/>
          </w:tcPr>
          <w:p>
            <w:pPr>
              <w:spacing w:after="0" w:line="195" w:lineRule="exact"/>
              <w:rPr>
                <w:sz w:val="20"/>
                <w:szCs w:val="20"/>
                <w:color w:val="auto"/>
              </w:rPr>
            </w:pPr>
            <w:r>
              <w:rPr>
                <w:rFonts w:ascii="Arial" w:cs="Arial" w:eastAsia="Arial" w:hAnsi="Arial"/>
                <w:sz w:val="18"/>
                <w:szCs w:val="18"/>
                <w:color w:val="auto"/>
              </w:rPr>
              <w:t>Machine Clothing</w:t>
            </w:r>
          </w:p>
        </w:tc>
        <w:tc>
          <w:tcPr>
            <w:tcW w:w="5580" w:type="dxa"/>
            <w:vAlign w:val="bottom"/>
          </w:tcPr>
          <w:p>
            <w:pPr>
              <w:jc w:val="right"/>
              <w:ind w:right="10"/>
              <w:spacing w:after="0" w:line="195" w:lineRule="exact"/>
              <w:rPr>
                <w:sz w:val="20"/>
                <w:szCs w:val="20"/>
                <w:color w:val="auto"/>
              </w:rPr>
            </w:pPr>
            <w:r>
              <w:rPr>
                <w:rFonts w:ascii="Arial" w:cs="Arial" w:eastAsia="Arial" w:hAnsi="Arial"/>
                <w:sz w:val="18"/>
                <w:szCs w:val="18"/>
                <w:color w:val="auto"/>
              </w:rPr>
              <w:t>($2)</w:t>
            </w:r>
          </w:p>
        </w:tc>
      </w:tr>
      <w:tr>
        <w:trPr>
          <w:trHeight w:val="203"/>
        </w:trPr>
        <w:tc>
          <w:tcPr>
            <w:tcW w:w="5840" w:type="dxa"/>
            <w:vAlign w:val="bottom"/>
          </w:tcPr>
          <w:p>
            <w:pPr>
              <w:spacing w:after="0" w:line="202" w:lineRule="exact"/>
              <w:rPr>
                <w:sz w:val="20"/>
                <w:szCs w:val="20"/>
                <w:color w:val="auto"/>
              </w:rPr>
            </w:pPr>
            <w:r>
              <w:rPr>
                <w:rFonts w:ascii="Arial" w:cs="Arial" w:eastAsia="Arial" w:hAnsi="Arial"/>
                <w:sz w:val="18"/>
                <w:szCs w:val="18"/>
                <w:color w:val="auto"/>
              </w:rPr>
              <w:t>Albany Engineered Composites</w:t>
            </w:r>
          </w:p>
        </w:tc>
        <w:tc>
          <w:tcPr>
            <w:tcW w:w="5580" w:type="dxa"/>
            <w:vAlign w:val="bottom"/>
          </w:tcPr>
          <w:p>
            <w:pPr>
              <w:jc w:val="right"/>
              <w:ind w:right="70"/>
              <w:spacing w:after="0" w:line="202" w:lineRule="exact"/>
              <w:rPr>
                <w:sz w:val="20"/>
                <w:szCs w:val="20"/>
                <w:color w:val="auto"/>
              </w:rPr>
            </w:pPr>
            <w:r>
              <w:rPr>
                <w:rFonts w:ascii="Arial" w:cs="Arial" w:eastAsia="Arial" w:hAnsi="Arial"/>
                <w:sz w:val="18"/>
                <w:szCs w:val="18"/>
                <w:color w:val="auto"/>
              </w:rPr>
              <w:t>-</w:t>
            </w:r>
          </w:p>
        </w:tc>
      </w:tr>
      <w:tr>
        <w:trPr>
          <w:trHeight w:val="203"/>
        </w:trPr>
        <w:tc>
          <w:tcPr>
            <w:tcW w:w="5840" w:type="dxa"/>
            <w:vAlign w:val="bottom"/>
            <w:tcBorders>
              <w:bottom w:val="single" w:sz="8" w:color="auto"/>
            </w:tcBorders>
          </w:tcPr>
          <w:p>
            <w:pPr>
              <w:spacing w:after="0" w:line="203" w:lineRule="exact"/>
              <w:rPr>
                <w:sz w:val="20"/>
                <w:szCs w:val="20"/>
                <w:color w:val="auto"/>
              </w:rPr>
            </w:pPr>
            <w:r>
              <w:rPr>
                <w:rFonts w:ascii="Arial" w:cs="Arial" w:eastAsia="Arial" w:hAnsi="Arial"/>
                <w:sz w:val="18"/>
                <w:szCs w:val="18"/>
                <w:color w:val="auto"/>
              </w:rPr>
              <w:t>Corporate expenses</w:t>
            </w:r>
          </w:p>
        </w:tc>
        <w:tc>
          <w:tcPr>
            <w:tcW w:w="5580" w:type="dxa"/>
            <w:vAlign w:val="bottom"/>
            <w:tcBorders>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rPr>
              <w:t>(620)</w:t>
            </w:r>
          </w:p>
        </w:tc>
      </w:tr>
      <w:tr>
        <w:trPr>
          <w:trHeight w:val="196"/>
        </w:trPr>
        <w:tc>
          <w:tcPr>
            <w:tcW w:w="584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Total operating expenses</w:t>
            </w:r>
          </w:p>
        </w:tc>
        <w:tc>
          <w:tcPr>
            <w:tcW w:w="558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($622)</w:t>
            </w:r>
          </w:p>
        </w:tc>
      </w:tr>
      <w:tr>
        <w:trPr>
          <w:trHeight w:val="399"/>
        </w:trPr>
        <w:tc>
          <w:tcPr>
            <w:tcW w:w="5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 expense, net</w:t>
            </w:r>
          </w:p>
        </w:tc>
        <w:tc>
          <w:tcPr>
            <w:tcW w:w="55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$622</w:t>
            </w:r>
          </w:p>
        </w:tc>
      </w:tr>
      <w:tr>
        <w:trPr>
          <w:trHeight w:val="588"/>
        </w:trPr>
        <w:tc>
          <w:tcPr>
            <w:tcW w:w="5840" w:type="dxa"/>
            <w:vAlign w:val="bottom"/>
          </w:tcPr>
          <w:p>
            <w:pPr>
              <w:spacing w:after="0"/>
              <w:rPr>
                <w:sz w:val="20"/>
                <w:szCs w:val="20"/>
                <w:color w:val="auto"/>
              </w:rPr>
            </w:pPr>
            <w:r>
              <w:rPr>
                <w:rFonts w:ascii="Arial" w:cs="Arial" w:eastAsia="Arial" w:hAnsi="Arial"/>
                <w:sz w:val="18"/>
                <w:szCs w:val="18"/>
                <w:b w:val="1"/>
                <w:bCs w:val="1"/>
                <w:color w:val="auto"/>
              </w:rPr>
              <w:t>Effect by Statement of Income line item:</w:t>
            </w:r>
          </w:p>
        </w:tc>
        <w:tc>
          <w:tcPr>
            <w:tcW w:w="5580" w:type="dxa"/>
            <w:vAlign w:val="bottom"/>
          </w:tcPr>
          <w:p>
            <w:pPr>
              <w:spacing w:after="0"/>
              <w:rPr>
                <w:sz w:val="24"/>
                <w:szCs w:val="24"/>
                <w:color w:val="auto"/>
              </w:rPr>
            </w:pPr>
          </w:p>
        </w:tc>
      </w:tr>
      <w:tr>
        <w:trPr>
          <w:trHeight w:val="189"/>
        </w:trPr>
        <w:tc>
          <w:tcPr>
            <w:tcW w:w="5840" w:type="dxa"/>
            <w:vAlign w:val="bottom"/>
            <w:tcBorders>
              <w:bottom w:val="single" w:sz="8" w:color="auto"/>
            </w:tcBorders>
          </w:tcPr>
          <w:p>
            <w:pPr>
              <w:spacing w:after="0"/>
              <w:rPr>
                <w:sz w:val="16"/>
                <w:szCs w:val="16"/>
                <w:color w:val="auto"/>
              </w:rPr>
            </w:pPr>
          </w:p>
        </w:tc>
        <w:tc>
          <w:tcPr>
            <w:tcW w:w="5580" w:type="dxa"/>
            <w:vAlign w:val="bottom"/>
            <w:tcBorders>
              <w:bottom w:val="single" w:sz="8" w:color="auto"/>
            </w:tcBorders>
          </w:tcPr>
          <w:p>
            <w:pPr>
              <w:spacing w:after="0"/>
              <w:rPr>
                <w:sz w:val="16"/>
                <w:szCs w:val="16"/>
                <w:color w:val="auto"/>
              </w:rPr>
            </w:pPr>
          </w:p>
        </w:tc>
      </w:tr>
      <w:tr>
        <w:trPr>
          <w:trHeight w:val="173"/>
        </w:trPr>
        <w:tc>
          <w:tcPr>
            <w:tcW w:w="5840" w:type="dxa"/>
            <w:vAlign w:val="bottom"/>
          </w:tcPr>
          <w:p>
            <w:pPr>
              <w:spacing w:after="0"/>
              <w:rPr>
                <w:sz w:val="15"/>
                <w:szCs w:val="15"/>
                <w:color w:val="auto"/>
              </w:rPr>
            </w:pPr>
          </w:p>
        </w:tc>
        <w:tc>
          <w:tcPr>
            <w:tcW w:w="5580" w:type="dxa"/>
            <w:vAlign w:val="bottom"/>
          </w:tcPr>
          <w:p>
            <w:pPr>
              <w:ind w:left="2280"/>
              <w:spacing w:after="0" w:line="173" w:lineRule="exact"/>
              <w:rPr>
                <w:sz w:val="20"/>
                <w:szCs w:val="20"/>
                <w:color w:val="auto"/>
              </w:rPr>
            </w:pPr>
            <w:r>
              <w:rPr>
                <w:rFonts w:ascii="Arial" w:cs="Arial" w:eastAsia="Arial" w:hAnsi="Arial"/>
                <w:sz w:val="18"/>
                <w:szCs w:val="18"/>
                <w:b w:val="1"/>
                <w:bCs w:val="1"/>
                <w:color w:val="auto"/>
              </w:rPr>
              <w:t>Increase/(decrease) in expense for the</w:t>
            </w:r>
          </w:p>
        </w:tc>
      </w:tr>
      <w:tr>
        <w:trPr>
          <w:trHeight w:val="225"/>
        </w:trPr>
        <w:tc>
          <w:tcPr>
            <w:tcW w:w="58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(in thousands)</w:t>
            </w:r>
          </w:p>
        </w:tc>
        <w:tc>
          <w:tcPr>
            <w:tcW w:w="5580" w:type="dxa"/>
            <w:vAlign w:val="bottom"/>
            <w:tcBorders>
              <w:bottom w:val="single" w:sz="8" w:color="auto"/>
            </w:tcBorders>
          </w:tcPr>
          <w:p>
            <w:pPr>
              <w:ind w:left="2280"/>
              <w:spacing w:after="0"/>
              <w:rPr>
                <w:sz w:val="20"/>
                <w:szCs w:val="20"/>
                <w:color w:val="auto"/>
              </w:rPr>
            </w:pPr>
            <w:r>
              <w:rPr>
                <w:rFonts w:ascii="Arial" w:cs="Arial" w:eastAsia="Arial" w:hAnsi="Arial"/>
                <w:sz w:val="18"/>
                <w:szCs w:val="18"/>
                <w:b w:val="1"/>
                <w:bCs w:val="1"/>
                <w:color w:val="auto"/>
              </w:rPr>
              <w:t>three months ended March 31, 2017</w:t>
            </w:r>
          </w:p>
        </w:tc>
      </w:tr>
      <w:tr>
        <w:trPr>
          <w:trHeight w:val="195"/>
        </w:trPr>
        <w:tc>
          <w:tcPr>
            <w:tcW w:w="5840" w:type="dxa"/>
            <w:vAlign w:val="bottom"/>
          </w:tcPr>
          <w:p>
            <w:pPr>
              <w:spacing w:after="0" w:line="195" w:lineRule="exact"/>
              <w:rPr>
                <w:sz w:val="20"/>
                <w:szCs w:val="20"/>
                <w:color w:val="auto"/>
              </w:rPr>
            </w:pPr>
            <w:r>
              <w:rPr>
                <w:rFonts w:ascii="Arial" w:cs="Arial" w:eastAsia="Arial" w:hAnsi="Arial"/>
                <w:sz w:val="18"/>
                <w:szCs w:val="18"/>
                <w:color w:val="auto"/>
              </w:rPr>
              <w:t>Cost of goods sold</w:t>
            </w:r>
          </w:p>
        </w:tc>
        <w:tc>
          <w:tcPr>
            <w:tcW w:w="5580" w:type="dxa"/>
            <w:vAlign w:val="bottom"/>
          </w:tcPr>
          <w:p>
            <w:pPr>
              <w:jc w:val="right"/>
              <w:ind w:right="10"/>
              <w:spacing w:after="0" w:line="195" w:lineRule="exact"/>
              <w:rPr>
                <w:sz w:val="20"/>
                <w:szCs w:val="20"/>
                <w:color w:val="auto"/>
              </w:rPr>
            </w:pPr>
            <w:r>
              <w:rPr>
                <w:rFonts w:ascii="Arial" w:cs="Arial" w:eastAsia="Arial" w:hAnsi="Arial"/>
                <w:sz w:val="18"/>
                <w:szCs w:val="18"/>
                <w:color w:val="auto"/>
              </w:rPr>
              <w:t>($123)</w:t>
            </w:r>
          </w:p>
        </w:tc>
      </w:tr>
      <w:tr>
        <w:trPr>
          <w:trHeight w:val="203"/>
        </w:trPr>
        <w:tc>
          <w:tcPr>
            <w:tcW w:w="5840" w:type="dxa"/>
            <w:vAlign w:val="bottom"/>
            <w:tcBorders>
              <w:bottom w:val="single" w:sz="8" w:color="auto"/>
            </w:tcBorders>
          </w:tcPr>
          <w:p>
            <w:pPr>
              <w:spacing w:after="0" w:line="203" w:lineRule="exact"/>
              <w:rPr>
                <w:sz w:val="20"/>
                <w:szCs w:val="20"/>
                <w:color w:val="auto"/>
              </w:rPr>
            </w:pPr>
            <w:r>
              <w:rPr>
                <w:rFonts w:ascii="Arial" w:cs="Arial" w:eastAsia="Arial" w:hAnsi="Arial"/>
                <w:sz w:val="18"/>
                <w:szCs w:val="18"/>
                <w:color w:val="auto"/>
              </w:rPr>
              <w:t>Selling, general and administrative expenses</w:t>
            </w:r>
          </w:p>
        </w:tc>
        <w:tc>
          <w:tcPr>
            <w:tcW w:w="5580" w:type="dxa"/>
            <w:vAlign w:val="bottom"/>
            <w:tcBorders>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rPr>
              <w:t>(499)</w:t>
            </w:r>
          </w:p>
        </w:tc>
      </w:tr>
      <w:tr>
        <w:trPr>
          <w:trHeight w:val="196"/>
        </w:trPr>
        <w:tc>
          <w:tcPr>
            <w:tcW w:w="584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Total operating expenses</w:t>
            </w:r>
          </w:p>
        </w:tc>
        <w:tc>
          <w:tcPr>
            <w:tcW w:w="558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($622)</w:t>
            </w:r>
          </w:p>
        </w:tc>
      </w:tr>
      <w:tr>
        <w:trPr>
          <w:trHeight w:val="399"/>
        </w:trPr>
        <w:tc>
          <w:tcPr>
            <w:tcW w:w="5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 expense, net</w:t>
            </w:r>
          </w:p>
        </w:tc>
        <w:tc>
          <w:tcPr>
            <w:tcW w:w="55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$622</w:t>
            </w:r>
          </w:p>
        </w:tc>
      </w:tr>
    </w:tbl>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5. Restructuring</w:t>
      </w:r>
    </w:p>
    <w:p>
      <w:pPr>
        <w:spacing w:after="0" w:line="193" w:lineRule="exact"/>
        <w:rPr>
          <w:sz w:val="20"/>
          <w:szCs w:val="20"/>
          <w:color w:val="auto"/>
        </w:rPr>
      </w:pPr>
    </w:p>
    <w:p>
      <w:pPr>
        <w:ind w:right="60" w:firstLine="648"/>
        <w:spacing w:after="0" w:line="236" w:lineRule="auto"/>
        <w:rPr>
          <w:sz w:val="20"/>
          <w:szCs w:val="20"/>
          <w:color w:val="auto"/>
        </w:rPr>
      </w:pPr>
      <w:r>
        <w:rPr>
          <w:rFonts w:ascii="Arial" w:cs="Arial" w:eastAsia="Arial" w:hAnsi="Arial"/>
          <w:sz w:val="18"/>
          <w:szCs w:val="18"/>
          <w:color w:val="auto"/>
        </w:rPr>
        <w:t>On October 5, 2017, the Company filed a form 8-K to announce the initiation of discussions regarding a proposal to discontinue operations at its Machine Clothing production facility in Sélestat, France. During 2017, we incurred $1.1 million of restructuring expense associated with this proposal but were unable to reasonably estimate the total costs for severance and other charges associated with the proposal as there was no assurance, at that time, that approval for the proposal would be obtained. In the first quarter of 2018 the plan was approved by the French Labor Ministry. The restructuring program was driven by the Company’s need to balance manufacturing capacity with demand. In the first-quarter of 2018, we recorded restructuring expense of $8.1 million, which includes our estimate of the severance and outplacement costs for the approximately 50 positions that will be terminated under this plan. To date, we have recorded $9.2 million of restructuring charges related to this action. The Company has started to assess property, plant and equipment in that location to determine if equipment will be transferred to other facilities, or if the value of the assets can be recovered through a sale. Depending on the outcome of that assessment, additional restructuring charges could be recorded in future periods.</w:t>
      </w:r>
    </w:p>
    <w:p>
      <w:pPr>
        <w:spacing w:after="0" w:line="180" w:lineRule="exact"/>
        <w:rPr>
          <w:sz w:val="20"/>
          <w:szCs w:val="20"/>
          <w:color w:val="auto"/>
        </w:rPr>
      </w:pPr>
    </w:p>
    <w:p>
      <w:pPr>
        <w:ind w:right="160" w:firstLine="648"/>
        <w:spacing w:after="0" w:line="246" w:lineRule="auto"/>
        <w:rPr>
          <w:sz w:val="20"/>
          <w:szCs w:val="20"/>
          <w:color w:val="auto"/>
        </w:rPr>
      </w:pPr>
      <w:r>
        <w:rPr>
          <w:rFonts w:ascii="Arial" w:cs="Arial" w:eastAsia="Arial" w:hAnsi="Arial"/>
          <w:sz w:val="18"/>
          <w:szCs w:val="18"/>
          <w:color w:val="auto"/>
        </w:rPr>
        <w:t>AEC restructuring charges in the first quarter of 2017 principally relate to work force reductions in Salt Lake City, Utah and Rochester, New Hampshire. To date, we have recorded $5.2 million of restructuring charges related to these actions.</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342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778" w:right="239" w:bottom="1440" w:gutter="0" w:footer="0" w:header="0"/>
        </w:sectPr>
      </w:pPr>
    </w:p>
    <w:bookmarkStart w:id="20" w:name="page21"/>
    <w:bookmarkEnd w:id="20"/>
    <w:p>
      <w:pPr>
        <w:ind w:left="660"/>
        <w:spacing w:after="0"/>
        <w:rPr>
          <w:sz w:val="20"/>
          <w:szCs w:val="20"/>
          <w:color w:val="auto"/>
        </w:rPr>
      </w:pPr>
      <w:r>
        <w:rPr>
          <w:rFonts w:ascii="Arial" w:cs="Arial" w:eastAsia="Arial" w:hAnsi="Arial"/>
          <w:sz w:val="18"/>
          <w:szCs w:val="18"/>
          <w:color w:val="auto"/>
        </w:rPr>
        <w:t>The following table summarizes charges reported in the Consolidated Statements of Income under “Restructuring expenses, net”:</w:t>
      </w:r>
    </w:p>
    <w:p>
      <w:pPr>
        <w:spacing w:after="0" w:line="382"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4520" w:type="dxa"/>
            <w:vAlign w:val="bottom"/>
            <w:tcBorders>
              <w:top w:val="single" w:sz="8" w:color="auto"/>
            </w:tcBorders>
          </w:tcPr>
          <w:p>
            <w:pPr>
              <w:spacing w:after="0"/>
              <w:rPr>
                <w:sz w:val="16"/>
                <w:szCs w:val="16"/>
                <w:color w:val="auto"/>
              </w:rPr>
            </w:pPr>
          </w:p>
        </w:tc>
        <w:tc>
          <w:tcPr>
            <w:tcW w:w="3060" w:type="dxa"/>
            <w:vAlign w:val="bottom"/>
            <w:tcBorders>
              <w:top w:val="single" w:sz="8" w:color="auto"/>
            </w:tcBorders>
          </w:tcPr>
          <w:p>
            <w:pPr>
              <w:spacing w:after="0"/>
              <w:rPr>
                <w:sz w:val="16"/>
                <w:szCs w:val="16"/>
                <w:color w:val="auto"/>
              </w:rPr>
            </w:pPr>
          </w:p>
        </w:tc>
        <w:tc>
          <w:tcPr>
            <w:tcW w:w="3840" w:type="dxa"/>
            <w:vAlign w:val="bottom"/>
            <w:tcBorders>
              <w:top w:val="single" w:sz="8" w:color="auto"/>
            </w:tcBorders>
            <w:gridSpan w:val="2"/>
          </w:tcPr>
          <w:p>
            <w:pPr>
              <w:jc w:val="right"/>
              <w:ind w:right="630"/>
              <w:spacing w:after="0" w:line="194" w:lineRule="exact"/>
              <w:rPr>
                <w:sz w:val="20"/>
                <w:szCs w:val="20"/>
                <w:color w:val="auto"/>
              </w:rPr>
            </w:pPr>
            <w:r>
              <w:rPr>
                <w:rFonts w:ascii="Arial" w:cs="Arial" w:eastAsia="Arial" w:hAnsi="Arial"/>
                <w:sz w:val="18"/>
                <w:szCs w:val="18"/>
                <w:b w:val="1"/>
                <w:bCs w:val="1"/>
                <w:color w:val="auto"/>
              </w:rPr>
              <w:t>Three months ended March 31,</w:t>
            </w:r>
          </w:p>
        </w:tc>
      </w:tr>
      <w:tr>
        <w:trPr>
          <w:trHeight w:val="225"/>
        </w:trPr>
        <w:tc>
          <w:tcPr>
            <w:tcW w:w="45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(in thousands)</w:t>
            </w:r>
          </w:p>
        </w:tc>
        <w:tc>
          <w:tcPr>
            <w:tcW w:w="3060" w:type="dxa"/>
            <w:vAlign w:val="bottom"/>
            <w:tcBorders>
              <w:bottom w:val="single" w:sz="8" w:color="auto"/>
            </w:tcBorders>
          </w:tcPr>
          <w:p>
            <w:pPr>
              <w:spacing w:after="0"/>
              <w:rPr>
                <w:sz w:val="19"/>
                <w:szCs w:val="19"/>
                <w:color w:val="auto"/>
              </w:rPr>
            </w:pPr>
          </w:p>
        </w:tc>
        <w:tc>
          <w:tcPr>
            <w:tcW w:w="2140" w:type="dxa"/>
            <w:vAlign w:val="bottom"/>
            <w:tcBorders>
              <w:bottom w:val="single" w:sz="8" w:color="auto"/>
            </w:tcBorders>
          </w:tcPr>
          <w:p>
            <w:pPr>
              <w:jc w:val="right"/>
              <w:ind w:right="1290"/>
              <w:spacing w:after="0"/>
              <w:rPr>
                <w:sz w:val="20"/>
                <w:szCs w:val="20"/>
                <w:color w:val="auto"/>
              </w:rPr>
            </w:pPr>
            <w:r>
              <w:rPr>
                <w:rFonts w:ascii="Arial" w:cs="Arial" w:eastAsia="Arial" w:hAnsi="Arial"/>
                <w:sz w:val="18"/>
                <w:szCs w:val="18"/>
                <w:b w:val="1"/>
                <w:bCs w:val="1"/>
                <w:color w:val="auto"/>
              </w:rPr>
              <w:t>2018</w:t>
            </w:r>
          </w:p>
        </w:tc>
        <w:tc>
          <w:tcPr>
            <w:tcW w:w="17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2017</w:t>
            </w:r>
          </w:p>
        </w:tc>
      </w:tr>
      <w:tr>
        <w:trPr>
          <w:trHeight w:val="173"/>
        </w:trPr>
        <w:tc>
          <w:tcPr>
            <w:tcW w:w="4520" w:type="dxa"/>
            <w:vAlign w:val="bottom"/>
          </w:tcPr>
          <w:p>
            <w:pPr>
              <w:spacing w:after="0" w:line="173" w:lineRule="exact"/>
              <w:rPr>
                <w:sz w:val="20"/>
                <w:szCs w:val="20"/>
                <w:color w:val="auto"/>
              </w:rPr>
            </w:pPr>
            <w:r>
              <w:rPr>
                <w:rFonts w:ascii="Arial" w:cs="Arial" w:eastAsia="Arial" w:hAnsi="Arial"/>
                <w:sz w:val="18"/>
                <w:szCs w:val="18"/>
                <w:color w:val="auto"/>
              </w:rPr>
              <w:t>Machine Clothing</w:t>
            </w:r>
          </w:p>
        </w:tc>
        <w:tc>
          <w:tcPr>
            <w:tcW w:w="3060" w:type="dxa"/>
            <w:vAlign w:val="bottom"/>
          </w:tcPr>
          <w:p>
            <w:pPr>
              <w:spacing w:after="0"/>
              <w:rPr>
                <w:sz w:val="15"/>
                <w:szCs w:val="15"/>
                <w:color w:val="auto"/>
              </w:rPr>
            </w:pPr>
          </w:p>
        </w:tc>
        <w:tc>
          <w:tcPr>
            <w:tcW w:w="2140" w:type="dxa"/>
            <w:vAlign w:val="bottom"/>
          </w:tcPr>
          <w:p>
            <w:pPr>
              <w:jc w:val="right"/>
              <w:ind w:right="810"/>
              <w:spacing w:after="0" w:line="173" w:lineRule="exact"/>
              <w:rPr>
                <w:sz w:val="20"/>
                <w:szCs w:val="20"/>
                <w:color w:val="auto"/>
              </w:rPr>
            </w:pPr>
            <w:r>
              <w:rPr>
                <w:rFonts w:ascii="Arial" w:cs="Arial" w:eastAsia="Arial" w:hAnsi="Arial"/>
                <w:sz w:val="18"/>
                <w:szCs w:val="18"/>
                <w:b w:val="1"/>
                <w:bCs w:val="1"/>
                <w:color w:val="auto"/>
              </w:rPr>
              <w:t>$8,352</w:t>
            </w:r>
          </w:p>
        </w:tc>
        <w:tc>
          <w:tcPr>
            <w:tcW w:w="1700" w:type="dxa"/>
            <w:vAlign w:val="bottom"/>
          </w:tcPr>
          <w:p>
            <w:pPr>
              <w:jc w:val="right"/>
              <w:ind w:right="10"/>
              <w:spacing w:after="0" w:line="173" w:lineRule="exact"/>
              <w:rPr>
                <w:sz w:val="20"/>
                <w:szCs w:val="20"/>
                <w:color w:val="auto"/>
              </w:rPr>
            </w:pPr>
            <w:r>
              <w:rPr>
                <w:rFonts w:ascii="Arial" w:cs="Arial" w:eastAsia="Arial" w:hAnsi="Arial"/>
                <w:sz w:val="18"/>
                <w:szCs w:val="18"/>
                <w:color w:val="auto"/>
              </w:rPr>
              <w:t>$110</w:t>
            </w:r>
          </w:p>
        </w:tc>
      </w:tr>
      <w:tr>
        <w:trPr>
          <w:trHeight w:val="225"/>
        </w:trPr>
        <w:tc>
          <w:tcPr>
            <w:tcW w:w="4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Albany Engineered Composites</w:t>
            </w:r>
          </w:p>
        </w:tc>
        <w:tc>
          <w:tcPr>
            <w:tcW w:w="3060" w:type="dxa"/>
            <w:vAlign w:val="bottom"/>
            <w:tcBorders>
              <w:bottom w:val="single" w:sz="8" w:color="auto"/>
            </w:tcBorders>
          </w:tcPr>
          <w:p>
            <w:pPr>
              <w:spacing w:after="0"/>
              <w:rPr>
                <w:sz w:val="19"/>
                <w:szCs w:val="19"/>
                <w:color w:val="auto"/>
              </w:rPr>
            </w:pPr>
          </w:p>
        </w:tc>
        <w:tc>
          <w:tcPr>
            <w:tcW w:w="2140" w:type="dxa"/>
            <w:vAlign w:val="bottom"/>
            <w:tcBorders>
              <w:bottom w:val="single" w:sz="8" w:color="auto"/>
            </w:tcBorders>
          </w:tcPr>
          <w:p>
            <w:pPr>
              <w:jc w:val="right"/>
              <w:ind w:right="810"/>
              <w:spacing w:after="0"/>
              <w:rPr>
                <w:sz w:val="20"/>
                <w:szCs w:val="20"/>
                <w:color w:val="auto"/>
              </w:rPr>
            </w:pPr>
            <w:r>
              <w:rPr>
                <w:rFonts w:ascii="Arial" w:cs="Arial" w:eastAsia="Arial" w:hAnsi="Arial"/>
                <w:sz w:val="18"/>
                <w:szCs w:val="18"/>
                <w:b w:val="1"/>
                <w:bCs w:val="1"/>
                <w:color w:val="auto"/>
              </w:rPr>
              <w:t>221</w:t>
            </w:r>
          </w:p>
        </w:tc>
        <w:tc>
          <w:tcPr>
            <w:tcW w:w="17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2,571</w:t>
            </w:r>
          </w:p>
        </w:tc>
      </w:tr>
      <w:tr>
        <w:trPr>
          <w:trHeight w:val="196"/>
        </w:trPr>
        <w:tc>
          <w:tcPr>
            <w:tcW w:w="4520" w:type="dxa"/>
            <w:vAlign w:val="bottom"/>
            <w:tcBorders>
              <w:bottom w:val="single" w:sz="8" w:color="auto"/>
            </w:tcBorders>
          </w:tcPr>
          <w:p>
            <w:pPr>
              <w:ind w:left="60"/>
              <w:spacing w:after="0" w:line="196" w:lineRule="exact"/>
              <w:rPr>
                <w:sz w:val="20"/>
                <w:szCs w:val="20"/>
                <w:color w:val="auto"/>
              </w:rPr>
            </w:pPr>
            <w:r>
              <w:rPr>
                <w:rFonts w:ascii="Arial" w:cs="Arial" w:eastAsia="Arial" w:hAnsi="Arial"/>
                <w:sz w:val="18"/>
                <w:szCs w:val="18"/>
                <w:color w:val="auto"/>
              </w:rPr>
              <w:t>Total</w:t>
            </w:r>
          </w:p>
        </w:tc>
        <w:tc>
          <w:tcPr>
            <w:tcW w:w="3060" w:type="dxa"/>
            <w:vAlign w:val="bottom"/>
            <w:tcBorders>
              <w:bottom w:val="single" w:sz="8" w:color="auto"/>
            </w:tcBorders>
          </w:tcPr>
          <w:p>
            <w:pPr>
              <w:spacing w:after="0"/>
              <w:rPr>
                <w:sz w:val="17"/>
                <w:szCs w:val="17"/>
                <w:color w:val="auto"/>
              </w:rPr>
            </w:pPr>
          </w:p>
        </w:tc>
        <w:tc>
          <w:tcPr>
            <w:tcW w:w="2140" w:type="dxa"/>
            <w:vAlign w:val="bottom"/>
            <w:tcBorders>
              <w:bottom w:val="single" w:sz="8" w:color="auto"/>
            </w:tcBorders>
          </w:tcPr>
          <w:p>
            <w:pPr>
              <w:jc w:val="right"/>
              <w:ind w:right="810"/>
              <w:spacing w:after="0" w:line="196" w:lineRule="exact"/>
              <w:rPr>
                <w:sz w:val="20"/>
                <w:szCs w:val="20"/>
                <w:color w:val="auto"/>
              </w:rPr>
            </w:pPr>
            <w:r>
              <w:rPr>
                <w:rFonts w:ascii="Arial" w:cs="Arial" w:eastAsia="Arial" w:hAnsi="Arial"/>
                <w:sz w:val="18"/>
                <w:szCs w:val="18"/>
                <w:b w:val="1"/>
                <w:bCs w:val="1"/>
                <w:color w:val="auto"/>
              </w:rPr>
              <w:t>$8,573</w:t>
            </w:r>
          </w:p>
        </w:tc>
        <w:tc>
          <w:tcPr>
            <w:tcW w:w="170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$2,681</w:t>
            </w:r>
          </w:p>
        </w:tc>
      </w:tr>
      <w:tr>
        <w:trPr>
          <w:trHeight w:val="372"/>
        </w:trPr>
        <w:tc>
          <w:tcPr>
            <w:tcW w:w="452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r>
      <w:tr>
        <w:trPr>
          <w:trHeight w:val="173"/>
        </w:trPr>
        <w:tc>
          <w:tcPr>
            <w:tcW w:w="4520" w:type="dxa"/>
            <w:vAlign w:val="bottom"/>
          </w:tcPr>
          <w:p>
            <w:pPr>
              <w:spacing w:after="0"/>
              <w:rPr>
                <w:sz w:val="15"/>
                <w:szCs w:val="15"/>
                <w:color w:val="auto"/>
              </w:rPr>
            </w:pPr>
          </w:p>
        </w:tc>
        <w:tc>
          <w:tcPr>
            <w:tcW w:w="3060" w:type="dxa"/>
            <w:vAlign w:val="bottom"/>
          </w:tcPr>
          <w:p>
            <w:pPr>
              <w:jc w:val="center"/>
              <w:ind w:left="990"/>
              <w:spacing w:after="0" w:line="173" w:lineRule="exact"/>
              <w:rPr>
                <w:sz w:val="20"/>
                <w:szCs w:val="20"/>
                <w:color w:val="auto"/>
              </w:rPr>
            </w:pPr>
            <w:r>
              <w:rPr>
                <w:rFonts w:ascii="Arial" w:cs="Arial" w:eastAsia="Arial" w:hAnsi="Arial"/>
                <w:sz w:val="18"/>
                <w:szCs w:val="18"/>
                <w:b w:val="1"/>
                <w:bCs w:val="1"/>
                <w:color w:val="auto"/>
                <w:w w:val="97"/>
              </w:rPr>
              <w:t>Total</w:t>
            </w:r>
          </w:p>
        </w:tc>
        <w:tc>
          <w:tcPr>
            <w:tcW w:w="2140" w:type="dxa"/>
            <w:vAlign w:val="bottom"/>
          </w:tcPr>
          <w:p>
            <w:pPr>
              <w:spacing w:after="0"/>
              <w:rPr>
                <w:sz w:val="15"/>
                <w:szCs w:val="15"/>
                <w:color w:val="auto"/>
              </w:rPr>
            </w:pPr>
          </w:p>
        </w:tc>
        <w:tc>
          <w:tcPr>
            <w:tcW w:w="1700" w:type="dxa"/>
            <w:vAlign w:val="bottom"/>
          </w:tcPr>
          <w:p>
            <w:pPr>
              <w:spacing w:after="0"/>
              <w:rPr>
                <w:sz w:val="15"/>
                <w:szCs w:val="15"/>
                <w:color w:val="auto"/>
              </w:rPr>
            </w:pPr>
          </w:p>
        </w:tc>
      </w:tr>
      <w:tr>
        <w:trPr>
          <w:trHeight w:val="203"/>
        </w:trPr>
        <w:tc>
          <w:tcPr>
            <w:tcW w:w="4520" w:type="dxa"/>
            <w:vAlign w:val="bottom"/>
          </w:tcPr>
          <w:p>
            <w:pPr>
              <w:spacing w:after="0"/>
              <w:rPr>
                <w:sz w:val="17"/>
                <w:szCs w:val="17"/>
                <w:color w:val="auto"/>
              </w:rPr>
            </w:pPr>
          </w:p>
        </w:tc>
        <w:tc>
          <w:tcPr>
            <w:tcW w:w="3060" w:type="dxa"/>
            <w:vAlign w:val="bottom"/>
          </w:tcPr>
          <w:p>
            <w:pPr>
              <w:jc w:val="center"/>
              <w:ind w:left="1010"/>
              <w:spacing w:after="0" w:line="202" w:lineRule="exact"/>
              <w:rPr>
                <w:sz w:val="20"/>
                <w:szCs w:val="20"/>
                <w:color w:val="auto"/>
              </w:rPr>
            </w:pPr>
            <w:r>
              <w:rPr>
                <w:rFonts w:ascii="Arial" w:cs="Arial" w:eastAsia="Arial" w:hAnsi="Arial"/>
                <w:sz w:val="18"/>
                <w:szCs w:val="18"/>
                <w:b w:val="1"/>
                <w:bCs w:val="1"/>
                <w:color w:val="auto"/>
                <w:w w:val="99"/>
              </w:rPr>
              <w:t>restructuring</w:t>
            </w:r>
          </w:p>
        </w:tc>
        <w:tc>
          <w:tcPr>
            <w:tcW w:w="2140" w:type="dxa"/>
            <w:vAlign w:val="bottom"/>
          </w:tcPr>
          <w:p>
            <w:pPr>
              <w:jc w:val="right"/>
              <w:ind w:right="270"/>
              <w:spacing w:after="0" w:line="202" w:lineRule="exact"/>
              <w:rPr>
                <w:sz w:val="20"/>
                <w:szCs w:val="20"/>
                <w:color w:val="auto"/>
              </w:rPr>
            </w:pPr>
            <w:r>
              <w:rPr>
                <w:rFonts w:ascii="Arial" w:cs="Arial" w:eastAsia="Arial" w:hAnsi="Arial"/>
                <w:sz w:val="18"/>
                <w:szCs w:val="18"/>
                <w:b w:val="1"/>
                <w:bCs w:val="1"/>
                <w:color w:val="auto"/>
              </w:rPr>
              <w:t>Termination and</w:t>
            </w:r>
          </w:p>
        </w:tc>
        <w:tc>
          <w:tcPr>
            <w:tcW w:w="1700" w:type="dxa"/>
            <w:vAlign w:val="bottom"/>
          </w:tcPr>
          <w:p>
            <w:pPr>
              <w:jc w:val="center"/>
              <w:ind w:left="130"/>
              <w:spacing w:after="0" w:line="202" w:lineRule="exact"/>
              <w:rPr>
                <w:sz w:val="20"/>
                <w:szCs w:val="20"/>
                <w:color w:val="auto"/>
              </w:rPr>
            </w:pPr>
            <w:r>
              <w:rPr>
                <w:rFonts w:ascii="Arial" w:cs="Arial" w:eastAsia="Arial" w:hAnsi="Arial"/>
                <w:sz w:val="18"/>
                <w:szCs w:val="18"/>
                <w:b w:val="1"/>
                <w:bCs w:val="1"/>
                <w:color w:val="auto"/>
              </w:rPr>
              <w:t>Impairment of</w:t>
            </w:r>
          </w:p>
        </w:tc>
      </w:tr>
      <w:tr>
        <w:trPr>
          <w:trHeight w:val="203"/>
        </w:trPr>
        <w:tc>
          <w:tcPr>
            <w:tcW w:w="4520" w:type="dxa"/>
            <w:vAlign w:val="bottom"/>
          </w:tcPr>
          <w:p>
            <w:pPr>
              <w:spacing w:after="0" w:line="202" w:lineRule="exact"/>
              <w:rPr>
                <w:sz w:val="20"/>
                <w:szCs w:val="20"/>
                <w:color w:val="auto"/>
              </w:rPr>
            </w:pPr>
            <w:r>
              <w:rPr>
                <w:rFonts w:ascii="Arial" w:cs="Arial" w:eastAsia="Arial" w:hAnsi="Arial"/>
                <w:sz w:val="18"/>
                <w:szCs w:val="18"/>
                <w:b w:val="1"/>
                <w:bCs w:val="1"/>
                <w:color w:val="auto"/>
              </w:rPr>
              <w:t>Three months ended March 31, 2018</w:t>
            </w:r>
          </w:p>
        </w:tc>
        <w:tc>
          <w:tcPr>
            <w:tcW w:w="3060" w:type="dxa"/>
            <w:vAlign w:val="bottom"/>
          </w:tcPr>
          <w:p>
            <w:pPr>
              <w:jc w:val="right"/>
              <w:ind w:right="330"/>
              <w:spacing w:after="0" w:line="202" w:lineRule="exact"/>
              <w:rPr>
                <w:sz w:val="20"/>
                <w:szCs w:val="20"/>
                <w:color w:val="auto"/>
              </w:rPr>
            </w:pPr>
            <w:r>
              <w:rPr>
                <w:rFonts w:ascii="Arial" w:cs="Arial" w:eastAsia="Arial" w:hAnsi="Arial"/>
                <w:sz w:val="18"/>
                <w:szCs w:val="18"/>
                <w:b w:val="1"/>
                <w:bCs w:val="1"/>
                <w:color w:val="auto"/>
              </w:rPr>
              <w:t>costs incurred</w:t>
            </w:r>
          </w:p>
        </w:tc>
        <w:tc>
          <w:tcPr>
            <w:tcW w:w="2140" w:type="dxa"/>
            <w:vAlign w:val="bottom"/>
          </w:tcPr>
          <w:p>
            <w:pPr>
              <w:jc w:val="right"/>
              <w:ind w:right="550"/>
              <w:spacing w:after="0" w:line="202" w:lineRule="exact"/>
              <w:rPr>
                <w:sz w:val="20"/>
                <w:szCs w:val="20"/>
                <w:color w:val="auto"/>
              </w:rPr>
            </w:pPr>
            <w:r>
              <w:rPr>
                <w:rFonts w:ascii="Arial" w:cs="Arial" w:eastAsia="Arial" w:hAnsi="Arial"/>
                <w:sz w:val="18"/>
                <w:szCs w:val="18"/>
                <w:b w:val="1"/>
                <w:bCs w:val="1"/>
                <w:color w:val="auto"/>
              </w:rPr>
              <w:t>other costs</w:t>
            </w:r>
          </w:p>
        </w:tc>
        <w:tc>
          <w:tcPr>
            <w:tcW w:w="1700" w:type="dxa"/>
            <w:vAlign w:val="bottom"/>
          </w:tcPr>
          <w:p>
            <w:pPr>
              <w:jc w:val="center"/>
              <w:ind w:left="130"/>
              <w:spacing w:after="0" w:line="202" w:lineRule="exact"/>
              <w:rPr>
                <w:sz w:val="20"/>
                <w:szCs w:val="20"/>
                <w:color w:val="auto"/>
              </w:rPr>
            </w:pPr>
            <w:r>
              <w:rPr>
                <w:rFonts w:ascii="Arial" w:cs="Arial" w:eastAsia="Arial" w:hAnsi="Arial"/>
                <w:sz w:val="18"/>
                <w:szCs w:val="18"/>
                <w:b w:val="1"/>
                <w:bCs w:val="1"/>
                <w:color w:val="auto"/>
                <w:w w:val="99"/>
              </w:rPr>
              <w:t>assets</w:t>
            </w:r>
          </w:p>
        </w:tc>
      </w:tr>
      <w:tr>
        <w:trPr>
          <w:trHeight w:val="225"/>
        </w:trPr>
        <w:tc>
          <w:tcPr>
            <w:tcW w:w="45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(in thousands)</w:t>
            </w:r>
          </w:p>
        </w:tc>
        <w:tc>
          <w:tcPr>
            <w:tcW w:w="3060" w:type="dxa"/>
            <w:vAlign w:val="bottom"/>
            <w:tcBorders>
              <w:bottom w:val="single" w:sz="8" w:color="auto"/>
            </w:tcBorders>
          </w:tcPr>
          <w:p>
            <w:pPr>
              <w:spacing w:after="0"/>
              <w:rPr>
                <w:sz w:val="19"/>
                <w:szCs w:val="19"/>
                <w:color w:val="auto"/>
              </w:rPr>
            </w:pPr>
          </w:p>
        </w:tc>
        <w:tc>
          <w:tcPr>
            <w:tcW w:w="214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spacing w:after="0"/>
              <w:rPr>
                <w:sz w:val="19"/>
                <w:szCs w:val="19"/>
                <w:color w:val="auto"/>
              </w:rPr>
            </w:pPr>
          </w:p>
        </w:tc>
      </w:tr>
      <w:tr>
        <w:trPr>
          <w:trHeight w:val="195"/>
        </w:trPr>
        <w:tc>
          <w:tcPr>
            <w:tcW w:w="4520" w:type="dxa"/>
            <w:vAlign w:val="bottom"/>
          </w:tcPr>
          <w:p>
            <w:pPr>
              <w:spacing w:after="0" w:line="195" w:lineRule="exact"/>
              <w:rPr>
                <w:sz w:val="20"/>
                <w:szCs w:val="20"/>
                <w:color w:val="auto"/>
              </w:rPr>
            </w:pPr>
            <w:r>
              <w:rPr>
                <w:rFonts w:ascii="Arial" w:cs="Arial" w:eastAsia="Arial" w:hAnsi="Arial"/>
                <w:sz w:val="18"/>
                <w:szCs w:val="18"/>
                <w:color w:val="auto"/>
              </w:rPr>
              <w:t>Machine Clothing</w:t>
            </w:r>
          </w:p>
        </w:tc>
        <w:tc>
          <w:tcPr>
            <w:tcW w:w="3060" w:type="dxa"/>
            <w:vAlign w:val="bottom"/>
          </w:tcPr>
          <w:p>
            <w:pPr>
              <w:jc w:val="right"/>
              <w:ind w:right="270"/>
              <w:spacing w:after="0" w:line="195" w:lineRule="exact"/>
              <w:rPr>
                <w:sz w:val="20"/>
                <w:szCs w:val="20"/>
                <w:color w:val="auto"/>
              </w:rPr>
            </w:pPr>
            <w:r>
              <w:rPr>
                <w:rFonts w:ascii="Arial" w:cs="Arial" w:eastAsia="Arial" w:hAnsi="Arial"/>
                <w:sz w:val="18"/>
                <w:szCs w:val="18"/>
                <w:color w:val="auto"/>
              </w:rPr>
              <w:t>$8,352</w:t>
            </w:r>
          </w:p>
        </w:tc>
        <w:tc>
          <w:tcPr>
            <w:tcW w:w="2140" w:type="dxa"/>
            <w:vAlign w:val="bottom"/>
          </w:tcPr>
          <w:p>
            <w:pPr>
              <w:jc w:val="right"/>
              <w:ind w:right="350"/>
              <w:spacing w:after="0" w:line="195" w:lineRule="exact"/>
              <w:rPr>
                <w:sz w:val="20"/>
                <w:szCs w:val="20"/>
                <w:color w:val="auto"/>
              </w:rPr>
            </w:pPr>
            <w:r>
              <w:rPr>
                <w:rFonts w:ascii="Arial" w:cs="Arial" w:eastAsia="Arial" w:hAnsi="Arial"/>
                <w:sz w:val="18"/>
                <w:szCs w:val="18"/>
                <w:color w:val="auto"/>
              </w:rPr>
              <w:t>$8,352</w:t>
            </w:r>
          </w:p>
        </w:tc>
        <w:tc>
          <w:tcPr>
            <w:tcW w:w="1700" w:type="dxa"/>
            <w:vAlign w:val="bottom"/>
          </w:tcPr>
          <w:p>
            <w:pPr>
              <w:jc w:val="right"/>
              <w:ind w:right="10"/>
              <w:spacing w:after="0" w:line="195" w:lineRule="exact"/>
              <w:rPr>
                <w:sz w:val="20"/>
                <w:szCs w:val="20"/>
                <w:color w:val="auto"/>
              </w:rPr>
            </w:pPr>
            <w:r>
              <w:rPr>
                <w:rFonts w:ascii="Arial" w:cs="Arial" w:eastAsia="Arial" w:hAnsi="Arial"/>
                <w:sz w:val="18"/>
                <w:szCs w:val="18"/>
                <w:color w:val="auto"/>
              </w:rPr>
              <w:t>$-</w:t>
            </w:r>
          </w:p>
        </w:tc>
      </w:tr>
      <w:tr>
        <w:trPr>
          <w:trHeight w:val="203"/>
        </w:trPr>
        <w:tc>
          <w:tcPr>
            <w:tcW w:w="4520" w:type="dxa"/>
            <w:vAlign w:val="bottom"/>
            <w:tcBorders>
              <w:bottom w:val="single" w:sz="8" w:color="auto"/>
            </w:tcBorders>
          </w:tcPr>
          <w:p>
            <w:pPr>
              <w:spacing w:after="0" w:line="203" w:lineRule="exact"/>
              <w:rPr>
                <w:sz w:val="20"/>
                <w:szCs w:val="20"/>
                <w:color w:val="auto"/>
              </w:rPr>
            </w:pPr>
            <w:r>
              <w:rPr>
                <w:rFonts w:ascii="Arial" w:cs="Arial" w:eastAsia="Arial" w:hAnsi="Arial"/>
                <w:sz w:val="18"/>
                <w:szCs w:val="18"/>
                <w:color w:val="auto"/>
              </w:rPr>
              <w:t>Albany Engineered Composites</w:t>
            </w:r>
          </w:p>
        </w:tc>
        <w:tc>
          <w:tcPr>
            <w:tcW w:w="3060" w:type="dxa"/>
            <w:vAlign w:val="bottom"/>
            <w:tcBorders>
              <w:bottom w:val="single" w:sz="8" w:color="auto"/>
            </w:tcBorders>
          </w:tcPr>
          <w:p>
            <w:pPr>
              <w:jc w:val="right"/>
              <w:ind w:right="270"/>
              <w:spacing w:after="0" w:line="203" w:lineRule="exact"/>
              <w:rPr>
                <w:sz w:val="20"/>
                <w:szCs w:val="20"/>
                <w:color w:val="auto"/>
              </w:rPr>
            </w:pPr>
            <w:r>
              <w:rPr>
                <w:rFonts w:ascii="Arial" w:cs="Arial" w:eastAsia="Arial" w:hAnsi="Arial"/>
                <w:sz w:val="18"/>
                <w:szCs w:val="18"/>
                <w:color w:val="auto"/>
              </w:rPr>
              <w:t>221</w:t>
            </w:r>
          </w:p>
        </w:tc>
        <w:tc>
          <w:tcPr>
            <w:tcW w:w="2140" w:type="dxa"/>
            <w:vAlign w:val="bottom"/>
            <w:tcBorders>
              <w:bottom w:val="single" w:sz="8" w:color="auto"/>
            </w:tcBorders>
          </w:tcPr>
          <w:p>
            <w:pPr>
              <w:jc w:val="right"/>
              <w:ind w:right="350"/>
              <w:spacing w:after="0" w:line="203" w:lineRule="exact"/>
              <w:rPr>
                <w:sz w:val="20"/>
                <w:szCs w:val="20"/>
                <w:color w:val="auto"/>
              </w:rPr>
            </w:pPr>
            <w:r>
              <w:rPr>
                <w:rFonts w:ascii="Arial" w:cs="Arial" w:eastAsia="Arial" w:hAnsi="Arial"/>
                <w:sz w:val="18"/>
                <w:szCs w:val="18"/>
                <w:color w:val="auto"/>
              </w:rPr>
              <w:t>221</w:t>
            </w:r>
          </w:p>
        </w:tc>
        <w:tc>
          <w:tcPr>
            <w:tcW w:w="1700" w:type="dxa"/>
            <w:vAlign w:val="bottom"/>
            <w:tcBorders>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rPr>
              <w:t>-</w:t>
            </w:r>
          </w:p>
        </w:tc>
      </w:tr>
      <w:tr>
        <w:trPr>
          <w:trHeight w:val="196"/>
        </w:trPr>
        <w:tc>
          <w:tcPr>
            <w:tcW w:w="452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Total</w:t>
            </w:r>
          </w:p>
        </w:tc>
        <w:tc>
          <w:tcPr>
            <w:tcW w:w="3060" w:type="dxa"/>
            <w:vAlign w:val="bottom"/>
            <w:tcBorders>
              <w:bottom w:val="single" w:sz="8" w:color="auto"/>
            </w:tcBorders>
          </w:tcPr>
          <w:p>
            <w:pPr>
              <w:jc w:val="right"/>
              <w:ind w:right="270"/>
              <w:spacing w:after="0" w:line="196" w:lineRule="exact"/>
              <w:rPr>
                <w:sz w:val="20"/>
                <w:szCs w:val="20"/>
                <w:color w:val="auto"/>
              </w:rPr>
            </w:pPr>
            <w:r>
              <w:rPr>
                <w:rFonts w:ascii="Arial" w:cs="Arial" w:eastAsia="Arial" w:hAnsi="Arial"/>
                <w:sz w:val="18"/>
                <w:szCs w:val="18"/>
                <w:color w:val="auto"/>
              </w:rPr>
              <w:t>$8,573</w:t>
            </w:r>
          </w:p>
        </w:tc>
        <w:tc>
          <w:tcPr>
            <w:tcW w:w="2140" w:type="dxa"/>
            <w:vAlign w:val="bottom"/>
            <w:tcBorders>
              <w:bottom w:val="single" w:sz="8" w:color="auto"/>
            </w:tcBorders>
          </w:tcPr>
          <w:p>
            <w:pPr>
              <w:jc w:val="right"/>
              <w:ind w:right="350"/>
              <w:spacing w:after="0" w:line="196" w:lineRule="exact"/>
              <w:rPr>
                <w:sz w:val="20"/>
                <w:szCs w:val="20"/>
                <w:color w:val="auto"/>
              </w:rPr>
            </w:pPr>
            <w:r>
              <w:rPr>
                <w:rFonts w:ascii="Arial" w:cs="Arial" w:eastAsia="Arial" w:hAnsi="Arial"/>
                <w:sz w:val="18"/>
                <w:szCs w:val="18"/>
                <w:color w:val="auto"/>
              </w:rPr>
              <w:t>$8,573</w:t>
            </w:r>
          </w:p>
        </w:tc>
        <w:tc>
          <w:tcPr>
            <w:tcW w:w="170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w:t>
            </w:r>
          </w:p>
        </w:tc>
      </w:tr>
      <w:tr>
        <w:trPr>
          <w:trHeight w:val="385"/>
        </w:trPr>
        <w:tc>
          <w:tcPr>
            <w:tcW w:w="452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r>
      <w:tr>
        <w:trPr>
          <w:trHeight w:val="173"/>
        </w:trPr>
        <w:tc>
          <w:tcPr>
            <w:tcW w:w="4520" w:type="dxa"/>
            <w:vAlign w:val="bottom"/>
          </w:tcPr>
          <w:p>
            <w:pPr>
              <w:spacing w:after="0"/>
              <w:rPr>
                <w:sz w:val="15"/>
                <w:szCs w:val="15"/>
                <w:color w:val="auto"/>
              </w:rPr>
            </w:pPr>
          </w:p>
        </w:tc>
        <w:tc>
          <w:tcPr>
            <w:tcW w:w="3060" w:type="dxa"/>
            <w:vAlign w:val="bottom"/>
          </w:tcPr>
          <w:p>
            <w:pPr>
              <w:jc w:val="center"/>
              <w:ind w:left="990"/>
              <w:spacing w:after="0" w:line="173" w:lineRule="exact"/>
              <w:rPr>
                <w:sz w:val="20"/>
                <w:szCs w:val="20"/>
                <w:color w:val="auto"/>
              </w:rPr>
            </w:pPr>
            <w:r>
              <w:rPr>
                <w:rFonts w:ascii="Arial" w:cs="Arial" w:eastAsia="Arial" w:hAnsi="Arial"/>
                <w:sz w:val="18"/>
                <w:szCs w:val="18"/>
                <w:b w:val="1"/>
                <w:bCs w:val="1"/>
                <w:color w:val="auto"/>
                <w:w w:val="97"/>
              </w:rPr>
              <w:t>Total</w:t>
            </w:r>
          </w:p>
        </w:tc>
        <w:tc>
          <w:tcPr>
            <w:tcW w:w="2140" w:type="dxa"/>
            <w:vAlign w:val="bottom"/>
          </w:tcPr>
          <w:p>
            <w:pPr>
              <w:spacing w:after="0"/>
              <w:rPr>
                <w:sz w:val="15"/>
                <w:szCs w:val="15"/>
                <w:color w:val="auto"/>
              </w:rPr>
            </w:pPr>
          </w:p>
        </w:tc>
        <w:tc>
          <w:tcPr>
            <w:tcW w:w="1700" w:type="dxa"/>
            <w:vAlign w:val="bottom"/>
          </w:tcPr>
          <w:p>
            <w:pPr>
              <w:spacing w:after="0"/>
              <w:rPr>
                <w:sz w:val="15"/>
                <w:szCs w:val="15"/>
                <w:color w:val="auto"/>
              </w:rPr>
            </w:pPr>
          </w:p>
        </w:tc>
      </w:tr>
      <w:tr>
        <w:trPr>
          <w:trHeight w:val="203"/>
        </w:trPr>
        <w:tc>
          <w:tcPr>
            <w:tcW w:w="4520" w:type="dxa"/>
            <w:vAlign w:val="bottom"/>
          </w:tcPr>
          <w:p>
            <w:pPr>
              <w:spacing w:after="0"/>
              <w:rPr>
                <w:sz w:val="17"/>
                <w:szCs w:val="17"/>
                <w:color w:val="auto"/>
              </w:rPr>
            </w:pPr>
          </w:p>
        </w:tc>
        <w:tc>
          <w:tcPr>
            <w:tcW w:w="3060" w:type="dxa"/>
            <w:vAlign w:val="bottom"/>
          </w:tcPr>
          <w:p>
            <w:pPr>
              <w:jc w:val="center"/>
              <w:ind w:left="1010"/>
              <w:spacing w:after="0" w:line="202" w:lineRule="exact"/>
              <w:rPr>
                <w:sz w:val="20"/>
                <w:szCs w:val="20"/>
                <w:color w:val="auto"/>
              </w:rPr>
            </w:pPr>
            <w:r>
              <w:rPr>
                <w:rFonts w:ascii="Arial" w:cs="Arial" w:eastAsia="Arial" w:hAnsi="Arial"/>
                <w:sz w:val="18"/>
                <w:szCs w:val="18"/>
                <w:b w:val="1"/>
                <w:bCs w:val="1"/>
                <w:color w:val="auto"/>
                <w:w w:val="99"/>
              </w:rPr>
              <w:t>restructuring</w:t>
            </w:r>
          </w:p>
        </w:tc>
        <w:tc>
          <w:tcPr>
            <w:tcW w:w="2140" w:type="dxa"/>
            <w:vAlign w:val="bottom"/>
          </w:tcPr>
          <w:p>
            <w:pPr>
              <w:jc w:val="right"/>
              <w:ind w:right="270"/>
              <w:spacing w:after="0" w:line="202" w:lineRule="exact"/>
              <w:rPr>
                <w:sz w:val="20"/>
                <w:szCs w:val="20"/>
                <w:color w:val="auto"/>
              </w:rPr>
            </w:pPr>
            <w:r>
              <w:rPr>
                <w:rFonts w:ascii="Arial" w:cs="Arial" w:eastAsia="Arial" w:hAnsi="Arial"/>
                <w:sz w:val="18"/>
                <w:szCs w:val="18"/>
                <w:b w:val="1"/>
                <w:bCs w:val="1"/>
                <w:color w:val="auto"/>
              </w:rPr>
              <w:t>Termination and</w:t>
            </w:r>
          </w:p>
        </w:tc>
        <w:tc>
          <w:tcPr>
            <w:tcW w:w="1700" w:type="dxa"/>
            <w:vAlign w:val="bottom"/>
          </w:tcPr>
          <w:p>
            <w:pPr>
              <w:jc w:val="center"/>
              <w:ind w:left="130"/>
              <w:spacing w:after="0" w:line="202" w:lineRule="exact"/>
              <w:rPr>
                <w:sz w:val="20"/>
                <w:szCs w:val="20"/>
                <w:color w:val="auto"/>
              </w:rPr>
            </w:pPr>
            <w:r>
              <w:rPr>
                <w:rFonts w:ascii="Arial" w:cs="Arial" w:eastAsia="Arial" w:hAnsi="Arial"/>
                <w:sz w:val="18"/>
                <w:szCs w:val="18"/>
                <w:b w:val="1"/>
                <w:bCs w:val="1"/>
                <w:color w:val="auto"/>
              </w:rPr>
              <w:t>Impairment of</w:t>
            </w:r>
          </w:p>
        </w:tc>
      </w:tr>
      <w:tr>
        <w:trPr>
          <w:trHeight w:val="203"/>
        </w:trPr>
        <w:tc>
          <w:tcPr>
            <w:tcW w:w="4520" w:type="dxa"/>
            <w:vAlign w:val="bottom"/>
          </w:tcPr>
          <w:p>
            <w:pPr>
              <w:spacing w:after="0" w:line="202" w:lineRule="exact"/>
              <w:rPr>
                <w:sz w:val="20"/>
                <w:szCs w:val="20"/>
                <w:color w:val="auto"/>
              </w:rPr>
            </w:pPr>
            <w:r>
              <w:rPr>
                <w:rFonts w:ascii="Arial" w:cs="Arial" w:eastAsia="Arial" w:hAnsi="Arial"/>
                <w:sz w:val="18"/>
                <w:szCs w:val="18"/>
                <w:b w:val="1"/>
                <w:bCs w:val="1"/>
                <w:color w:val="auto"/>
              </w:rPr>
              <w:t>Three months ended March 31, 2017</w:t>
            </w:r>
          </w:p>
        </w:tc>
        <w:tc>
          <w:tcPr>
            <w:tcW w:w="3060" w:type="dxa"/>
            <w:vAlign w:val="bottom"/>
          </w:tcPr>
          <w:p>
            <w:pPr>
              <w:jc w:val="right"/>
              <w:ind w:right="330"/>
              <w:spacing w:after="0" w:line="202" w:lineRule="exact"/>
              <w:rPr>
                <w:sz w:val="20"/>
                <w:szCs w:val="20"/>
                <w:color w:val="auto"/>
              </w:rPr>
            </w:pPr>
            <w:r>
              <w:rPr>
                <w:rFonts w:ascii="Arial" w:cs="Arial" w:eastAsia="Arial" w:hAnsi="Arial"/>
                <w:sz w:val="18"/>
                <w:szCs w:val="18"/>
                <w:b w:val="1"/>
                <w:bCs w:val="1"/>
                <w:color w:val="auto"/>
              </w:rPr>
              <w:t>costs incurred</w:t>
            </w:r>
          </w:p>
        </w:tc>
        <w:tc>
          <w:tcPr>
            <w:tcW w:w="2140" w:type="dxa"/>
            <w:vAlign w:val="bottom"/>
          </w:tcPr>
          <w:p>
            <w:pPr>
              <w:jc w:val="right"/>
              <w:ind w:right="550"/>
              <w:spacing w:after="0" w:line="202" w:lineRule="exact"/>
              <w:rPr>
                <w:sz w:val="20"/>
                <w:szCs w:val="20"/>
                <w:color w:val="auto"/>
              </w:rPr>
            </w:pPr>
            <w:r>
              <w:rPr>
                <w:rFonts w:ascii="Arial" w:cs="Arial" w:eastAsia="Arial" w:hAnsi="Arial"/>
                <w:sz w:val="18"/>
                <w:szCs w:val="18"/>
                <w:b w:val="1"/>
                <w:bCs w:val="1"/>
                <w:color w:val="auto"/>
              </w:rPr>
              <w:t>other costs</w:t>
            </w:r>
          </w:p>
        </w:tc>
        <w:tc>
          <w:tcPr>
            <w:tcW w:w="1700" w:type="dxa"/>
            <w:vAlign w:val="bottom"/>
          </w:tcPr>
          <w:p>
            <w:pPr>
              <w:jc w:val="center"/>
              <w:ind w:left="130"/>
              <w:spacing w:after="0" w:line="202" w:lineRule="exact"/>
              <w:rPr>
                <w:sz w:val="20"/>
                <w:szCs w:val="20"/>
                <w:color w:val="auto"/>
              </w:rPr>
            </w:pPr>
            <w:r>
              <w:rPr>
                <w:rFonts w:ascii="Arial" w:cs="Arial" w:eastAsia="Arial" w:hAnsi="Arial"/>
                <w:sz w:val="18"/>
                <w:szCs w:val="18"/>
                <w:b w:val="1"/>
                <w:bCs w:val="1"/>
                <w:color w:val="auto"/>
                <w:w w:val="99"/>
              </w:rPr>
              <w:t>assets</w:t>
            </w:r>
          </w:p>
        </w:tc>
      </w:tr>
      <w:tr>
        <w:trPr>
          <w:trHeight w:val="225"/>
        </w:trPr>
        <w:tc>
          <w:tcPr>
            <w:tcW w:w="45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(in thousands)</w:t>
            </w:r>
          </w:p>
        </w:tc>
        <w:tc>
          <w:tcPr>
            <w:tcW w:w="3060" w:type="dxa"/>
            <w:vAlign w:val="bottom"/>
            <w:tcBorders>
              <w:bottom w:val="single" w:sz="8" w:color="auto"/>
            </w:tcBorders>
          </w:tcPr>
          <w:p>
            <w:pPr>
              <w:spacing w:after="0"/>
              <w:rPr>
                <w:sz w:val="19"/>
                <w:szCs w:val="19"/>
                <w:color w:val="auto"/>
              </w:rPr>
            </w:pPr>
          </w:p>
        </w:tc>
        <w:tc>
          <w:tcPr>
            <w:tcW w:w="214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spacing w:after="0"/>
              <w:rPr>
                <w:sz w:val="19"/>
                <w:szCs w:val="19"/>
                <w:color w:val="auto"/>
              </w:rPr>
            </w:pPr>
          </w:p>
        </w:tc>
      </w:tr>
      <w:tr>
        <w:trPr>
          <w:trHeight w:val="195"/>
        </w:trPr>
        <w:tc>
          <w:tcPr>
            <w:tcW w:w="4520" w:type="dxa"/>
            <w:vAlign w:val="bottom"/>
          </w:tcPr>
          <w:p>
            <w:pPr>
              <w:spacing w:after="0" w:line="195" w:lineRule="exact"/>
              <w:rPr>
                <w:sz w:val="20"/>
                <w:szCs w:val="20"/>
                <w:color w:val="auto"/>
              </w:rPr>
            </w:pPr>
            <w:r>
              <w:rPr>
                <w:rFonts w:ascii="Arial" w:cs="Arial" w:eastAsia="Arial" w:hAnsi="Arial"/>
                <w:sz w:val="18"/>
                <w:szCs w:val="18"/>
                <w:color w:val="auto"/>
              </w:rPr>
              <w:t>Machine Clothing</w:t>
            </w:r>
          </w:p>
        </w:tc>
        <w:tc>
          <w:tcPr>
            <w:tcW w:w="3060" w:type="dxa"/>
            <w:vAlign w:val="bottom"/>
          </w:tcPr>
          <w:p>
            <w:pPr>
              <w:jc w:val="right"/>
              <w:ind w:right="270"/>
              <w:spacing w:after="0" w:line="195" w:lineRule="exact"/>
              <w:rPr>
                <w:sz w:val="20"/>
                <w:szCs w:val="20"/>
                <w:color w:val="auto"/>
              </w:rPr>
            </w:pPr>
            <w:r>
              <w:rPr>
                <w:rFonts w:ascii="Arial" w:cs="Arial" w:eastAsia="Arial" w:hAnsi="Arial"/>
                <w:sz w:val="18"/>
                <w:szCs w:val="18"/>
                <w:color w:val="auto"/>
              </w:rPr>
              <w:t>$110</w:t>
            </w:r>
          </w:p>
        </w:tc>
        <w:tc>
          <w:tcPr>
            <w:tcW w:w="2140" w:type="dxa"/>
            <w:vAlign w:val="bottom"/>
          </w:tcPr>
          <w:p>
            <w:pPr>
              <w:jc w:val="right"/>
              <w:ind w:right="350"/>
              <w:spacing w:after="0" w:line="195" w:lineRule="exact"/>
              <w:rPr>
                <w:sz w:val="20"/>
                <w:szCs w:val="20"/>
                <w:color w:val="auto"/>
              </w:rPr>
            </w:pPr>
            <w:r>
              <w:rPr>
                <w:rFonts w:ascii="Arial" w:cs="Arial" w:eastAsia="Arial" w:hAnsi="Arial"/>
                <w:sz w:val="18"/>
                <w:szCs w:val="18"/>
                <w:color w:val="auto"/>
              </w:rPr>
              <w:t>$110</w:t>
            </w:r>
          </w:p>
        </w:tc>
        <w:tc>
          <w:tcPr>
            <w:tcW w:w="1700" w:type="dxa"/>
            <w:vAlign w:val="bottom"/>
          </w:tcPr>
          <w:p>
            <w:pPr>
              <w:jc w:val="right"/>
              <w:ind w:right="10"/>
              <w:spacing w:after="0" w:line="195" w:lineRule="exact"/>
              <w:rPr>
                <w:sz w:val="20"/>
                <w:szCs w:val="20"/>
                <w:color w:val="auto"/>
              </w:rPr>
            </w:pPr>
            <w:r>
              <w:rPr>
                <w:rFonts w:ascii="Arial" w:cs="Arial" w:eastAsia="Arial" w:hAnsi="Arial"/>
                <w:sz w:val="18"/>
                <w:szCs w:val="18"/>
                <w:color w:val="auto"/>
              </w:rPr>
              <w:t>$-</w:t>
            </w:r>
          </w:p>
        </w:tc>
      </w:tr>
      <w:tr>
        <w:trPr>
          <w:trHeight w:val="203"/>
        </w:trPr>
        <w:tc>
          <w:tcPr>
            <w:tcW w:w="4520" w:type="dxa"/>
            <w:vAlign w:val="bottom"/>
            <w:tcBorders>
              <w:bottom w:val="single" w:sz="8" w:color="auto"/>
            </w:tcBorders>
          </w:tcPr>
          <w:p>
            <w:pPr>
              <w:spacing w:after="0" w:line="203" w:lineRule="exact"/>
              <w:rPr>
                <w:sz w:val="20"/>
                <w:szCs w:val="20"/>
                <w:color w:val="auto"/>
              </w:rPr>
            </w:pPr>
            <w:r>
              <w:rPr>
                <w:rFonts w:ascii="Arial" w:cs="Arial" w:eastAsia="Arial" w:hAnsi="Arial"/>
                <w:sz w:val="18"/>
                <w:szCs w:val="18"/>
                <w:color w:val="auto"/>
              </w:rPr>
              <w:t>Albany Engineered Composites</w:t>
            </w:r>
          </w:p>
        </w:tc>
        <w:tc>
          <w:tcPr>
            <w:tcW w:w="3060" w:type="dxa"/>
            <w:vAlign w:val="bottom"/>
            <w:tcBorders>
              <w:bottom w:val="single" w:sz="8" w:color="auto"/>
            </w:tcBorders>
          </w:tcPr>
          <w:p>
            <w:pPr>
              <w:jc w:val="right"/>
              <w:ind w:right="270"/>
              <w:spacing w:after="0" w:line="203" w:lineRule="exact"/>
              <w:rPr>
                <w:sz w:val="20"/>
                <w:szCs w:val="20"/>
                <w:color w:val="auto"/>
              </w:rPr>
            </w:pPr>
            <w:r>
              <w:rPr>
                <w:rFonts w:ascii="Arial" w:cs="Arial" w:eastAsia="Arial" w:hAnsi="Arial"/>
                <w:sz w:val="18"/>
                <w:szCs w:val="18"/>
                <w:color w:val="auto"/>
              </w:rPr>
              <w:t>2,571</w:t>
            </w:r>
          </w:p>
        </w:tc>
        <w:tc>
          <w:tcPr>
            <w:tcW w:w="2140" w:type="dxa"/>
            <w:vAlign w:val="bottom"/>
            <w:tcBorders>
              <w:bottom w:val="single" w:sz="8" w:color="auto"/>
            </w:tcBorders>
          </w:tcPr>
          <w:p>
            <w:pPr>
              <w:jc w:val="right"/>
              <w:ind w:right="350"/>
              <w:spacing w:after="0" w:line="203" w:lineRule="exact"/>
              <w:rPr>
                <w:sz w:val="20"/>
                <w:szCs w:val="20"/>
                <w:color w:val="auto"/>
              </w:rPr>
            </w:pPr>
            <w:r>
              <w:rPr>
                <w:rFonts w:ascii="Arial" w:cs="Arial" w:eastAsia="Arial" w:hAnsi="Arial"/>
                <w:sz w:val="18"/>
                <w:szCs w:val="18"/>
                <w:color w:val="auto"/>
              </w:rPr>
              <w:t>2,456</w:t>
            </w:r>
          </w:p>
        </w:tc>
        <w:tc>
          <w:tcPr>
            <w:tcW w:w="1700" w:type="dxa"/>
            <w:vAlign w:val="bottom"/>
            <w:tcBorders>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rPr>
              <w:t>115</w:t>
            </w:r>
          </w:p>
        </w:tc>
      </w:tr>
      <w:tr>
        <w:trPr>
          <w:trHeight w:val="196"/>
        </w:trPr>
        <w:tc>
          <w:tcPr>
            <w:tcW w:w="452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Total</w:t>
            </w:r>
          </w:p>
        </w:tc>
        <w:tc>
          <w:tcPr>
            <w:tcW w:w="3060" w:type="dxa"/>
            <w:vAlign w:val="bottom"/>
            <w:tcBorders>
              <w:bottom w:val="single" w:sz="8" w:color="auto"/>
            </w:tcBorders>
          </w:tcPr>
          <w:p>
            <w:pPr>
              <w:jc w:val="right"/>
              <w:ind w:right="270"/>
              <w:spacing w:after="0" w:line="196" w:lineRule="exact"/>
              <w:rPr>
                <w:sz w:val="20"/>
                <w:szCs w:val="20"/>
                <w:color w:val="auto"/>
              </w:rPr>
            </w:pPr>
            <w:r>
              <w:rPr>
                <w:rFonts w:ascii="Arial" w:cs="Arial" w:eastAsia="Arial" w:hAnsi="Arial"/>
                <w:sz w:val="18"/>
                <w:szCs w:val="18"/>
                <w:color w:val="auto"/>
              </w:rPr>
              <w:t>$2,681</w:t>
            </w:r>
          </w:p>
        </w:tc>
        <w:tc>
          <w:tcPr>
            <w:tcW w:w="2140" w:type="dxa"/>
            <w:vAlign w:val="bottom"/>
            <w:tcBorders>
              <w:bottom w:val="single" w:sz="8" w:color="auto"/>
            </w:tcBorders>
          </w:tcPr>
          <w:p>
            <w:pPr>
              <w:jc w:val="right"/>
              <w:ind w:right="350"/>
              <w:spacing w:after="0" w:line="196" w:lineRule="exact"/>
              <w:rPr>
                <w:sz w:val="20"/>
                <w:szCs w:val="20"/>
                <w:color w:val="auto"/>
              </w:rPr>
            </w:pPr>
            <w:r>
              <w:rPr>
                <w:rFonts w:ascii="Arial" w:cs="Arial" w:eastAsia="Arial" w:hAnsi="Arial"/>
                <w:sz w:val="18"/>
                <w:szCs w:val="18"/>
                <w:color w:val="auto"/>
              </w:rPr>
              <w:t>$2,566</w:t>
            </w:r>
          </w:p>
        </w:tc>
        <w:tc>
          <w:tcPr>
            <w:tcW w:w="170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$115</w:t>
            </w:r>
          </w:p>
        </w:tc>
      </w:tr>
    </w:tbl>
    <w:p>
      <w:pPr>
        <w:spacing w:after="0" w:line="391" w:lineRule="exact"/>
        <w:rPr>
          <w:sz w:val="20"/>
          <w:szCs w:val="20"/>
          <w:color w:val="auto"/>
        </w:rPr>
      </w:pPr>
    </w:p>
    <w:p>
      <w:pPr>
        <w:jc w:val="both"/>
        <w:ind w:right="360" w:firstLine="648"/>
        <w:spacing w:after="0"/>
        <w:rPr>
          <w:sz w:val="20"/>
          <w:szCs w:val="20"/>
          <w:color w:val="auto"/>
        </w:rPr>
      </w:pPr>
      <w:r>
        <w:rPr>
          <w:rFonts w:ascii="Arial" w:cs="Arial" w:eastAsia="Arial" w:hAnsi="Arial"/>
          <w:sz w:val="18"/>
          <w:szCs w:val="18"/>
          <w:color w:val="auto"/>
        </w:rPr>
        <w:t>We expect that approximately $8.2 million of Accrued liabilities for restructuring at March 31, 2018 will be paid within one year and approximately $ 1.7 million will be paid in the following year. The table below presents the year-to-date changes in restructuring liabilities for 2018 and 2017, all of which related to termination costs: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3440" w:type="dxa"/>
            <w:vAlign w:val="bottom"/>
            <w:tcBorders>
              <w:top w:val="single" w:sz="8" w:color="auto"/>
            </w:tcBorders>
          </w:tcPr>
          <w:p>
            <w:pPr>
              <w:spacing w:after="0"/>
              <w:rPr>
                <w:sz w:val="16"/>
                <w:szCs w:val="16"/>
                <w:color w:val="auto"/>
              </w:rPr>
            </w:pPr>
          </w:p>
        </w:tc>
        <w:tc>
          <w:tcPr>
            <w:tcW w:w="2080" w:type="dxa"/>
            <w:vAlign w:val="bottom"/>
            <w:tcBorders>
              <w:top w:val="single" w:sz="8" w:color="auto"/>
            </w:tcBorders>
          </w:tcPr>
          <w:p>
            <w:pPr>
              <w:spacing w:after="0"/>
              <w:rPr>
                <w:sz w:val="16"/>
                <w:szCs w:val="16"/>
                <w:color w:val="auto"/>
              </w:rPr>
            </w:pPr>
          </w:p>
        </w:tc>
        <w:tc>
          <w:tcPr>
            <w:tcW w:w="1680" w:type="dxa"/>
            <w:vAlign w:val="bottom"/>
            <w:tcBorders>
              <w:top w:val="single" w:sz="8" w:color="auto"/>
            </w:tcBorders>
          </w:tcPr>
          <w:p>
            <w:pPr>
              <w:jc w:val="center"/>
              <w:spacing w:after="0" w:line="194" w:lineRule="exact"/>
              <w:rPr>
                <w:sz w:val="20"/>
                <w:szCs w:val="20"/>
                <w:color w:val="auto"/>
              </w:rPr>
            </w:pPr>
            <w:r>
              <w:rPr>
                <w:rFonts w:ascii="Arial" w:cs="Arial" w:eastAsia="Arial" w:hAnsi="Arial"/>
                <w:sz w:val="18"/>
                <w:szCs w:val="18"/>
                <w:b w:val="1"/>
                <w:bCs w:val="1"/>
                <w:color w:val="auto"/>
                <w:w w:val="99"/>
              </w:rPr>
              <w:t>Restructuring</w:t>
            </w:r>
          </w:p>
        </w:tc>
        <w:tc>
          <w:tcPr>
            <w:tcW w:w="1460" w:type="dxa"/>
            <w:vAlign w:val="bottom"/>
            <w:tcBorders>
              <w:top w:val="single" w:sz="8" w:color="auto"/>
            </w:tcBorders>
          </w:tcPr>
          <w:p>
            <w:pPr>
              <w:spacing w:after="0"/>
              <w:rPr>
                <w:sz w:val="16"/>
                <w:szCs w:val="16"/>
                <w:color w:val="auto"/>
              </w:rPr>
            </w:pPr>
          </w:p>
        </w:tc>
        <w:tc>
          <w:tcPr>
            <w:tcW w:w="1460" w:type="dxa"/>
            <w:vAlign w:val="bottom"/>
            <w:tcBorders>
              <w:top w:val="single" w:sz="8" w:color="auto"/>
            </w:tcBorders>
          </w:tcPr>
          <w:p>
            <w:pPr>
              <w:jc w:val="center"/>
              <w:ind w:right="10"/>
              <w:spacing w:after="0" w:line="194" w:lineRule="exact"/>
              <w:rPr>
                <w:sz w:val="20"/>
                <w:szCs w:val="20"/>
                <w:color w:val="auto"/>
              </w:rPr>
            </w:pPr>
            <w:r>
              <w:rPr>
                <w:rFonts w:ascii="Arial" w:cs="Arial" w:eastAsia="Arial" w:hAnsi="Arial"/>
                <w:sz w:val="18"/>
                <w:szCs w:val="18"/>
                <w:b w:val="1"/>
                <w:bCs w:val="1"/>
                <w:color w:val="auto"/>
              </w:rPr>
              <w:t>Currency</w:t>
            </w:r>
          </w:p>
        </w:tc>
        <w:tc>
          <w:tcPr>
            <w:tcW w:w="1300" w:type="dxa"/>
            <w:vAlign w:val="bottom"/>
            <w:tcBorders>
              <w:top w:val="single" w:sz="8" w:color="auto"/>
            </w:tcBorders>
          </w:tcPr>
          <w:p>
            <w:pPr>
              <w:spacing w:after="0"/>
              <w:rPr>
                <w:sz w:val="16"/>
                <w:szCs w:val="16"/>
                <w:color w:val="auto"/>
              </w:rPr>
            </w:pPr>
          </w:p>
        </w:tc>
      </w:tr>
      <w:tr>
        <w:trPr>
          <w:trHeight w:val="203"/>
        </w:trPr>
        <w:tc>
          <w:tcPr>
            <w:tcW w:w="3440" w:type="dxa"/>
            <w:vAlign w:val="bottom"/>
          </w:tcPr>
          <w:p>
            <w:pPr>
              <w:spacing w:after="0"/>
              <w:rPr>
                <w:sz w:val="17"/>
                <w:szCs w:val="17"/>
                <w:color w:val="auto"/>
              </w:rPr>
            </w:pPr>
          </w:p>
        </w:tc>
        <w:tc>
          <w:tcPr>
            <w:tcW w:w="2080" w:type="dxa"/>
            <w:vAlign w:val="bottom"/>
          </w:tcPr>
          <w:p>
            <w:pPr>
              <w:jc w:val="center"/>
              <w:ind w:left="650"/>
              <w:spacing w:after="0" w:line="202" w:lineRule="exact"/>
              <w:rPr>
                <w:sz w:val="20"/>
                <w:szCs w:val="20"/>
                <w:color w:val="auto"/>
              </w:rPr>
            </w:pPr>
            <w:r>
              <w:rPr>
                <w:rFonts w:ascii="Arial" w:cs="Arial" w:eastAsia="Arial" w:hAnsi="Arial"/>
                <w:sz w:val="18"/>
                <w:szCs w:val="18"/>
                <w:b w:val="1"/>
                <w:bCs w:val="1"/>
                <w:color w:val="auto"/>
              </w:rPr>
              <w:t>December 31,</w:t>
            </w:r>
          </w:p>
        </w:tc>
        <w:tc>
          <w:tcPr>
            <w:tcW w:w="168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rPr>
              <w:t>charges</w:t>
            </w:r>
          </w:p>
        </w:tc>
        <w:tc>
          <w:tcPr>
            <w:tcW w:w="1460" w:type="dxa"/>
            <w:vAlign w:val="bottom"/>
          </w:tcPr>
          <w:p>
            <w:pPr>
              <w:spacing w:after="0"/>
              <w:rPr>
                <w:sz w:val="17"/>
                <w:szCs w:val="17"/>
                <w:color w:val="auto"/>
              </w:rPr>
            </w:pPr>
          </w:p>
        </w:tc>
        <w:tc>
          <w:tcPr>
            <w:tcW w:w="1460" w:type="dxa"/>
            <w:vAlign w:val="bottom"/>
          </w:tcPr>
          <w:p>
            <w:pPr>
              <w:jc w:val="center"/>
              <w:ind w:right="10"/>
              <w:spacing w:after="0" w:line="202" w:lineRule="exact"/>
              <w:rPr>
                <w:sz w:val="20"/>
                <w:szCs w:val="20"/>
                <w:color w:val="auto"/>
              </w:rPr>
            </w:pPr>
            <w:r>
              <w:rPr>
                <w:rFonts w:ascii="Arial" w:cs="Arial" w:eastAsia="Arial" w:hAnsi="Arial"/>
                <w:sz w:val="18"/>
                <w:szCs w:val="18"/>
                <w:b w:val="1"/>
                <w:bCs w:val="1"/>
                <w:color w:val="auto"/>
                <w:w w:val="99"/>
              </w:rPr>
              <w:t>translation</w:t>
            </w:r>
          </w:p>
        </w:tc>
        <w:tc>
          <w:tcPr>
            <w:tcW w:w="130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rPr>
              <w:t>March 31,</w:t>
            </w:r>
          </w:p>
        </w:tc>
      </w:tr>
      <w:tr>
        <w:trPr>
          <w:trHeight w:val="225"/>
        </w:trPr>
        <w:tc>
          <w:tcPr>
            <w:tcW w:w="34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(in thousands)</w:t>
            </w:r>
          </w:p>
        </w:tc>
        <w:tc>
          <w:tcPr>
            <w:tcW w:w="20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2017</w:t>
            </w: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rPr>
              <w:t>accrued</w:t>
            </w:r>
          </w:p>
        </w:tc>
        <w:tc>
          <w:tcPr>
            <w:tcW w:w="14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Payments</w:t>
            </w: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/other</w:t>
            </w:r>
          </w:p>
        </w:tc>
        <w:tc>
          <w:tcPr>
            <w:tcW w:w="13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2018</w:t>
            </w:r>
          </w:p>
        </w:tc>
      </w:tr>
      <w:tr>
        <w:trPr>
          <w:trHeight w:val="399"/>
        </w:trPr>
        <w:tc>
          <w:tcPr>
            <w:tcW w:w="3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 termination and other costs</w:t>
            </w:r>
          </w:p>
        </w:tc>
        <w:tc>
          <w:tcPr>
            <w:tcW w:w="20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$3,326</w:t>
            </w:r>
          </w:p>
        </w:tc>
        <w:tc>
          <w:tcPr>
            <w:tcW w:w="16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$8,573</w:t>
            </w:r>
          </w:p>
        </w:tc>
        <w:tc>
          <w:tcPr>
            <w:tcW w:w="14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($2,051)</w:t>
            </w:r>
          </w:p>
        </w:tc>
        <w:tc>
          <w:tcPr>
            <w:tcW w:w="14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$25</w:t>
            </w:r>
          </w:p>
        </w:tc>
        <w:tc>
          <w:tcPr>
            <w:tcW w:w="13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$9,873</w:t>
            </w:r>
          </w:p>
        </w:tc>
      </w:tr>
      <w:tr>
        <w:trPr>
          <w:trHeight w:val="507"/>
        </w:trPr>
        <w:tc>
          <w:tcPr>
            <w:tcW w:w="344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1680" w:type="dxa"/>
            <w:vAlign w:val="bottom"/>
          </w:tcPr>
          <w:p>
            <w:pPr>
              <w:jc w:val="right"/>
              <w:ind w:right="1310"/>
              <w:spacing w:after="0"/>
              <w:rPr>
                <w:sz w:val="20"/>
                <w:szCs w:val="20"/>
                <w:color w:val="auto"/>
              </w:rPr>
            </w:pPr>
            <w:r>
              <w:rPr>
                <w:rFonts w:ascii="Arial" w:cs="Arial" w:eastAsia="Arial" w:hAnsi="Arial"/>
                <w:sz w:val="18"/>
                <w:szCs w:val="18"/>
                <w:color w:val="auto"/>
              </w:rPr>
              <w:t>21</w:t>
            </w:r>
          </w:p>
        </w:tc>
        <w:tc>
          <w:tcPr>
            <w:tcW w:w="14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142"/>
        </w:trPr>
        <w:tc>
          <w:tcPr>
            <w:tcW w:w="3440" w:type="dxa"/>
            <w:vAlign w:val="bottom"/>
            <w:tcBorders>
              <w:bottom w:val="single" w:sz="8" w:color="auto"/>
            </w:tcBorders>
          </w:tcPr>
          <w:p>
            <w:pPr>
              <w:spacing w:after="0"/>
              <w:rPr>
                <w:sz w:val="12"/>
                <w:szCs w:val="12"/>
                <w:color w:val="auto"/>
              </w:rPr>
            </w:pPr>
          </w:p>
        </w:tc>
        <w:tc>
          <w:tcPr>
            <w:tcW w:w="2080" w:type="dxa"/>
            <w:vAlign w:val="bottom"/>
            <w:tcBorders>
              <w:bottom w:val="single" w:sz="8" w:color="auto"/>
            </w:tcBorders>
          </w:tcPr>
          <w:p>
            <w:pPr>
              <w:spacing w:after="0"/>
              <w:rPr>
                <w:sz w:val="12"/>
                <w:szCs w:val="12"/>
                <w:color w:val="auto"/>
              </w:rPr>
            </w:pPr>
          </w:p>
        </w:tc>
        <w:tc>
          <w:tcPr>
            <w:tcW w:w="1680" w:type="dxa"/>
            <w:vAlign w:val="bottom"/>
            <w:tcBorders>
              <w:bottom w:val="single" w:sz="8" w:color="auto"/>
            </w:tcBorders>
          </w:tcPr>
          <w:p>
            <w:pPr>
              <w:spacing w:after="0"/>
              <w:rPr>
                <w:sz w:val="12"/>
                <w:szCs w:val="12"/>
                <w:color w:val="auto"/>
              </w:rPr>
            </w:pPr>
          </w:p>
        </w:tc>
        <w:tc>
          <w:tcPr>
            <w:tcW w:w="1460" w:type="dxa"/>
            <w:vAlign w:val="bottom"/>
            <w:tcBorders>
              <w:bottom w:val="single" w:sz="8" w:color="auto"/>
            </w:tcBorders>
          </w:tcPr>
          <w:p>
            <w:pPr>
              <w:spacing w:after="0"/>
              <w:rPr>
                <w:sz w:val="12"/>
                <w:szCs w:val="12"/>
                <w:color w:val="auto"/>
              </w:rPr>
            </w:pPr>
          </w:p>
        </w:tc>
        <w:tc>
          <w:tcPr>
            <w:tcW w:w="146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tcPr>
          <w:p>
            <w:pPr>
              <w:spacing w:after="0"/>
              <w:rPr>
                <w:sz w:val="12"/>
                <w:szCs w:val="12"/>
                <w:color w:val="auto"/>
              </w:rPr>
            </w:pPr>
          </w:p>
        </w:tc>
      </w:tr>
    </w:tbl>
    <w:p>
      <w:pPr>
        <w:sectPr>
          <w:pgSz w:w="11900" w:h="16838" w:orient="portrait"/>
          <w:cols w:equalWidth="0" w:num="1">
            <w:col w:w="11420"/>
          </w:cols>
          <w:pgMar w:left="240" w:top="1003" w:right="239" w:bottom="1440" w:gutter="0" w:footer="0" w:header="0"/>
        </w:sectPr>
      </w:pPr>
    </w:p>
    <w:bookmarkStart w:id="21" w:name="page22"/>
    <w:bookmarkEnd w:id="2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4220" w:type="dxa"/>
            <w:vAlign w:val="bottom"/>
            <w:tcBorders>
              <w:top w:val="single" w:sz="8" w:color="auto"/>
            </w:tcBorders>
          </w:tcPr>
          <w:p>
            <w:pPr>
              <w:spacing w:after="0"/>
              <w:rPr>
                <w:sz w:val="16"/>
                <w:szCs w:val="16"/>
                <w:color w:val="auto"/>
              </w:rPr>
            </w:pPr>
          </w:p>
        </w:tc>
        <w:tc>
          <w:tcPr>
            <w:tcW w:w="1400" w:type="dxa"/>
            <w:vAlign w:val="bottom"/>
            <w:tcBorders>
              <w:top w:val="single" w:sz="8" w:color="auto"/>
            </w:tcBorders>
          </w:tcPr>
          <w:p>
            <w:pPr>
              <w:spacing w:after="0"/>
              <w:rPr>
                <w:sz w:val="16"/>
                <w:szCs w:val="16"/>
                <w:color w:val="auto"/>
              </w:rPr>
            </w:pPr>
          </w:p>
        </w:tc>
        <w:tc>
          <w:tcPr>
            <w:tcW w:w="1580" w:type="dxa"/>
            <w:vAlign w:val="bottom"/>
            <w:tcBorders>
              <w:top w:val="single" w:sz="8" w:color="auto"/>
            </w:tcBorders>
          </w:tcPr>
          <w:p>
            <w:pPr>
              <w:jc w:val="center"/>
              <w:spacing w:after="0" w:line="194" w:lineRule="exact"/>
              <w:rPr>
                <w:sz w:val="20"/>
                <w:szCs w:val="20"/>
                <w:color w:val="auto"/>
              </w:rPr>
            </w:pPr>
            <w:r>
              <w:rPr>
                <w:rFonts w:ascii="Arial" w:cs="Arial" w:eastAsia="Arial" w:hAnsi="Arial"/>
                <w:sz w:val="18"/>
                <w:szCs w:val="18"/>
                <w:b w:val="1"/>
                <w:bCs w:val="1"/>
                <w:color w:val="auto"/>
                <w:w w:val="99"/>
              </w:rPr>
              <w:t>Restructuring</w:t>
            </w:r>
          </w:p>
        </w:tc>
        <w:tc>
          <w:tcPr>
            <w:tcW w:w="164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jc w:val="center"/>
              <w:ind w:right="190"/>
              <w:spacing w:after="0" w:line="194" w:lineRule="exact"/>
              <w:rPr>
                <w:sz w:val="20"/>
                <w:szCs w:val="20"/>
                <w:color w:val="auto"/>
              </w:rPr>
            </w:pPr>
            <w:r>
              <w:rPr>
                <w:rFonts w:ascii="Arial" w:cs="Arial" w:eastAsia="Arial" w:hAnsi="Arial"/>
                <w:sz w:val="18"/>
                <w:szCs w:val="18"/>
                <w:b w:val="1"/>
                <w:bCs w:val="1"/>
                <w:color w:val="auto"/>
              </w:rPr>
              <w:t>Currency</w:t>
            </w:r>
          </w:p>
        </w:tc>
        <w:tc>
          <w:tcPr>
            <w:tcW w:w="1300" w:type="dxa"/>
            <w:vAlign w:val="bottom"/>
            <w:tcBorders>
              <w:top w:val="single" w:sz="8" w:color="auto"/>
            </w:tcBorders>
          </w:tcPr>
          <w:p>
            <w:pPr>
              <w:spacing w:after="0"/>
              <w:rPr>
                <w:sz w:val="16"/>
                <w:szCs w:val="16"/>
                <w:color w:val="auto"/>
              </w:rPr>
            </w:pPr>
          </w:p>
        </w:tc>
      </w:tr>
      <w:tr>
        <w:trPr>
          <w:trHeight w:val="203"/>
        </w:trPr>
        <w:tc>
          <w:tcPr>
            <w:tcW w:w="4220" w:type="dxa"/>
            <w:vAlign w:val="bottom"/>
          </w:tcPr>
          <w:p>
            <w:pPr>
              <w:spacing w:after="0"/>
              <w:rPr>
                <w:sz w:val="17"/>
                <w:szCs w:val="17"/>
                <w:color w:val="auto"/>
              </w:rPr>
            </w:pPr>
          </w:p>
        </w:tc>
        <w:tc>
          <w:tcPr>
            <w:tcW w:w="1400" w:type="dxa"/>
            <w:vAlign w:val="bottom"/>
          </w:tcPr>
          <w:p>
            <w:pPr>
              <w:jc w:val="center"/>
              <w:ind w:right="10"/>
              <w:spacing w:after="0" w:line="202" w:lineRule="exact"/>
              <w:rPr>
                <w:sz w:val="20"/>
                <w:szCs w:val="20"/>
                <w:color w:val="auto"/>
              </w:rPr>
            </w:pPr>
            <w:r>
              <w:rPr>
                <w:rFonts w:ascii="Arial" w:cs="Arial" w:eastAsia="Arial" w:hAnsi="Arial"/>
                <w:sz w:val="18"/>
                <w:szCs w:val="18"/>
                <w:b w:val="1"/>
                <w:bCs w:val="1"/>
                <w:color w:val="auto"/>
              </w:rPr>
              <w:t>December 31,</w:t>
            </w:r>
          </w:p>
        </w:tc>
        <w:tc>
          <w:tcPr>
            <w:tcW w:w="158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rPr>
              <w:t>charges</w:t>
            </w:r>
          </w:p>
        </w:tc>
        <w:tc>
          <w:tcPr>
            <w:tcW w:w="1640" w:type="dxa"/>
            <w:vAlign w:val="bottom"/>
          </w:tcPr>
          <w:p>
            <w:pPr>
              <w:spacing w:after="0"/>
              <w:rPr>
                <w:sz w:val="17"/>
                <w:szCs w:val="17"/>
                <w:color w:val="auto"/>
              </w:rPr>
            </w:pPr>
          </w:p>
        </w:tc>
        <w:tc>
          <w:tcPr>
            <w:tcW w:w="1280" w:type="dxa"/>
            <w:vAlign w:val="bottom"/>
          </w:tcPr>
          <w:p>
            <w:pPr>
              <w:jc w:val="center"/>
              <w:ind w:right="190"/>
              <w:spacing w:after="0" w:line="202" w:lineRule="exact"/>
              <w:rPr>
                <w:sz w:val="20"/>
                <w:szCs w:val="20"/>
                <w:color w:val="auto"/>
              </w:rPr>
            </w:pPr>
            <w:r>
              <w:rPr>
                <w:rFonts w:ascii="Arial" w:cs="Arial" w:eastAsia="Arial" w:hAnsi="Arial"/>
                <w:sz w:val="18"/>
                <w:szCs w:val="18"/>
                <w:b w:val="1"/>
                <w:bCs w:val="1"/>
                <w:color w:val="auto"/>
                <w:w w:val="99"/>
              </w:rPr>
              <w:t>translation</w:t>
            </w:r>
          </w:p>
        </w:tc>
        <w:tc>
          <w:tcPr>
            <w:tcW w:w="1300" w:type="dxa"/>
            <w:vAlign w:val="bottom"/>
          </w:tcPr>
          <w:p>
            <w:pPr>
              <w:jc w:val="right"/>
              <w:ind w:right="110"/>
              <w:spacing w:after="0" w:line="202" w:lineRule="exact"/>
              <w:rPr>
                <w:sz w:val="20"/>
                <w:szCs w:val="20"/>
                <w:color w:val="auto"/>
              </w:rPr>
            </w:pPr>
            <w:r>
              <w:rPr>
                <w:rFonts w:ascii="Arial" w:cs="Arial" w:eastAsia="Arial" w:hAnsi="Arial"/>
                <w:sz w:val="18"/>
                <w:szCs w:val="18"/>
                <w:b w:val="1"/>
                <w:bCs w:val="1"/>
                <w:color w:val="auto"/>
              </w:rPr>
              <w:t>March 31,</w:t>
            </w:r>
          </w:p>
        </w:tc>
      </w:tr>
      <w:tr>
        <w:trPr>
          <w:trHeight w:val="225"/>
        </w:trPr>
        <w:tc>
          <w:tcPr>
            <w:tcW w:w="42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(in thousands)</w:t>
            </w:r>
          </w:p>
        </w:tc>
        <w:tc>
          <w:tcPr>
            <w:tcW w:w="14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2016</w:t>
            </w: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rPr>
              <w:t>accrued</w:t>
            </w:r>
          </w:p>
        </w:tc>
        <w:tc>
          <w:tcPr>
            <w:tcW w:w="16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Payments</w:t>
            </w:r>
          </w:p>
        </w:tc>
        <w:tc>
          <w:tcPr>
            <w:tcW w:w="128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b w:val="1"/>
                <w:bCs w:val="1"/>
                <w:color w:val="auto"/>
                <w:w w:val="99"/>
              </w:rPr>
              <w:t>/other</w:t>
            </w:r>
          </w:p>
        </w:tc>
        <w:tc>
          <w:tcPr>
            <w:tcW w:w="13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2017</w:t>
            </w:r>
          </w:p>
        </w:tc>
      </w:tr>
      <w:tr>
        <w:trPr>
          <w:trHeight w:val="399"/>
        </w:trPr>
        <w:tc>
          <w:tcPr>
            <w:tcW w:w="4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 termination and other costs</w:t>
            </w:r>
          </w:p>
        </w:tc>
        <w:tc>
          <w:tcPr>
            <w:tcW w:w="14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$5,559</w:t>
            </w:r>
          </w:p>
        </w:tc>
        <w:tc>
          <w:tcPr>
            <w:tcW w:w="15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$2,566</w:t>
            </w:r>
          </w:p>
        </w:tc>
        <w:tc>
          <w:tcPr>
            <w:tcW w:w="16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($2,126)</w:t>
            </w:r>
          </w:p>
        </w:tc>
        <w:tc>
          <w:tcPr>
            <w:tcW w:w="12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$17</w:t>
            </w:r>
          </w:p>
        </w:tc>
        <w:tc>
          <w:tcPr>
            <w:tcW w:w="13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$6,016</w:t>
            </w:r>
          </w:p>
        </w:tc>
      </w:tr>
      <w:tr>
        <w:trPr>
          <w:trHeight w:val="399"/>
        </w:trPr>
        <w:tc>
          <w:tcPr>
            <w:tcW w:w="4220" w:type="dxa"/>
            <w:vAlign w:val="bottom"/>
          </w:tcPr>
          <w:p>
            <w:pPr>
              <w:spacing w:after="0"/>
              <w:rPr>
                <w:sz w:val="20"/>
                <w:szCs w:val="20"/>
                <w:color w:val="auto"/>
              </w:rPr>
            </w:pPr>
            <w:r>
              <w:rPr>
                <w:rFonts w:ascii="Arial" w:cs="Arial" w:eastAsia="Arial" w:hAnsi="Arial"/>
                <w:sz w:val="18"/>
                <w:szCs w:val="18"/>
                <w:b w:val="1"/>
                <w:bCs w:val="1"/>
                <w:i w:val="1"/>
                <w:iCs w:val="1"/>
                <w:color w:val="auto"/>
              </w:rPr>
              <w:t>6. Other expense, net</w:t>
            </w:r>
          </w:p>
        </w:tc>
        <w:tc>
          <w:tcPr>
            <w:tcW w:w="14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405"/>
        </w:trPr>
        <w:tc>
          <w:tcPr>
            <w:tcW w:w="4220" w:type="dxa"/>
            <w:vAlign w:val="bottom"/>
          </w:tcPr>
          <w:p>
            <w:pPr>
              <w:ind w:left="660"/>
              <w:spacing w:after="0"/>
              <w:rPr>
                <w:sz w:val="20"/>
                <w:szCs w:val="20"/>
                <w:color w:val="auto"/>
              </w:rPr>
            </w:pPr>
            <w:r>
              <w:rPr>
                <w:rFonts w:ascii="Arial" w:cs="Arial" w:eastAsia="Arial" w:hAnsi="Arial"/>
                <w:sz w:val="18"/>
                <w:szCs w:val="18"/>
                <w:color w:val="auto"/>
              </w:rPr>
              <w:t>The components of Other expense, net are:</w:t>
            </w:r>
          </w:p>
        </w:tc>
        <w:tc>
          <w:tcPr>
            <w:tcW w:w="14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162"/>
        </w:trPr>
        <w:tc>
          <w:tcPr>
            <w:tcW w:w="422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tcPr>
          <w:p>
            <w:pPr>
              <w:spacing w:after="0"/>
              <w:rPr>
                <w:sz w:val="14"/>
                <w:szCs w:val="14"/>
                <w:color w:val="auto"/>
              </w:rPr>
            </w:pPr>
          </w:p>
        </w:tc>
        <w:tc>
          <w:tcPr>
            <w:tcW w:w="4220" w:type="dxa"/>
            <w:vAlign w:val="bottom"/>
            <w:tcBorders>
              <w:bottom w:val="single" w:sz="8" w:color="auto"/>
            </w:tcBorders>
            <w:gridSpan w:val="3"/>
          </w:tcPr>
          <w:p>
            <w:pPr>
              <w:spacing w:after="0"/>
              <w:rPr>
                <w:sz w:val="14"/>
                <w:szCs w:val="14"/>
                <w:color w:val="auto"/>
              </w:rPr>
            </w:pPr>
          </w:p>
        </w:tc>
      </w:tr>
      <w:tr>
        <w:trPr>
          <w:trHeight w:val="173"/>
        </w:trPr>
        <w:tc>
          <w:tcPr>
            <w:tcW w:w="42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4220" w:type="dxa"/>
            <w:vAlign w:val="bottom"/>
            <w:gridSpan w:val="3"/>
          </w:tcPr>
          <w:p>
            <w:pPr>
              <w:jc w:val="right"/>
              <w:ind w:right="630"/>
              <w:spacing w:after="0" w:line="173" w:lineRule="exact"/>
              <w:rPr>
                <w:sz w:val="20"/>
                <w:szCs w:val="20"/>
                <w:color w:val="auto"/>
              </w:rPr>
            </w:pPr>
            <w:r>
              <w:rPr>
                <w:rFonts w:ascii="Arial" w:cs="Arial" w:eastAsia="Arial" w:hAnsi="Arial"/>
                <w:sz w:val="18"/>
                <w:szCs w:val="18"/>
                <w:b w:val="1"/>
                <w:bCs w:val="1"/>
                <w:color w:val="auto"/>
              </w:rPr>
              <w:t>Three months ended March 31,</w:t>
            </w:r>
          </w:p>
        </w:tc>
      </w:tr>
      <w:tr>
        <w:trPr>
          <w:trHeight w:val="225"/>
        </w:trPr>
        <w:tc>
          <w:tcPr>
            <w:tcW w:w="42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(in thousands)</w:t>
            </w:r>
          </w:p>
        </w:tc>
        <w:tc>
          <w:tcPr>
            <w:tcW w:w="140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2018</w:t>
            </w:r>
          </w:p>
        </w:tc>
        <w:tc>
          <w:tcPr>
            <w:tcW w:w="12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2017</w:t>
            </w:r>
          </w:p>
        </w:tc>
      </w:tr>
      <w:tr>
        <w:trPr>
          <w:trHeight w:val="173"/>
        </w:trPr>
        <w:tc>
          <w:tcPr>
            <w:tcW w:w="4220" w:type="dxa"/>
            <w:vAlign w:val="bottom"/>
          </w:tcPr>
          <w:p>
            <w:pPr>
              <w:spacing w:after="0" w:line="173" w:lineRule="exact"/>
              <w:rPr>
                <w:sz w:val="20"/>
                <w:szCs w:val="20"/>
                <w:color w:val="auto"/>
              </w:rPr>
            </w:pPr>
            <w:r>
              <w:rPr>
                <w:rFonts w:ascii="Arial" w:cs="Arial" w:eastAsia="Arial" w:hAnsi="Arial"/>
                <w:sz w:val="18"/>
                <w:szCs w:val="18"/>
                <w:color w:val="auto"/>
              </w:rPr>
              <w:t>Currency transaction losses</w:t>
            </w:r>
          </w:p>
        </w:tc>
        <w:tc>
          <w:tcPr>
            <w:tcW w:w="140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640" w:type="dxa"/>
            <w:vAlign w:val="bottom"/>
          </w:tcPr>
          <w:p>
            <w:pPr>
              <w:jc w:val="right"/>
              <w:spacing w:after="0" w:line="173" w:lineRule="exact"/>
              <w:rPr>
                <w:sz w:val="20"/>
                <w:szCs w:val="20"/>
                <w:color w:val="auto"/>
              </w:rPr>
            </w:pPr>
            <w:r>
              <w:rPr>
                <w:rFonts w:ascii="Arial" w:cs="Arial" w:eastAsia="Arial" w:hAnsi="Arial"/>
                <w:sz w:val="18"/>
                <w:szCs w:val="18"/>
                <w:b w:val="1"/>
                <w:bCs w:val="1"/>
                <w:color w:val="auto"/>
              </w:rPr>
              <w:t>$690</w:t>
            </w:r>
          </w:p>
        </w:tc>
        <w:tc>
          <w:tcPr>
            <w:tcW w:w="1280" w:type="dxa"/>
            <w:vAlign w:val="bottom"/>
          </w:tcPr>
          <w:p>
            <w:pPr>
              <w:spacing w:after="0"/>
              <w:rPr>
                <w:sz w:val="15"/>
                <w:szCs w:val="15"/>
                <w:color w:val="auto"/>
              </w:rPr>
            </w:pPr>
          </w:p>
        </w:tc>
        <w:tc>
          <w:tcPr>
            <w:tcW w:w="1300" w:type="dxa"/>
            <w:vAlign w:val="bottom"/>
          </w:tcPr>
          <w:p>
            <w:pPr>
              <w:jc w:val="right"/>
              <w:ind w:right="10"/>
              <w:spacing w:after="0" w:line="173" w:lineRule="exact"/>
              <w:rPr>
                <w:sz w:val="20"/>
                <w:szCs w:val="20"/>
                <w:color w:val="auto"/>
              </w:rPr>
            </w:pPr>
            <w:r>
              <w:rPr>
                <w:rFonts w:ascii="Arial" w:cs="Arial" w:eastAsia="Arial" w:hAnsi="Arial"/>
                <w:sz w:val="18"/>
                <w:szCs w:val="18"/>
                <w:color w:val="auto"/>
              </w:rPr>
              <w:t>$101</w:t>
            </w:r>
          </w:p>
        </w:tc>
      </w:tr>
      <w:tr>
        <w:trPr>
          <w:trHeight w:val="203"/>
        </w:trPr>
        <w:tc>
          <w:tcPr>
            <w:tcW w:w="4220" w:type="dxa"/>
            <w:vAlign w:val="bottom"/>
          </w:tcPr>
          <w:p>
            <w:pPr>
              <w:spacing w:after="0" w:line="202" w:lineRule="exact"/>
              <w:rPr>
                <w:sz w:val="20"/>
                <w:szCs w:val="20"/>
                <w:color w:val="auto"/>
              </w:rPr>
            </w:pPr>
            <w:r>
              <w:rPr>
                <w:rFonts w:ascii="Arial" w:cs="Arial" w:eastAsia="Arial" w:hAnsi="Arial"/>
                <w:sz w:val="18"/>
                <w:szCs w:val="18"/>
                <w:color w:val="auto"/>
              </w:rPr>
              <w:t>Bank fees</w:t>
            </w:r>
          </w:p>
        </w:tc>
        <w:tc>
          <w:tcPr>
            <w:tcW w:w="14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64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108</w:t>
            </w:r>
          </w:p>
        </w:tc>
        <w:tc>
          <w:tcPr>
            <w:tcW w:w="1280" w:type="dxa"/>
            <w:vAlign w:val="bottom"/>
          </w:tcPr>
          <w:p>
            <w:pPr>
              <w:spacing w:after="0"/>
              <w:rPr>
                <w:sz w:val="17"/>
                <w:szCs w:val="17"/>
                <w:color w:val="auto"/>
              </w:rPr>
            </w:pPr>
          </w:p>
        </w:tc>
        <w:tc>
          <w:tcPr>
            <w:tcW w:w="13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149</w:t>
            </w:r>
          </w:p>
        </w:tc>
      </w:tr>
      <w:tr>
        <w:trPr>
          <w:trHeight w:val="203"/>
        </w:trPr>
        <w:tc>
          <w:tcPr>
            <w:tcW w:w="7200" w:type="dxa"/>
            <w:vAlign w:val="bottom"/>
            <w:gridSpan w:val="3"/>
          </w:tcPr>
          <w:p>
            <w:pPr>
              <w:spacing w:after="0" w:line="202" w:lineRule="exact"/>
              <w:rPr>
                <w:sz w:val="20"/>
                <w:szCs w:val="20"/>
                <w:color w:val="auto"/>
              </w:rPr>
            </w:pPr>
            <w:r>
              <w:rPr>
                <w:rFonts w:ascii="Arial" w:cs="Arial" w:eastAsia="Arial" w:hAnsi="Arial"/>
                <w:sz w:val="18"/>
                <w:szCs w:val="18"/>
                <w:color w:val="auto"/>
              </w:rPr>
              <w:t>Components of net periodic pension and postretirement cost other than service</w:t>
            </w:r>
          </w:p>
        </w:tc>
        <w:tc>
          <w:tcPr>
            <w:tcW w:w="164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263</w:t>
            </w:r>
          </w:p>
        </w:tc>
        <w:tc>
          <w:tcPr>
            <w:tcW w:w="1280" w:type="dxa"/>
            <w:vAlign w:val="bottom"/>
          </w:tcPr>
          <w:p>
            <w:pPr>
              <w:spacing w:after="0"/>
              <w:rPr>
                <w:sz w:val="17"/>
                <w:szCs w:val="17"/>
                <w:color w:val="auto"/>
              </w:rPr>
            </w:pPr>
          </w:p>
        </w:tc>
        <w:tc>
          <w:tcPr>
            <w:tcW w:w="13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622</w:t>
            </w:r>
          </w:p>
        </w:tc>
      </w:tr>
      <w:tr>
        <w:trPr>
          <w:trHeight w:val="225"/>
        </w:trPr>
        <w:tc>
          <w:tcPr>
            <w:tcW w:w="4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w:t>
            </w:r>
          </w:p>
        </w:tc>
        <w:tc>
          <w:tcPr>
            <w:tcW w:w="140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391</w:t>
            </w:r>
          </w:p>
        </w:tc>
        <w:tc>
          <w:tcPr>
            <w:tcW w:w="12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w:t>
            </w:r>
          </w:p>
        </w:tc>
      </w:tr>
      <w:tr>
        <w:trPr>
          <w:trHeight w:val="196"/>
        </w:trPr>
        <w:tc>
          <w:tcPr>
            <w:tcW w:w="422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Total</w:t>
            </w:r>
          </w:p>
        </w:tc>
        <w:tc>
          <w:tcPr>
            <w:tcW w:w="140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$1,452</w:t>
            </w:r>
          </w:p>
        </w:tc>
        <w:tc>
          <w:tcPr>
            <w:tcW w:w="12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$826</w:t>
            </w:r>
          </w:p>
        </w:tc>
      </w:tr>
    </w:tbl>
    <w:p>
      <w:pPr>
        <w:spacing w:after="0" w:line="377" w:lineRule="exact"/>
        <w:rPr>
          <w:sz w:val="20"/>
          <w:szCs w:val="20"/>
          <w:color w:val="auto"/>
        </w:rPr>
      </w:pPr>
    </w:p>
    <w:p>
      <w:pPr>
        <w:ind w:right="60" w:firstLine="648"/>
        <w:spacing w:after="0" w:line="239" w:lineRule="auto"/>
        <w:rPr>
          <w:sz w:val="20"/>
          <w:szCs w:val="20"/>
          <w:color w:val="auto"/>
        </w:rPr>
      </w:pPr>
      <w:r>
        <w:rPr>
          <w:rFonts w:ascii="Arial" w:cs="Arial" w:eastAsia="Arial" w:hAnsi="Arial"/>
          <w:sz w:val="18"/>
          <w:szCs w:val="18"/>
          <w:color w:val="auto"/>
        </w:rPr>
        <w:t>In 2018, the Company adopted the provisions of ASU 2017-07. This accounting update affected the classification of components of net periodic benefit cost, other than service cost, to be reported separately from the service cost component and outside of operating income. The Company elected to report other components of net periodic pension and post retirement cost in Other expense, net. The comparative consolidated statement of income was restated as required by this update. Further detail of this accounting update is disclosed in Note 4.</w:t>
      </w:r>
    </w:p>
    <w:p>
      <w:pPr>
        <w:spacing w:after="0" w:line="3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7. Income Taxes</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components of income tax expense for the three months ended March 31, 2018 and 2017:</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20" w:type="dxa"/>
            <w:vAlign w:val="bottom"/>
          </w:tcPr>
          <w:p>
            <w:pPr>
              <w:spacing w:after="0"/>
              <w:rPr>
                <w:sz w:val="16"/>
                <w:szCs w:val="16"/>
                <w:color w:val="auto"/>
              </w:rPr>
            </w:pPr>
          </w:p>
        </w:tc>
        <w:tc>
          <w:tcPr>
            <w:tcW w:w="7100" w:type="dxa"/>
            <w:vAlign w:val="bottom"/>
            <w:tcBorders>
              <w:top w:val="single" w:sz="8" w:color="auto"/>
            </w:tcBorders>
          </w:tcPr>
          <w:p>
            <w:pPr>
              <w:spacing w:after="0"/>
              <w:rPr>
                <w:sz w:val="16"/>
                <w:szCs w:val="16"/>
                <w:color w:val="auto"/>
              </w:rPr>
            </w:pPr>
          </w:p>
        </w:tc>
        <w:tc>
          <w:tcPr>
            <w:tcW w:w="4300" w:type="dxa"/>
            <w:vAlign w:val="bottom"/>
            <w:tcBorders>
              <w:top w:val="single" w:sz="8" w:color="auto"/>
            </w:tcBorders>
            <w:gridSpan w:val="2"/>
          </w:tcPr>
          <w:p>
            <w:pPr>
              <w:jc w:val="right"/>
              <w:ind w:right="630"/>
              <w:spacing w:after="0" w:line="194" w:lineRule="exact"/>
              <w:rPr>
                <w:sz w:val="20"/>
                <w:szCs w:val="20"/>
                <w:color w:val="auto"/>
              </w:rPr>
            </w:pPr>
            <w:r>
              <w:rPr>
                <w:rFonts w:ascii="Arial" w:cs="Arial" w:eastAsia="Arial" w:hAnsi="Arial"/>
                <w:sz w:val="18"/>
                <w:szCs w:val="18"/>
                <w:b w:val="1"/>
                <w:bCs w:val="1"/>
                <w:color w:val="auto"/>
              </w:rPr>
              <w:t>Three months ended March 31,</w:t>
            </w:r>
          </w:p>
        </w:tc>
        <w:tc>
          <w:tcPr>
            <w:tcW w:w="0" w:type="dxa"/>
            <w:vAlign w:val="bottom"/>
          </w:tcPr>
          <w:p>
            <w:pPr>
              <w:spacing w:after="0"/>
              <w:rPr>
                <w:sz w:val="1"/>
                <w:szCs w:val="1"/>
                <w:color w:val="auto"/>
              </w:rPr>
            </w:pPr>
          </w:p>
        </w:tc>
      </w:tr>
      <w:tr>
        <w:trPr>
          <w:trHeight w:val="225"/>
        </w:trPr>
        <w:tc>
          <w:tcPr>
            <w:tcW w:w="712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(in thousands)</w:t>
            </w:r>
          </w:p>
        </w:tc>
        <w:tc>
          <w:tcPr>
            <w:tcW w:w="2540" w:type="dxa"/>
            <w:vAlign w:val="bottom"/>
            <w:tcBorders>
              <w:bottom w:val="single" w:sz="8" w:color="auto"/>
            </w:tcBorders>
          </w:tcPr>
          <w:p>
            <w:pPr>
              <w:jc w:val="right"/>
              <w:ind w:right="1230"/>
              <w:spacing w:after="0"/>
              <w:rPr>
                <w:sz w:val="20"/>
                <w:szCs w:val="20"/>
                <w:color w:val="auto"/>
              </w:rPr>
            </w:pPr>
            <w:r>
              <w:rPr>
                <w:rFonts w:ascii="Arial" w:cs="Arial" w:eastAsia="Arial" w:hAnsi="Arial"/>
                <w:sz w:val="18"/>
                <w:szCs w:val="18"/>
                <w:b w:val="1"/>
                <w:bCs w:val="1"/>
                <w:color w:val="auto"/>
              </w:rPr>
              <w:t>2018</w:t>
            </w:r>
          </w:p>
        </w:tc>
        <w:tc>
          <w:tcPr>
            <w:tcW w:w="17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2017</w:t>
            </w:r>
          </w:p>
        </w:tc>
        <w:tc>
          <w:tcPr>
            <w:tcW w:w="0" w:type="dxa"/>
            <w:vAlign w:val="bottom"/>
          </w:tcPr>
          <w:p>
            <w:pPr>
              <w:spacing w:after="0"/>
              <w:rPr>
                <w:sz w:val="1"/>
                <w:szCs w:val="1"/>
                <w:color w:val="auto"/>
              </w:rPr>
            </w:pPr>
          </w:p>
        </w:tc>
      </w:tr>
      <w:tr>
        <w:trPr>
          <w:trHeight w:val="195"/>
        </w:trPr>
        <w:tc>
          <w:tcPr>
            <w:tcW w:w="7120" w:type="dxa"/>
            <w:vAlign w:val="bottom"/>
            <w:gridSpan w:val="2"/>
          </w:tcPr>
          <w:p>
            <w:pPr>
              <w:spacing w:after="0" w:line="195" w:lineRule="exact"/>
              <w:rPr>
                <w:sz w:val="20"/>
                <w:szCs w:val="20"/>
                <w:color w:val="auto"/>
              </w:rPr>
            </w:pPr>
            <w:r>
              <w:rPr>
                <w:rFonts w:ascii="Arial" w:cs="Arial" w:eastAsia="Arial" w:hAnsi="Arial"/>
                <w:sz w:val="18"/>
                <w:szCs w:val="18"/>
                <w:color w:val="auto"/>
              </w:rPr>
              <w:t>Income tax based on income from continuing operations, at estimated tax rates</w:t>
            </w:r>
          </w:p>
        </w:tc>
        <w:tc>
          <w:tcPr>
            <w:tcW w:w="2540" w:type="dxa"/>
            <w:vAlign w:val="bottom"/>
            <w:vMerge w:val="restart"/>
          </w:tcPr>
          <w:p>
            <w:pPr>
              <w:jc w:val="right"/>
              <w:ind w:right="750"/>
              <w:spacing w:after="0"/>
              <w:rPr>
                <w:sz w:val="20"/>
                <w:szCs w:val="20"/>
                <w:color w:val="auto"/>
              </w:rPr>
            </w:pPr>
            <w:r>
              <w:rPr>
                <w:rFonts w:ascii="Arial" w:cs="Arial" w:eastAsia="Arial" w:hAnsi="Arial"/>
                <w:sz w:val="18"/>
                <w:szCs w:val="18"/>
                <w:b w:val="1"/>
                <w:bCs w:val="1"/>
                <w:color w:val="auto"/>
              </w:rPr>
              <w:t>$4,899</w:t>
            </w:r>
          </w:p>
        </w:tc>
        <w:tc>
          <w:tcPr>
            <w:tcW w:w="1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7120" w:type="dxa"/>
            <w:vAlign w:val="bottom"/>
            <w:gridSpan w:val="2"/>
          </w:tcPr>
          <w:p>
            <w:pPr>
              <w:spacing w:after="0"/>
              <w:rPr>
                <w:sz w:val="20"/>
                <w:szCs w:val="20"/>
                <w:color w:val="auto"/>
              </w:rPr>
            </w:pPr>
            <w:r>
              <w:rPr>
                <w:rFonts w:ascii="Arial" w:cs="Arial" w:eastAsia="Arial" w:hAnsi="Arial"/>
                <w:sz w:val="18"/>
                <w:szCs w:val="18"/>
                <w:color w:val="auto"/>
              </w:rPr>
              <w:t>of 32.5% and 32.6%, respectively</w:t>
            </w:r>
          </w:p>
        </w:tc>
        <w:tc>
          <w:tcPr>
            <w:tcW w:w="2540" w:type="dxa"/>
            <w:vAlign w:val="bottom"/>
            <w:vMerge w:val="continue"/>
          </w:tcPr>
          <w:p>
            <w:pPr>
              <w:spacing w:after="0"/>
              <w:rPr>
                <w:sz w:val="18"/>
                <w:szCs w:val="18"/>
                <w:color w:val="auto"/>
              </w:rPr>
            </w:pPr>
          </w:p>
        </w:tc>
        <w:tc>
          <w:tcPr>
            <w:tcW w:w="1760" w:type="dxa"/>
            <w:vAlign w:val="bottom"/>
          </w:tcPr>
          <w:p>
            <w:pPr>
              <w:jc w:val="right"/>
              <w:ind w:right="10"/>
              <w:spacing w:after="0"/>
              <w:rPr>
                <w:sz w:val="20"/>
                <w:szCs w:val="20"/>
                <w:color w:val="auto"/>
              </w:rPr>
            </w:pPr>
            <w:r>
              <w:rPr>
                <w:rFonts w:ascii="Arial" w:cs="Arial" w:eastAsia="Arial" w:hAnsi="Arial"/>
                <w:sz w:val="18"/>
                <w:szCs w:val="18"/>
                <w:color w:val="auto"/>
              </w:rPr>
              <w:t>$5,719</w:t>
            </w:r>
          </w:p>
        </w:tc>
        <w:tc>
          <w:tcPr>
            <w:tcW w:w="0" w:type="dxa"/>
            <w:vAlign w:val="bottom"/>
          </w:tcPr>
          <w:p>
            <w:pPr>
              <w:spacing w:after="0"/>
              <w:rPr>
                <w:sz w:val="1"/>
                <w:szCs w:val="1"/>
                <w:color w:val="auto"/>
              </w:rPr>
            </w:pPr>
          </w:p>
        </w:tc>
      </w:tr>
      <w:tr>
        <w:trPr>
          <w:trHeight w:val="189"/>
        </w:trPr>
        <w:tc>
          <w:tcPr>
            <w:tcW w:w="7120" w:type="dxa"/>
            <w:vAlign w:val="bottom"/>
            <w:tcBorders>
              <w:bottom w:val="single" w:sz="8" w:color="auto"/>
            </w:tcBorders>
            <w:gridSpan w:val="2"/>
          </w:tcPr>
          <w:p>
            <w:pPr>
              <w:spacing w:after="0"/>
              <w:rPr>
                <w:sz w:val="16"/>
                <w:szCs w:val="16"/>
                <w:color w:val="auto"/>
              </w:rPr>
            </w:pPr>
          </w:p>
        </w:tc>
        <w:tc>
          <w:tcPr>
            <w:tcW w:w="254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7120" w:type="dxa"/>
            <w:vAlign w:val="bottom"/>
            <w:gridSpan w:val="2"/>
          </w:tcPr>
          <w:p>
            <w:pPr>
              <w:spacing w:after="0"/>
              <w:rPr>
                <w:sz w:val="20"/>
                <w:szCs w:val="20"/>
                <w:color w:val="auto"/>
              </w:rPr>
            </w:pPr>
            <w:r>
              <w:rPr>
                <w:rFonts w:ascii="Arial" w:cs="Arial" w:eastAsia="Arial" w:hAnsi="Arial"/>
                <w:sz w:val="18"/>
                <w:szCs w:val="18"/>
                <w:color w:val="auto"/>
              </w:rPr>
              <w:t>Income tax before discrete items</w:t>
            </w:r>
          </w:p>
        </w:tc>
        <w:tc>
          <w:tcPr>
            <w:tcW w:w="2540" w:type="dxa"/>
            <w:vAlign w:val="bottom"/>
          </w:tcPr>
          <w:p>
            <w:pPr>
              <w:jc w:val="right"/>
              <w:ind w:right="750"/>
              <w:spacing w:after="0"/>
              <w:rPr>
                <w:sz w:val="20"/>
                <w:szCs w:val="20"/>
                <w:color w:val="auto"/>
              </w:rPr>
            </w:pPr>
            <w:r>
              <w:rPr>
                <w:rFonts w:ascii="Arial" w:cs="Arial" w:eastAsia="Arial" w:hAnsi="Arial"/>
                <w:sz w:val="18"/>
                <w:szCs w:val="18"/>
                <w:b w:val="1"/>
                <w:bCs w:val="1"/>
                <w:color w:val="auto"/>
              </w:rPr>
              <w:t>4,899</w:t>
            </w:r>
          </w:p>
        </w:tc>
        <w:tc>
          <w:tcPr>
            <w:tcW w:w="1760" w:type="dxa"/>
            <w:vAlign w:val="bottom"/>
          </w:tcPr>
          <w:p>
            <w:pPr>
              <w:jc w:val="right"/>
              <w:ind w:right="10"/>
              <w:spacing w:after="0"/>
              <w:rPr>
                <w:sz w:val="20"/>
                <w:szCs w:val="20"/>
                <w:color w:val="auto"/>
              </w:rPr>
            </w:pPr>
            <w:r>
              <w:rPr>
                <w:rFonts w:ascii="Arial" w:cs="Arial" w:eastAsia="Arial" w:hAnsi="Arial"/>
                <w:sz w:val="18"/>
                <w:szCs w:val="18"/>
                <w:color w:val="auto"/>
              </w:rPr>
              <w:t>5,719</w:t>
            </w:r>
          </w:p>
        </w:tc>
        <w:tc>
          <w:tcPr>
            <w:tcW w:w="0" w:type="dxa"/>
            <w:vAlign w:val="bottom"/>
          </w:tcPr>
          <w:p>
            <w:pPr>
              <w:spacing w:after="0"/>
              <w:rPr>
                <w:sz w:val="1"/>
                <w:szCs w:val="1"/>
                <w:color w:val="auto"/>
              </w:rPr>
            </w:pPr>
          </w:p>
        </w:tc>
      </w:tr>
      <w:tr>
        <w:trPr>
          <w:trHeight w:val="368"/>
        </w:trPr>
        <w:tc>
          <w:tcPr>
            <w:tcW w:w="7120" w:type="dxa"/>
            <w:vAlign w:val="bottom"/>
            <w:gridSpan w:val="2"/>
          </w:tcPr>
          <w:p>
            <w:pPr>
              <w:spacing w:after="0"/>
              <w:rPr>
                <w:sz w:val="20"/>
                <w:szCs w:val="20"/>
                <w:color w:val="auto"/>
              </w:rPr>
            </w:pPr>
            <w:r>
              <w:rPr>
                <w:rFonts w:ascii="Arial" w:cs="Arial" w:eastAsia="Arial" w:hAnsi="Arial"/>
                <w:sz w:val="18"/>
                <w:szCs w:val="18"/>
                <w:color w:val="auto"/>
              </w:rPr>
              <w:t>Discrete tax expense:</w:t>
            </w:r>
          </w:p>
        </w:tc>
        <w:tc>
          <w:tcPr>
            <w:tcW w:w="2540" w:type="dxa"/>
            <w:vAlign w:val="bottom"/>
            <w:vMerge w:val="restart"/>
          </w:tcPr>
          <w:p>
            <w:pPr>
              <w:jc w:val="right"/>
              <w:ind w:right="690"/>
              <w:spacing w:after="0"/>
              <w:rPr>
                <w:sz w:val="20"/>
                <w:szCs w:val="20"/>
                <w:color w:val="auto"/>
              </w:rPr>
            </w:pPr>
            <w:r>
              <w:rPr>
                <w:rFonts w:ascii="Arial" w:cs="Arial" w:eastAsia="Arial" w:hAnsi="Arial"/>
                <w:sz w:val="18"/>
                <w:szCs w:val="18"/>
                <w:b w:val="1"/>
                <w:bCs w:val="1"/>
                <w:color w:val="auto"/>
              </w:rPr>
              <w:t>(123)</w:t>
            </w: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100" w:type="dxa"/>
            <w:vAlign w:val="bottom"/>
          </w:tcPr>
          <w:p>
            <w:pPr>
              <w:ind w:left="320"/>
              <w:spacing w:after="0" w:line="181" w:lineRule="exact"/>
              <w:rPr>
                <w:sz w:val="20"/>
                <w:szCs w:val="20"/>
                <w:color w:val="auto"/>
              </w:rPr>
            </w:pPr>
            <w:r>
              <w:rPr>
                <w:rFonts w:ascii="Arial" w:cs="Arial" w:eastAsia="Arial" w:hAnsi="Arial"/>
                <w:sz w:val="18"/>
                <w:szCs w:val="18"/>
                <w:color w:val="auto"/>
              </w:rPr>
              <w:t>Exercise of US Stock Options</w:t>
            </w:r>
          </w:p>
        </w:tc>
        <w:tc>
          <w:tcPr>
            <w:tcW w:w="2540" w:type="dxa"/>
            <w:vAlign w:val="bottom"/>
            <w:vMerge w:val="continue"/>
          </w:tcPr>
          <w:p>
            <w:pPr>
              <w:spacing w:after="0"/>
              <w:rPr>
                <w:sz w:val="15"/>
                <w:szCs w:val="15"/>
                <w:color w:val="auto"/>
              </w:rPr>
            </w:pPr>
          </w:p>
        </w:tc>
        <w:tc>
          <w:tcPr>
            <w:tcW w:w="1760" w:type="dxa"/>
            <w:vAlign w:val="bottom"/>
          </w:tcPr>
          <w:p>
            <w:pPr>
              <w:jc w:val="right"/>
              <w:spacing w:after="0" w:line="181" w:lineRule="exact"/>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100" w:type="dxa"/>
            <w:vAlign w:val="bottom"/>
          </w:tcPr>
          <w:p>
            <w:pPr>
              <w:ind w:left="320"/>
              <w:spacing w:after="0" w:line="202" w:lineRule="exact"/>
              <w:rPr>
                <w:sz w:val="20"/>
                <w:szCs w:val="20"/>
                <w:color w:val="auto"/>
              </w:rPr>
            </w:pPr>
            <w:r>
              <w:rPr>
                <w:rFonts w:ascii="Arial" w:cs="Arial" w:eastAsia="Arial" w:hAnsi="Arial"/>
                <w:sz w:val="18"/>
                <w:szCs w:val="18"/>
                <w:color w:val="auto"/>
              </w:rPr>
              <w:t>Adjustments to prior period tax liabilities</w:t>
            </w:r>
          </w:p>
        </w:tc>
        <w:tc>
          <w:tcPr>
            <w:tcW w:w="2540" w:type="dxa"/>
            <w:vAlign w:val="bottom"/>
          </w:tcPr>
          <w:p>
            <w:pPr>
              <w:jc w:val="right"/>
              <w:ind w:right="690"/>
              <w:spacing w:after="0" w:line="202" w:lineRule="exact"/>
              <w:rPr>
                <w:sz w:val="20"/>
                <w:szCs w:val="20"/>
                <w:color w:val="auto"/>
              </w:rPr>
            </w:pPr>
            <w:r>
              <w:rPr>
                <w:rFonts w:ascii="Arial" w:cs="Arial" w:eastAsia="Arial" w:hAnsi="Arial"/>
                <w:sz w:val="18"/>
                <w:szCs w:val="18"/>
                <w:b w:val="1"/>
                <w:bCs w:val="1"/>
                <w:color w:val="auto"/>
              </w:rPr>
              <w:t>(46)</w:t>
            </w:r>
          </w:p>
        </w:tc>
        <w:tc>
          <w:tcPr>
            <w:tcW w:w="17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100" w:type="dxa"/>
            <w:vAlign w:val="bottom"/>
          </w:tcPr>
          <w:p>
            <w:pPr>
              <w:ind w:left="320"/>
              <w:spacing w:after="0" w:line="202" w:lineRule="exact"/>
              <w:rPr>
                <w:sz w:val="20"/>
                <w:szCs w:val="20"/>
                <w:color w:val="auto"/>
              </w:rPr>
            </w:pPr>
            <w:r>
              <w:rPr>
                <w:rFonts w:ascii="Arial" w:cs="Arial" w:eastAsia="Arial" w:hAnsi="Arial"/>
                <w:sz w:val="18"/>
                <w:szCs w:val="18"/>
                <w:color w:val="auto"/>
              </w:rPr>
              <w:t>Provision for/resolution of tax audits and contingencies, net</w:t>
            </w:r>
          </w:p>
        </w:tc>
        <w:tc>
          <w:tcPr>
            <w:tcW w:w="2540" w:type="dxa"/>
            <w:vAlign w:val="bottom"/>
          </w:tcPr>
          <w:p>
            <w:pPr>
              <w:jc w:val="right"/>
              <w:ind w:right="750"/>
              <w:spacing w:after="0" w:line="202" w:lineRule="exact"/>
              <w:rPr>
                <w:sz w:val="20"/>
                <w:szCs w:val="20"/>
                <w:color w:val="auto"/>
              </w:rPr>
            </w:pPr>
            <w:r>
              <w:rPr>
                <w:rFonts w:ascii="Arial" w:cs="Arial" w:eastAsia="Arial" w:hAnsi="Arial"/>
                <w:sz w:val="18"/>
                <w:szCs w:val="18"/>
                <w:b w:val="1"/>
                <w:bCs w:val="1"/>
                <w:color w:val="auto"/>
              </w:rPr>
              <w:t>5</w:t>
            </w:r>
          </w:p>
        </w:tc>
        <w:tc>
          <w:tcPr>
            <w:tcW w:w="17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852</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10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rPr>
              <w:t>Other</w:t>
            </w:r>
          </w:p>
        </w:tc>
        <w:tc>
          <w:tcPr>
            <w:tcW w:w="2540" w:type="dxa"/>
            <w:vAlign w:val="bottom"/>
            <w:tcBorders>
              <w:bottom w:val="single" w:sz="8" w:color="auto"/>
            </w:tcBorders>
          </w:tcPr>
          <w:p>
            <w:pPr>
              <w:jc w:val="right"/>
              <w:ind w:right="690"/>
              <w:spacing w:after="0"/>
              <w:rPr>
                <w:sz w:val="20"/>
                <w:szCs w:val="20"/>
                <w:color w:val="auto"/>
              </w:rPr>
            </w:pPr>
            <w:r>
              <w:rPr>
                <w:rFonts w:ascii="Arial" w:cs="Arial" w:eastAsia="Arial" w:hAnsi="Arial"/>
                <w:sz w:val="18"/>
                <w:szCs w:val="18"/>
                <w:b w:val="1"/>
                <w:bCs w:val="1"/>
                <w:color w:val="auto"/>
              </w:rPr>
              <w:t>(126)</w:t>
            </w:r>
          </w:p>
        </w:tc>
        <w:tc>
          <w:tcPr>
            <w:tcW w:w="17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10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Total income tax expense</w:t>
            </w:r>
          </w:p>
        </w:tc>
        <w:tc>
          <w:tcPr>
            <w:tcW w:w="2540" w:type="dxa"/>
            <w:vAlign w:val="bottom"/>
            <w:tcBorders>
              <w:bottom w:val="single" w:sz="8" w:color="auto"/>
            </w:tcBorders>
          </w:tcPr>
          <w:p>
            <w:pPr>
              <w:jc w:val="right"/>
              <w:ind w:right="750"/>
              <w:spacing w:after="0" w:line="196" w:lineRule="exact"/>
              <w:rPr>
                <w:sz w:val="20"/>
                <w:szCs w:val="20"/>
                <w:color w:val="auto"/>
              </w:rPr>
            </w:pPr>
            <w:r>
              <w:rPr>
                <w:rFonts w:ascii="Arial" w:cs="Arial" w:eastAsia="Arial" w:hAnsi="Arial"/>
                <w:sz w:val="18"/>
                <w:szCs w:val="18"/>
                <w:b w:val="1"/>
                <w:bCs w:val="1"/>
                <w:color w:val="auto"/>
              </w:rPr>
              <w:t>$4,609</w:t>
            </w:r>
          </w:p>
        </w:tc>
        <w:tc>
          <w:tcPr>
            <w:tcW w:w="176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$6,550</w:t>
            </w:r>
          </w:p>
        </w:tc>
        <w:tc>
          <w:tcPr>
            <w:tcW w:w="0" w:type="dxa"/>
            <w:vAlign w:val="bottom"/>
          </w:tcPr>
          <w:p>
            <w:pPr>
              <w:spacing w:after="0"/>
              <w:rPr>
                <w:sz w:val="1"/>
                <w:szCs w:val="1"/>
                <w:color w:val="auto"/>
              </w:rPr>
            </w:pPr>
          </w:p>
        </w:tc>
      </w:tr>
      <w:tr>
        <w:trPr>
          <w:trHeight w:val="709"/>
        </w:trPr>
        <w:tc>
          <w:tcPr>
            <w:tcW w:w="7120" w:type="dxa"/>
            <w:vAlign w:val="bottom"/>
            <w:gridSpan w:val="2"/>
          </w:tcPr>
          <w:p>
            <w:pPr>
              <w:ind w:left="5620"/>
              <w:spacing w:after="0"/>
              <w:rPr>
                <w:sz w:val="20"/>
                <w:szCs w:val="20"/>
                <w:color w:val="auto"/>
              </w:rPr>
            </w:pPr>
            <w:r>
              <w:rPr>
                <w:rFonts w:ascii="Arial" w:cs="Arial" w:eastAsia="Arial" w:hAnsi="Arial"/>
                <w:sz w:val="18"/>
                <w:szCs w:val="18"/>
                <w:color w:val="auto"/>
              </w:rPr>
              <w:t>22</w:t>
            </w:r>
          </w:p>
        </w:tc>
        <w:tc>
          <w:tcPr>
            <w:tcW w:w="25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100" w:type="dxa"/>
            <w:vAlign w:val="bottom"/>
            <w:tcBorders>
              <w:bottom w:val="single" w:sz="8" w:color="auto"/>
            </w:tcBorders>
          </w:tcPr>
          <w:p>
            <w:pPr>
              <w:spacing w:after="0"/>
              <w:rPr>
                <w:sz w:val="12"/>
                <w:szCs w:val="12"/>
                <w:color w:val="auto"/>
              </w:rPr>
            </w:pPr>
          </w:p>
        </w:tc>
        <w:tc>
          <w:tcPr>
            <w:tcW w:w="2540" w:type="dxa"/>
            <w:vAlign w:val="bottom"/>
            <w:tcBorders>
              <w:bottom w:val="single" w:sz="8" w:color="auto"/>
            </w:tcBorders>
          </w:tcPr>
          <w:p>
            <w:pPr>
              <w:spacing w:after="0"/>
              <w:rPr>
                <w:sz w:val="12"/>
                <w:szCs w:val="12"/>
                <w:color w:val="auto"/>
              </w:rPr>
            </w:pPr>
          </w:p>
        </w:tc>
        <w:tc>
          <w:tcPr>
            <w:tcW w:w="176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73" w:right="239" w:bottom="1440" w:gutter="0" w:footer="0" w:header="0"/>
        </w:sectPr>
      </w:pPr>
    </w:p>
    <w:bookmarkStart w:id="22" w:name="page23"/>
    <w:bookmarkEnd w:id="22"/>
    <w:p>
      <w:pPr>
        <w:jc w:val="both"/>
        <w:ind w:right="20" w:firstLine="648"/>
        <w:spacing w:after="0" w:line="246" w:lineRule="auto"/>
        <w:rPr>
          <w:sz w:val="20"/>
          <w:szCs w:val="20"/>
          <w:color w:val="auto"/>
        </w:rPr>
      </w:pPr>
      <w:r>
        <w:rPr>
          <w:rFonts w:ascii="Arial" w:cs="Arial" w:eastAsia="Arial" w:hAnsi="Arial"/>
          <w:sz w:val="18"/>
          <w:szCs w:val="18"/>
          <w:color w:val="auto"/>
        </w:rPr>
        <w:t>The first-quarter estimated effective tax rate on continuing operations was 32.5 percent in 2018, compared to 32.6 percent for the same period in 2017.</w:t>
      </w:r>
    </w:p>
    <w:p>
      <w:pPr>
        <w:spacing w:after="0" w:line="138"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Income tax expense for the quarter was computed in accordance with ASC 740-270 “</w:t>
      </w:r>
      <w:r>
        <w:rPr>
          <w:rFonts w:ascii="Arial" w:cs="Arial" w:eastAsia="Arial" w:hAnsi="Arial"/>
          <w:sz w:val="18"/>
          <w:szCs w:val="18"/>
          <w:i w:val="1"/>
          <w:iCs w:val="1"/>
          <w:color w:val="auto"/>
        </w:rPr>
        <w:t>Income Taxes – Interim Reporting</w:t>
      </w:r>
      <w:r>
        <w:rPr>
          <w:rFonts w:ascii="Arial" w:cs="Arial" w:eastAsia="Arial" w:hAnsi="Arial"/>
          <w:sz w:val="18"/>
          <w:szCs w:val="18"/>
          <w:color w:val="auto"/>
        </w:rPr>
        <w:t>”. Under this method, loss jurisdictions which cannot recognize a tax benefit with regard to their generated losses are excluded from the annual effective tax rate (AETR) calculation and their taxes will be recorded discretely in each quarter.</w:t>
      </w:r>
    </w:p>
    <w:p>
      <w:pPr>
        <w:spacing w:after="0" w:line="165"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8"/>
          <w:szCs w:val="18"/>
          <w:color w:val="auto"/>
        </w:rPr>
        <w:t>The Company’s tax rate is affected by recurring items such as the income tax rate in the U.S. and in non-U.S. jurisdictions and the mix of income earned in those jurisdictions, including changes in losses and income from excluded loss jurisdictions, and the impact of discrete items in the respective quarter. Additionally, tax adjustments resulting from the 2017 Tax Cut and Jobs Act (TCJA) have affected the Company’s 2018 AETR, including the global intangible low-taxed income (GILTI) inclusion, the foreign-derived intangible income (FDII) deduction and the corporate U.S. tax rate reduction from 35% to 21%.</w:t>
      </w:r>
    </w:p>
    <w:p>
      <w:pPr>
        <w:spacing w:after="0" w:line="162" w:lineRule="exact"/>
        <w:rPr>
          <w:sz w:val="20"/>
          <w:szCs w:val="20"/>
          <w:color w:val="auto"/>
        </w:rPr>
      </w:pPr>
    </w:p>
    <w:p>
      <w:pPr>
        <w:ind w:right="100" w:firstLine="648"/>
        <w:spacing w:after="0" w:line="239" w:lineRule="auto"/>
        <w:rPr>
          <w:sz w:val="20"/>
          <w:szCs w:val="20"/>
          <w:color w:val="auto"/>
        </w:rPr>
      </w:pPr>
      <w:r>
        <w:rPr>
          <w:rFonts w:ascii="Arial" w:cs="Arial" w:eastAsia="Arial" w:hAnsi="Arial"/>
          <w:sz w:val="18"/>
          <w:szCs w:val="18"/>
          <w:color w:val="auto"/>
        </w:rPr>
        <w:t>The TCJA significantly revised the U.S. corporate income tax regime by, among other things, lowering the U.S. corporate tax rate from 35% to 21% effective January 1, 2018, while also repealing the deduction for domestic production activities, implementing a territorial tax system and imposing a transition tax on deemed repatriated earnings of foreign subsidiaries. U.S. GAAP requires that the impact of tax legislation be recognized in the period in which the law was enacted.</w:t>
      </w:r>
    </w:p>
    <w:p>
      <w:pPr>
        <w:spacing w:after="0" w:line="161" w:lineRule="exact"/>
        <w:rPr>
          <w:sz w:val="20"/>
          <w:szCs w:val="20"/>
          <w:color w:val="auto"/>
        </w:rPr>
      </w:pPr>
    </w:p>
    <w:p>
      <w:pPr>
        <w:ind w:right="120" w:firstLine="648"/>
        <w:spacing w:after="0" w:line="238" w:lineRule="auto"/>
        <w:rPr>
          <w:sz w:val="20"/>
          <w:szCs w:val="20"/>
          <w:color w:val="auto"/>
        </w:rPr>
      </w:pPr>
      <w:r>
        <w:rPr>
          <w:rFonts w:ascii="Arial" w:cs="Arial" w:eastAsia="Arial" w:hAnsi="Arial"/>
          <w:sz w:val="18"/>
          <w:szCs w:val="18"/>
          <w:color w:val="auto"/>
        </w:rPr>
        <w:t>In December 2017, the Securities and Exchange Commission staff issued Staff Accounting Bulletin No. 118 (SAB 118), which addresses how a company recognizes provisional amounts when a company does not have the necessary information available, prepared or analyzed (including computations) in reasonable detail to complete its accounting for the effect of the changes in the TCJA. The measurement period ends when a company has obtained, prepared and analyzed the information necessary to finalize its accounting, but cannot extend beyond one year. The Company elected to apply the measurement period guidance provided in SAB 118.</w:t>
      </w:r>
    </w:p>
    <w:p>
      <w:pPr>
        <w:spacing w:after="0" w:line="176" w:lineRule="exact"/>
        <w:rPr>
          <w:sz w:val="20"/>
          <w:szCs w:val="20"/>
          <w:color w:val="auto"/>
        </w:rPr>
      </w:pPr>
    </w:p>
    <w:p>
      <w:pPr>
        <w:ind w:right="60" w:firstLine="648"/>
        <w:spacing w:after="0" w:line="239" w:lineRule="auto"/>
        <w:rPr>
          <w:sz w:val="20"/>
          <w:szCs w:val="20"/>
          <w:color w:val="auto"/>
        </w:rPr>
      </w:pPr>
      <w:r>
        <w:rPr>
          <w:rFonts w:ascii="Arial" w:cs="Arial" w:eastAsia="Arial" w:hAnsi="Arial"/>
          <w:sz w:val="18"/>
          <w:szCs w:val="18"/>
          <w:color w:val="auto"/>
        </w:rPr>
        <w:t>Deferred tax assets and liabilities: At December 31, 2017, the Company re-measured certain deferred tax assets and liabilities based on the federal rate of 21%. However, the Company is still analyzing certain aspects of the TCJA, such as IRC section 162(m), and refining its calculations which could potentially affect the measurement of these balances or potentially give rise to new deferred tax amounts. As such, no adjustment has been recorded to the provisional amount previously recorded in 2017.</w:t>
      </w:r>
    </w:p>
    <w:p>
      <w:pPr>
        <w:spacing w:after="0" w:line="161" w:lineRule="exact"/>
        <w:rPr>
          <w:sz w:val="20"/>
          <w:szCs w:val="20"/>
          <w:color w:val="auto"/>
        </w:rPr>
      </w:pPr>
    </w:p>
    <w:p>
      <w:pPr>
        <w:ind w:right="40" w:firstLine="648"/>
        <w:spacing w:after="0" w:line="239" w:lineRule="auto"/>
        <w:rPr>
          <w:sz w:val="20"/>
          <w:szCs w:val="20"/>
          <w:color w:val="auto"/>
        </w:rPr>
      </w:pPr>
      <w:r>
        <w:rPr>
          <w:rFonts w:ascii="Arial" w:cs="Arial" w:eastAsia="Arial" w:hAnsi="Arial"/>
          <w:sz w:val="18"/>
          <w:szCs w:val="18"/>
          <w:color w:val="auto"/>
        </w:rPr>
        <w:t>Foreign tax effects: At December 31, 2017, the Company recorded a provisional federal tax charge due to the transition tax on deemed repatriation of foreign earnings. No adjustment has been recorded to the provisional amount previously recorded in 2017. The Company is still analyzing its U.S. tax attributes such as accumulated foreign earnings and profits, foreign tax paid, and other tax components involved in foreign tax credit calculations for prior years back to 1986.</w:t>
      </w:r>
    </w:p>
    <w:p>
      <w:pPr>
        <w:spacing w:after="0" w:line="161" w:lineRule="exact"/>
        <w:rPr>
          <w:sz w:val="20"/>
          <w:szCs w:val="20"/>
          <w:color w:val="auto"/>
        </w:rPr>
      </w:pPr>
    </w:p>
    <w:p>
      <w:pPr>
        <w:ind w:right="40" w:firstLine="648"/>
        <w:spacing w:after="0" w:line="252" w:lineRule="auto"/>
        <w:rPr>
          <w:sz w:val="20"/>
          <w:szCs w:val="20"/>
          <w:color w:val="auto"/>
        </w:rPr>
      </w:pPr>
      <w:r>
        <w:rPr>
          <w:rFonts w:ascii="Arial" w:cs="Arial" w:eastAsia="Arial" w:hAnsi="Arial"/>
          <w:sz w:val="17"/>
          <w:szCs w:val="17"/>
          <w:color w:val="auto"/>
        </w:rPr>
        <w:t>The Company has elected to account for the global intangible low taxed income (GILTI) as a current-period expense when incurred (the “period cost method”). The estimated net GILTI inclusion calculated by the Company (including the gross up on the GILTI inclusion and the apportioned foreign tax credits applied to GILTI) was $20 million and increased the AETR by 2.7%.The Company also calculated an estimated foreign-derived intangible income (FDII) deduction of $ 7 million which decreased the AETR by 1.8% in the first quarter of 2018. Because of the complexity of the GILTI and FDII tax rules and the lack of legislative guidance, the Company continues to evaluate these provisions of the TCJA and the application of ASC 740, Income Taxes. The final impact on the Company from the TCJA’s GILTI and FDII tax legislation may differ from the estimate calculated by the Company. Such differences could be material, due to, among other things, changes in interpretations of the TCJA, future legislative action to address questions that arise because of the TCJA, changes in accounting standards for income taxes</w:t>
      </w: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342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598" w:right="239" w:bottom="1440" w:gutter="0" w:footer="0" w:header="0"/>
        </w:sectPr>
      </w:pPr>
    </w:p>
    <w:bookmarkStart w:id="23" w:name="page24"/>
    <w:bookmarkEnd w:id="23"/>
    <w:p>
      <w:pPr>
        <w:ind w:right="240" w:firstLine="648"/>
        <w:spacing w:after="0" w:line="246" w:lineRule="auto"/>
        <w:rPr>
          <w:sz w:val="20"/>
          <w:szCs w:val="20"/>
          <w:color w:val="auto"/>
        </w:rPr>
      </w:pPr>
      <w:r>
        <w:rPr>
          <w:rFonts w:ascii="Arial" w:cs="Arial" w:eastAsia="Arial" w:hAnsi="Arial"/>
          <w:sz w:val="18"/>
          <w:szCs w:val="18"/>
          <w:color w:val="auto"/>
        </w:rPr>
        <w:t>or related interpretations in response to the TCJA, or any updates or changes to estimates the Company has utilized to calculate the GILTI inclusion and FDII deduction.</w:t>
      </w:r>
    </w:p>
    <w:p>
      <w:pPr>
        <w:spacing w:after="0" w:line="1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continues to believe that the Base Erosion Anti-Abuse Tax (BEAT) does not apply under the Company’s current policies.</w:t>
      </w:r>
    </w:p>
    <w:p>
      <w:pPr>
        <w:spacing w:after="0"/>
        <w:rPr>
          <w:sz w:val="20"/>
          <w:szCs w:val="20"/>
          <w:color w:val="auto"/>
        </w:rPr>
      </w:pPr>
      <w:r>
        <w:rPr>
          <w:rFonts w:ascii="Arial" w:cs="Arial" w:eastAsia="Arial" w:hAnsi="Arial"/>
          <w:sz w:val="18"/>
          <w:szCs w:val="18"/>
          <w:color w:val="auto"/>
        </w:rPr>
        <w:t>Therefore no adjustments for BEAT have been recorded.</w:t>
      </w:r>
    </w:p>
    <w:p>
      <w:pPr>
        <w:spacing w:after="0" w:line="185" w:lineRule="exact"/>
        <w:rPr>
          <w:sz w:val="20"/>
          <w:szCs w:val="20"/>
          <w:color w:val="auto"/>
        </w:rPr>
      </w:pPr>
    </w:p>
    <w:p>
      <w:pPr>
        <w:ind w:right="120" w:firstLine="648"/>
        <w:spacing w:after="0" w:line="238" w:lineRule="auto"/>
        <w:rPr>
          <w:sz w:val="20"/>
          <w:szCs w:val="20"/>
          <w:color w:val="auto"/>
        </w:rPr>
      </w:pPr>
      <w:r>
        <w:rPr>
          <w:rFonts w:ascii="Arial" w:cs="Arial" w:eastAsia="Arial" w:hAnsi="Arial"/>
          <w:sz w:val="18"/>
          <w:szCs w:val="18"/>
          <w:color w:val="auto"/>
        </w:rPr>
        <w:t>The Company records the residual U.S. and foreign taxes on certain amounts of foreign earnings that have been targeted for repatriation to the U.S. These amounts are not considered to be indefinitely reinvested, and the Company accrued for the tax cost on these earnings to the extent they cannot be repatriated in a tax-free manner. The Company has targeted for repatriation $97.8 million of current year and prior year earnings of the Company’s foreign operations. If these earnings were distributed, the Company would be subject to foreign withholding taxes of $2.1 million which have already been recorded.</w:t>
      </w:r>
    </w:p>
    <w:p>
      <w:pPr>
        <w:spacing w:after="0" w:line="162"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8"/>
          <w:szCs w:val="18"/>
          <w:color w:val="auto"/>
        </w:rPr>
        <w:t>The Company conducts business globally and, as a result, files income tax returns in the U.S. federal jurisdiction and various state and foreign jurisdictions. In the normal course of business the Company is subject to examination by taxing authorities throughout the world, including major jurisdictions such as the United States, Brazil, Canada, France, Germany, Italy, Mexico, and Switzerland. The open tax years in these jurisdictions range from 2007 to 2018. The Company is currently under audit in non-U.S. tax jurisdictions, including but not limited to Canada and Italy.</w:t>
      </w:r>
    </w:p>
    <w:p>
      <w:pPr>
        <w:spacing w:after="0" w:line="162"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It is reasonably possible that over the next twelve months the amount of unrecognized tax benefits may change within a range of a net increase of nil to a net decrease of $0.6 million, from the reevaluation of uncertain tax positions arising in examinations, in appeals, or in the courts, or from the closure of tax statutes of limitations.</w:t>
      </w:r>
    </w:p>
    <w:p>
      <w:pPr>
        <w:spacing w:after="0" w:line="176" w:lineRule="exact"/>
        <w:rPr>
          <w:sz w:val="20"/>
          <w:szCs w:val="20"/>
          <w:color w:val="auto"/>
        </w:rPr>
      </w:pPr>
    </w:p>
    <w:p>
      <w:pPr>
        <w:ind w:firstLine="648"/>
        <w:spacing w:after="0"/>
        <w:rPr>
          <w:sz w:val="20"/>
          <w:szCs w:val="20"/>
          <w:color w:val="auto"/>
        </w:rPr>
      </w:pPr>
      <w:r>
        <w:rPr>
          <w:rFonts w:ascii="Arial" w:cs="Arial" w:eastAsia="Arial" w:hAnsi="Arial"/>
          <w:sz w:val="18"/>
          <w:szCs w:val="18"/>
          <w:color w:val="auto"/>
        </w:rPr>
        <w:t>In October 2016, an accounting update, ASU 2016-16 was issued which modifies the recognition of income tax effects on intercompany transfers of assets, other than inventory. The Company adopted this update effective January 1, 2018, which resulted in a decrease of $0.5 million to deferred tax liabilities, with an offsetting increase to Retained earnings.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342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598" w:right="2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i w:val="1"/>
          <w:iCs w:val="1"/>
          <w:color w:val="auto"/>
        </w:rPr>
        <w:t>8. Earnings Per Share</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amounts used in computing earnings per share and the weighted average number of shares of potentially dilutive securities are as</w:t>
      </w:r>
    </w:p>
    <w:p>
      <w:pPr>
        <w:spacing w:after="0"/>
        <w:rPr>
          <w:sz w:val="20"/>
          <w:szCs w:val="20"/>
          <w:color w:val="auto"/>
        </w:rPr>
      </w:pPr>
      <w:r>
        <w:rPr>
          <w:rFonts w:ascii="Arial" w:cs="Arial" w:eastAsia="Arial" w:hAnsi="Arial"/>
          <w:sz w:val="18"/>
          <w:szCs w:val="18"/>
          <w:color w:val="auto"/>
        </w:rPr>
        <w:t>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6500" w:type="dxa"/>
            <w:vAlign w:val="bottom"/>
            <w:tcBorders>
              <w:top w:val="single" w:sz="8" w:color="auto"/>
            </w:tcBorders>
          </w:tcPr>
          <w:p>
            <w:pPr>
              <w:spacing w:after="0"/>
              <w:rPr>
                <w:sz w:val="16"/>
                <w:szCs w:val="16"/>
                <w:color w:val="auto"/>
              </w:rPr>
            </w:pPr>
          </w:p>
        </w:tc>
        <w:tc>
          <w:tcPr>
            <w:tcW w:w="4920" w:type="dxa"/>
            <w:vAlign w:val="bottom"/>
            <w:tcBorders>
              <w:top w:val="single" w:sz="8" w:color="auto"/>
            </w:tcBorders>
            <w:gridSpan w:val="2"/>
          </w:tcPr>
          <w:p>
            <w:pPr>
              <w:jc w:val="right"/>
              <w:ind w:right="630"/>
              <w:spacing w:after="0" w:line="194" w:lineRule="exact"/>
              <w:rPr>
                <w:sz w:val="20"/>
                <w:szCs w:val="20"/>
                <w:color w:val="auto"/>
              </w:rPr>
            </w:pPr>
            <w:r>
              <w:rPr>
                <w:rFonts w:ascii="Arial" w:cs="Arial" w:eastAsia="Arial" w:hAnsi="Arial"/>
                <w:sz w:val="18"/>
                <w:szCs w:val="18"/>
                <w:b w:val="1"/>
                <w:bCs w:val="1"/>
                <w:color w:val="auto"/>
              </w:rPr>
              <w:t>Three months ended March 31,</w:t>
            </w:r>
          </w:p>
        </w:tc>
        <w:tc>
          <w:tcPr>
            <w:tcW w:w="0" w:type="dxa"/>
            <w:vAlign w:val="bottom"/>
          </w:tcPr>
          <w:p>
            <w:pPr>
              <w:spacing w:after="0"/>
              <w:rPr>
                <w:sz w:val="1"/>
                <w:szCs w:val="1"/>
                <w:color w:val="auto"/>
              </w:rPr>
            </w:pPr>
          </w:p>
        </w:tc>
      </w:tr>
      <w:tr>
        <w:trPr>
          <w:trHeight w:val="225"/>
        </w:trPr>
        <w:tc>
          <w:tcPr>
            <w:tcW w:w="65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(in thousands, except market price and earnings per share)</w:t>
            </w:r>
          </w:p>
        </w:tc>
        <w:tc>
          <w:tcPr>
            <w:tcW w:w="3120" w:type="dxa"/>
            <w:vAlign w:val="bottom"/>
            <w:tcBorders>
              <w:bottom w:val="single" w:sz="8" w:color="auto"/>
            </w:tcBorders>
          </w:tcPr>
          <w:p>
            <w:pPr>
              <w:jc w:val="right"/>
              <w:ind w:right="1190"/>
              <w:spacing w:after="0"/>
              <w:rPr>
                <w:sz w:val="20"/>
                <w:szCs w:val="20"/>
                <w:color w:val="auto"/>
              </w:rPr>
            </w:pPr>
            <w:r>
              <w:rPr>
                <w:rFonts w:ascii="Arial" w:cs="Arial" w:eastAsia="Arial" w:hAnsi="Arial"/>
                <w:sz w:val="18"/>
                <w:szCs w:val="18"/>
                <w:b w:val="1"/>
                <w:bCs w:val="1"/>
                <w:color w:val="auto"/>
              </w:rPr>
              <w:t>2018</w:t>
            </w:r>
          </w:p>
        </w:tc>
        <w:tc>
          <w:tcPr>
            <w:tcW w:w="18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2017</w:t>
            </w:r>
          </w:p>
        </w:tc>
        <w:tc>
          <w:tcPr>
            <w:tcW w:w="0" w:type="dxa"/>
            <w:vAlign w:val="bottom"/>
          </w:tcPr>
          <w:p>
            <w:pPr>
              <w:spacing w:after="0"/>
              <w:rPr>
                <w:sz w:val="1"/>
                <w:szCs w:val="1"/>
                <w:color w:val="auto"/>
              </w:rPr>
            </w:pPr>
          </w:p>
        </w:tc>
      </w:tr>
      <w:tr>
        <w:trPr>
          <w:trHeight w:val="399"/>
        </w:trPr>
        <w:tc>
          <w:tcPr>
            <w:tcW w:w="65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Net income attributable to the Company</w:t>
            </w:r>
          </w:p>
        </w:tc>
        <w:tc>
          <w:tcPr>
            <w:tcW w:w="3120" w:type="dxa"/>
            <w:vAlign w:val="bottom"/>
            <w:tcBorders>
              <w:bottom w:val="single" w:sz="8" w:color="auto"/>
            </w:tcBorders>
          </w:tcPr>
          <w:p>
            <w:pPr>
              <w:jc w:val="right"/>
              <w:ind w:right="710"/>
              <w:spacing w:after="0"/>
              <w:rPr>
                <w:sz w:val="20"/>
                <w:szCs w:val="20"/>
                <w:color w:val="auto"/>
              </w:rPr>
            </w:pPr>
            <w:r>
              <w:rPr>
                <w:rFonts w:ascii="Arial" w:cs="Arial" w:eastAsia="Arial" w:hAnsi="Arial"/>
                <w:sz w:val="18"/>
                <w:szCs w:val="18"/>
                <w:b w:val="1"/>
                <w:bCs w:val="1"/>
                <w:color w:val="auto"/>
              </w:rPr>
              <w:t>$10,245</w:t>
            </w:r>
          </w:p>
        </w:tc>
        <w:tc>
          <w:tcPr>
            <w:tcW w:w="18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$10,839</w:t>
            </w:r>
          </w:p>
        </w:tc>
        <w:tc>
          <w:tcPr>
            <w:tcW w:w="0" w:type="dxa"/>
            <w:vAlign w:val="bottom"/>
          </w:tcPr>
          <w:p>
            <w:pPr>
              <w:spacing w:after="0"/>
              <w:rPr>
                <w:sz w:val="1"/>
                <w:szCs w:val="1"/>
                <w:color w:val="auto"/>
              </w:rPr>
            </w:pPr>
          </w:p>
        </w:tc>
      </w:tr>
      <w:tr>
        <w:trPr>
          <w:trHeight w:val="398"/>
        </w:trPr>
        <w:tc>
          <w:tcPr>
            <w:tcW w:w="6500" w:type="dxa"/>
            <w:vAlign w:val="bottom"/>
          </w:tcPr>
          <w:p>
            <w:pPr>
              <w:spacing w:after="0"/>
              <w:rPr>
                <w:sz w:val="20"/>
                <w:szCs w:val="20"/>
                <w:color w:val="auto"/>
              </w:rPr>
            </w:pPr>
            <w:r>
              <w:rPr>
                <w:rFonts w:ascii="Arial" w:cs="Arial" w:eastAsia="Arial" w:hAnsi="Arial"/>
                <w:sz w:val="18"/>
                <w:szCs w:val="18"/>
                <w:b w:val="1"/>
                <w:bCs w:val="1"/>
                <w:color w:val="auto"/>
              </w:rPr>
              <w:t>Weighted average number of shares:</w:t>
            </w:r>
          </w:p>
        </w:tc>
        <w:tc>
          <w:tcPr>
            <w:tcW w:w="31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6500" w:type="dxa"/>
            <w:vAlign w:val="bottom"/>
          </w:tcPr>
          <w:p>
            <w:pPr>
              <w:ind w:left="340"/>
              <w:spacing w:after="0" w:line="202" w:lineRule="exact"/>
              <w:rPr>
                <w:sz w:val="20"/>
                <w:szCs w:val="20"/>
                <w:color w:val="auto"/>
              </w:rPr>
            </w:pPr>
            <w:r>
              <w:rPr>
                <w:rFonts w:ascii="Arial" w:cs="Arial" w:eastAsia="Arial" w:hAnsi="Arial"/>
                <w:sz w:val="18"/>
                <w:szCs w:val="18"/>
                <w:color w:val="auto"/>
              </w:rPr>
              <w:t>Weighted average number of shares used in</w:t>
            </w:r>
          </w:p>
        </w:tc>
        <w:tc>
          <w:tcPr>
            <w:tcW w:w="3120" w:type="dxa"/>
            <w:vAlign w:val="bottom"/>
            <w:vMerge w:val="restart"/>
          </w:tcPr>
          <w:p>
            <w:pPr>
              <w:jc w:val="right"/>
              <w:ind w:right="710"/>
              <w:spacing w:after="0"/>
              <w:rPr>
                <w:sz w:val="20"/>
                <w:szCs w:val="20"/>
                <w:color w:val="auto"/>
              </w:rPr>
            </w:pPr>
            <w:r>
              <w:rPr>
                <w:rFonts w:ascii="Arial" w:cs="Arial" w:eastAsia="Arial" w:hAnsi="Arial"/>
                <w:sz w:val="18"/>
                <w:szCs w:val="18"/>
                <w:b w:val="1"/>
                <w:bCs w:val="1"/>
                <w:color w:val="auto"/>
              </w:rPr>
              <w:t>32,220</w:t>
            </w:r>
          </w:p>
        </w:tc>
        <w:tc>
          <w:tcPr>
            <w:tcW w:w="1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6500" w:type="dxa"/>
            <w:vAlign w:val="bottom"/>
          </w:tcPr>
          <w:p>
            <w:pPr>
              <w:ind w:left="340"/>
              <w:spacing w:after="0"/>
              <w:rPr>
                <w:sz w:val="20"/>
                <w:szCs w:val="20"/>
                <w:color w:val="auto"/>
              </w:rPr>
            </w:pPr>
            <w:r>
              <w:rPr>
                <w:rFonts w:ascii="Arial" w:cs="Arial" w:eastAsia="Arial" w:hAnsi="Arial"/>
                <w:sz w:val="18"/>
                <w:szCs w:val="18"/>
                <w:color w:val="auto"/>
              </w:rPr>
              <w:t>calculating basic net income per share</w:t>
            </w:r>
          </w:p>
        </w:tc>
        <w:tc>
          <w:tcPr>
            <w:tcW w:w="3120" w:type="dxa"/>
            <w:vAlign w:val="bottom"/>
            <w:vMerge w:val="continue"/>
          </w:tcPr>
          <w:p>
            <w:pPr>
              <w:spacing w:after="0"/>
              <w:rPr>
                <w:sz w:val="18"/>
                <w:szCs w:val="18"/>
                <w:color w:val="auto"/>
              </w:rPr>
            </w:pPr>
          </w:p>
        </w:tc>
        <w:tc>
          <w:tcPr>
            <w:tcW w:w="1800" w:type="dxa"/>
            <w:vAlign w:val="bottom"/>
          </w:tcPr>
          <w:p>
            <w:pPr>
              <w:jc w:val="right"/>
              <w:ind w:right="10"/>
              <w:spacing w:after="0"/>
              <w:rPr>
                <w:sz w:val="20"/>
                <w:szCs w:val="20"/>
                <w:color w:val="auto"/>
              </w:rPr>
            </w:pPr>
            <w:r>
              <w:rPr>
                <w:rFonts w:ascii="Arial" w:cs="Arial" w:eastAsia="Arial" w:hAnsi="Arial"/>
                <w:sz w:val="18"/>
                <w:szCs w:val="18"/>
                <w:color w:val="auto"/>
              </w:rPr>
              <w:t>32,128</w:t>
            </w:r>
          </w:p>
        </w:tc>
        <w:tc>
          <w:tcPr>
            <w:tcW w:w="0" w:type="dxa"/>
            <w:vAlign w:val="bottom"/>
          </w:tcPr>
          <w:p>
            <w:pPr>
              <w:spacing w:after="0"/>
              <w:rPr>
                <w:sz w:val="1"/>
                <w:szCs w:val="1"/>
                <w:color w:val="auto"/>
              </w:rPr>
            </w:pPr>
          </w:p>
        </w:tc>
      </w:tr>
      <w:tr>
        <w:trPr>
          <w:trHeight w:val="391"/>
        </w:trPr>
        <w:tc>
          <w:tcPr>
            <w:tcW w:w="6500" w:type="dxa"/>
            <w:vAlign w:val="bottom"/>
          </w:tcPr>
          <w:p>
            <w:pPr>
              <w:spacing w:after="0"/>
              <w:rPr>
                <w:sz w:val="20"/>
                <w:szCs w:val="20"/>
                <w:color w:val="auto"/>
              </w:rPr>
            </w:pPr>
            <w:r>
              <w:rPr>
                <w:rFonts w:ascii="Arial" w:cs="Arial" w:eastAsia="Arial" w:hAnsi="Arial"/>
                <w:sz w:val="18"/>
                <w:szCs w:val="18"/>
                <w:b w:val="1"/>
                <w:bCs w:val="1"/>
                <w:color w:val="auto"/>
              </w:rPr>
              <w:t>Effect of dilutive stock-based compensation plans:</w:t>
            </w:r>
          </w:p>
        </w:tc>
        <w:tc>
          <w:tcPr>
            <w:tcW w:w="3120" w:type="dxa"/>
            <w:vAlign w:val="bottom"/>
            <w:vMerge w:val="restart"/>
          </w:tcPr>
          <w:p>
            <w:pPr>
              <w:jc w:val="right"/>
              <w:ind w:right="710"/>
              <w:spacing w:after="0"/>
              <w:rPr>
                <w:sz w:val="20"/>
                <w:szCs w:val="20"/>
                <w:color w:val="auto"/>
              </w:rPr>
            </w:pPr>
            <w:r>
              <w:rPr>
                <w:rFonts w:ascii="Arial" w:cs="Arial" w:eastAsia="Arial" w:hAnsi="Arial"/>
                <w:sz w:val="18"/>
                <w:szCs w:val="18"/>
                <w:b w:val="1"/>
                <w:bCs w:val="1"/>
                <w:color w:val="auto"/>
              </w:rPr>
              <w:t>16</w:t>
            </w: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6500" w:type="dxa"/>
            <w:vAlign w:val="bottom"/>
            <w:tcBorders>
              <w:bottom w:val="single" w:sz="8" w:color="auto"/>
            </w:tcBorders>
          </w:tcPr>
          <w:p>
            <w:pPr>
              <w:ind w:left="340"/>
              <w:spacing w:after="0" w:line="203" w:lineRule="exact"/>
              <w:rPr>
                <w:sz w:val="20"/>
                <w:szCs w:val="20"/>
                <w:color w:val="auto"/>
              </w:rPr>
            </w:pPr>
            <w:r>
              <w:rPr>
                <w:rFonts w:ascii="Arial" w:cs="Arial" w:eastAsia="Arial" w:hAnsi="Arial"/>
                <w:sz w:val="18"/>
                <w:szCs w:val="18"/>
                <w:color w:val="auto"/>
              </w:rPr>
              <w:t>Stock options</w:t>
            </w:r>
          </w:p>
        </w:tc>
        <w:tc>
          <w:tcPr>
            <w:tcW w:w="3120" w:type="dxa"/>
            <w:vAlign w:val="bottom"/>
            <w:tcBorders>
              <w:bottom w:val="single" w:sz="8" w:color="auto"/>
            </w:tcBorders>
            <w:vMerge w:val="continue"/>
          </w:tcPr>
          <w:p>
            <w:pPr>
              <w:spacing w:after="0"/>
              <w:rPr>
                <w:sz w:val="17"/>
                <w:szCs w:val="17"/>
                <w:color w:val="auto"/>
              </w:rPr>
            </w:pPr>
          </w:p>
        </w:tc>
        <w:tc>
          <w:tcPr>
            <w:tcW w:w="1800" w:type="dxa"/>
            <w:vAlign w:val="bottom"/>
            <w:tcBorders>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398"/>
        </w:trPr>
        <w:tc>
          <w:tcPr>
            <w:tcW w:w="6500" w:type="dxa"/>
            <w:vAlign w:val="bottom"/>
          </w:tcPr>
          <w:p>
            <w:pPr>
              <w:spacing w:after="0"/>
              <w:rPr>
                <w:sz w:val="20"/>
                <w:szCs w:val="20"/>
                <w:color w:val="auto"/>
              </w:rPr>
            </w:pPr>
            <w:r>
              <w:rPr>
                <w:rFonts w:ascii="Arial" w:cs="Arial" w:eastAsia="Arial" w:hAnsi="Arial"/>
                <w:sz w:val="18"/>
                <w:szCs w:val="18"/>
                <w:color w:val="auto"/>
              </w:rPr>
              <w:t>Weighted average number of shares used in</w:t>
            </w:r>
          </w:p>
        </w:tc>
        <w:tc>
          <w:tcPr>
            <w:tcW w:w="3120" w:type="dxa"/>
            <w:vAlign w:val="bottom"/>
            <w:vMerge w:val="restart"/>
          </w:tcPr>
          <w:p>
            <w:pPr>
              <w:jc w:val="right"/>
              <w:ind w:right="710"/>
              <w:spacing w:after="0"/>
              <w:rPr>
                <w:sz w:val="20"/>
                <w:szCs w:val="20"/>
                <w:color w:val="auto"/>
              </w:rPr>
            </w:pPr>
            <w:r>
              <w:rPr>
                <w:rFonts w:ascii="Arial" w:cs="Arial" w:eastAsia="Arial" w:hAnsi="Arial"/>
                <w:sz w:val="18"/>
                <w:szCs w:val="18"/>
                <w:b w:val="1"/>
                <w:bCs w:val="1"/>
                <w:color w:val="auto"/>
              </w:rPr>
              <w:t>32,236</w:t>
            </w: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6500" w:type="dxa"/>
            <w:vAlign w:val="bottom"/>
            <w:tcBorders>
              <w:bottom w:val="single" w:sz="8" w:color="auto"/>
            </w:tcBorders>
          </w:tcPr>
          <w:p>
            <w:pPr>
              <w:spacing w:after="0" w:line="203" w:lineRule="exact"/>
              <w:rPr>
                <w:sz w:val="20"/>
                <w:szCs w:val="20"/>
                <w:color w:val="auto"/>
              </w:rPr>
            </w:pPr>
            <w:r>
              <w:rPr>
                <w:rFonts w:ascii="Arial" w:cs="Arial" w:eastAsia="Arial" w:hAnsi="Arial"/>
                <w:sz w:val="18"/>
                <w:szCs w:val="18"/>
                <w:color w:val="auto"/>
              </w:rPr>
              <w:t>calculating diluted net income per share</w:t>
            </w:r>
          </w:p>
        </w:tc>
        <w:tc>
          <w:tcPr>
            <w:tcW w:w="3120" w:type="dxa"/>
            <w:vAlign w:val="bottom"/>
            <w:tcBorders>
              <w:bottom w:val="single" w:sz="8" w:color="auto"/>
            </w:tcBorders>
            <w:vMerge w:val="continue"/>
          </w:tcPr>
          <w:p>
            <w:pPr>
              <w:spacing w:after="0"/>
              <w:rPr>
                <w:sz w:val="17"/>
                <w:szCs w:val="17"/>
                <w:color w:val="auto"/>
              </w:rPr>
            </w:pPr>
          </w:p>
        </w:tc>
        <w:tc>
          <w:tcPr>
            <w:tcW w:w="1800" w:type="dxa"/>
            <w:vAlign w:val="bottom"/>
            <w:tcBorders>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rPr>
              <w:t>32,164</w:t>
            </w:r>
          </w:p>
        </w:tc>
        <w:tc>
          <w:tcPr>
            <w:tcW w:w="0" w:type="dxa"/>
            <w:vAlign w:val="bottom"/>
          </w:tcPr>
          <w:p>
            <w:pPr>
              <w:spacing w:after="0"/>
              <w:rPr>
                <w:sz w:val="1"/>
                <w:szCs w:val="1"/>
                <w:color w:val="auto"/>
              </w:rPr>
            </w:pPr>
          </w:p>
        </w:tc>
      </w:tr>
      <w:tr>
        <w:trPr>
          <w:trHeight w:val="398"/>
        </w:trPr>
        <w:tc>
          <w:tcPr>
            <w:tcW w:w="6500" w:type="dxa"/>
            <w:vAlign w:val="bottom"/>
          </w:tcPr>
          <w:p>
            <w:pPr>
              <w:spacing w:after="0"/>
              <w:rPr>
                <w:sz w:val="20"/>
                <w:szCs w:val="20"/>
                <w:color w:val="auto"/>
              </w:rPr>
            </w:pPr>
            <w:r>
              <w:rPr>
                <w:rFonts w:ascii="Arial" w:cs="Arial" w:eastAsia="Arial" w:hAnsi="Arial"/>
                <w:sz w:val="18"/>
                <w:szCs w:val="18"/>
                <w:color w:val="auto"/>
              </w:rPr>
              <w:t>Average market price of common stock used</w:t>
            </w:r>
          </w:p>
        </w:tc>
        <w:tc>
          <w:tcPr>
            <w:tcW w:w="3120" w:type="dxa"/>
            <w:vAlign w:val="bottom"/>
            <w:vMerge w:val="restart"/>
          </w:tcPr>
          <w:p>
            <w:pPr>
              <w:jc w:val="right"/>
              <w:ind w:right="710"/>
              <w:spacing w:after="0"/>
              <w:rPr>
                <w:sz w:val="20"/>
                <w:szCs w:val="20"/>
                <w:color w:val="auto"/>
              </w:rPr>
            </w:pPr>
            <w:r>
              <w:rPr>
                <w:rFonts w:ascii="Arial" w:cs="Arial" w:eastAsia="Arial" w:hAnsi="Arial"/>
                <w:sz w:val="18"/>
                <w:szCs w:val="18"/>
                <w:b w:val="1"/>
                <w:bCs w:val="1"/>
                <w:color w:val="auto"/>
              </w:rPr>
              <w:t>$63.86</w:t>
            </w: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6500" w:type="dxa"/>
            <w:vAlign w:val="bottom"/>
            <w:tcBorders>
              <w:bottom w:val="single" w:sz="8" w:color="auto"/>
            </w:tcBorders>
          </w:tcPr>
          <w:p>
            <w:pPr>
              <w:spacing w:after="0" w:line="203" w:lineRule="exact"/>
              <w:rPr>
                <w:sz w:val="20"/>
                <w:szCs w:val="20"/>
                <w:color w:val="auto"/>
              </w:rPr>
            </w:pPr>
            <w:r>
              <w:rPr>
                <w:rFonts w:ascii="Arial" w:cs="Arial" w:eastAsia="Arial" w:hAnsi="Arial"/>
                <w:sz w:val="18"/>
                <w:szCs w:val="18"/>
                <w:color w:val="auto"/>
              </w:rPr>
              <w:t>for calculation of dilutive shares</w:t>
            </w:r>
          </w:p>
        </w:tc>
        <w:tc>
          <w:tcPr>
            <w:tcW w:w="3120" w:type="dxa"/>
            <w:vAlign w:val="bottom"/>
            <w:tcBorders>
              <w:bottom w:val="single" w:sz="8" w:color="auto"/>
            </w:tcBorders>
            <w:vMerge w:val="continue"/>
          </w:tcPr>
          <w:p>
            <w:pPr>
              <w:spacing w:after="0"/>
              <w:rPr>
                <w:sz w:val="17"/>
                <w:szCs w:val="17"/>
                <w:color w:val="auto"/>
              </w:rPr>
            </w:pPr>
          </w:p>
        </w:tc>
        <w:tc>
          <w:tcPr>
            <w:tcW w:w="1800" w:type="dxa"/>
            <w:vAlign w:val="bottom"/>
            <w:tcBorders>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rPr>
              <w:t>$46.69</w:t>
            </w:r>
          </w:p>
        </w:tc>
        <w:tc>
          <w:tcPr>
            <w:tcW w:w="0" w:type="dxa"/>
            <w:vAlign w:val="bottom"/>
          </w:tcPr>
          <w:p>
            <w:pPr>
              <w:spacing w:after="0"/>
              <w:rPr>
                <w:sz w:val="1"/>
                <w:szCs w:val="1"/>
                <w:color w:val="auto"/>
              </w:rPr>
            </w:pPr>
          </w:p>
        </w:tc>
      </w:tr>
      <w:tr>
        <w:trPr>
          <w:trHeight w:val="398"/>
        </w:trPr>
        <w:tc>
          <w:tcPr>
            <w:tcW w:w="6500" w:type="dxa"/>
            <w:vAlign w:val="bottom"/>
          </w:tcPr>
          <w:p>
            <w:pPr>
              <w:spacing w:after="0"/>
              <w:rPr>
                <w:sz w:val="20"/>
                <w:szCs w:val="20"/>
                <w:color w:val="auto"/>
              </w:rPr>
            </w:pPr>
            <w:r>
              <w:rPr>
                <w:rFonts w:ascii="Arial" w:cs="Arial" w:eastAsia="Arial" w:hAnsi="Arial"/>
                <w:sz w:val="18"/>
                <w:szCs w:val="18"/>
                <w:b w:val="1"/>
                <w:bCs w:val="1"/>
                <w:color w:val="auto"/>
              </w:rPr>
              <w:t>Net income per share:</w:t>
            </w:r>
          </w:p>
        </w:tc>
        <w:tc>
          <w:tcPr>
            <w:tcW w:w="3120" w:type="dxa"/>
            <w:vAlign w:val="bottom"/>
            <w:vMerge w:val="restart"/>
          </w:tcPr>
          <w:p>
            <w:pPr>
              <w:jc w:val="right"/>
              <w:ind w:right="710"/>
              <w:spacing w:after="0"/>
              <w:rPr>
                <w:sz w:val="20"/>
                <w:szCs w:val="20"/>
                <w:color w:val="auto"/>
              </w:rPr>
            </w:pPr>
            <w:r>
              <w:rPr>
                <w:rFonts w:ascii="Arial" w:cs="Arial" w:eastAsia="Arial" w:hAnsi="Arial"/>
                <w:sz w:val="18"/>
                <w:szCs w:val="18"/>
                <w:b w:val="1"/>
                <w:bCs w:val="1"/>
                <w:color w:val="auto"/>
              </w:rPr>
              <w:t>$0.32</w:t>
            </w: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1"/>
        </w:trPr>
        <w:tc>
          <w:tcPr>
            <w:tcW w:w="6500" w:type="dxa"/>
            <w:vAlign w:val="bottom"/>
          </w:tcPr>
          <w:p>
            <w:pPr>
              <w:ind w:left="340"/>
              <w:spacing w:after="0" w:line="181" w:lineRule="exact"/>
              <w:rPr>
                <w:sz w:val="20"/>
                <w:szCs w:val="20"/>
                <w:color w:val="auto"/>
              </w:rPr>
            </w:pPr>
            <w:r>
              <w:rPr>
                <w:rFonts w:ascii="Arial" w:cs="Arial" w:eastAsia="Arial" w:hAnsi="Arial"/>
                <w:sz w:val="18"/>
                <w:szCs w:val="18"/>
                <w:color w:val="auto"/>
              </w:rPr>
              <w:t>Basic</w:t>
            </w:r>
          </w:p>
        </w:tc>
        <w:tc>
          <w:tcPr>
            <w:tcW w:w="3120" w:type="dxa"/>
            <w:vAlign w:val="bottom"/>
            <w:vMerge w:val="continue"/>
          </w:tcPr>
          <w:p>
            <w:pPr>
              <w:spacing w:after="0"/>
              <w:rPr>
                <w:sz w:val="15"/>
                <w:szCs w:val="15"/>
                <w:color w:val="auto"/>
              </w:rPr>
            </w:pPr>
          </w:p>
        </w:tc>
        <w:tc>
          <w:tcPr>
            <w:tcW w:w="1800" w:type="dxa"/>
            <w:vAlign w:val="bottom"/>
          </w:tcPr>
          <w:p>
            <w:pPr>
              <w:jc w:val="right"/>
              <w:ind w:right="10"/>
              <w:spacing w:after="0" w:line="181" w:lineRule="exact"/>
              <w:rPr>
                <w:sz w:val="20"/>
                <w:szCs w:val="20"/>
                <w:color w:val="auto"/>
              </w:rPr>
            </w:pPr>
            <w:r>
              <w:rPr>
                <w:rFonts w:ascii="Arial" w:cs="Arial" w:eastAsia="Arial" w:hAnsi="Arial"/>
                <w:sz w:val="18"/>
                <w:szCs w:val="18"/>
                <w:color w:val="auto"/>
              </w:rPr>
              <w:t>$0.34</w:t>
            </w:r>
          </w:p>
        </w:tc>
        <w:tc>
          <w:tcPr>
            <w:tcW w:w="0" w:type="dxa"/>
            <w:vAlign w:val="bottom"/>
          </w:tcPr>
          <w:p>
            <w:pPr>
              <w:spacing w:after="0"/>
              <w:rPr>
                <w:sz w:val="1"/>
                <w:szCs w:val="1"/>
                <w:color w:val="auto"/>
              </w:rPr>
            </w:pPr>
          </w:p>
        </w:tc>
      </w:tr>
      <w:tr>
        <w:trPr>
          <w:trHeight w:val="225"/>
        </w:trPr>
        <w:tc>
          <w:tcPr>
            <w:tcW w:w="650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rPr>
              <w:t>Diluted</w:t>
            </w:r>
          </w:p>
        </w:tc>
        <w:tc>
          <w:tcPr>
            <w:tcW w:w="3120" w:type="dxa"/>
            <w:vAlign w:val="bottom"/>
            <w:tcBorders>
              <w:bottom w:val="single" w:sz="8" w:color="auto"/>
            </w:tcBorders>
          </w:tcPr>
          <w:p>
            <w:pPr>
              <w:jc w:val="right"/>
              <w:ind w:right="710"/>
              <w:spacing w:after="0"/>
              <w:rPr>
                <w:sz w:val="20"/>
                <w:szCs w:val="20"/>
                <w:color w:val="auto"/>
              </w:rPr>
            </w:pPr>
            <w:r>
              <w:rPr>
                <w:rFonts w:ascii="Arial" w:cs="Arial" w:eastAsia="Arial" w:hAnsi="Arial"/>
                <w:sz w:val="18"/>
                <w:szCs w:val="18"/>
                <w:b w:val="1"/>
                <w:bCs w:val="1"/>
                <w:color w:val="auto"/>
              </w:rPr>
              <w:t>$0.32</w:t>
            </w:r>
          </w:p>
        </w:tc>
        <w:tc>
          <w:tcPr>
            <w:tcW w:w="18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$0.34</w:t>
            </w:r>
          </w:p>
        </w:tc>
        <w:tc>
          <w:tcPr>
            <w:tcW w:w="0" w:type="dxa"/>
            <w:vAlign w:val="bottom"/>
          </w:tcPr>
          <w:p>
            <w:pPr>
              <w:spacing w:after="0"/>
              <w:rPr>
                <w:sz w:val="1"/>
                <w:szCs w:val="1"/>
                <w:color w:val="auto"/>
              </w:rPr>
            </w:pPr>
          </w:p>
        </w:tc>
      </w:tr>
    </w:tbl>
    <w:p>
      <w:pPr>
        <w:spacing w:after="0" w:line="3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9. Noncontrolling Interest</w:t>
      </w:r>
    </w:p>
    <w:p>
      <w:pPr>
        <w:spacing w:after="0" w:line="193" w:lineRule="exact"/>
        <w:rPr>
          <w:sz w:val="20"/>
          <w:szCs w:val="20"/>
          <w:color w:val="auto"/>
        </w:rPr>
      </w:pPr>
    </w:p>
    <w:p>
      <w:pPr>
        <w:jc w:val="both"/>
        <w:ind w:right="100" w:firstLine="648"/>
        <w:spacing w:after="0" w:line="246" w:lineRule="auto"/>
        <w:rPr>
          <w:sz w:val="20"/>
          <w:szCs w:val="20"/>
          <w:color w:val="auto"/>
        </w:rPr>
      </w:pPr>
      <w:r>
        <w:rPr>
          <w:rFonts w:ascii="Arial" w:cs="Arial" w:eastAsia="Arial" w:hAnsi="Arial"/>
          <w:sz w:val="18"/>
          <w:szCs w:val="18"/>
          <w:color w:val="auto"/>
        </w:rPr>
        <w:t>The table below presents a reconciliation of income attributable to the noncontrolling interest and noncontrolling equity, and the impact that the ASC 606 standard had on first-quarter results, included in the consolidated financial statements: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0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(in thousands)</w:t>
            </w:r>
          </w:p>
        </w:tc>
        <w:tc>
          <w:tcPr>
            <w:tcW w:w="2600" w:type="dxa"/>
            <w:vAlign w:val="bottom"/>
            <w:tcBorders>
              <w:top w:val="single" w:sz="8" w:color="auto"/>
              <w:bottom w:val="single" w:sz="8" w:color="auto"/>
            </w:tcBorders>
          </w:tcPr>
          <w:p>
            <w:pPr>
              <w:jc w:val="right"/>
              <w:ind w:right="1290"/>
              <w:spacing w:after="0"/>
              <w:rPr>
                <w:sz w:val="20"/>
                <w:szCs w:val="20"/>
                <w:color w:val="auto"/>
              </w:rPr>
            </w:pPr>
            <w:r>
              <w:rPr>
                <w:rFonts w:ascii="Arial" w:cs="Arial" w:eastAsia="Arial" w:hAnsi="Arial"/>
                <w:sz w:val="18"/>
                <w:szCs w:val="18"/>
                <w:b w:val="1"/>
                <w:bCs w:val="1"/>
                <w:color w:val="auto"/>
              </w:rPr>
              <w:t>2018</w:t>
            </w:r>
          </w:p>
        </w:tc>
        <w:tc>
          <w:tcPr>
            <w:tcW w:w="178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2017</w:t>
            </w:r>
          </w:p>
        </w:tc>
      </w:tr>
      <w:tr>
        <w:trPr>
          <w:trHeight w:val="173"/>
        </w:trPr>
        <w:tc>
          <w:tcPr>
            <w:tcW w:w="7040" w:type="dxa"/>
            <w:vAlign w:val="bottom"/>
          </w:tcPr>
          <w:p>
            <w:pPr>
              <w:spacing w:after="0" w:line="173" w:lineRule="exact"/>
              <w:rPr>
                <w:sz w:val="20"/>
                <w:szCs w:val="20"/>
                <w:color w:val="auto"/>
              </w:rPr>
            </w:pPr>
            <w:r>
              <w:rPr>
                <w:rFonts w:ascii="Arial" w:cs="Arial" w:eastAsia="Arial" w:hAnsi="Arial"/>
                <w:sz w:val="18"/>
                <w:szCs w:val="18"/>
                <w:color w:val="auto"/>
              </w:rPr>
              <w:t>Net income of ASC</w:t>
            </w:r>
          </w:p>
        </w:tc>
        <w:tc>
          <w:tcPr>
            <w:tcW w:w="2600" w:type="dxa"/>
            <w:vAlign w:val="bottom"/>
          </w:tcPr>
          <w:p>
            <w:pPr>
              <w:jc w:val="right"/>
              <w:ind w:right="830"/>
              <w:spacing w:after="0" w:line="173" w:lineRule="exact"/>
              <w:rPr>
                <w:sz w:val="20"/>
                <w:szCs w:val="20"/>
                <w:color w:val="auto"/>
              </w:rPr>
            </w:pPr>
            <w:r>
              <w:rPr>
                <w:rFonts w:ascii="Arial" w:cs="Arial" w:eastAsia="Arial" w:hAnsi="Arial"/>
                <w:sz w:val="18"/>
                <w:szCs w:val="18"/>
                <w:b w:val="1"/>
                <w:bCs w:val="1"/>
                <w:color w:val="auto"/>
              </w:rPr>
              <w:t>$2,681</w:t>
            </w:r>
          </w:p>
        </w:tc>
        <w:tc>
          <w:tcPr>
            <w:tcW w:w="1780" w:type="dxa"/>
            <w:vAlign w:val="bottom"/>
          </w:tcPr>
          <w:p>
            <w:pPr>
              <w:jc w:val="right"/>
              <w:ind w:right="70"/>
              <w:spacing w:after="0" w:line="173" w:lineRule="exact"/>
              <w:rPr>
                <w:sz w:val="20"/>
                <w:szCs w:val="20"/>
                <w:color w:val="auto"/>
              </w:rPr>
            </w:pPr>
            <w:r>
              <w:rPr>
                <w:rFonts w:ascii="Arial" w:cs="Arial" w:eastAsia="Arial" w:hAnsi="Arial"/>
                <w:sz w:val="18"/>
                <w:szCs w:val="18"/>
                <w:color w:val="auto"/>
              </w:rPr>
              <w:t>$1,601</w:t>
            </w:r>
          </w:p>
        </w:tc>
      </w:tr>
      <w:tr>
        <w:trPr>
          <w:trHeight w:val="225"/>
        </w:trPr>
        <w:tc>
          <w:tcPr>
            <w:tcW w:w="7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Less: Return attributable to the Company's preferred holding</w:t>
            </w:r>
          </w:p>
        </w:tc>
        <w:tc>
          <w:tcPr>
            <w:tcW w:w="2600" w:type="dxa"/>
            <w:vAlign w:val="bottom"/>
            <w:tcBorders>
              <w:bottom w:val="single" w:sz="8" w:color="auto"/>
            </w:tcBorders>
          </w:tcPr>
          <w:p>
            <w:pPr>
              <w:jc w:val="right"/>
              <w:ind w:right="830"/>
              <w:spacing w:after="0"/>
              <w:rPr>
                <w:sz w:val="20"/>
                <w:szCs w:val="20"/>
                <w:color w:val="auto"/>
              </w:rPr>
            </w:pPr>
            <w:r>
              <w:rPr>
                <w:rFonts w:ascii="Arial" w:cs="Arial" w:eastAsia="Arial" w:hAnsi="Arial"/>
                <w:sz w:val="18"/>
                <w:szCs w:val="18"/>
                <w:b w:val="1"/>
                <w:bCs w:val="1"/>
                <w:color w:val="auto"/>
              </w:rPr>
              <w:t>312</w:t>
            </w:r>
          </w:p>
        </w:tc>
        <w:tc>
          <w:tcPr>
            <w:tcW w:w="17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254</w:t>
            </w:r>
          </w:p>
        </w:tc>
      </w:tr>
      <w:tr>
        <w:trPr>
          <w:trHeight w:val="173"/>
        </w:trPr>
        <w:tc>
          <w:tcPr>
            <w:tcW w:w="7040" w:type="dxa"/>
            <w:vAlign w:val="bottom"/>
          </w:tcPr>
          <w:p>
            <w:pPr>
              <w:spacing w:after="0" w:line="173" w:lineRule="exact"/>
              <w:rPr>
                <w:sz w:val="20"/>
                <w:szCs w:val="20"/>
                <w:color w:val="auto"/>
              </w:rPr>
            </w:pPr>
            <w:r>
              <w:rPr>
                <w:rFonts w:ascii="Arial" w:cs="Arial" w:eastAsia="Arial" w:hAnsi="Arial"/>
                <w:sz w:val="18"/>
                <w:szCs w:val="18"/>
                <w:color w:val="auto"/>
              </w:rPr>
              <w:t>Net income of ASC available for common ownership</w:t>
            </w:r>
          </w:p>
        </w:tc>
        <w:tc>
          <w:tcPr>
            <w:tcW w:w="2600" w:type="dxa"/>
            <w:vAlign w:val="bottom"/>
          </w:tcPr>
          <w:p>
            <w:pPr>
              <w:jc w:val="right"/>
              <w:ind w:right="830"/>
              <w:spacing w:after="0" w:line="173" w:lineRule="exact"/>
              <w:rPr>
                <w:sz w:val="20"/>
                <w:szCs w:val="20"/>
                <w:color w:val="auto"/>
              </w:rPr>
            </w:pPr>
            <w:r>
              <w:rPr>
                <w:rFonts w:ascii="Arial" w:cs="Arial" w:eastAsia="Arial" w:hAnsi="Arial"/>
                <w:sz w:val="18"/>
                <w:szCs w:val="18"/>
                <w:b w:val="1"/>
                <w:bCs w:val="1"/>
                <w:color w:val="auto"/>
              </w:rPr>
              <w:t>$2,369</w:t>
            </w:r>
          </w:p>
        </w:tc>
        <w:tc>
          <w:tcPr>
            <w:tcW w:w="1780" w:type="dxa"/>
            <w:vAlign w:val="bottom"/>
          </w:tcPr>
          <w:p>
            <w:pPr>
              <w:jc w:val="right"/>
              <w:ind w:right="70"/>
              <w:spacing w:after="0" w:line="173" w:lineRule="exact"/>
              <w:rPr>
                <w:sz w:val="20"/>
                <w:szCs w:val="20"/>
                <w:color w:val="auto"/>
              </w:rPr>
            </w:pPr>
            <w:r>
              <w:rPr>
                <w:rFonts w:ascii="Arial" w:cs="Arial" w:eastAsia="Arial" w:hAnsi="Arial"/>
                <w:sz w:val="18"/>
                <w:szCs w:val="18"/>
                <w:color w:val="auto"/>
              </w:rPr>
              <w:t>$1,347</w:t>
            </w:r>
          </w:p>
        </w:tc>
      </w:tr>
      <w:tr>
        <w:trPr>
          <w:trHeight w:val="225"/>
        </w:trPr>
        <w:tc>
          <w:tcPr>
            <w:tcW w:w="7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Ownership percentage of noncontrolling shareholder</w:t>
            </w:r>
          </w:p>
        </w:tc>
        <w:tc>
          <w:tcPr>
            <w:tcW w:w="2600" w:type="dxa"/>
            <w:vAlign w:val="bottom"/>
            <w:tcBorders>
              <w:bottom w:val="single" w:sz="8" w:color="auto"/>
            </w:tcBorders>
          </w:tcPr>
          <w:p>
            <w:pPr>
              <w:jc w:val="right"/>
              <w:ind w:right="670"/>
              <w:spacing w:after="0"/>
              <w:rPr>
                <w:sz w:val="20"/>
                <w:szCs w:val="20"/>
                <w:color w:val="auto"/>
              </w:rPr>
            </w:pPr>
            <w:r>
              <w:rPr>
                <w:rFonts w:ascii="Arial" w:cs="Arial" w:eastAsia="Arial" w:hAnsi="Arial"/>
                <w:sz w:val="18"/>
                <w:szCs w:val="18"/>
                <w:b w:val="1"/>
                <w:bCs w:val="1"/>
                <w:color w:val="auto"/>
              </w:rPr>
              <w:t>10%</w:t>
            </w: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r>
      <w:tr>
        <w:trPr>
          <w:trHeight w:val="196"/>
        </w:trPr>
        <w:tc>
          <w:tcPr>
            <w:tcW w:w="704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Net income attributable to noncontrolling interest</w:t>
            </w:r>
          </w:p>
        </w:tc>
        <w:tc>
          <w:tcPr>
            <w:tcW w:w="2600" w:type="dxa"/>
            <w:vAlign w:val="bottom"/>
            <w:tcBorders>
              <w:bottom w:val="single" w:sz="8" w:color="auto"/>
            </w:tcBorders>
          </w:tcPr>
          <w:p>
            <w:pPr>
              <w:jc w:val="right"/>
              <w:ind w:right="830"/>
              <w:spacing w:after="0" w:line="196" w:lineRule="exact"/>
              <w:rPr>
                <w:sz w:val="20"/>
                <w:szCs w:val="20"/>
                <w:color w:val="auto"/>
              </w:rPr>
            </w:pPr>
            <w:r>
              <w:rPr>
                <w:rFonts w:ascii="Arial" w:cs="Arial" w:eastAsia="Arial" w:hAnsi="Arial"/>
                <w:sz w:val="18"/>
                <w:szCs w:val="18"/>
                <w:b w:val="1"/>
                <w:bCs w:val="1"/>
                <w:color w:val="auto"/>
              </w:rPr>
              <w:t>$237</w:t>
            </w:r>
          </w:p>
        </w:tc>
        <w:tc>
          <w:tcPr>
            <w:tcW w:w="1780" w:type="dxa"/>
            <w:vAlign w:val="bottom"/>
            <w:tcBorders>
              <w:bottom w:val="single" w:sz="8" w:color="auto"/>
            </w:tcBorders>
          </w:tcPr>
          <w:p>
            <w:pPr>
              <w:jc w:val="right"/>
              <w:ind w:right="70"/>
              <w:spacing w:after="0" w:line="196" w:lineRule="exact"/>
              <w:rPr>
                <w:sz w:val="20"/>
                <w:szCs w:val="20"/>
                <w:color w:val="auto"/>
              </w:rPr>
            </w:pPr>
            <w:r>
              <w:rPr>
                <w:rFonts w:ascii="Arial" w:cs="Arial" w:eastAsia="Arial" w:hAnsi="Arial"/>
                <w:sz w:val="18"/>
                <w:szCs w:val="18"/>
                <w:color w:val="auto"/>
              </w:rPr>
              <w:t>$135</w:t>
            </w:r>
          </w:p>
        </w:tc>
      </w:tr>
      <w:tr>
        <w:trPr>
          <w:trHeight w:val="376"/>
        </w:trPr>
        <w:tc>
          <w:tcPr>
            <w:tcW w:w="7040" w:type="dxa"/>
            <w:vAlign w:val="bottom"/>
          </w:tcPr>
          <w:p>
            <w:pPr>
              <w:spacing w:after="0"/>
              <w:rPr>
                <w:sz w:val="20"/>
                <w:szCs w:val="20"/>
                <w:color w:val="auto"/>
              </w:rPr>
            </w:pPr>
            <w:r>
              <w:rPr>
                <w:rFonts w:ascii="Arial" w:cs="Arial" w:eastAsia="Arial" w:hAnsi="Arial"/>
                <w:sz w:val="18"/>
                <w:szCs w:val="18"/>
                <w:color w:val="auto"/>
              </w:rPr>
              <w:t>Noncontrolling interest, beginning of year</w:t>
            </w:r>
          </w:p>
        </w:tc>
        <w:tc>
          <w:tcPr>
            <w:tcW w:w="2600" w:type="dxa"/>
            <w:vAlign w:val="bottom"/>
          </w:tcPr>
          <w:p>
            <w:pPr>
              <w:jc w:val="right"/>
              <w:ind w:right="830"/>
              <w:spacing w:after="0"/>
              <w:rPr>
                <w:sz w:val="20"/>
                <w:szCs w:val="20"/>
                <w:color w:val="auto"/>
              </w:rPr>
            </w:pPr>
            <w:r>
              <w:rPr>
                <w:rFonts w:ascii="Arial" w:cs="Arial" w:eastAsia="Arial" w:hAnsi="Arial"/>
                <w:sz w:val="18"/>
                <w:szCs w:val="18"/>
                <w:b w:val="1"/>
                <w:bCs w:val="1"/>
                <w:color w:val="auto"/>
              </w:rPr>
              <w:t>$3,247</w:t>
            </w:r>
          </w:p>
        </w:tc>
        <w:tc>
          <w:tcPr>
            <w:tcW w:w="1780" w:type="dxa"/>
            <w:vAlign w:val="bottom"/>
          </w:tcPr>
          <w:p>
            <w:pPr>
              <w:jc w:val="right"/>
              <w:ind w:right="70"/>
              <w:spacing w:after="0"/>
              <w:rPr>
                <w:sz w:val="20"/>
                <w:szCs w:val="20"/>
                <w:color w:val="auto"/>
              </w:rPr>
            </w:pPr>
            <w:r>
              <w:rPr>
                <w:rFonts w:ascii="Arial" w:cs="Arial" w:eastAsia="Arial" w:hAnsi="Arial"/>
                <w:sz w:val="18"/>
                <w:szCs w:val="18"/>
                <w:color w:val="auto"/>
              </w:rPr>
              <w:t>$3,767</w:t>
            </w:r>
          </w:p>
        </w:tc>
      </w:tr>
      <w:tr>
        <w:trPr>
          <w:trHeight w:val="203"/>
        </w:trPr>
        <w:tc>
          <w:tcPr>
            <w:tcW w:w="7040" w:type="dxa"/>
            <w:vAlign w:val="bottom"/>
          </w:tcPr>
          <w:p>
            <w:pPr>
              <w:spacing w:after="0" w:line="202" w:lineRule="exact"/>
              <w:rPr>
                <w:sz w:val="20"/>
                <w:szCs w:val="20"/>
                <w:color w:val="auto"/>
              </w:rPr>
            </w:pPr>
            <w:r>
              <w:rPr>
                <w:rFonts w:ascii="Arial" w:cs="Arial" w:eastAsia="Arial" w:hAnsi="Arial"/>
                <w:sz w:val="18"/>
                <w:szCs w:val="18"/>
                <w:color w:val="auto"/>
              </w:rPr>
              <w:t>Decrease attributable to application of ASC 606</w:t>
            </w:r>
          </w:p>
        </w:tc>
        <w:tc>
          <w:tcPr>
            <w:tcW w:w="2600" w:type="dxa"/>
            <w:vAlign w:val="bottom"/>
          </w:tcPr>
          <w:p>
            <w:pPr>
              <w:jc w:val="right"/>
              <w:ind w:right="770"/>
              <w:spacing w:after="0" w:line="202" w:lineRule="exact"/>
              <w:rPr>
                <w:sz w:val="20"/>
                <w:szCs w:val="20"/>
                <w:color w:val="auto"/>
              </w:rPr>
            </w:pPr>
            <w:r>
              <w:rPr>
                <w:rFonts w:ascii="Arial" w:cs="Arial" w:eastAsia="Arial" w:hAnsi="Arial"/>
                <w:sz w:val="18"/>
                <w:szCs w:val="18"/>
                <w:b w:val="1"/>
                <w:bCs w:val="1"/>
                <w:color w:val="auto"/>
              </w:rPr>
              <w:t>(327)</w:t>
            </w:r>
          </w:p>
        </w:tc>
        <w:tc>
          <w:tcPr>
            <w:tcW w:w="1780" w:type="dxa"/>
            <w:vAlign w:val="bottom"/>
          </w:tcPr>
          <w:p>
            <w:pPr>
              <w:jc w:val="right"/>
              <w:ind w:right="70"/>
              <w:spacing w:after="0" w:line="202" w:lineRule="exact"/>
              <w:rPr>
                <w:sz w:val="20"/>
                <w:szCs w:val="20"/>
                <w:color w:val="auto"/>
              </w:rPr>
            </w:pPr>
            <w:r>
              <w:rPr>
                <w:rFonts w:ascii="Arial" w:cs="Arial" w:eastAsia="Arial" w:hAnsi="Arial"/>
                <w:sz w:val="18"/>
                <w:szCs w:val="18"/>
                <w:color w:val="auto"/>
              </w:rPr>
              <w:t>-</w:t>
            </w:r>
          </w:p>
        </w:tc>
      </w:tr>
      <w:tr>
        <w:trPr>
          <w:trHeight w:val="203"/>
        </w:trPr>
        <w:tc>
          <w:tcPr>
            <w:tcW w:w="7040" w:type="dxa"/>
            <w:vAlign w:val="bottom"/>
          </w:tcPr>
          <w:p>
            <w:pPr>
              <w:spacing w:after="0" w:line="202" w:lineRule="exact"/>
              <w:rPr>
                <w:sz w:val="20"/>
                <w:szCs w:val="20"/>
                <w:color w:val="auto"/>
              </w:rPr>
            </w:pPr>
            <w:r>
              <w:rPr>
                <w:rFonts w:ascii="Arial" w:cs="Arial" w:eastAsia="Arial" w:hAnsi="Arial"/>
                <w:sz w:val="18"/>
                <w:szCs w:val="18"/>
                <w:color w:val="auto"/>
              </w:rPr>
              <w:t>Net income attributable to noncontrolling interest</w:t>
            </w:r>
          </w:p>
        </w:tc>
        <w:tc>
          <w:tcPr>
            <w:tcW w:w="2600" w:type="dxa"/>
            <w:vAlign w:val="bottom"/>
          </w:tcPr>
          <w:p>
            <w:pPr>
              <w:jc w:val="right"/>
              <w:ind w:right="830"/>
              <w:spacing w:after="0" w:line="202" w:lineRule="exact"/>
              <w:rPr>
                <w:sz w:val="20"/>
                <w:szCs w:val="20"/>
                <w:color w:val="auto"/>
              </w:rPr>
            </w:pPr>
            <w:r>
              <w:rPr>
                <w:rFonts w:ascii="Arial" w:cs="Arial" w:eastAsia="Arial" w:hAnsi="Arial"/>
                <w:sz w:val="18"/>
                <w:szCs w:val="18"/>
                <w:b w:val="1"/>
                <w:bCs w:val="1"/>
                <w:color w:val="auto"/>
              </w:rPr>
              <w:t>237</w:t>
            </w:r>
          </w:p>
        </w:tc>
        <w:tc>
          <w:tcPr>
            <w:tcW w:w="1780" w:type="dxa"/>
            <w:vAlign w:val="bottom"/>
          </w:tcPr>
          <w:p>
            <w:pPr>
              <w:jc w:val="right"/>
              <w:ind w:right="70"/>
              <w:spacing w:after="0" w:line="202" w:lineRule="exact"/>
              <w:rPr>
                <w:sz w:val="20"/>
                <w:szCs w:val="20"/>
                <w:color w:val="auto"/>
              </w:rPr>
            </w:pPr>
            <w:r>
              <w:rPr>
                <w:rFonts w:ascii="Arial" w:cs="Arial" w:eastAsia="Arial" w:hAnsi="Arial"/>
                <w:sz w:val="18"/>
                <w:szCs w:val="18"/>
                <w:color w:val="auto"/>
              </w:rPr>
              <w:t>135</w:t>
            </w:r>
          </w:p>
        </w:tc>
      </w:tr>
      <w:tr>
        <w:trPr>
          <w:trHeight w:val="225"/>
        </w:trPr>
        <w:tc>
          <w:tcPr>
            <w:tcW w:w="7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Changes in other comprehensive income attributable to noncontrolling interest</w:t>
            </w:r>
          </w:p>
        </w:tc>
        <w:tc>
          <w:tcPr>
            <w:tcW w:w="2600" w:type="dxa"/>
            <w:vAlign w:val="bottom"/>
            <w:tcBorders>
              <w:bottom w:val="single" w:sz="8" w:color="auto"/>
            </w:tcBorders>
          </w:tcPr>
          <w:p>
            <w:pPr>
              <w:jc w:val="right"/>
              <w:ind w:right="770"/>
              <w:spacing w:after="0"/>
              <w:rPr>
                <w:sz w:val="20"/>
                <w:szCs w:val="20"/>
                <w:color w:val="auto"/>
              </w:rPr>
            </w:pPr>
            <w:r>
              <w:rPr>
                <w:rFonts w:ascii="Arial" w:cs="Arial" w:eastAsia="Arial" w:hAnsi="Arial"/>
                <w:sz w:val="18"/>
                <w:szCs w:val="18"/>
                <w:b w:val="1"/>
                <w:bCs w:val="1"/>
                <w:color w:val="auto"/>
              </w:rPr>
              <w:t>(7)</w:t>
            </w:r>
          </w:p>
        </w:tc>
        <w:tc>
          <w:tcPr>
            <w:tcW w:w="17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5</w:t>
            </w:r>
          </w:p>
        </w:tc>
      </w:tr>
      <w:tr>
        <w:trPr>
          <w:trHeight w:val="196"/>
        </w:trPr>
        <w:tc>
          <w:tcPr>
            <w:tcW w:w="704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Noncontrolling interest</w:t>
            </w:r>
          </w:p>
        </w:tc>
        <w:tc>
          <w:tcPr>
            <w:tcW w:w="2600" w:type="dxa"/>
            <w:vAlign w:val="bottom"/>
            <w:tcBorders>
              <w:bottom w:val="single" w:sz="8" w:color="auto"/>
            </w:tcBorders>
          </w:tcPr>
          <w:p>
            <w:pPr>
              <w:jc w:val="right"/>
              <w:ind w:right="830"/>
              <w:spacing w:after="0" w:line="196" w:lineRule="exact"/>
              <w:rPr>
                <w:sz w:val="20"/>
                <w:szCs w:val="20"/>
                <w:color w:val="auto"/>
              </w:rPr>
            </w:pPr>
            <w:r>
              <w:rPr>
                <w:rFonts w:ascii="Arial" w:cs="Arial" w:eastAsia="Arial" w:hAnsi="Arial"/>
                <w:sz w:val="18"/>
                <w:szCs w:val="18"/>
                <w:b w:val="1"/>
                <w:bCs w:val="1"/>
                <w:color w:val="auto"/>
              </w:rPr>
              <w:t>$3,150</w:t>
            </w:r>
          </w:p>
        </w:tc>
        <w:tc>
          <w:tcPr>
            <w:tcW w:w="1780" w:type="dxa"/>
            <w:vAlign w:val="bottom"/>
            <w:tcBorders>
              <w:bottom w:val="single" w:sz="8" w:color="auto"/>
            </w:tcBorders>
          </w:tcPr>
          <w:p>
            <w:pPr>
              <w:jc w:val="right"/>
              <w:ind w:right="70"/>
              <w:spacing w:after="0" w:line="196" w:lineRule="exact"/>
              <w:rPr>
                <w:sz w:val="20"/>
                <w:szCs w:val="20"/>
                <w:color w:val="auto"/>
              </w:rPr>
            </w:pPr>
            <w:r>
              <w:rPr>
                <w:rFonts w:ascii="Arial" w:cs="Arial" w:eastAsia="Arial" w:hAnsi="Arial"/>
                <w:sz w:val="18"/>
                <w:szCs w:val="18"/>
                <w:color w:val="auto"/>
              </w:rPr>
              <w:t>$3,907</w:t>
            </w:r>
          </w:p>
        </w:tc>
      </w:tr>
      <w:tr>
        <w:trPr>
          <w:trHeight w:val="696"/>
        </w:trPr>
        <w:tc>
          <w:tcPr>
            <w:tcW w:w="7040" w:type="dxa"/>
            <w:vAlign w:val="bottom"/>
          </w:tcPr>
          <w:p>
            <w:pPr>
              <w:ind w:left="5620"/>
              <w:spacing w:after="0"/>
              <w:rPr>
                <w:sz w:val="20"/>
                <w:szCs w:val="20"/>
                <w:color w:val="auto"/>
              </w:rPr>
            </w:pPr>
            <w:r>
              <w:rPr>
                <w:rFonts w:ascii="Arial" w:cs="Arial" w:eastAsia="Arial" w:hAnsi="Arial"/>
                <w:sz w:val="18"/>
                <w:szCs w:val="18"/>
                <w:color w:val="auto"/>
              </w:rPr>
              <w:t>25</w:t>
            </w:r>
          </w:p>
        </w:tc>
        <w:tc>
          <w:tcPr>
            <w:tcW w:w="2600" w:type="dxa"/>
            <w:vAlign w:val="bottom"/>
          </w:tcPr>
          <w:p>
            <w:pPr>
              <w:spacing w:after="0"/>
              <w:rPr>
                <w:sz w:val="24"/>
                <w:szCs w:val="24"/>
                <w:color w:val="auto"/>
              </w:rPr>
            </w:pPr>
          </w:p>
        </w:tc>
        <w:tc>
          <w:tcPr>
            <w:tcW w:w="1780" w:type="dxa"/>
            <w:vAlign w:val="bottom"/>
          </w:tcPr>
          <w:p>
            <w:pPr>
              <w:spacing w:after="0"/>
              <w:rPr>
                <w:sz w:val="24"/>
                <w:szCs w:val="24"/>
                <w:color w:val="auto"/>
              </w:rPr>
            </w:pPr>
          </w:p>
        </w:tc>
      </w:tr>
      <w:tr>
        <w:trPr>
          <w:trHeight w:val="142"/>
        </w:trPr>
        <w:tc>
          <w:tcPr>
            <w:tcW w:w="7040" w:type="dxa"/>
            <w:vAlign w:val="bottom"/>
            <w:tcBorders>
              <w:bottom w:val="single" w:sz="8" w:color="auto"/>
            </w:tcBorders>
          </w:tcPr>
          <w:p>
            <w:pPr>
              <w:spacing w:after="0"/>
              <w:rPr>
                <w:sz w:val="12"/>
                <w:szCs w:val="12"/>
                <w:color w:val="auto"/>
              </w:rPr>
            </w:pPr>
          </w:p>
        </w:tc>
        <w:tc>
          <w:tcPr>
            <w:tcW w:w="2600" w:type="dxa"/>
            <w:vAlign w:val="bottom"/>
            <w:tcBorders>
              <w:bottom w:val="single" w:sz="8" w:color="auto"/>
            </w:tcBorders>
          </w:tcPr>
          <w:p>
            <w:pPr>
              <w:spacing w:after="0"/>
              <w:rPr>
                <w:sz w:val="12"/>
                <w:szCs w:val="12"/>
                <w:color w:val="auto"/>
              </w:rPr>
            </w:pPr>
          </w:p>
        </w:tc>
        <w:tc>
          <w:tcPr>
            <w:tcW w:w="1780" w:type="dxa"/>
            <w:vAlign w:val="bottom"/>
            <w:tcBorders>
              <w:bottom w:val="single" w:sz="8" w:color="auto"/>
            </w:tcBorders>
          </w:tcPr>
          <w:p>
            <w:pPr>
              <w:spacing w:after="0"/>
              <w:rPr>
                <w:sz w:val="12"/>
                <w:szCs w:val="12"/>
                <w:color w:val="auto"/>
              </w:rPr>
            </w:pPr>
          </w:p>
        </w:tc>
      </w:tr>
    </w:tbl>
    <w:p>
      <w:pPr>
        <w:sectPr>
          <w:pgSz w:w="11900" w:h="16838" w:orient="portrait"/>
          <w:cols w:equalWidth="0" w:num="1">
            <w:col w:w="11420"/>
          </w:cols>
          <w:pgMar w:left="240" w:top="778" w:right="2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i w:val="1"/>
          <w:iCs w:val="1"/>
          <w:color w:val="auto"/>
        </w:rPr>
        <w:t>10. Accumulated Other Comprehensive Income (AOCI)</w:t>
      </w:r>
    </w:p>
    <w:p>
      <w:pPr>
        <w:spacing w:after="0" w:line="20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table below presents changes in the components of AOCI for the period December 31, 2017 to March 31, 2018:</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4820" w:type="dxa"/>
            <w:vAlign w:val="bottom"/>
            <w:tcBorders>
              <w:top w:val="single" w:sz="8" w:color="auto"/>
            </w:tcBorders>
          </w:tcPr>
          <w:p>
            <w:pPr>
              <w:spacing w:after="0"/>
              <w:rPr>
                <w:sz w:val="16"/>
                <w:szCs w:val="16"/>
                <w:color w:val="auto"/>
              </w:rPr>
            </w:pPr>
          </w:p>
        </w:tc>
        <w:tc>
          <w:tcPr>
            <w:tcW w:w="1660" w:type="dxa"/>
            <w:vAlign w:val="bottom"/>
            <w:tcBorders>
              <w:top w:val="single" w:sz="8" w:color="auto"/>
            </w:tcBorders>
          </w:tcPr>
          <w:p>
            <w:pPr>
              <w:spacing w:after="0"/>
              <w:rPr>
                <w:sz w:val="16"/>
                <w:szCs w:val="16"/>
                <w:color w:val="auto"/>
              </w:rPr>
            </w:pPr>
          </w:p>
        </w:tc>
        <w:tc>
          <w:tcPr>
            <w:tcW w:w="1800" w:type="dxa"/>
            <w:vAlign w:val="bottom"/>
            <w:tcBorders>
              <w:top w:val="single" w:sz="8" w:color="auto"/>
            </w:tcBorders>
          </w:tcPr>
          <w:p>
            <w:pPr>
              <w:jc w:val="center"/>
              <w:spacing w:after="0" w:line="194" w:lineRule="exact"/>
              <w:rPr>
                <w:sz w:val="20"/>
                <w:szCs w:val="20"/>
                <w:color w:val="auto"/>
              </w:rPr>
            </w:pPr>
            <w:r>
              <w:rPr>
                <w:rFonts w:ascii="Arial" w:cs="Arial" w:eastAsia="Arial" w:hAnsi="Arial"/>
                <w:sz w:val="18"/>
                <w:szCs w:val="18"/>
                <w:b w:val="1"/>
                <w:bCs w:val="1"/>
                <w:color w:val="auto"/>
              </w:rPr>
              <w:t>Pension and</w:t>
            </w:r>
          </w:p>
        </w:tc>
        <w:tc>
          <w:tcPr>
            <w:tcW w:w="1560" w:type="dxa"/>
            <w:vAlign w:val="bottom"/>
            <w:tcBorders>
              <w:top w:val="single" w:sz="8" w:color="auto"/>
            </w:tcBorders>
          </w:tcPr>
          <w:p>
            <w:pPr>
              <w:spacing w:after="0"/>
              <w:rPr>
                <w:sz w:val="16"/>
                <w:szCs w:val="16"/>
                <w:color w:val="auto"/>
              </w:rPr>
            </w:pPr>
          </w:p>
        </w:tc>
        <w:tc>
          <w:tcPr>
            <w:tcW w:w="1580" w:type="dxa"/>
            <w:vAlign w:val="bottom"/>
            <w:tcBorders>
              <w:top w:val="single" w:sz="8" w:color="auto"/>
            </w:tcBorders>
          </w:tcPr>
          <w:p>
            <w:pPr>
              <w:spacing w:after="0"/>
              <w:rPr>
                <w:sz w:val="16"/>
                <w:szCs w:val="16"/>
                <w:color w:val="auto"/>
              </w:rPr>
            </w:pPr>
          </w:p>
        </w:tc>
      </w:tr>
      <w:tr>
        <w:trPr>
          <w:trHeight w:val="203"/>
        </w:trPr>
        <w:tc>
          <w:tcPr>
            <w:tcW w:w="48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80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postretirement</w:t>
            </w:r>
          </w:p>
        </w:tc>
        <w:tc>
          <w:tcPr>
            <w:tcW w:w="156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Derivative</w:t>
            </w:r>
          </w:p>
        </w:tc>
        <w:tc>
          <w:tcPr>
            <w:tcW w:w="1580" w:type="dxa"/>
            <w:vAlign w:val="bottom"/>
          </w:tcPr>
          <w:p>
            <w:pPr>
              <w:jc w:val="center"/>
              <w:ind w:left="150"/>
              <w:spacing w:after="0" w:line="202" w:lineRule="exact"/>
              <w:rPr>
                <w:sz w:val="20"/>
                <w:szCs w:val="20"/>
                <w:color w:val="auto"/>
              </w:rPr>
            </w:pPr>
            <w:r>
              <w:rPr>
                <w:rFonts w:ascii="Arial" w:cs="Arial" w:eastAsia="Arial" w:hAnsi="Arial"/>
                <w:sz w:val="18"/>
                <w:szCs w:val="18"/>
                <w:b w:val="1"/>
                <w:bCs w:val="1"/>
                <w:color w:val="auto"/>
                <w:w w:val="97"/>
              </w:rPr>
              <w:t>Total Other</w:t>
            </w:r>
          </w:p>
        </w:tc>
      </w:tr>
      <w:tr>
        <w:trPr>
          <w:trHeight w:val="203"/>
        </w:trPr>
        <w:tc>
          <w:tcPr>
            <w:tcW w:w="4820" w:type="dxa"/>
            <w:vAlign w:val="bottom"/>
          </w:tcPr>
          <w:p>
            <w:pPr>
              <w:spacing w:after="0"/>
              <w:rPr>
                <w:sz w:val="17"/>
                <w:szCs w:val="17"/>
                <w:color w:val="auto"/>
              </w:rPr>
            </w:pPr>
          </w:p>
        </w:tc>
        <w:tc>
          <w:tcPr>
            <w:tcW w:w="1660" w:type="dxa"/>
            <w:vAlign w:val="bottom"/>
          </w:tcPr>
          <w:p>
            <w:pPr>
              <w:jc w:val="right"/>
              <w:ind w:right="290"/>
              <w:spacing w:after="0" w:line="202" w:lineRule="exact"/>
              <w:rPr>
                <w:sz w:val="20"/>
                <w:szCs w:val="20"/>
                <w:color w:val="auto"/>
              </w:rPr>
            </w:pPr>
            <w:r>
              <w:rPr>
                <w:rFonts w:ascii="Arial" w:cs="Arial" w:eastAsia="Arial" w:hAnsi="Arial"/>
                <w:sz w:val="18"/>
                <w:szCs w:val="18"/>
                <w:b w:val="1"/>
                <w:bCs w:val="1"/>
                <w:color w:val="auto"/>
              </w:rPr>
              <w:t>Translation</w:t>
            </w:r>
          </w:p>
        </w:tc>
        <w:tc>
          <w:tcPr>
            <w:tcW w:w="180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liability</w:t>
            </w:r>
          </w:p>
        </w:tc>
        <w:tc>
          <w:tcPr>
            <w:tcW w:w="156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rPr>
              <w:t>valuation</w:t>
            </w:r>
          </w:p>
        </w:tc>
        <w:tc>
          <w:tcPr>
            <w:tcW w:w="1580" w:type="dxa"/>
            <w:vAlign w:val="bottom"/>
          </w:tcPr>
          <w:p>
            <w:pPr>
              <w:jc w:val="center"/>
              <w:ind w:left="130"/>
              <w:spacing w:after="0" w:line="202" w:lineRule="exact"/>
              <w:rPr>
                <w:sz w:val="20"/>
                <w:szCs w:val="20"/>
                <w:color w:val="auto"/>
              </w:rPr>
            </w:pPr>
            <w:r>
              <w:rPr>
                <w:rFonts w:ascii="Arial" w:cs="Arial" w:eastAsia="Arial" w:hAnsi="Arial"/>
                <w:sz w:val="18"/>
                <w:szCs w:val="18"/>
                <w:b w:val="1"/>
                <w:bCs w:val="1"/>
                <w:color w:val="auto"/>
              </w:rPr>
              <w:t>Comprehensive</w:t>
            </w:r>
          </w:p>
        </w:tc>
      </w:tr>
      <w:tr>
        <w:trPr>
          <w:trHeight w:val="225"/>
        </w:trPr>
        <w:tc>
          <w:tcPr>
            <w:tcW w:w="48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(in thousands)</w:t>
            </w:r>
          </w:p>
        </w:tc>
        <w:tc>
          <w:tcPr>
            <w:tcW w:w="16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adjustments</w:t>
            </w:r>
          </w:p>
        </w:tc>
        <w:tc>
          <w:tcPr>
            <w:tcW w:w="18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adjustments</w:t>
            </w: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adjustment</w:t>
            </w:r>
          </w:p>
        </w:tc>
        <w:tc>
          <w:tcPr>
            <w:tcW w:w="1580" w:type="dxa"/>
            <w:vAlign w:val="bottom"/>
            <w:tcBorders>
              <w:bottom w:val="single" w:sz="8" w:color="auto"/>
            </w:tcBorders>
          </w:tcPr>
          <w:p>
            <w:pPr>
              <w:jc w:val="center"/>
              <w:ind w:left="130"/>
              <w:spacing w:after="0"/>
              <w:rPr>
                <w:sz w:val="20"/>
                <w:szCs w:val="20"/>
                <w:color w:val="auto"/>
              </w:rPr>
            </w:pPr>
            <w:r>
              <w:rPr>
                <w:rFonts w:ascii="Arial" w:cs="Arial" w:eastAsia="Arial" w:hAnsi="Arial"/>
                <w:sz w:val="18"/>
                <w:szCs w:val="18"/>
                <w:b w:val="1"/>
                <w:bCs w:val="1"/>
                <w:color w:val="auto"/>
              </w:rPr>
              <w:t>Income</w:t>
            </w:r>
          </w:p>
        </w:tc>
      </w:tr>
      <w:tr>
        <w:trPr>
          <w:trHeight w:val="196"/>
        </w:trPr>
        <w:tc>
          <w:tcPr>
            <w:tcW w:w="482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b w:val="1"/>
                <w:bCs w:val="1"/>
                <w:color w:val="auto"/>
              </w:rPr>
              <w:t>December 31, 2017</w:t>
            </w:r>
          </w:p>
        </w:tc>
        <w:tc>
          <w:tcPr>
            <w:tcW w:w="1660" w:type="dxa"/>
            <w:vAlign w:val="bottom"/>
            <w:tcBorders>
              <w:bottom w:val="single" w:sz="8" w:color="auto"/>
            </w:tcBorders>
          </w:tcPr>
          <w:p>
            <w:pPr>
              <w:jc w:val="right"/>
              <w:ind w:right="130"/>
              <w:spacing w:after="0" w:line="196" w:lineRule="exact"/>
              <w:rPr>
                <w:sz w:val="20"/>
                <w:szCs w:val="20"/>
                <w:color w:val="auto"/>
              </w:rPr>
            </w:pPr>
            <w:r>
              <w:rPr>
                <w:rFonts w:ascii="Arial" w:cs="Arial" w:eastAsia="Arial" w:hAnsi="Arial"/>
                <w:sz w:val="18"/>
                <w:szCs w:val="18"/>
                <w:b w:val="1"/>
                <w:bCs w:val="1"/>
                <w:color w:val="auto"/>
              </w:rPr>
              <w:t>($87,318)</w:t>
            </w:r>
          </w:p>
        </w:tc>
        <w:tc>
          <w:tcPr>
            <w:tcW w:w="1800" w:type="dxa"/>
            <w:vAlign w:val="bottom"/>
            <w:tcBorders>
              <w:bottom w:val="single" w:sz="8" w:color="auto"/>
            </w:tcBorders>
          </w:tcPr>
          <w:p>
            <w:pPr>
              <w:jc w:val="right"/>
              <w:ind w:right="210"/>
              <w:spacing w:after="0" w:line="196" w:lineRule="exact"/>
              <w:rPr>
                <w:sz w:val="20"/>
                <w:szCs w:val="20"/>
                <w:color w:val="auto"/>
              </w:rPr>
            </w:pPr>
            <w:r>
              <w:rPr>
                <w:rFonts w:ascii="Arial" w:cs="Arial" w:eastAsia="Arial" w:hAnsi="Arial"/>
                <w:sz w:val="18"/>
                <w:szCs w:val="18"/>
                <w:b w:val="1"/>
                <w:bCs w:val="1"/>
                <w:color w:val="auto"/>
              </w:rPr>
              <w:t>($50,536)</w:t>
            </w:r>
          </w:p>
        </w:tc>
        <w:tc>
          <w:tcPr>
            <w:tcW w:w="1560" w:type="dxa"/>
            <w:vAlign w:val="bottom"/>
            <w:tcBorders>
              <w:bottom w:val="single" w:sz="8" w:color="auto"/>
            </w:tcBorders>
          </w:tcPr>
          <w:p>
            <w:pPr>
              <w:jc w:val="right"/>
              <w:ind w:right="130"/>
              <w:spacing w:after="0" w:line="196" w:lineRule="exact"/>
              <w:rPr>
                <w:sz w:val="20"/>
                <w:szCs w:val="20"/>
                <w:color w:val="auto"/>
              </w:rPr>
            </w:pPr>
            <w:r>
              <w:rPr>
                <w:rFonts w:ascii="Arial" w:cs="Arial" w:eastAsia="Arial" w:hAnsi="Arial"/>
                <w:sz w:val="18"/>
                <w:szCs w:val="18"/>
                <w:b w:val="1"/>
                <w:bCs w:val="1"/>
                <w:color w:val="auto"/>
              </w:rPr>
              <w:t>$1,953</w:t>
            </w:r>
          </w:p>
        </w:tc>
        <w:tc>
          <w:tcPr>
            <w:tcW w:w="15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($135,901)</w:t>
            </w:r>
          </w:p>
        </w:tc>
      </w:tr>
      <w:tr>
        <w:trPr>
          <w:trHeight w:val="195"/>
        </w:trPr>
        <w:tc>
          <w:tcPr>
            <w:tcW w:w="4820" w:type="dxa"/>
            <w:vAlign w:val="bottom"/>
          </w:tcPr>
          <w:p>
            <w:pPr>
              <w:spacing w:after="0" w:line="195" w:lineRule="exact"/>
              <w:rPr>
                <w:sz w:val="20"/>
                <w:szCs w:val="20"/>
                <w:color w:val="auto"/>
              </w:rPr>
            </w:pPr>
            <w:r>
              <w:rPr>
                <w:rFonts w:ascii="Arial" w:cs="Arial" w:eastAsia="Arial" w:hAnsi="Arial"/>
                <w:sz w:val="18"/>
                <w:szCs w:val="18"/>
                <w:color w:val="auto"/>
              </w:rPr>
              <w:t>Other comprehensive income/(loss) before</w:t>
            </w:r>
          </w:p>
        </w:tc>
        <w:tc>
          <w:tcPr>
            <w:tcW w:w="166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580" w:type="dxa"/>
            <w:vAlign w:val="bottom"/>
          </w:tcPr>
          <w:p>
            <w:pPr>
              <w:spacing w:after="0"/>
              <w:rPr>
                <w:sz w:val="16"/>
                <w:szCs w:val="16"/>
                <w:color w:val="auto"/>
              </w:rPr>
            </w:pPr>
          </w:p>
        </w:tc>
      </w:tr>
      <w:tr>
        <w:trPr>
          <w:trHeight w:val="203"/>
        </w:trPr>
        <w:tc>
          <w:tcPr>
            <w:tcW w:w="4820" w:type="dxa"/>
            <w:vAlign w:val="bottom"/>
          </w:tcPr>
          <w:p>
            <w:pPr>
              <w:spacing w:after="0" w:line="202" w:lineRule="exact"/>
              <w:rPr>
                <w:sz w:val="20"/>
                <w:szCs w:val="20"/>
                <w:color w:val="auto"/>
              </w:rPr>
            </w:pPr>
            <w:r>
              <w:rPr>
                <w:rFonts w:ascii="Arial" w:cs="Arial" w:eastAsia="Arial" w:hAnsi="Arial"/>
                <w:sz w:val="18"/>
                <w:szCs w:val="18"/>
                <w:color w:val="auto"/>
              </w:rPr>
              <w:t>reclassifications</w:t>
            </w:r>
          </w:p>
        </w:tc>
        <w:tc>
          <w:tcPr>
            <w:tcW w:w="1660" w:type="dxa"/>
            <w:vAlign w:val="bottom"/>
          </w:tcPr>
          <w:p>
            <w:pPr>
              <w:jc w:val="right"/>
              <w:ind w:right="190"/>
              <w:spacing w:after="0" w:line="202" w:lineRule="exact"/>
              <w:rPr>
                <w:sz w:val="20"/>
                <w:szCs w:val="20"/>
                <w:color w:val="auto"/>
              </w:rPr>
            </w:pPr>
            <w:r>
              <w:rPr>
                <w:rFonts w:ascii="Arial" w:cs="Arial" w:eastAsia="Arial" w:hAnsi="Arial"/>
                <w:sz w:val="18"/>
                <w:szCs w:val="18"/>
                <w:color w:val="auto"/>
              </w:rPr>
              <w:t>17,646</w:t>
            </w:r>
          </w:p>
        </w:tc>
        <w:tc>
          <w:tcPr>
            <w:tcW w:w="1800" w:type="dxa"/>
            <w:vAlign w:val="bottom"/>
          </w:tcPr>
          <w:p>
            <w:pPr>
              <w:jc w:val="right"/>
              <w:ind w:right="210"/>
              <w:spacing w:after="0" w:line="202" w:lineRule="exact"/>
              <w:rPr>
                <w:sz w:val="20"/>
                <w:szCs w:val="20"/>
                <w:color w:val="auto"/>
              </w:rPr>
            </w:pPr>
            <w:r>
              <w:rPr>
                <w:rFonts w:ascii="Arial" w:cs="Arial" w:eastAsia="Arial" w:hAnsi="Arial"/>
                <w:sz w:val="18"/>
                <w:szCs w:val="18"/>
                <w:color w:val="auto"/>
              </w:rPr>
              <w:t>(141)</w:t>
            </w:r>
          </w:p>
        </w:tc>
        <w:tc>
          <w:tcPr>
            <w:tcW w:w="1560" w:type="dxa"/>
            <w:vAlign w:val="bottom"/>
          </w:tcPr>
          <w:p>
            <w:pPr>
              <w:jc w:val="right"/>
              <w:ind w:right="130"/>
              <w:spacing w:after="0" w:line="202" w:lineRule="exact"/>
              <w:rPr>
                <w:sz w:val="20"/>
                <w:szCs w:val="20"/>
                <w:color w:val="auto"/>
              </w:rPr>
            </w:pPr>
            <w:r>
              <w:rPr>
                <w:rFonts w:ascii="Arial" w:cs="Arial" w:eastAsia="Arial" w:hAnsi="Arial"/>
                <w:sz w:val="18"/>
                <w:szCs w:val="18"/>
                <w:color w:val="auto"/>
              </w:rPr>
              <w:t>4,343</w:t>
            </w:r>
          </w:p>
        </w:tc>
        <w:tc>
          <w:tcPr>
            <w:tcW w:w="15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21,848</w:t>
            </w:r>
          </w:p>
        </w:tc>
      </w:tr>
      <w:tr>
        <w:trPr>
          <w:trHeight w:val="203"/>
        </w:trPr>
        <w:tc>
          <w:tcPr>
            <w:tcW w:w="4820" w:type="dxa"/>
            <w:vAlign w:val="bottom"/>
          </w:tcPr>
          <w:p>
            <w:pPr>
              <w:spacing w:after="0" w:line="202" w:lineRule="exact"/>
              <w:rPr>
                <w:sz w:val="20"/>
                <w:szCs w:val="20"/>
                <w:color w:val="auto"/>
              </w:rPr>
            </w:pPr>
            <w:r>
              <w:rPr>
                <w:rFonts w:ascii="Arial" w:cs="Arial" w:eastAsia="Arial" w:hAnsi="Arial"/>
                <w:sz w:val="18"/>
                <w:szCs w:val="18"/>
                <w:color w:val="auto"/>
              </w:rPr>
              <w:t>Interest expense related to swaps reclassified to the</w:t>
            </w:r>
          </w:p>
        </w:tc>
        <w:tc>
          <w:tcPr>
            <w:tcW w:w="166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4820" w:type="dxa"/>
            <w:vAlign w:val="bottom"/>
          </w:tcPr>
          <w:p>
            <w:pPr>
              <w:spacing w:after="0" w:line="202" w:lineRule="exact"/>
              <w:rPr>
                <w:sz w:val="20"/>
                <w:szCs w:val="20"/>
                <w:color w:val="auto"/>
              </w:rPr>
            </w:pPr>
            <w:r>
              <w:rPr>
                <w:rFonts w:ascii="Arial" w:cs="Arial" w:eastAsia="Arial" w:hAnsi="Arial"/>
                <w:sz w:val="18"/>
                <w:szCs w:val="18"/>
                <w:color w:val="auto"/>
              </w:rPr>
              <w:t>Consolidated Statements of Income, net of tax</w:t>
            </w:r>
          </w:p>
        </w:tc>
        <w:tc>
          <w:tcPr>
            <w:tcW w:w="1660" w:type="dxa"/>
            <w:vAlign w:val="bottom"/>
          </w:tcPr>
          <w:p>
            <w:pPr>
              <w:jc w:val="right"/>
              <w:ind w:right="190"/>
              <w:spacing w:after="0" w:line="202" w:lineRule="exact"/>
              <w:rPr>
                <w:sz w:val="20"/>
                <w:szCs w:val="20"/>
                <w:color w:val="auto"/>
              </w:rPr>
            </w:pPr>
            <w:r>
              <w:rPr>
                <w:rFonts w:ascii="Arial" w:cs="Arial" w:eastAsia="Arial" w:hAnsi="Arial"/>
                <w:sz w:val="18"/>
                <w:szCs w:val="18"/>
                <w:color w:val="auto"/>
              </w:rPr>
              <w:t>-</w:t>
            </w:r>
          </w:p>
        </w:tc>
        <w:tc>
          <w:tcPr>
            <w:tcW w:w="1800" w:type="dxa"/>
            <w:vAlign w:val="bottom"/>
          </w:tcPr>
          <w:p>
            <w:pPr>
              <w:jc w:val="right"/>
              <w:ind w:right="270"/>
              <w:spacing w:after="0" w:line="202" w:lineRule="exact"/>
              <w:rPr>
                <w:sz w:val="20"/>
                <w:szCs w:val="20"/>
                <w:color w:val="auto"/>
              </w:rPr>
            </w:pPr>
            <w:r>
              <w:rPr>
                <w:rFonts w:ascii="Arial" w:cs="Arial" w:eastAsia="Arial" w:hAnsi="Arial"/>
                <w:sz w:val="18"/>
                <w:szCs w:val="18"/>
                <w:color w:val="auto"/>
              </w:rPr>
              <w:t>-</w:t>
            </w:r>
          </w:p>
        </w:tc>
        <w:tc>
          <w:tcPr>
            <w:tcW w:w="1560" w:type="dxa"/>
            <w:vAlign w:val="bottom"/>
          </w:tcPr>
          <w:p>
            <w:pPr>
              <w:jc w:val="right"/>
              <w:ind w:right="130"/>
              <w:spacing w:after="0" w:line="202" w:lineRule="exact"/>
              <w:rPr>
                <w:sz w:val="20"/>
                <w:szCs w:val="20"/>
                <w:color w:val="auto"/>
              </w:rPr>
            </w:pPr>
            <w:r>
              <w:rPr>
                <w:rFonts w:ascii="Arial" w:cs="Arial" w:eastAsia="Arial" w:hAnsi="Arial"/>
                <w:sz w:val="18"/>
                <w:szCs w:val="18"/>
                <w:color w:val="auto"/>
              </w:rPr>
              <w:t>137</w:t>
            </w:r>
          </w:p>
        </w:tc>
        <w:tc>
          <w:tcPr>
            <w:tcW w:w="15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137</w:t>
            </w:r>
          </w:p>
        </w:tc>
      </w:tr>
      <w:tr>
        <w:trPr>
          <w:trHeight w:val="203"/>
        </w:trPr>
        <w:tc>
          <w:tcPr>
            <w:tcW w:w="4820" w:type="dxa"/>
            <w:vAlign w:val="bottom"/>
          </w:tcPr>
          <w:p>
            <w:pPr>
              <w:spacing w:after="0" w:line="202" w:lineRule="exact"/>
              <w:rPr>
                <w:sz w:val="20"/>
                <w:szCs w:val="20"/>
                <w:color w:val="auto"/>
              </w:rPr>
            </w:pPr>
            <w:r>
              <w:rPr>
                <w:rFonts w:ascii="Arial" w:cs="Arial" w:eastAsia="Arial" w:hAnsi="Arial"/>
                <w:sz w:val="18"/>
                <w:szCs w:val="18"/>
                <w:color w:val="auto"/>
              </w:rPr>
              <w:t>Pension and postretirement liability adjustments</w:t>
            </w:r>
          </w:p>
        </w:tc>
        <w:tc>
          <w:tcPr>
            <w:tcW w:w="166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4820" w:type="dxa"/>
            <w:vAlign w:val="bottom"/>
          </w:tcPr>
          <w:p>
            <w:pPr>
              <w:spacing w:after="0" w:line="202" w:lineRule="exact"/>
              <w:rPr>
                <w:sz w:val="20"/>
                <w:szCs w:val="20"/>
                <w:color w:val="auto"/>
              </w:rPr>
            </w:pPr>
            <w:r>
              <w:rPr>
                <w:rFonts w:ascii="Arial" w:cs="Arial" w:eastAsia="Arial" w:hAnsi="Arial"/>
                <w:sz w:val="18"/>
                <w:szCs w:val="18"/>
                <w:color w:val="auto"/>
              </w:rPr>
              <w:t>reclassified to Consolidated Statements of Income, net of</w:t>
            </w:r>
          </w:p>
        </w:tc>
        <w:tc>
          <w:tcPr>
            <w:tcW w:w="166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4820" w:type="dxa"/>
            <w:vAlign w:val="bottom"/>
            <w:tcBorders>
              <w:bottom w:val="single" w:sz="8" w:color="auto"/>
            </w:tcBorders>
          </w:tcPr>
          <w:p>
            <w:pPr>
              <w:spacing w:after="0" w:line="203" w:lineRule="exact"/>
              <w:rPr>
                <w:sz w:val="20"/>
                <w:szCs w:val="20"/>
                <w:color w:val="auto"/>
              </w:rPr>
            </w:pPr>
            <w:r>
              <w:rPr>
                <w:rFonts w:ascii="Arial" w:cs="Arial" w:eastAsia="Arial" w:hAnsi="Arial"/>
                <w:sz w:val="18"/>
                <w:szCs w:val="18"/>
                <w:color w:val="auto"/>
              </w:rPr>
              <w:t>tax</w:t>
            </w:r>
          </w:p>
        </w:tc>
        <w:tc>
          <w:tcPr>
            <w:tcW w:w="1660" w:type="dxa"/>
            <w:vAlign w:val="bottom"/>
            <w:tcBorders>
              <w:bottom w:val="single" w:sz="8" w:color="auto"/>
            </w:tcBorders>
          </w:tcPr>
          <w:p>
            <w:pPr>
              <w:jc w:val="right"/>
              <w:ind w:right="190"/>
              <w:spacing w:after="0" w:line="203" w:lineRule="exact"/>
              <w:rPr>
                <w:sz w:val="20"/>
                <w:szCs w:val="20"/>
                <w:color w:val="auto"/>
              </w:rPr>
            </w:pPr>
            <w:r>
              <w:rPr>
                <w:rFonts w:ascii="Arial" w:cs="Arial" w:eastAsia="Arial" w:hAnsi="Arial"/>
                <w:sz w:val="18"/>
                <w:szCs w:val="18"/>
                <w:color w:val="auto"/>
              </w:rPr>
              <w:t>-</w:t>
            </w:r>
          </w:p>
        </w:tc>
        <w:tc>
          <w:tcPr>
            <w:tcW w:w="1800" w:type="dxa"/>
            <w:vAlign w:val="bottom"/>
            <w:tcBorders>
              <w:bottom w:val="single" w:sz="8" w:color="auto"/>
            </w:tcBorders>
          </w:tcPr>
          <w:p>
            <w:pPr>
              <w:jc w:val="right"/>
              <w:ind w:right="270"/>
              <w:spacing w:after="0" w:line="203" w:lineRule="exact"/>
              <w:rPr>
                <w:sz w:val="20"/>
                <w:szCs w:val="20"/>
                <w:color w:val="auto"/>
              </w:rPr>
            </w:pPr>
            <w:r>
              <w:rPr>
                <w:rFonts w:ascii="Arial" w:cs="Arial" w:eastAsia="Arial" w:hAnsi="Arial"/>
                <w:sz w:val="18"/>
                <w:szCs w:val="18"/>
                <w:color w:val="auto"/>
              </w:rPr>
              <w:t>128</w:t>
            </w:r>
          </w:p>
        </w:tc>
        <w:tc>
          <w:tcPr>
            <w:tcW w:w="1560" w:type="dxa"/>
            <w:vAlign w:val="bottom"/>
            <w:tcBorders>
              <w:bottom w:val="single" w:sz="8" w:color="auto"/>
            </w:tcBorders>
          </w:tcPr>
          <w:p>
            <w:pPr>
              <w:jc w:val="right"/>
              <w:ind w:right="130"/>
              <w:spacing w:after="0" w:line="203" w:lineRule="exact"/>
              <w:rPr>
                <w:sz w:val="20"/>
                <w:szCs w:val="20"/>
                <w:color w:val="auto"/>
              </w:rPr>
            </w:pPr>
            <w:r>
              <w:rPr>
                <w:rFonts w:ascii="Arial" w:cs="Arial" w:eastAsia="Arial" w:hAnsi="Arial"/>
                <w:sz w:val="18"/>
                <w:szCs w:val="18"/>
                <w:color w:val="auto"/>
              </w:rPr>
              <w:t>-</w:t>
            </w:r>
          </w:p>
        </w:tc>
        <w:tc>
          <w:tcPr>
            <w:tcW w:w="1580" w:type="dxa"/>
            <w:vAlign w:val="bottom"/>
            <w:tcBorders>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rPr>
              <w:t>128</w:t>
            </w:r>
          </w:p>
        </w:tc>
      </w:tr>
      <w:tr>
        <w:trPr>
          <w:trHeight w:val="196"/>
        </w:trPr>
        <w:tc>
          <w:tcPr>
            <w:tcW w:w="482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Net current period other comprehensive income</w:t>
            </w:r>
          </w:p>
        </w:tc>
        <w:tc>
          <w:tcPr>
            <w:tcW w:w="1660" w:type="dxa"/>
            <w:vAlign w:val="bottom"/>
            <w:tcBorders>
              <w:bottom w:val="single" w:sz="8" w:color="auto"/>
            </w:tcBorders>
          </w:tcPr>
          <w:p>
            <w:pPr>
              <w:jc w:val="right"/>
              <w:ind w:right="190"/>
              <w:spacing w:after="0" w:line="196" w:lineRule="exact"/>
              <w:rPr>
                <w:sz w:val="20"/>
                <w:szCs w:val="20"/>
                <w:color w:val="auto"/>
              </w:rPr>
            </w:pPr>
            <w:r>
              <w:rPr>
                <w:rFonts w:ascii="Arial" w:cs="Arial" w:eastAsia="Arial" w:hAnsi="Arial"/>
                <w:sz w:val="18"/>
                <w:szCs w:val="18"/>
                <w:color w:val="auto"/>
              </w:rPr>
              <w:t>17,646</w:t>
            </w:r>
          </w:p>
        </w:tc>
        <w:tc>
          <w:tcPr>
            <w:tcW w:w="1800" w:type="dxa"/>
            <w:vAlign w:val="bottom"/>
            <w:tcBorders>
              <w:bottom w:val="single" w:sz="8" w:color="auto"/>
            </w:tcBorders>
          </w:tcPr>
          <w:p>
            <w:pPr>
              <w:jc w:val="right"/>
              <w:ind w:right="210"/>
              <w:spacing w:after="0" w:line="196" w:lineRule="exact"/>
              <w:rPr>
                <w:sz w:val="20"/>
                <w:szCs w:val="20"/>
                <w:color w:val="auto"/>
              </w:rPr>
            </w:pPr>
            <w:r>
              <w:rPr>
                <w:rFonts w:ascii="Arial" w:cs="Arial" w:eastAsia="Arial" w:hAnsi="Arial"/>
                <w:sz w:val="18"/>
                <w:szCs w:val="18"/>
                <w:color w:val="auto"/>
              </w:rPr>
              <w:t>(13)</w:t>
            </w:r>
          </w:p>
        </w:tc>
        <w:tc>
          <w:tcPr>
            <w:tcW w:w="1560" w:type="dxa"/>
            <w:vAlign w:val="bottom"/>
            <w:tcBorders>
              <w:bottom w:val="single" w:sz="8" w:color="auto"/>
            </w:tcBorders>
          </w:tcPr>
          <w:p>
            <w:pPr>
              <w:jc w:val="right"/>
              <w:ind w:right="130"/>
              <w:spacing w:after="0" w:line="196" w:lineRule="exact"/>
              <w:rPr>
                <w:sz w:val="20"/>
                <w:szCs w:val="20"/>
                <w:color w:val="auto"/>
              </w:rPr>
            </w:pPr>
            <w:r>
              <w:rPr>
                <w:rFonts w:ascii="Arial" w:cs="Arial" w:eastAsia="Arial" w:hAnsi="Arial"/>
                <w:sz w:val="18"/>
                <w:szCs w:val="18"/>
                <w:color w:val="auto"/>
              </w:rPr>
              <w:t>4,480</w:t>
            </w:r>
          </w:p>
        </w:tc>
        <w:tc>
          <w:tcPr>
            <w:tcW w:w="158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22,113</w:t>
            </w:r>
          </w:p>
        </w:tc>
      </w:tr>
      <w:tr>
        <w:trPr>
          <w:trHeight w:val="196"/>
        </w:trPr>
        <w:tc>
          <w:tcPr>
            <w:tcW w:w="482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b w:val="1"/>
                <w:bCs w:val="1"/>
                <w:color w:val="auto"/>
              </w:rPr>
              <w:t>March 31, 2018</w:t>
            </w:r>
          </w:p>
        </w:tc>
        <w:tc>
          <w:tcPr>
            <w:tcW w:w="1660" w:type="dxa"/>
            <w:vAlign w:val="bottom"/>
            <w:tcBorders>
              <w:bottom w:val="single" w:sz="8" w:color="auto"/>
            </w:tcBorders>
          </w:tcPr>
          <w:p>
            <w:pPr>
              <w:jc w:val="right"/>
              <w:ind w:right="130"/>
              <w:spacing w:after="0" w:line="196" w:lineRule="exact"/>
              <w:rPr>
                <w:sz w:val="20"/>
                <w:szCs w:val="20"/>
                <w:color w:val="auto"/>
              </w:rPr>
            </w:pPr>
            <w:r>
              <w:rPr>
                <w:rFonts w:ascii="Arial" w:cs="Arial" w:eastAsia="Arial" w:hAnsi="Arial"/>
                <w:sz w:val="18"/>
                <w:szCs w:val="18"/>
                <w:b w:val="1"/>
                <w:bCs w:val="1"/>
                <w:color w:val="auto"/>
              </w:rPr>
              <w:t>($69,672)</w:t>
            </w:r>
          </w:p>
        </w:tc>
        <w:tc>
          <w:tcPr>
            <w:tcW w:w="1800" w:type="dxa"/>
            <w:vAlign w:val="bottom"/>
            <w:tcBorders>
              <w:bottom w:val="single" w:sz="8" w:color="auto"/>
            </w:tcBorders>
          </w:tcPr>
          <w:p>
            <w:pPr>
              <w:jc w:val="right"/>
              <w:ind w:right="210"/>
              <w:spacing w:after="0" w:line="196" w:lineRule="exact"/>
              <w:rPr>
                <w:sz w:val="20"/>
                <w:szCs w:val="20"/>
                <w:color w:val="auto"/>
              </w:rPr>
            </w:pPr>
            <w:r>
              <w:rPr>
                <w:rFonts w:ascii="Arial" w:cs="Arial" w:eastAsia="Arial" w:hAnsi="Arial"/>
                <w:sz w:val="18"/>
                <w:szCs w:val="18"/>
                <w:b w:val="1"/>
                <w:bCs w:val="1"/>
                <w:color w:val="auto"/>
              </w:rPr>
              <w:t>($50,549)</w:t>
            </w:r>
          </w:p>
        </w:tc>
        <w:tc>
          <w:tcPr>
            <w:tcW w:w="1560" w:type="dxa"/>
            <w:vAlign w:val="bottom"/>
            <w:tcBorders>
              <w:bottom w:val="single" w:sz="8" w:color="auto"/>
            </w:tcBorders>
          </w:tcPr>
          <w:p>
            <w:pPr>
              <w:jc w:val="right"/>
              <w:ind w:right="130"/>
              <w:spacing w:after="0" w:line="196" w:lineRule="exact"/>
              <w:rPr>
                <w:sz w:val="20"/>
                <w:szCs w:val="20"/>
                <w:color w:val="auto"/>
              </w:rPr>
            </w:pPr>
            <w:r>
              <w:rPr>
                <w:rFonts w:ascii="Arial" w:cs="Arial" w:eastAsia="Arial" w:hAnsi="Arial"/>
                <w:sz w:val="18"/>
                <w:szCs w:val="18"/>
                <w:b w:val="1"/>
                <w:bCs w:val="1"/>
                <w:color w:val="auto"/>
              </w:rPr>
              <w:t>$6,433</w:t>
            </w:r>
          </w:p>
        </w:tc>
        <w:tc>
          <w:tcPr>
            <w:tcW w:w="15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($113,788)</w:t>
            </w:r>
          </w:p>
        </w:tc>
      </w:tr>
    </w:tbl>
    <w:p>
      <w:pPr>
        <w:spacing w:after="0" w:line="37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table below presents changes in the components of AOCI for the period December 31, 2016 to March 31, 2017:</w:t>
      </w:r>
    </w:p>
    <w:p>
      <w:pPr>
        <w:spacing w:after="0" w:line="200" w:lineRule="exact"/>
        <w:rPr>
          <w:sz w:val="20"/>
          <w:szCs w:val="20"/>
          <w:color w:val="auto"/>
        </w:rPr>
      </w:pPr>
    </w:p>
    <w:p>
      <w:pPr>
        <w:spacing w:after="0" w:line="357"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4820" w:type="dxa"/>
            <w:vAlign w:val="bottom"/>
            <w:tcBorders>
              <w:top w:val="single" w:sz="8" w:color="auto"/>
            </w:tcBorders>
          </w:tcPr>
          <w:p>
            <w:pPr>
              <w:spacing w:after="0"/>
              <w:rPr>
                <w:sz w:val="16"/>
                <w:szCs w:val="16"/>
                <w:color w:val="auto"/>
              </w:rPr>
            </w:pPr>
          </w:p>
        </w:tc>
        <w:tc>
          <w:tcPr>
            <w:tcW w:w="1660" w:type="dxa"/>
            <w:vAlign w:val="bottom"/>
            <w:tcBorders>
              <w:top w:val="single" w:sz="8" w:color="auto"/>
            </w:tcBorders>
          </w:tcPr>
          <w:p>
            <w:pPr>
              <w:spacing w:after="0"/>
              <w:rPr>
                <w:sz w:val="16"/>
                <w:szCs w:val="16"/>
                <w:color w:val="auto"/>
              </w:rPr>
            </w:pPr>
          </w:p>
        </w:tc>
        <w:tc>
          <w:tcPr>
            <w:tcW w:w="1800" w:type="dxa"/>
            <w:vAlign w:val="bottom"/>
            <w:tcBorders>
              <w:top w:val="single" w:sz="8" w:color="auto"/>
            </w:tcBorders>
          </w:tcPr>
          <w:p>
            <w:pPr>
              <w:jc w:val="center"/>
              <w:spacing w:after="0" w:line="194" w:lineRule="exact"/>
              <w:rPr>
                <w:sz w:val="20"/>
                <w:szCs w:val="20"/>
                <w:color w:val="auto"/>
              </w:rPr>
            </w:pPr>
            <w:r>
              <w:rPr>
                <w:rFonts w:ascii="Arial" w:cs="Arial" w:eastAsia="Arial" w:hAnsi="Arial"/>
                <w:sz w:val="18"/>
                <w:szCs w:val="18"/>
                <w:b w:val="1"/>
                <w:bCs w:val="1"/>
                <w:color w:val="auto"/>
              </w:rPr>
              <w:t>Pension and</w:t>
            </w:r>
          </w:p>
        </w:tc>
        <w:tc>
          <w:tcPr>
            <w:tcW w:w="1560" w:type="dxa"/>
            <w:vAlign w:val="bottom"/>
            <w:tcBorders>
              <w:top w:val="single" w:sz="8" w:color="auto"/>
            </w:tcBorders>
          </w:tcPr>
          <w:p>
            <w:pPr>
              <w:spacing w:after="0"/>
              <w:rPr>
                <w:sz w:val="16"/>
                <w:szCs w:val="16"/>
                <w:color w:val="auto"/>
              </w:rPr>
            </w:pPr>
          </w:p>
        </w:tc>
        <w:tc>
          <w:tcPr>
            <w:tcW w:w="1580" w:type="dxa"/>
            <w:vAlign w:val="bottom"/>
            <w:tcBorders>
              <w:top w:val="single" w:sz="8" w:color="auto"/>
            </w:tcBorders>
          </w:tcPr>
          <w:p>
            <w:pPr>
              <w:spacing w:after="0"/>
              <w:rPr>
                <w:sz w:val="16"/>
                <w:szCs w:val="16"/>
                <w:color w:val="auto"/>
              </w:rPr>
            </w:pPr>
          </w:p>
        </w:tc>
      </w:tr>
      <w:tr>
        <w:trPr>
          <w:trHeight w:val="203"/>
        </w:trPr>
        <w:tc>
          <w:tcPr>
            <w:tcW w:w="48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80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postretirement</w:t>
            </w:r>
          </w:p>
        </w:tc>
        <w:tc>
          <w:tcPr>
            <w:tcW w:w="156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Derivative</w:t>
            </w:r>
          </w:p>
        </w:tc>
        <w:tc>
          <w:tcPr>
            <w:tcW w:w="1580" w:type="dxa"/>
            <w:vAlign w:val="bottom"/>
          </w:tcPr>
          <w:p>
            <w:pPr>
              <w:jc w:val="center"/>
              <w:ind w:left="150"/>
              <w:spacing w:after="0" w:line="202" w:lineRule="exact"/>
              <w:rPr>
                <w:sz w:val="20"/>
                <w:szCs w:val="20"/>
                <w:color w:val="auto"/>
              </w:rPr>
            </w:pPr>
            <w:r>
              <w:rPr>
                <w:rFonts w:ascii="Arial" w:cs="Arial" w:eastAsia="Arial" w:hAnsi="Arial"/>
                <w:sz w:val="18"/>
                <w:szCs w:val="18"/>
                <w:b w:val="1"/>
                <w:bCs w:val="1"/>
                <w:color w:val="auto"/>
                <w:w w:val="97"/>
              </w:rPr>
              <w:t>Total Other</w:t>
            </w:r>
          </w:p>
        </w:tc>
      </w:tr>
      <w:tr>
        <w:trPr>
          <w:trHeight w:val="203"/>
        </w:trPr>
        <w:tc>
          <w:tcPr>
            <w:tcW w:w="4820" w:type="dxa"/>
            <w:vAlign w:val="bottom"/>
          </w:tcPr>
          <w:p>
            <w:pPr>
              <w:spacing w:after="0"/>
              <w:rPr>
                <w:sz w:val="17"/>
                <w:szCs w:val="17"/>
                <w:color w:val="auto"/>
              </w:rPr>
            </w:pPr>
          </w:p>
        </w:tc>
        <w:tc>
          <w:tcPr>
            <w:tcW w:w="1660" w:type="dxa"/>
            <w:vAlign w:val="bottom"/>
          </w:tcPr>
          <w:p>
            <w:pPr>
              <w:jc w:val="right"/>
              <w:ind w:right="290"/>
              <w:spacing w:after="0" w:line="202" w:lineRule="exact"/>
              <w:rPr>
                <w:sz w:val="20"/>
                <w:szCs w:val="20"/>
                <w:color w:val="auto"/>
              </w:rPr>
            </w:pPr>
            <w:r>
              <w:rPr>
                <w:rFonts w:ascii="Arial" w:cs="Arial" w:eastAsia="Arial" w:hAnsi="Arial"/>
                <w:sz w:val="18"/>
                <w:szCs w:val="18"/>
                <w:b w:val="1"/>
                <w:bCs w:val="1"/>
                <w:color w:val="auto"/>
              </w:rPr>
              <w:t>Translation</w:t>
            </w:r>
          </w:p>
        </w:tc>
        <w:tc>
          <w:tcPr>
            <w:tcW w:w="180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liability</w:t>
            </w:r>
          </w:p>
        </w:tc>
        <w:tc>
          <w:tcPr>
            <w:tcW w:w="156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rPr>
              <w:t>valuation</w:t>
            </w:r>
          </w:p>
        </w:tc>
        <w:tc>
          <w:tcPr>
            <w:tcW w:w="1580" w:type="dxa"/>
            <w:vAlign w:val="bottom"/>
          </w:tcPr>
          <w:p>
            <w:pPr>
              <w:jc w:val="center"/>
              <w:ind w:left="130"/>
              <w:spacing w:after="0" w:line="202" w:lineRule="exact"/>
              <w:rPr>
                <w:sz w:val="20"/>
                <w:szCs w:val="20"/>
                <w:color w:val="auto"/>
              </w:rPr>
            </w:pPr>
            <w:r>
              <w:rPr>
                <w:rFonts w:ascii="Arial" w:cs="Arial" w:eastAsia="Arial" w:hAnsi="Arial"/>
                <w:sz w:val="18"/>
                <w:szCs w:val="18"/>
                <w:b w:val="1"/>
                <w:bCs w:val="1"/>
                <w:color w:val="auto"/>
              </w:rPr>
              <w:t>Comprehensive</w:t>
            </w:r>
          </w:p>
        </w:tc>
      </w:tr>
      <w:tr>
        <w:trPr>
          <w:trHeight w:val="225"/>
        </w:trPr>
        <w:tc>
          <w:tcPr>
            <w:tcW w:w="48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(in thousands)</w:t>
            </w:r>
          </w:p>
        </w:tc>
        <w:tc>
          <w:tcPr>
            <w:tcW w:w="16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adjustments</w:t>
            </w:r>
          </w:p>
        </w:tc>
        <w:tc>
          <w:tcPr>
            <w:tcW w:w="18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adjustments</w:t>
            </w: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adjustment</w:t>
            </w:r>
          </w:p>
        </w:tc>
        <w:tc>
          <w:tcPr>
            <w:tcW w:w="1580" w:type="dxa"/>
            <w:vAlign w:val="bottom"/>
            <w:tcBorders>
              <w:bottom w:val="single" w:sz="8" w:color="auto"/>
            </w:tcBorders>
          </w:tcPr>
          <w:p>
            <w:pPr>
              <w:jc w:val="center"/>
              <w:ind w:left="130"/>
              <w:spacing w:after="0"/>
              <w:rPr>
                <w:sz w:val="20"/>
                <w:szCs w:val="20"/>
                <w:color w:val="auto"/>
              </w:rPr>
            </w:pPr>
            <w:r>
              <w:rPr>
                <w:rFonts w:ascii="Arial" w:cs="Arial" w:eastAsia="Arial" w:hAnsi="Arial"/>
                <w:sz w:val="18"/>
                <w:szCs w:val="18"/>
                <w:b w:val="1"/>
                <w:bCs w:val="1"/>
                <w:color w:val="auto"/>
              </w:rPr>
              <w:t>Income</w:t>
            </w:r>
          </w:p>
        </w:tc>
      </w:tr>
      <w:tr>
        <w:trPr>
          <w:trHeight w:val="196"/>
        </w:trPr>
        <w:tc>
          <w:tcPr>
            <w:tcW w:w="482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b w:val="1"/>
                <w:bCs w:val="1"/>
                <w:color w:val="auto"/>
              </w:rPr>
              <w:t>December 31, 2016</w:t>
            </w:r>
          </w:p>
        </w:tc>
        <w:tc>
          <w:tcPr>
            <w:tcW w:w="1660" w:type="dxa"/>
            <w:vAlign w:val="bottom"/>
            <w:tcBorders>
              <w:bottom w:val="single" w:sz="8" w:color="auto"/>
            </w:tcBorders>
          </w:tcPr>
          <w:p>
            <w:pPr>
              <w:jc w:val="right"/>
              <w:ind w:right="130"/>
              <w:spacing w:after="0" w:line="196" w:lineRule="exact"/>
              <w:rPr>
                <w:sz w:val="20"/>
                <w:szCs w:val="20"/>
                <w:color w:val="auto"/>
              </w:rPr>
            </w:pPr>
            <w:r>
              <w:rPr>
                <w:rFonts w:ascii="Arial" w:cs="Arial" w:eastAsia="Arial" w:hAnsi="Arial"/>
                <w:sz w:val="18"/>
                <w:szCs w:val="18"/>
                <w:b w:val="1"/>
                <w:bCs w:val="1"/>
                <w:color w:val="auto"/>
              </w:rPr>
              <w:t>($133,298)</w:t>
            </w:r>
          </w:p>
        </w:tc>
        <w:tc>
          <w:tcPr>
            <w:tcW w:w="1800" w:type="dxa"/>
            <w:vAlign w:val="bottom"/>
            <w:tcBorders>
              <w:bottom w:val="single" w:sz="8" w:color="auto"/>
            </w:tcBorders>
          </w:tcPr>
          <w:p>
            <w:pPr>
              <w:jc w:val="right"/>
              <w:ind w:right="210"/>
              <w:spacing w:after="0" w:line="196" w:lineRule="exact"/>
              <w:rPr>
                <w:sz w:val="20"/>
                <w:szCs w:val="20"/>
                <w:color w:val="auto"/>
              </w:rPr>
            </w:pPr>
            <w:r>
              <w:rPr>
                <w:rFonts w:ascii="Arial" w:cs="Arial" w:eastAsia="Arial" w:hAnsi="Arial"/>
                <w:sz w:val="18"/>
                <w:szCs w:val="18"/>
                <w:b w:val="1"/>
                <w:bCs w:val="1"/>
                <w:color w:val="auto"/>
              </w:rPr>
              <w:t>($51,719)</w:t>
            </w:r>
          </w:p>
        </w:tc>
        <w:tc>
          <w:tcPr>
            <w:tcW w:w="1560" w:type="dxa"/>
            <w:vAlign w:val="bottom"/>
            <w:tcBorders>
              <w:bottom w:val="single" w:sz="8" w:color="auto"/>
            </w:tcBorders>
          </w:tcPr>
          <w:p>
            <w:pPr>
              <w:jc w:val="right"/>
              <w:ind w:right="130"/>
              <w:spacing w:after="0" w:line="196" w:lineRule="exact"/>
              <w:rPr>
                <w:sz w:val="20"/>
                <w:szCs w:val="20"/>
                <w:color w:val="auto"/>
              </w:rPr>
            </w:pPr>
            <w:r>
              <w:rPr>
                <w:rFonts w:ascii="Arial" w:cs="Arial" w:eastAsia="Arial" w:hAnsi="Arial"/>
                <w:sz w:val="18"/>
                <w:szCs w:val="18"/>
                <w:b w:val="1"/>
                <w:bCs w:val="1"/>
                <w:color w:val="auto"/>
              </w:rPr>
              <w:t>$828</w:t>
            </w:r>
          </w:p>
        </w:tc>
        <w:tc>
          <w:tcPr>
            <w:tcW w:w="15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($184,189)</w:t>
            </w:r>
          </w:p>
        </w:tc>
      </w:tr>
      <w:tr>
        <w:trPr>
          <w:trHeight w:val="195"/>
        </w:trPr>
        <w:tc>
          <w:tcPr>
            <w:tcW w:w="4820" w:type="dxa"/>
            <w:vAlign w:val="bottom"/>
          </w:tcPr>
          <w:p>
            <w:pPr>
              <w:spacing w:after="0" w:line="195" w:lineRule="exact"/>
              <w:rPr>
                <w:sz w:val="20"/>
                <w:szCs w:val="20"/>
                <w:color w:val="auto"/>
              </w:rPr>
            </w:pPr>
            <w:r>
              <w:rPr>
                <w:rFonts w:ascii="Arial" w:cs="Arial" w:eastAsia="Arial" w:hAnsi="Arial"/>
                <w:sz w:val="18"/>
                <w:szCs w:val="18"/>
                <w:color w:val="auto"/>
              </w:rPr>
              <w:t>Other comprehensive income/(loss) before</w:t>
            </w:r>
          </w:p>
        </w:tc>
        <w:tc>
          <w:tcPr>
            <w:tcW w:w="166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580" w:type="dxa"/>
            <w:vAlign w:val="bottom"/>
          </w:tcPr>
          <w:p>
            <w:pPr>
              <w:spacing w:after="0"/>
              <w:rPr>
                <w:sz w:val="16"/>
                <w:szCs w:val="16"/>
                <w:color w:val="auto"/>
              </w:rPr>
            </w:pPr>
          </w:p>
        </w:tc>
      </w:tr>
      <w:tr>
        <w:trPr>
          <w:trHeight w:val="203"/>
        </w:trPr>
        <w:tc>
          <w:tcPr>
            <w:tcW w:w="4820" w:type="dxa"/>
            <w:vAlign w:val="bottom"/>
          </w:tcPr>
          <w:p>
            <w:pPr>
              <w:spacing w:after="0" w:line="202" w:lineRule="exact"/>
              <w:rPr>
                <w:sz w:val="20"/>
                <w:szCs w:val="20"/>
                <w:color w:val="auto"/>
              </w:rPr>
            </w:pPr>
            <w:r>
              <w:rPr>
                <w:rFonts w:ascii="Arial" w:cs="Arial" w:eastAsia="Arial" w:hAnsi="Arial"/>
                <w:sz w:val="18"/>
                <w:szCs w:val="18"/>
                <w:color w:val="auto"/>
              </w:rPr>
              <w:t>reclassifications</w:t>
            </w:r>
          </w:p>
        </w:tc>
        <w:tc>
          <w:tcPr>
            <w:tcW w:w="1660" w:type="dxa"/>
            <w:vAlign w:val="bottom"/>
          </w:tcPr>
          <w:p>
            <w:pPr>
              <w:jc w:val="right"/>
              <w:ind w:right="190"/>
              <w:spacing w:after="0" w:line="202" w:lineRule="exact"/>
              <w:rPr>
                <w:sz w:val="20"/>
                <w:szCs w:val="20"/>
                <w:color w:val="auto"/>
              </w:rPr>
            </w:pPr>
            <w:r>
              <w:rPr>
                <w:rFonts w:ascii="Arial" w:cs="Arial" w:eastAsia="Arial" w:hAnsi="Arial"/>
                <w:sz w:val="18"/>
                <w:szCs w:val="18"/>
                <w:color w:val="auto"/>
              </w:rPr>
              <w:t>10,126</w:t>
            </w:r>
          </w:p>
        </w:tc>
        <w:tc>
          <w:tcPr>
            <w:tcW w:w="1800" w:type="dxa"/>
            <w:vAlign w:val="bottom"/>
          </w:tcPr>
          <w:p>
            <w:pPr>
              <w:jc w:val="right"/>
              <w:ind w:right="210"/>
              <w:spacing w:after="0" w:line="202" w:lineRule="exact"/>
              <w:rPr>
                <w:sz w:val="20"/>
                <w:szCs w:val="20"/>
                <w:color w:val="auto"/>
              </w:rPr>
            </w:pPr>
            <w:r>
              <w:rPr>
                <w:rFonts w:ascii="Arial" w:cs="Arial" w:eastAsia="Arial" w:hAnsi="Arial"/>
                <w:sz w:val="18"/>
                <w:szCs w:val="18"/>
                <w:color w:val="auto"/>
              </w:rPr>
              <w:t>(193)</w:t>
            </w:r>
          </w:p>
        </w:tc>
        <w:tc>
          <w:tcPr>
            <w:tcW w:w="1560" w:type="dxa"/>
            <w:vAlign w:val="bottom"/>
          </w:tcPr>
          <w:p>
            <w:pPr>
              <w:jc w:val="right"/>
              <w:ind w:right="130"/>
              <w:spacing w:after="0" w:line="202" w:lineRule="exact"/>
              <w:rPr>
                <w:sz w:val="20"/>
                <w:szCs w:val="20"/>
                <w:color w:val="auto"/>
              </w:rPr>
            </w:pPr>
            <w:r>
              <w:rPr>
                <w:rFonts w:ascii="Arial" w:cs="Arial" w:eastAsia="Arial" w:hAnsi="Arial"/>
                <w:sz w:val="18"/>
                <w:szCs w:val="18"/>
                <w:color w:val="auto"/>
              </w:rPr>
              <w:t>258</w:t>
            </w:r>
          </w:p>
        </w:tc>
        <w:tc>
          <w:tcPr>
            <w:tcW w:w="15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10,191</w:t>
            </w:r>
          </w:p>
        </w:tc>
      </w:tr>
      <w:tr>
        <w:trPr>
          <w:trHeight w:val="203"/>
        </w:trPr>
        <w:tc>
          <w:tcPr>
            <w:tcW w:w="4820" w:type="dxa"/>
            <w:vAlign w:val="bottom"/>
          </w:tcPr>
          <w:p>
            <w:pPr>
              <w:spacing w:after="0" w:line="202" w:lineRule="exact"/>
              <w:rPr>
                <w:sz w:val="20"/>
                <w:szCs w:val="20"/>
                <w:color w:val="auto"/>
              </w:rPr>
            </w:pPr>
            <w:r>
              <w:rPr>
                <w:rFonts w:ascii="Arial" w:cs="Arial" w:eastAsia="Arial" w:hAnsi="Arial"/>
                <w:sz w:val="18"/>
                <w:szCs w:val="18"/>
                <w:color w:val="auto"/>
              </w:rPr>
              <w:t>Interest expense related to swaps reclassified to the</w:t>
            </w:r>
          </w:p>
        </w:tc>
        <w:tc>
          <w:tcPr>
            <w:tcW w:w="166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4820" w:type="dxa"/>
            <w:vAlign w:val="bottom"/>
          </w:tcPr>
          <w:p>
            <w:pPr>
              <w:spacing w:after="0" w:line="202" w:lineRule="exact"/>
              <w:rPr>
                <w:sz w:val="20"/>
                <w:szCs w:val="20"/>
                <w:color w:val="auto"/>
              </w:rPr>
            </w:pPr>
            <w:r>
              <w:rPr>
                <w:rFonts w:ascii="Arial" w:cs="Arial" w:eastAsia="Arial" w:hAnsi="Arial"/>
                <w:sz w:val="18"/>
                <w:szCs w:val="18"/>
                <w:color w:val="auto"/>
              </w:rPr>
              <w:t>Consolidated Statements of Income, net of tax</w:t>
            </w:r>
          </w:p>
        </w:tc>
        <w:tc>
          <w:tcPr>
            <w:tcW w:w="1660" w:type="dxa"/>
            <w:vAlign w:val="bottom"/>
          </w:tcPr>
          <w:p>
            <w:pPr>
              <w:jc w:val="right"/>
              <w:ind w:right="190"/>
              <w:spacing w:after="0" w:line="202" w:lineRule="exact"/>
              <w:rPr>
                <w:sz w:val="20"/>
                <w:szCs w:val="20"/>
                <w:color w:val="auto"/>
              </w:rPr>
            </w:pPr>
            <w:r>
              <w:rPr>
                <w:rFonts w:ascii="Arial" w:cs="Arial" w:eastAsia="Arial" w:hAnsi="Arial"/>
                <w:sz w:val="18"/>
                <w:szCs w:val="18"/>
                <w:color w:val="auto"/>
              </w:rPr>
              <w:t>-</w:t>
            </w:r>
          </w:p>
        </w:tc>
        <w:tc>
          <w:tcPr>
            <w:tcW w:w="1800" w:type="dxa"/>
            <w:vAlign w:val="bottom"/>
          </w:tcPr>
          <w:p>
            <w:pPr>
              <w:jc w:val="right"/>
              <w:ind w:right="270"/>
              <w:spacing w:after="0" w:line="202" w:lineRule="exact"/>
              <w:rPr>
                <w:sz w:val="20"/>
                <w:szCs w:val="20"/>
                <w:color w:val="auto"/>
              </w:rPr>
            </w:pPr>
            <w:r>
              <w:rPr>
                <w:rFonts w:ascii="Arial" w:cs="Arial" w:eastAsia="Arial" w:hAnsi="Arial"/>
                <w:sz w:val="18"/>
                <w:szCs w:val="18"/>
                <w:color w:val="auto"/>
              </w:rPr>
              <w:t>-</w:t>
            </w:r>
          </w:p>
        </w:tc>
        <w:tc>
          <w:tcPr>
            <w:tcW w:w="1560" w:type="dxa"/>
            <w:vAlign w:val="bottom"/>
          </w:tcPr>
          <w:p>
            <w:pPr>
              <w:jc w:val="right"/>
              <w:ind w:right="130"/>
              <w:spacing w:after="0" w:line="202" w:lineRule="exact"/>
              <w:rPr>
                <w:sz w:val="20"/>
                <w:szCs w:val="20"/>
                <w:color w:val="auto"/>
              </w:rPr>
            </w:pPr>
            <w:r>
              <w:rPr>
                <w:rFonts w:ascii="Arial" w:cs="Arial" w:eastAsia="Arial" w:hAnsi="Arial"/>
                <w:sz w:val="18"/>
                <w:szCs w:val="18"/>
                <w:color w:val="auto"/>
              </w:rPr>
              <w:t>372</w:t>
            </w:r>
          </w:p>
        </w:tc>
        <w:tc>
          <w:tcPr>
            <w:tcW w:w="15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372</w:t>
            </w:r>
          </w:p>
        </w:tc>
      </w:tr>
      <w:tr>
        <w:trPr>
          <w:trHeight w:val="203"/>
        </w:trPr>
        <w:tc>
          <w:tcPr>
            <w:tcW w:w="4820" w:type="dxa"/>
            <w:vAlign w:val="bottom"/>
          </w:tcPr>
          <w:p>
            <w:pPr>
              <w:spacing w:after="0" w:line="202" w:lineRule="exact"/>
              <w:rPr>
                <w:sz w:val="20"/>
                <w:szCs w:val="20"/>
                <w:color w:val="auto"/>
              </w:rPr>
            </w:pPr>
            <w:r>
              <w:rPr>
                <w:rFonts w:ascii="Arial" w:cs="Arial" w:eastAsia="Arial" w:hAnsi="Arial"/>
                <w:sz w:val="18"/>
                <w:szCs w:val="18"/>
                <w:color w:val="auto"/>
              </w:rPr>
              <w:t>Pension and postretirement liability adjustments</w:t>
            </w:r>
          </w:p>
        </w:tc>
        <w:tc>
          <w:tcPr>
            <w:tcW w:w="166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4820" w:type="dxa"/>
            <w:vAlign w:val="bottom"/>
          </w:tcPr>
          <w:p>
            <w:pPr>
              <w:spacing w:after="0" w:line="202" w:lineRule="exact"/>
              <w:rPr>
                <w:sz w:val="20"/>
                <w:szCs w:val="20"/>
                <w:color w:val="auto"/>
              </w:rPr>
            </w:pPr>
            <w:r>
              <w:rPr>
                <w:rFonts w:ascii="Arial" w:cs="Arial" w:eastAsia="Arial" w:hAnsi="Arial"/>
                <w:sz w:val="18"/>
                <w:szCs w:val="18"/>
                <w:color w:val="auto"/>
              </w:rPr>
              <w:t>reclassified to Consolidated Statements of Income, net of</w:t>
            </w:r>
          </w:p>
        </w:tc>
        <w:tc>
          <w:tcPr>
            <w:tcW w:w="166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4820" w:type="dxa"/>
            <w:vAlign w:val="bottom"/>
            <w:tcBorders>
              <w:bottom w:val="single" w:sz="8" w:color="auto"/>
            </w:tcBorders>
          </w:tcPr>
          <w:p>
            <w:pPr>
              <w:spacing w:after="0" w:line="203" w:lineRule="exact"/>
              <w:rPr>
                <w:sz w:val="20"/>
                <w:szCs w:val="20"/>
                <w:color w:val="auto"/>
              </w:rPr>
            </w:pPr>
            <w:r>
              <w:rPr>
                <w:rFonts w:ascii="Arial" w:cs="Arial" w:eastAsia="Arial" w:hAnsi="Arial"/>
                <w:sz w:val="18"/>
                <w:szCs w:val="18"/>
                <w:color w:val="auto"/>
              </w:rPr>
              <w:t>tax</w:t>
            </w:r>
          </w:p>
        </w:tc>
        <w:tc>
          <w:tcPr>
            <w:tcW w:w="1660" w:type="dxa"/>
            <w:vAlign w:val="bottom"/>
            <w:tcBorders>
              <w:bottom w:val="single" w:sz="8" w:color="auto"/>
            </w:tcBorders>
          </w:tcPr>
          <w:p>
            <w:pPr>
              <w:jc w:val="right"/>
              <w:ind w:right="190"/>
              <w:spacing w:after="0" w:line="203" w:lineRule="exact"/>
              <w:rPr>
                <w:sz w:val="20"/>
                <w:szCs w:val="20"/>
                <w:color w:val="auto"/>
              </w:rPr>
            </w:pPr>
            <w:r>
              <w:rPr>
                <w:rFonts w:ascii="Arial" w:cs="Arial" w:eastAsia="Arial" w:hAnsi="Arial"/>
                <w:sz w:val="18"/>
                <w:szCs w:val="18"/>
                <w:color w:val="auto"/>
              </w:rPr>
              <w:t>-</w:t>
            </w:r>
          </w:p>
        </w:tc>
        <w:tc>
          <w:tcPr>
            <w:tcW w:w="1800" w:type="dxa"/>
            <w:vAlign w:val="bottom"/>
            <w:tcBorders>
              <w:bottom w:val="single" w:sz="8" w:color="auto"/>
            </w:tcBorders>
          </w:tcPr>
          <w:p>
            <w:pPr>
              <w:jc w:val="right"/>
              <w:ind w:right="270"/>
              <w:spacing w:after="0" w:line="203" w:lineRule="exact"/>
              <w:rPr>
                <w:sz w:val="20"/>
                <w:szCs w:val="20"/>
                <w:color w:val="auto"/>
              </w:rPr>
            </w:pPr>
            <w:r>
              <w:rPr>
                <w:rFonts w:ascii="Arial" w:cs="Arial" w:eastAsia="Arial" w:hAnsi="Arial"/>
                <w:sz w:val="18"/>
                <w:szCs w:val="18"/>
                <w:color w:val="auto"/>
              </w:rPr>
              <w:t>164</w:t>
            </w:r>
          </w:p>
        </w:tc>
        <w:tc>
          <w:tcPr>
            <w:tcW w:w="1560" w:type="dxa"/>
            <w:vAlign w:val="bottom"/>
            <w:tcBorders>
              <w:bottom w:val="single" w:sz="8" w:color="auto"/>
            </w:tcBorders>
          </w:tcPr>
          <w:p>
            <w:pPr>
              <w:jc w:val="right"/>
              <w:ind w:right="130"/>
              <w:spacing w:after="0" w:line="203" w:lineRule="exact"/>
              <w:rPr>
                <w:sz w:val="20"/>
                <w:szCs w:val="20"/>
                <w:color w:val="auto"/>
              </w:rPr>
            </w:pPr>
            <w:r>
              <w:rPr>
                <w:rFonts w:ascii="Arial" w:cs="Arial" w:eastAsia="Arial" w:hAnsi="Arial"/>
                <w:sz w:val="18"/>
                <w:szCs w:val="18"/>
                <w:color w:val="auto"/>
              </w:rPr>
              <w:t>-</w:t>
            </w:r>
          </w:p>
        </w:tc>
        <w:tc>
          <w:tcPr>
            <w:tcW w:w="1580" w:type="dxa"/>
            <w:vAlign w:val="bottom"/>
            <w:tcBorders>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rPr>
              <w:t>164</w:t>
            </w:r>
          </w:p>
        </w:tc>
      </w:tr>
      <w:tr>
        <w:trPr>
          <w:trHeight w:val="196"/>
        </w:trPr>
        <w:tc>
          <w:tcPr>
            <w:tcW w:w="482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Net current period other comprehensive income</w:t>
            </w:r>
          </w:p>
        </w:tc>
        <w:tc>
          <w:tcPr>
            <w:tcW w:w="1660" w:type="dxa"/>
            <w:vAlign w:val="bottom"/>
            <w:tcBorders>
              <w:bottom w:val="single" w:sz="8" w:color="auto"/>
            </w:tcBorders>
          </w:tcPr>
          <w:p>
            <w:pPr>
              <w:jc w:val="right"/>
              <w:ind w:right="190"/>
              <w:spacing w:after="0" w:line="196" w:lineRule="exact"/>
              <w:rPr>
                <w:sz w:val="20"/>
                <w:szCs w:val="20"/>
                <w:color w:val="auto"/>
              </w:rPr>
            </w:pPr>
            <w:r>
              <w:rPr>
                <w:rFonts w:ascii="Arial" w:cs="Arial" w:eastAsia="Arial" w:hAnsi="Arial"/>
                <w:sz w:val="18"/>
                <w:szCs w:val="18"/>
                <w:color w:val="auto"/>
              </w:rPr>
              <w:t>10,126</w:t>
            </w:r>
          </w:p>
        </w:tc>
        <w:tc>
          <w:tcPr>
            <w:tcW w:w="1800" w:type="dxa"/>
            <w:vAlign w:val="bottom"/>
            <w:tcBorders>
              <w:bottom w:val="single" w:sz="8" w:color="auto"/>
            </w:tcBorders>
          </w:tcPr>
          <w:p>
            <w:pPr>
              <w:jc w:val="right"/>
              <w:ind w:right="210"/>
              <w:spacing w:after="0" w:line="196" w:lineRule="exact"/>
              <w:rPr>
                <w:sz w:val="20"/>
                <w:szCs w:val="20"/>
                <w:color w:val="auto"/>
              </w:rPr>
            </w:pPr>
            <w:r>
              <w:rPr>
                <w:rFonts w:ascii="Arial" w:cs="Arial" w:eastAsia="Arial" w:hAnsi="Arial"/>
                <w:sz w:val="18"/>
                <w:szCs w:val="18"/>
                <w:color w:val="auto"/>
              </w:rPr>
              <w:t>(29)</w:t>
            </w:r>
          </w:p>
        </w:tc>
        <w:tc>
          <w:tcPr>
            <w:tcW w:w="1560" w:type="dxa"/>
            <w:vAlign w:val="bottom"/>
            <w:tcBorders>
              <w:bottom w:val="single" w:sz="8" w:color="auto"/>
            </w:tcBorders>
          </w:tcPr>
          <w:p>
            <w:pPr>
              <w:jc w:val="right"/>
              <w:ind w:right="130"/>
              <w:spacing w:after="0" w:line="196" w:lineRule="exact"/>
              <w:rPr>
                <w:sz w:val="20"/>
                <w:szCs w:val="20"/>
                <w:color w:val="auto"/>
              </w:rPr>
            </w:pPr>
            <w:r>
              <w:rPr>
                <w:rFonts w:ascii="Arial" w:cs="Arial" w:eastAsia="Arial" w:hAnsi="Arial"/>
                <w:sz w:val="18"/>
                <w:szCs w:val="18"/>
                <w:color w:val="auto"/>
              </w:rPr>
              <w:t>630</w:t>
            </w:r>
          </w:p>
        </w:tc>
        <w:tc>
          <w:tcPr>
            <w:tcW w:w="158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10,727</w:t>
            </w:r>
          </w:p>
        </w:tc>
      </w:tr>
      <w:tr>
        <w:trPr>
          <w:trHeight w:val="196"/>
        </w:trPr>
        <w:tc>
          <w:tcPr>
            <w:tcW w:w="482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b w:val="1"/>
                <w:bCs w:val="1"/>
                <w:color w:val="auto"/>
              </w:rPr>
              <w:t>March 31, 2017</w:t>
            </w:r>
          </w:p>
        </w:tc>
        <w:tc>
          <w:tcPr>
            <w:tcW w:w="1660" w:type="dxa"/>
            <w:vAlign w:val="bottom"/>
            <w:tcBorders>
              <w:bottom w:val="single" w:sz="8" w:color="auto"/>
            </w:tcBorders>
          </w:tcPr>
          <w:p>
            <w:pPr>
              <w:jc w:val="right"/>
              <w:ind w:right="130"/>
              <w:spacing w:after="0" w:line="196" w:lineRule="exact"/>
              <w:rPr>
                <w:sz w:val="20"/>
                <w:szCs w:val="20"/>
                <w:color w:val="auto"/>
              </w:rPr>
            </w:pPr>
            <w:r>
              <w:rPr>
                <w:rFonts w:ascii="Arial" w:cs="Arial" w:eastAsia="Arial" w:hAnsi="Arial"/>
                <w:sz w:val="18"/>
                <w:szCs w:val="18"/>
                <w:b w:val="1"/>
                <w:bCs w:val="1"/>
                <w:color w:val="auto"/>
              </w:rPr>
              <w:t>($123,172)</w:t>
            </w:r>
          </w:p>
        </w:tc>
        <w:tc>
          <w:tcPr>
            <w:tcW w:w="1800" w:type="dxa"/>
            <w:vAlign w:val="bottom"/>
            <w:tcBorders>
              <w:bottom w:val="single" w:sz="8" w:color="auto"/>
            </w:tcBorders>
          </w:tcPr>
          <w:p>
            <w:pPr>
              <w:jc w:val="right"/>
              <w:ind w:right="210"/>
              <w:spacing w:after="0" w:line="196" w:lineRule="exact"/>
              <w:rPr>
                <w:sz w:val="20"/>
                <w:szCs w:val="20"/>
                <w:color w:val="auto"/>
              </w:rPr>
            </w:pPr>
            <w:r>
              <w:rPr>
                <w:rFonts w:ascii="Arial" w:cs="Arial" w:eastAsia="Arial" w:hAnsi="Arial"/>
                <w:sz w:val="18"/>
                <w:szCs w:val="18"/>
                <w:b w:val="1"/>
                <w:bCs w:val="1"/>
                <w:color w:val="auto"/>
              </w:rPr>
              <w:t>($51,748)</w:t>
            </w:r>
          </w:p>
        </w:tc>
        <w:tc>
          <w:tcPr>
            <w:tcW w:w="1560" w:type="dxa"/>
            <w:vAlign w:val="bottom"/>
            <w:tcBorders>
              <w:bottom w:val="single" w:sz="8" w:color="auto"/>
            </w:tcBorders>
          </w:tcPr>
          <w:p>
            <w:pPr>
              <w:jc w:val="right"/>
              <w:ind w:right="130"/>
              <w:spacing w:after="0" w:line="196" w:lineRule="exact"/>
              <w:rPr>
                <w:sz w:val="20"/>
                <w:szCs w:val="20"/>
                <w:color w:val="auto"/>
              </w:rPr>
            </w:pPr>
            <w:r>
              <w:rPr>
                <w:rFonts w:ascii="Arial" w:cs="Arial" w:eastAsia="Arial" w:hAnsi="Arial"/>
                <w:sz w:val="18"/>
                <w:szCs w:val="18"/>
                <w:b w:val="1"/>
                <w:bCs w:val="1"/>
                <w:color w:val="auto"/>
              </w:rPr>
              <w:t>$1,458</w:t>
            </w:r>
          </w:p>
        </w:tc>
        <w:tc>
          <w:tcPr>
            <w:tcW w:w="15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($173,462)</w:t>
            </w:r>
          </w:p>
        </w:tc>
      </w:tr>
      <w:tr>
        <w:trPr>
          <w:trHeight w:val="696"/>
        </w:trPr>
        <w:tc>
          <w:tcPr>
            <w:tcW w:w="4820" w:type="dxa"/>
            <w:vAlign w:val="bottom"/>
          </w:tcPr>
          <w:p>
            <w:pPr>
              <w:spacing w:after="0"/>
              <w:rPr>
                <w:sz w:val="24"/>
                <w:szCs w:val="24"/>
                <w:color w:val="auto"/>
              </w:rPr>
            </w:pPr>
          </w:p>
        </w:tc>
        <w:tc>
          <w:tcPr>
            <w:tcW w:w="1660" w:type="dxa"/>
            <w:vAlign w:val="bottom"/>
          </w:tcPr>
          <w:p>
            <w:pPr>
              <w:jc w:val="right"/>
              <w:ind w:right="590"/>
              <w:spacing w:after="0"/>
              <w:rPr>
                <w:sz w:val="20"/>
                <w:szCs w:val="20"/>
                <w:color w:val="auto"/>
              </w:rPr>
            </w:pPr>
            <w:r>
              <w:rPr>
                <w:rFonts w:ascii="Arial" w:cs="Arial" w:eastAsia="Arial" w:hAnsi="Arial"/>
                <w:sz w:val="18"/>
                <w:szCs w:val="18"/>
                <w:color w:val="auto"/>
              </w:rPr>
              <w:t>26</w:t>
            </w:r>
          </w:p>
        </w:tc>
        <w:tc>
          <w:tcPr>
            <w:tcW w:w="18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142"/>
        </w:trPr>
        <w:tc>
          <w:tcPr>
            <w:tcW w:w="4820" w:type="dxa"/>
            <w:vAlign w:val="bottom"/>
            <w:tcBorders>
              <w:bottom w:val="single" w:sz="8" w:color="auto"/>
            </w:tcBorders>
          </w:tcPr>
          <w:p>
            <w:pPr>
              <w:spacing w:after="0"/>
              <w:rPr>
                <w:sz w:val="12"/>
                <w:szCs w:val="12"/>
                <w:color w:val="auto"/>
              </w:rPr>
            </w:pPr>
          </w:p>
        </w:tc>
        <w:tc>
          <w:tcPr>
            <w:tcW w:w="1660" w:type="dxa"/>
            <w:vAlign w:val="bottom"/>
            <w:tcBorders>
              <w:bottom w:val="single" w:sz="8" w:color="auto"/>
            </w:tcBorders>
          </w:tcPr>
          <w:p>
            <w:pPr>
              <w:spacing w:after="0"/>
              <w:rPr>
                <w:sz w:val="12"/>
                <w:szCs w:val="12"/>
                <w:color w:val="auto"/>
              </w:rPr>
            </w:pPr>
          </w:p>
        </w:tc>
        <w:tc>
          <w:tcPr>
            <w:tcW w:w="1800" w:type="dxa"/>
            <w:vAlign w:val="bottom"/>
            <w:tcBorders>
              <w:bottom w:val="single" w:sz="8" w:color="auto"/>
            </w:tcBorders>
          </w:tcPr>
          <w:p>
            <w:pPr>
              <w:spacing w:after="0"/>
              <w:rPr>
                <w:sz w:val="12"/>
                <w:szCs w:val="12"/>
                <w:color w:val="auto"/>
              </w:rPr>
            </w:pPr>
          </w:p>
        </w:tc>
        <w:tc>
          <w:tcPr>
            <w:tcW w:w="1560" w:type="dxa"/>
            <w:vAlign w:val="bottom"/>
            <w:tcBorders>
              <w:bottom w:val="single" w:sz="8" w:color="auto"/>
            </w:tcBorders>
          </w:tcPr>
          <w:p>
            <w:pPr>
              <w:spacing w:after="0"/>
              <w:rPr>
                <w:sz w:val="12"/>
                <w:szCs w:val="12"/>
                <w:color w:val="auto"/>
              </w:rPr>
            </w:pPr>
          </w:p>
        </w:tc>
        <w:tc>
          <w:tcPr>
            <w:tcW w:w="1580" w:type="dxa"/>
            <w:vAlign w:val="bottom"/>
            <w:tcBorders>
              <w:bottom w:val="single" w:sz="8" w:color="auto"/>
            </w:tcBorders>
          </w:tcPr>
          <w:p>
            <w:pPr>
              <w:spacing w:after="0"/>
              <w:rPr>
                <w:sz w:val="12"/>
                <w:szCs w:val="12"/>
                <w:color w:val="auto"/>
              </w:rPr>
            </w:pPr>
          </w:p>
        </w:tc>
      </w:tr>
    </w:tbl>
    <w:p>
      <w:pPr>
        <w:sectPr>
          <w:pgSz w:w="11900" w:h="16838" w:orient="portrait"/>
          <w:cols w:equalWidth="0" w:num="1">
            <w:col w:w="11420"/>
          </w:cols>
          <w:pgMar w:left="240" w:top="967" w:right="239" w:bottom="1440" w:gutter="0" w:footer="0" w:header="0"/>
        </w:sectPr>
      </w:pPr>
    </w:p>
    <w:bookmarkStart w:id="26" w:name="page27"/>
    <w:bookmarkEnd w:id="26"/>
    <w:p>
      <w:pPr>
        <w:ind w:right="20" w:firstLine="648"/>
        <w:spacing w:after="0" w:line="246" w:lineRule="auto"/>
        <w:rPr>
          <w:sz w:val="20"/>
          <w:szCs w:val="20"/>
          <w:color w:val="auto"/>
        </w:rPr>
      </w:pPr>
      <w:r>
        <w:rPr>
          <w:rFonts w:ascii="Arial" w:cs="Arial" w:eastAsia="Arial" w:hAnsi="Arial"/>
          <w:sz w:val="18"/>
          <w:szCs w:val="18"/>
          <w:color w:val="auto"/>
        </w:rPr>
        <w:t>The table below presents the expense/(income) amounts reclassified, and the line items of the Consolidated Statements of Income that were affected for the periods ended March 31, 2018 and 2017.</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20" w:type="dxa"/>
            <w:vAlign w:val="bottom"/>
          </w:tcPr>
          <w:p>
            <w:pPr>
              <w:spacing w:after="0"/>
              <w:rPr>
                <w:sz w:val="16"/>
                <w:szCs w:val="16"/>
                <w:color w:val="auto"/>
              </w:rPr>
            </w:pPr>
          </w:p>
        </w:tc>
        <w:tc>
          <w:tcPr>
            <w:tcW w:w="7440" w:type="dxa"/>
            <w:vAlign w:val="bottom"/>
            <w:tcBorders>
              <w:top w:val="single" w:sz="8" w:color="auto"/>
            </w:tcBorders>
          </w:tcPr>
          <w:p>
            <w:pPr>
              <w:spacing w:after="0"/>
              <w:rPr>
                <w:sz w:val="16"/>
                <w:szCs w:val="16"/>
                <w:color w:val="auto"/>
              </w:rPr>
            </w:pPr>
          </w:p>
        </w:tc>
        <w:tc>
          <w:tcPr>
            <w:tcW w:w="3960" w:type="dxa"/>
            <w:vAlign w:val="bottom"/>
            <w:tcBorders>
              <w:top w:val="single" w:sz="8" w:color="auto"/>
            </w:tcBorders>
            <w:gridSpan w:val="2"/>
          </w:tcPr>
          <w:p>
            <w:pPr>
              <w:jc w:val="right"/>
              <w:ind w:right="630"/>
              <w:spacing w:after="0" w:line="194" w:lineRule="exact"/>
              <w:rPr>
                <w:sz w:val="20"/>
                <w:szCs w:val="20"/>
                <w:color w:val="auto"/>
              </w:rPr>
            </w:pPr>
            <w:r>
              <w:rPr>
                <w:rFonts w:ascii="Arial" w:cs="Arial" w:eastAsia="Arial" w:hAnsi="Arial"/>
                <w:sz w:val="18"/>
                <w:szCs w:val="18"/>
                <w:b w:val="1"/>
                <w:bCs w:val="1"/>
                <w:color w:val="auto"/>
              </w:rPr>
              <w:t>Three months ended March 31,</w:t>
            </w:r>
          </w:p>
        </w:tc>
        <w:tc>
          <w:tcPr>
            <w:tcW w:w="0" w:type="dxa"/>
            <w:vAlign w:val="bottom"/>
          </w:tcPr>
          <w:p>
            <w:pPr>
              <w:spacing w:after="0"/>
              <w:rPr>
                <w:sz w:val="1"/>
                <w:szCs w:val="1"/>
                <w:color w:val="auto"/>
              </w:rPr>
            </w:pPr>
          </w:p>
        </w:tc>
      </w:tr>
      <w:tr>
        <w:trPr>
          <w:trHeight w:val="225"/>
        </w:trPr>
        <w:tc>
          <w:tcPr>
            <w:tcW w:w="746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(in thousands)</w:t>
            </w:r>
          </w:p>
        </w:tc>
        <w:tc>
          <w:tcPr>
            <w:tcW w:w="2200" w:type="dxa"/>
            <w:vAlign w:val="bottom"/>
            <w:tcBorders>
              <w:bottom w:val="single" w:sz="8" w:color="auto"/>
            </w:tcBorders>
          </w:tcPr>
          <w:p>
            <w:pPr>
              <w:jc w:val="right"/>
              <w:ind w:right="1230"/>
              <w:spacing w:after="0"/>
              <w:rPr>
                <w:sz w:val="20"/>
                <w:szCs w:val="20"/>
                <w:color w:val="auto"/>
              </w:rPr>
            </w:pPr>
            <w:r>
              <w:rPr>
                <w:rFonts w:ascii="Arial" w:cs="Arial" w:eastAsia="Arial" w:hAnsi="Arial"/>
                <w:sz w:val="18"/>
                <w:szCs w:val="18"/>
                <w:b w:val="1"/>
                <w:bCs w:val="1"/>
                <w:color w:val="auto"/>
              </w:rPr>
              <w:t>2018</w:t>
            </w:r>
          </w:p>
        </w:tc>
        <w:tc>
          <w:tcPr>
            <w:tcW w:w="17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2017</w:t>
            </w:r>
          </w:p>
        </w:tc>
        <w:tc>
          <w:tcPr>
            <w:tcW w:w="0" w:type="dxa"/>
            <w:vAlign w:val="bottom"/>
          </w:tcPr>
          <w:p>
            <w:pPr>
              <w:spacing w:after="0"/>
              <w:rPr>
                <w:sz w:val="1"/>
                <w:szCs w:val="1"/>
                <w:color w:val="auto"/>
              </w:rPr>
            </w:pPr>
          </w:p>
        </w:tc>
      </w:tr>
      <w:tr>
        <w:trPr>
          <w:trHeight w:val="173"/>
        </w:trPr>
        <w:tc>
          <w:tcPr>
            <w:tcW w:w="7460" w:type="dxa"/>
            <w:vAlign w:val="bottom"/>
            <w:gridSpan w:val="2"/>
          </w:tcPr>
          <w:p>
            <w:pPr>
              <w:spacing w:after="0" w:line="173" w:lineRule="exact"/>
              <w:rPr>
                <w:sz w:val="20"/>
                <w:szCs w:val="20"/>
                <w:color w:val="auto"/>
              </w:rPr>
            </w:pPr>
            <w:r>
              <w:rPr>
                <w:rFonts w:ascii="Arial" w:cs="Arial" w:eastAsia="Arial" w:hAnsi="Arial"/>
                <w:sz w:val="18"/>
                <w:szCs w:val="18"/>
                <w:b w:val="1"/>
                <w:bCs w:val="1"/>
                <w:color w:val="auto"/>
              </w:rPr>
              <w:t>Pretax Derivative valuation reclassified from Accumulated Other</w:t>
            </w:r>
          </w:p>
        </w:tc>
        <w:tc>
          <w:tcPr>
            <w:tcW w:w="220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7460" w:type="dxa"/>
            <w:vAlign w:val="bottom"/>
            <w:gridSpan w:val="2"/>
          </w:tcPr>
          <w:p>
            <w:pPr>
              <w:spacing w:after="0"/>
              <w:rPr>
                <w:sz w:val="20"/>
                <w:szCs w:val="20"/>
                <w:color w:val="auto"/>
              </w:rPr>
            </w:pPr>
            <w:r>
              <w:rPr>
                <w:rFonts w:ascii="Arial" w:cs="Arial" w:eastAsia="Arial" w:hAnsi="Arial"/>
                <w:sz w:val="18"/>
                <w:szCs w:val="18"/>
                <w:b w:val="1"/>
                <w:bCs w:val="1"/>
                <w:color w:val="auto"/>
              </w:rPr>
              <w:t>Comprehensive Income:</w:t>
            </w:r>
          </w:p>
        </w:tc>
        <w:tc>
          <w:tcPr>
            <w:tcW w:w="220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40" w:type="dxa"/>
            <w:vAlign w:val="bottom"/>
          </w:tcPr>
          <w:p>
            <w:pPr>
              <w:ind w:left="320"/>
              <w:spacing w:after="0" w:line="202" w:lineRule="exact"/>
              <w:rPr>
                <w:sz w:val="20"/>
                <w:szCs w:val="20"/>
                <w:color w:val="auto"/>
              </w:rPr>
            </w:pPr>
            <w:r>
              <w:rPr>
                <w:rFonts w:ascii="Arial" w:cs="Arial" w:eastAsia="Arial" w:hAnsi="Arial"/>
                <w:sz w:val="18"/>
                <w:szCs w:val="18"/>
                <w:color w:val="auto"/>
              </w:rPr>
              <w:t>Expense related to interest rate swaps included in Income</w:t>
            </w:r>
          </w:p>
        </w:tc>
        <w:tc>
          <w:tcPr>
            <w:tcW w:w="2200" w:type="dxa"/>
            <w:vAlign w:val="bottom"/>
            <w:vMerge w:val="restart"/>
          </w:tcPr>
          <w:p>
            <w:pPr>
              <w:jc w:val="right"/>
              <w:ind w:right="750"/>
              <w:spacing w:after="0"/>
              <w:rPr>
                <w:sz w:val="20"/>
                <w:szCs w:val="20"/>
                <w:color w:val="auto"/>
              </w:rPr>
            </w:pPr>
            <w:r>
              <w:rPr>
                <w:rFonts w:ascii="Arial" w:cs="Arial" w:eastAsia="Arial" w:hAnsi="Arial"/>
                <w:sz w:val="18"/>
                <w:szCs w:val="18"/>
                <w:b w:val="1"/>
                <w:bCs w:val="1"/>
                <w:color w:val="auto"/>
              </w:rPr>
              <w:t>$180</w:t>
            </w:r>
          </w:p>
        </w:tc>
        <w:tc>
          <w:tcPr>
            <w:tcW w:w="1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440" w:type="dxa"/>
            <w:vAlign w:val="bottom"/>
          </w:tcPr>
          <w:p>
            <w:pPr>
              <w:ind w:left="320"/>
              <w:spacing w:after="0" w:line="181" w:lineRule="exact"/>
              <w:rPr>
                <w:sz w:val="20"/>
                <w:szCs w:val="20"/>
                <w:color w:val="auto"/>
              </w:rPr>
            </w:pPr>
            <w:r>
              <w:rPr>
                <w:rFonts w:ascii="Arial" w:cs="Arial" w:eastAsia="Arial" w:hAnsi="Arial"/>
                <w:sz w:val="18"/>
                <w:szCs w:val="18"/>
                <w:color w:val="auto"/>
              </w:rPr>
              <w:t>before taxes (a)</w:t>
            </w:r>
          </w:p>
        </w:tc>
        <w:tc>
          <w:tcPr>
            <w:tcW w:w="2200" w:type="dxa"/>
            <w:vAlign w:val="bottom"/>
            <w:vMerge w:val="continue"/>
          </w:tcPr>
          <w:p>
            <w:pPr>
              <w:spacing w:after="0"/>
              <w:rPr>
                <w:sz w:val="15"/>
                <w:szCs w:val="15"/>
                <w:color w:val="auto"/>
              </w:rPr>
            </w:pPr>
          </w:p>
        </w:tc>
        <w:tc>
          <w:tcPr>
            <w:tcW w:w="1760" w:type="dxa"/>
            <w:vAlign w:val="bottom"/>
          </w:tcPr>
          <w:p>
            <w:pPr>
              <w:jc w:val="right"/>
              <w:ind w:right="10"/>
              <w:spacing w:after="0" w:line="181" w:lineRule="exact"/>
              <w:rPr>
                <w:sz w:val="20"/>
                <w:szCs w:val="20"/>
                <w:color w:val="auto"/>
              </w:rPr>
            </w:pPr>
            <w:r>
              <w:rPr>
                <w:rFonts w:ascii="Arial" w:cs="Arial" w:eastAsia="Arial" w:hAnsi="Arial"/>
                <w:sz w:val="18"/>
                <w:szCs w:val="18"/>
                <w:color w:val="auto"/>
              </w:rPr>
              <w:t>$600</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44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rPr>
              <w:t>Income tax effect</w:t>
            </w:r>
          </w:p>
        </w:tc>
        <w:tc>
          <w:tcPr>
            <w:tcW w:w="2200" w:type="dxa"/>
            <w:vAlign w:val="bottom"/>
            <w:tcBorders>
              <w:bottom w:val="single" w:sz="8" w:color="auto"/>
            </w:tcBorders>
          </w:tcPr>
          <w:p>
            <w:pPr>
              <w:jc w:val="right"/>
              <w:ind w:right="690"/>
              <w:spacing w:after="0"/>
              <w:rPr>
                <w:sz w:val="20"/>
                <w:szCs w:val="20"/>
                <w:color w:val="auto"/>
              </w:rPr>
            </w:pPr>
            <w:r>
              <w:rPr>
                <w:rFonts w:ascii="Arial" w:cs="Arial" w:eastAsia="Arial" w:hAnsi="Arial"/>
                <w:sz w:val="18"/>
                <w:szCs w:val="18"/>
                <w:b w:val="1"/>
                <w:bCs w:val="1"/>
                <w:color w:val="auto"/>
              </w:rPr>
              <w:t>(43)</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(228)</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7440" w:type="dxa"/>
            <w:vAlign w:val="bottom"/>
          </w:tcPr>
          <w:p>
            <w:pPr>
              <w:spacing w:after="0" w:line="195" w:lineRule="exact"/>
              <w:rPr>
                <w:sz w:val="20"/>
                <w:szCs w:val="20"/>
                <w:color w:val="auto"/>
              </w:rPr>
            </w:pPr>
            <w:r>
              <w:rPr>
                <w:rFonts w:ascii="Arial" w:cs="Arial" w:eastAsia="Arial" w:hAnsi="Arial"/>
                <w:sz w:val="18"/>
                <w:szCs w:val="18"/>
                <w:color w:val="auto"/>
              </w:rPr>
              <w:t>Effect on net income due to items reclassified from Accumulated Other</w:t>
            </w:r>
          </w:p>
        </w:tc>
        <w:tc>
          <w:tcPr>
            <w:tcW w:w="2200" w:type="dxa"/>
            <w:vAlign w:val="bottom"/>
            <w:vMerge w:val="restart"/>
          </w:tcPr>
          <w:p>
            <w:pPr>
              <w:jc w:val="right"/>
              <w:ind w:right="750"/>
              <w:spacing w:after="0"/>
              <w:rPr>
                <w:sz w:val="20"/>
                <w:szCs w:val="20"/>
                <w:color w:val="auto"/>
              </w:rPr>
            </w:pPr>
            <w:r>
              <w:rPr>
                <w:rFonts w:ascii="Arial" w:cs="Arial" w:eastAsia="Arial" w:hAnsi="Arial"/>
                <w:sz w:val="18"/>
                <w:szCs w:val="18"/>
                <w:b w:val="1"/>
                <w:bCs w:val="1"/>
                <w:color w:val="auto"/>
              </w:rPr>
              <w:t>$137</w:t>
            </w:r>
          </w:p>
        </w:tc>
        <w:tc>
          <w:tcPr>
            <w:tcW w:w="1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7460" w:type="dxa"/>
            <w:vAlign w:val="bottom"/>
            <w:tcBorders>
              <w:bottom w:val="single" w:sz="8" w:color="auto"/>
            </w:tcBorders>
            <w:gridSpan w:val="2"/>
          </w:tcPr>
          <w:p>
            <w:pPr>
              <w:spacing w:after="0" w:line="203" w:lineRule="exact"/>
              <w:rPr>
                <w:sz w:val="20"/>
                <w:szCs w:val="20"/>
                <w:color w:val="auto"/>
              </w:rPr>
            </w:pPr>
            <w:r>
              <w:rPr>
                <w:rFonts w:ascii="Arial" w:cs="Arial" w:eastAsia="Arial" w:hAnsi="Arial"/>
                <w:sz w:val="18"/>
                <w:szCs w:val="18"/>
                <w:color w:val="auto"/>
              </w:rPr>
              <w:t>Comprehensive Income</w:t>
            </w:r>
          </w:p>
        </w:tc>
        <w:tc>
          <w:tcPr>
            <w:tcW w:w="2200" w:type="dxa"/>
            <w:vAlign w:val="bottom"/>
            <w:tcBorders>
              <w:bottom w:val="single" w:sz="8" w:color="auto"/>
            </w:tcBorders>
            <w:vMerge w:val="continue"/>
          </w:tcPr>
          <w:p>
            <w:pPr>
              <w:spacing w:after="0"/>
              <w:rPr>
                <w:sz w:val="17"/>
                <w:szCs w:val="17"/>
                <w:color w:val="auto"/>
              </w:rPr>
            </w:pPr>
          </w:p>
        </w:tc>
        <w:tc>
          <w:tcPr>
            <w:tcW w:w="1760" w:type="dxa"/>
            <w:vAlign w:val="bottom"/>
            <w:tcBorders>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rPr>
              <w:t>$372</w:t>
            </w:r>
          </w:p>
        </w:tc>
        <w:tc>
          <w:tcPr>
            <w:tcW w:w="0" w:type="dxa"/>
            <w:vAlign w:val="bottom"/>
          </w:tcPr>
          <w:p>
            <w:pPr>
              <w:spacing w:after="0"/>
              <w:rPr>
                <w:sz w:val="1"/>
                <w:szCs w:val="1"/>
                <w:color w:val="auto"/>
              </w:rPr>
            </w:pPr>
          </w:p>
        </w:tc>
      </w:tr>
      <w:tr>
        <w:trPr>
          <w:trHeight w:val="376"/>
        </w:trPr>
        <w:tc>
          <w:tcPr>
            <w:tcW w:w="7460" w:type="dxa"/>
            <w:vAlign w:val="bottom"/>
            <w:gridSpan w:val="2"/>
          </w:tcPr>
          <w:p>
            <w:pPr>
              <w:spacing w:after="0"/>
              <w:rPr>
                <w:sz w:val="20"/>
                <w:szCs w:val="20"/>
                <w:color w:val="auto"/>
              </w:rPr>
            </w:pPr>
            <w:r>
              <w:rPr>
                <w:rFonts w:ascii="Arial" w:cs="Arial" w:eastAsia="Arial" w:hAnsi="Arial"/>
                <w:sz w:val="18"/>
                <w:szCs w:val="18"/>
                <w:b w:val="1"/>
                <w:bCs w:val="1"/>
                <w:color w:val="auto"/>
              </w:rPr>
              <w:t>Pretax pension and postretirement liabilities reclassified from Accumulated Other</w:t>
            </w:r>
          </w:p>
        </w:tc>
        <w:tc>
          <w:tcPr>
            <w:tcW w:w="22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7460" w:type="dxa"/>
            <w:vAlign w:val="bottom"/>
            <w:gridSpan w:val="2"/>
          </w:tcPr>
          <w:p>
            <w:pPr>
              <w:spacing w:after="0"/>
              <w:rPr>
                <w:sz w:val="20"/>
                <w:szCs w:val="20"/>
                <w:color w:val="auto"/>
              </w:rPr>
            </w:pPr>
            <w:r>
              <w:rPr>
                <w:rFonts w:ascii="Arial" w:cs="Arial" w:eastAsia="Arial" w:hAnsi="Arial"/>
                <w:sz w:val="18"/>
                <w:szCs w:val="18"/>
                <w:b w:val="1"/>
                <w:bCs w:val="1"/>
                <w:color w:val="auto"/>
              </w:rPr>
              <w:t>Comprehensive Income:</w:t>
            </w:r>
          </w:p>
        </w:tc>
        <w:tc>
          <w:tcPr>
            <w:tcW w:w="2200" w:type="dxa"/>
            <w:vAlign w:val="bottom"/>
            <w:vMerge w:val="restart"/>
          </w:tcPr>
          <w:p>
            <w:pPr>
              <w:jc w:val="right"/>
              <w:ind w:right="690"/>
              <w:spacing w:after="0"/>
              <w:rPr>
                <w:sz w:val="20"/>
                <w:szCs w:val="20"/>
                <w:color w:val="auto"/>
              </w:rPr>
            </w:pPr>
            <w:r>
              <w:rPr>
                <w:rFonts w:ascii="Arial" w:cs="Arial" w:eastAsia="Arial" w:hAnsi="Arial"/>
                <w:sz w:val="18"/>
                <w:szCs w:val="18"/>
                <w:b w:val="1"/>
                <w:bCs w:val="1"/>
                <w:color w:val="auto"/>
              </w:rPr>
              <w:t>($1,114)</w:t>
            </w:r>
          </w:p>
        </w:tc>
        <w:tc>
          <w:tcPr>
            <w:tcW w:w="1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440" w:type="dxa"/>
            <w:vAlign w:val="bottom"/>
          </w:tcPr>
          <w:p>
            <w:pPr>
              <w:ind w:left="320"/>
              <w:spacing w:after="0" w:line="181" w:lineRule="exact"/>
              <w:rPr>
                <w:sz w:val="20"/>
                <w:szCs w:val="20"/>
                <w:color w:val="auto"/>
              </w:rPr>
            </w:pPr>
            <w:r>
              <w:rPr>
                <w:rFonts w:ascii="Arial" w:cs="Arial" w:eastAsia="Arial" w:hAnsi="Arial"/>
                <w:sz w:val="18"/>
                <w:szCs w:val="18"/>
                <w:color w:val="auto"/>
              </w:rPr>
              <w:t>Amortization of prior service credit</w:t>
            </w:r>
          </w:p>
        </w:tc>
        <w:tc>
          <w:tcPr>
            <w:tcW w:w="2200" w:type="dxa"/>
            <w:vAlign w:val="bottom"/>
            <w:vMerge w:val="continue"/>
          </w:tcPr>
          <w:p>
            <w:pPr>
              <w:spacing w:after="0"/>
              <w:rPr>
                <w:sz w:val="15"/>
                <w:szCs w:val="15"/>
                <w:color w:val="auto"/>
              </w:rPr>
            </w:pPr>
          </w:p>
        </w:tc>
        <w:tc>
          <w:tcPr>
            <w:tcW w:w="1760" w:type="dxa"/>
            <w:vAlign w:val="bottom"/>
          </w:tcPr>
          <w:p>
            <w:pPr>
              <w:jc w:val="right"/>
              <w:spacing w:after="0" w:line="181" w:lineRule="exact"/>
              <w:rPr>
                <w:sz w:val="20"/>
                <w:szCs w:val="20"/>
                <w:color w:val="auto"/>
              </w:rPr>
            </w:pPr>
            <w:r>
              <w:rPr>
                <w:rFonts w:ascii="Arial" w:cs="Arial" w:eastAsia="Arial" w:hAnsi="Arial"/>
                <w:sz w:val="18"/>
                <w:szCs w:val="18"/>
                <w:color w:val="auto"/>
              </w:rPr>
              <w:t>($1,113)</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44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rPr>
              <w:t>Amortization of net actuarial loss</w:t>
            </w:r>
          </w:p>
        </w:tc>
        <w:tc>
          <w:tcPr>
            <w:tcW w:w="2200" w:type="dxa"/>
            <w:vAlign w:val="bottom"/>
            <w:tcBorders>
              <w:bottom w:val="single" w:sz="8" w:color="auto"/>
            </w:tcBorders>
          </w:tcPr>
          <w:p>
            <w:pPr>
              <w:jc w:val="right"/>
              <w:ind w:right="750"/>
              <w:spacing w:after="0"/>
              <w:rPr>
                <w:sz w:val="20"/>
                <w:szCs w:val="20"/>
                <w:color w:val="auto"/>
              </w:rPr>
            </w:pPr>
            <w:r>
              <w:rPr>
                <w:rFonts w:ascii="Arial" w:cs="Arial" w:eastAsia="Arial" w:hAnsi="Arial"/>
                <w:sz w:val="18"/>
                <w:szCs w:val="18"/>
                <w:b w:val="1"/>
                <w:bCs w:val="1"/>
                <w:color w:val="auto"/>
              </w:rPr>
              <w:t>1,297</w:t>
            </w:r>
          </w:p>
        </w:tc>
        <w:tc>
          <w:tcPr>
            <w:tcW w:w="17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1,347</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40" w:type="dxa"/>
            <w:vAlign w:val="bottom"/>
          </w:tcPr>
          <w:p>
            <w:pPr>
              <w:spacing w:after="0" w:line="173" w:lineRule="exact"/>
              <w:rPr>
                <w:sz w:val="20"/>
                <w:szCs w:val="20"/>
                <w:color w:val="auto"/>
              </w:rPr>
            </w:pPr>
            <w:r>
              <w:rPr>
                <w:rFonts w:ascii="Arial" w:cs="Arial" w:eastAsia="Arial" w:hAnsi="Arial"/>
                <w:sz w:val="18"/>
                <w:szCs w:val="18"/>
                <w:color w:val="auto"/>
              </w:rPr>
              <w:t>Total pretax amount reclassified (b)</w:t>
            </w:r>
          </w:p>
        </w:tc>
        <w:tc>
          <w:tcPr>
            <w:tcW w:w="2200" w:type="dxa"/>
            <w:vAlign w:val="bottom"/>
          </w:tcPr>
          <w:p>
            <w:pPr>
              <w:jc w:val="right"/>
              <w:ind w:right="750"/>
              <w:spacing w:after="0" w:line="173" w:lineRule="exact"/>
              <w:rPr>
                <w:sz w:val="20"/>
                <w:szCs w:val="20"/>
                <w:color w:val="auto"/>
              </w:rPr>
            </w:pPr>
            <w:r>
              <w:rPr>
                <w:rFonts w:ascii="Arial" w:cs="Arial" w:eastAsia="Arial" w:hAnsi="Arial"/>
                <w:sz w:val="18"/>
                <w:szCs w:val="18"/>
                <w:b w:val="1"/>
                <w:bCs w:val="1"/>
                <w:color w:val="auto"/>
              </w:rPr>
              <w:t>183</w:t>
            </w:r>
          </w:p>
        </w:tc>
        <w:tc>
          <w:tcPr>
            <w:tcW w:w="1760" w:type="dxa"/>
            <w:vAlign w:val="bottom"/>
          </w:tcPr>
          <w:p>
            <w:pPr>
              <w:jc w:val="right"/>
              <w:ind w:right="10"/>
              <w:spacing w:after="0" w:line="173" w:lineRule="exact"/>
              <w:rPr>
                <w:sz w:val="20"/>
                <w:szCs w:val="20"/>
                <w:color w:val="auto"/>
              </w:rPr>
            </w:pPr>
            <w:r>
              <w:rPr>
                <w:rFonts w:ascii="Arial" w:cs="Arial" w:eastAsia="Arial" w:hAnsi="Arial"/>
                <w:sz w:val="18"/>
                <w:szCs w:val="18"/>
                <w:color w:val="auto"/>
              </w:rPr>
              <w:t>234</w:t>
            </w:r>
          </w:p>
        </w:tc>
        <w:tc>
          <w:tcPr>
            <w:tcW w:w="0" w:type="dxa"/>
            <w:vAlign w:val="bottom"/>
          </w:tcPr>
          <w:p>
            <w:pPr>
              <w:spacing w:after="0"/>
              <w:rPr>
                <w:sz w:val="1"/>
                <w:szCs w:val="1"/>
                <w:color w:val="auto"/>
              </w:rPr>
            </w:pPr>
          </w:p>
        </w:tc>
      </w:tr>
      <w:tr>
        <w:trPr>
          <w:trHeight w:val="225"/>
        </w:trPr>
        <w:tc>
          <w:tcPr>
            <w:tcW w:w="74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Income tax effect</w:t>
            </w:r>
          </w:p>
        </w:tc>
        <w:tc>
          <w:tcPr>
            <w:tcW w:w="2200" w:type="dxa"/>
            <w:vAlign w:val="bottom"/>
            <w:tcBorders>
              <w:bottom w:val="single" w:sz="8" w:color="auto"/>
            </w:tcBorders>
          </w:tcPr>
          <w:p>
            <w:pPr>
              <w:jc w:val="right"/>
              <w:ind w:right="690"/>
              <w:spacing w:after="0"/>
              <w:rPr>
                <w:sz w:val="20"/>
                <w:szCs w:val="20"/>
                <w:color w:val="auto"/>
              </w:rPr>
            </w:pPr>
            <w:r>
              <w:rPr>
                <w:rFonts w:ascii="Arial" w:cs="Arial" w:eastAsia="Arial" w:hAnsi="Arial"/>
                <w:sz w:val="18"/>
                <w:szCs w:val="18"/>
                <w:b w:val="1"/>
                <w:bCs w:val="1"/>
                <w:color w:val="auto"/>
              </w:rPr>
              <w:t>(55)</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195"/>
        </w:trPr>
        <w:tc>
          <w:tcPr>
            <w:tcW w:w="7460" w:type="dxa"/>
            <w:vAlign w:val="bottom"/>
            <w:gridSpan w:val="2"/>
          </w:tcPr>
          <w:p>
            <w:pPr>
              <w:spacing w:after="0" w:line="195" w:lineRule="exact"/>
              <w:rPr>
                <w:sz w:val="20"/>
                <w:szCs w:val="20"/>
                <w:color w:val="auto"/>
              </w:rPr>
            </w:pPr>
            <w:r>
              <w:rPr>
                <w:rFonts w:ascii="Arial" w:cs="Arial" w:eastAsia="Arial" w:hAnsi="Arial"/>
                <w:sz w:val="18"/>
                <w:szCs w:val="18"/>
                <w:color w:val="auto"/>
              </w:rPr>
              <w:t>Effect on net income due to items reclassified from Accumulated Other</w:t>
            </w:r>
          </w:p>
        </w:tc>
        <w:tc>
          <w:tcPr>
            <w:tcW w:w="2200" w:type="dxa"/>
            <w:vAlign w:val="bottom"/>
            <w:vMerge w:val="restart"/>
          </w:tcPr>
          <w:p>
            <w:pPr>
              <w:jc w:val="right"/>
              <w:ind w:right="750"/>
              <w:spacing w:after="0"/>
              <w:rPr>
                <w:sz w:val="20"/>
                <w:szCs w:val="20"/>
                <w:color w:val="auto"/>
              </w:rPr>
            </w:pPr>
            <w:r>
              <w:rPr>
                <w:rFonts w:ascii="Arial" w:cs="Arial" w:eastAsia="Arial" w:hAnsi="Arial"/>
                <w:sz w:val="18"/>
                <w:szCs w:val="18"/>
                <w:b w:val="1"/>
                <w:bCs w:val="1"/>
                <w:color w:val="auto"/>
              </w:rPr>
              <w:t>$128</w:t>
            </w:r>
          </w:p>
        </w:tc>
        <w:tc>
          <w:tcPr>
            <w:tcW w:w="1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7460" w:type="dxa"/>
            <w:vAlign w:val="bottom"/>
            <w:tcBorders>
              <w:bottom w:val="single" w:sz="8" w:color="auto"/>
            </w:tcBorders>
            <w:gridSpan w:val="2"/>
          </w:tcPr>
          <w:p>
            <w:pPr>
              <w:spacing w:after="0" w:line="203" w:lineRule="exact"/>
              <w:rPr>
                <w:sz w:val="20"/>
                <w:szCs w:val="20"/>
                <w:color w:val="auto"/>
              </w:rPr>
            </w:pPr>
            <w:r>
              <w:rPr>
                <w:rFonts w:ascii="Arial" w:cs="Arial" w:eastAsia="Arial" w:hAnsi="Arial"/>
                <w:sz w:val="18"/>
                <w:szCs w:val="18"/>
                <w:color w:val="auto"/>
              </w:rPr>
              <w:t>Comprehensive Income</w:t>
            </w:r>
          </w:p>
        </w:tc>
        <w:tc>
          <w:tcPr>
            <w:tcW w:w="2200" w:type="dxa"/>
            <w:vAlign w:val="bottom"/>
            <w:tcBorders>
              <w:bottom w:val="single" w:sz="8" w:color="auto"/>
            </w:tcBorders>
            <w:vMerge w:val="continue"/>
          </w:tcPr>
          <w:p>
            <w:pPr>
              <w:spacing w:after="0"/>
              <w:rPr>
                <w:sz w:val="17"/>
                <w:szCs w:val="17"/>
                <w:color w:val="auto"/>
              </w:rPr>
            </w:pPr>
          </w:p>
        </w:tc>
        <w:tc>
          <w:tcPr>
            <w:tcW w:w="1760" w:type="dxa"/>
            <w:vAlign w:val="bottom"/>
            <w:tcBorders>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rPr>
              <w:t>$164</w:t>
            </w:r>
          </w:p>
        </w:tc>
        <w:tc>
          <w:tcPr>
            <w:tcW w:w="0" w:type="dxa"/>
            <w:vAlign w:val="bottom"/>
          </w:tcPr>
          <w:p>
            <w:pPr>
              <w:spacing w:after="0"/>
              <w:rPr>
                <w:sz w:val="1"/>
                <w:szCs w:val="1"/>
                <w:color w:val="auto"/>
              </w:rPr>
            </w:pPr>
          </w:p>
        </w:tc>
      </w:tr>
    </w:tbl>
    <w:p>
      <w:pPr>
        <w:spacing w:after="0" w:line="310" w:lineRule="exact"/>
        <w:rPr>
          <w:sz w:val="20"/>
          <w:szCs w:val="20"/>
          <w:color w:val="auto"/>
        </w:rPr>
      </w:pPr>
    </w:p>
    <w:p>
      <w:pPr>
        <w:ind w:left="660" w:hanging="652"/>
        <w:spacing w:after="0" w:line="246"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Included in Interest expense are payments related to the interest rate swap agreements and amortization of swap buyouts (see Note 16).</w:t>
      </w:r>
    </w:p>
    <w:p>
      <w:pPr>
        <w:spacing w:after="0" w:line="88" w:lineRule="exact"/>
        <w:rPr>
          <w:rFonts w:ascii="Arial" w:cs="Arial" w:eastAsia="Arial" w:hAnsi="Arial"/>
          <w:sz w:val="18"/>
          <w:szCs w:val="18"/>
          <w:color w:val="auto"/>
        </w:rPr>
      </w:pPr>
    </w:p>
    <w:p>
      <w:pPr>
        <w:ind w:left="660" w:hanging="652"/>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These accumulated other comprehensive income components are included in Other expense, net (see Note 4).</w:t>
      </w: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11. Accounts Receivable</w:t>
      </w:r>
    </w:p>
    <w:p>
      <w:pPr>
        <w:spacing w:after="0" w:line="207" w:lineRule="exact"/>
        <w:rPr>
          <w:sz w:val="20"/>
          <w:szCs w:val="20"/>
          <w:color w:val="auto"/>
        </w:rPr>
      </w:pPr>
    </w:p>
    <w:p>
      <w:pPr>
        <w:ind w:right="180" w:firstLine="648"/>
        <w:spacing w:after="0" w:line="239" w:lineRule="auto"/>
        <w:rPr>
          <w:sz w:val="20"/>
          <w:szCs w:val="20"/>
          <w:color w:val="auto"/>
        </w:rPr>
      </w:pPr>
      <w:r>
        <w:rPr>
          <w:rFonts w:ascii="Arial" w:cs="Arial" w:eastAsia="Arial" w:hAnsi="Arial"/>
          <w:sz w:val="18"/>
          <w:szCs w:val="18"/>
          <w:color w:val="auto"/>
        </w:rPr>
        <w:t>Accounts receivable includes trade receivables and bank promissory notes. As a result of adopting ASC 606, Revenue in excess of progress billings on long-term contracts in the Albany Engineered Composites segment was reclassified to Contract assets in 2018. Including that reclassification, the cumulative effect from the adoption of ASC 606 was an increase to Accounts receivable of $10.2 million as Accounts receivable recorded in the cumulative adjustment exceeded that reclassification.</w:t>
      </w:r>
    </w:p>
    <w:p>
      <w:pPr>
        <w:spacing w:after="0" w:line="161" w:lineRule="exact"/>
        <w:rPr>
          <w:sz w:val="20"/>
          <w:szCs w:val="20"/>
          <w:color w:val="auto"/>
        </w:rPr>
      </w:pPr>
    </w:p>
    <w:p>
      <w:pPr>
        <w:ind w:right="320" w:firstLine="648"/>
        <w:spacing w:after="0" w:line="239" w:lineRule="auto"/>
        <w:rPr>
          <w:sz w:val="20"/>
          <w:szCs w:val="20"/>
          <w:color w:val="auto"/>
        </w:rPr>
      </w:pPr>
      <w:r>
        <w:rPr>
          <w:rFonts w:ascii="Arial" w:cs="Arial" w:eastAsia="Arial" w:hAnsi="Arial"/>
          <w:sz w:val="18"/>
          <w:szCs w:val="18"/>
          <w:color w:val="auto"/>
        </w:rPr>
        <w:t>The Company maintains allowances for doubtful accounts for estimated losses resulting from the inability of its customers to make required payments. The Company determines the allowance based on historical write-off experience, customer-specific facts and economic conditions. If the financial condition of the Company’s customers were to deteriorate, resulting in an impairment of their ability to make payments, additional allowances may be required.</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342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27" w:name="page28"/>
    <w:bookmarkEnd w:id="27"/>
    <w:p>
      <w:pPr>
        <w:ind w:left="660"/>
        <w:spacing w:after="0"/>
        <w:rPr>
          <w:sz w:val="20"/>
          <w:szCs w:val="20"/>
          <w:color w:val="auto"/>
        </w:rPr>
      </w:pPr>
      <w:r>
        <w:rPr>
          <w:rFonts w:ascii="Arial" w:cs="Arial" w:eastAsia="Arial" w:hAnsi="Arial"/>
          <w:sz w:val="18"/>
          <w:szCs w:val="18"/>
          <w:color w:val="auto"/>
        </w:rPr>
        <w:t>As of March 31, 2018 and December 31, 2017, Accounts receivable consisted of the following:</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5380" w:type="dxa"/>
            <w:vAlign w:val="bottom"/>
            <w:tcBorders>
              <w:top w:val="single" w:sz="8" w:color="auto"/>
            </w:tcBorders>
          </w:tcPr>
          <w:p>
            <w:pPr>
              <w:spacing w:after="0"/>
              <w:rPr>
                <w:sz w:val="16"/>
                <w:szCs w:val="16"/>
                <w:color w:val="auto"/>
              </w:rPr>
            </w:pPr>
          </w:p>
        </w:tc>
        <w:tc>
          <w:tcPr>
            <w:tcW w:w="4080" w:type="dxa"/>
            <w:vAlign w:val="bottom"/>
            <w:tcBorders>
              <w:top w:val="single" w:sz="8" w:color="auto"/>
            </w:tcBorders>
          </w:tcPr>
          <w:p>
            <w:pPr>
              <w:jc w:val="right"/>
              <w:ind w:right="850"/>
              <w:spacing w:after="0" w:line="194" w:lineRule="exact"/>
              <w:rPr>
                <w:sz w:val="20"/>
                <w:szCs w:val="20"/>
                <w:color w:val="auto"/>
              </w:rPr>
            </w:pPr>
            <w:r>
              <w:rPr>
                <w:rFonts w:ascii="Arial" w:cs="Arial" w:eastAsia="Arial" w:hAnsi="Arial"/>
                <w:sz w:val="18"/>
                <w:szCs w:val="18"/>
                <w:b w:val="1"/>
                <w:bCs w:val="1"/>
                <w:color w:val="auto"/>
              </w:rPr>
              <w:t>March 31,</w:t>
            </w:r>
          </w:p>
        </w:tc>
        <w:tc>
          <w:tcPr>
            <w:tcW w:w="1960" w:type="dxa"/>
            <w:vAlign w:val="bottom"/>
            <w:tcBorders>
              <w:top w:val="single" w:sz="8" w:color="auto"/>
            </w:tcBorders>
          </w:tcPr>
          <w:p>
            <w:pPr>
              <w:jc w:val="right"/>
              <w:ind w:right="110"/>
              <w:spacing w:after="0" w:line="194" w:lineRule="exact"/>
              <w:rPr>
                <w:sz w:val="20"/>
                <w:szCs w:val="20"/>
                <w:color w:val="auto"/>
              </w:rPr>
            </w:pPr>
            <w:r>
              <w:rPr>
                <w:rFonts w:ascii="Arial" w:cs="Arial" w:eastAsia="Arial" w:hAnsi="Arial"/>
                <w:sz w:val="18"/>
                <w:szCs w:val="18"/>
                <w:b w:val="1"/>
                <w:bCs w:val="1"/>
                <w:color w:val="auto"/>
              </w:rPr>
              <w:t>December 31,</w:t>
            </w:r>
          </w:p>
        </w:tc>
      </w:tr>
      <w:tr>
        <w:trPr>
          <w:trHeight w:val="225"/>
        </w:trPr>
        <w:tc>
          <w:tcPr>
            <w:tcW w:w="53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(in thousands)</w:t>
            </w:r>
          </w:p>
        </w:tc>
        <w:tc>
          <w:tcPr>
            <w:tcW w:w="4080" w:type="dxa"/>
            <w:vAlign w:val="bottom"/>
            <w:tcBorders>
              <w:bottom w:val="single" w:sz="8" w:color="auto"/>
            </w:tcBorders>
          </w:tcPr>
          <w:p>
            <w:pPr>
              <w:jc w:val="right"/>
              <w:ind w:right="1030"/>
              <w:spacing w:after="0"/>
              <w:rPr>
                <w:sz w:val="20"/>
                <w:szCs w:val="20"/>
                <w:color w:val="auto"/>
              </w:rPr>
            </w:pPr>
            <w:r>
              <w:rPr>
                <w:rFonts w:ascii="Arial" w:cs="Arial" w:eastAsia="Arial" w:hAnsi="Arial"/>
                <w:sz w:val="18"/>
                <w:szCs w:val="18"/>
                <w:b w:val="1"/>
                <w:bCs w:val="1"/>
                <w:color w:val="auto"/>
              </w:rPr>
              <w:t>2018</w:t>
            </w:r>
          </w:p>
        </w:tc>
        <w:tc>
          <w:tcPr>
            <w:tcW w:w="19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2017</w:t>
            </w:r>
          </w:p>
        </w:tc>
      </w:tr>
      <w:tr>
        <w:trPr>
          <w:trHeight w:val="173"/>
        </w:trPr>
        <w:tc>
          <w:tcPr>
            <w:tcW w:w="5380" w:type="dxa"/>
            <w:vAlign w:val="bottom"/>
          </w:tcPr>
          <w:p>
            <w:pPr>
              <w:spacing w:after="0" w:line="173" w:lineRule="exact"/>
              <w:rPr>
                <w:sz w:val="20"/>
                <w:szCs w:val="20"/>
                <w:color w:val="auto"/>
              </w:rPr>
            </w:pPr>
            <w:r>
              <w:rPr>
                <w:rFonts w:ascii="Arial" w:cs="Arial" w:eastAsia="Arial" w:hAnsi="Arial"/>
                <w:sz w:val="18"/>
                <w:szCs w:val="18"/>
                <w:color w:val="auto"/>
              </w:rPr>
              <w:t>Trade and other accounts receivable</w:t>
            </w:r>
          </w:p>
        </w:tc>
        <w:tc>
          <w:tcPr>
            <w:tcW w:w="4080" w:type="dxa"/>
            <w:vAlign w:val="bottom"/>
          </w:tcPr>
          <w:p>
            <w:pPr>
              <w:jc w:val="right"/>
              <w:ind w:right="550"/>
              <w:spacing w:after="0" w:line="173" w:lineRule="exact"/>
              <w:rPr>
                <w:sz w:val="20"/>
                <w:szCs w:val="20"/>
                <w:color w:val="auto"/>
              </w:rPr>
            </w:pPr>
            <w:r>
              <w:rPr>
                <w:rFonts w:ascii="Arial" w:cs="Arial" w:eastAsia="Arial" w:hAnsi="Arial"/>
                <w:sz w:val="18"/>
                <w:szCs w:val="18"/>
                <w:b w:val="1"/>
                <w:bCs w:val="1"/>
                <w:color w:val="auto"/>
              </w:rPr>
              <w:t>$237,767</w:t>
            </w:r>
          </w:p>
        </w:tc>
        <w:tc>
          <w:tcPr>
            <w:tcW w:w="1960" w:type="dxa"/>
            <w:vAlign w:val="bottom"/>
          </w:tcPr>
          <w:p>
            <w:pPr>
              <w:jc w:val="right"/>
              <w:ind w:right="10"/>
              <w:spacing w:after="0" w:line="173" w:lineRule="exact"/>
              <w:rPr>
                <w:sz w:val="20"/>
                <w:szCs w:val="20"/>
                <w:color w:val="auto"/>
              </w:rPr>
            </w:pPr>
            <w:r>
              <w:rPr>
                <w:rFonts w:ascii="Arial" w:cs="Arial" w:eastAsia="Arial" w:hAnsi="Arial"/>
                <w:sz w:val="18"/>
                <w:szCs w:val="18"/>
                <w:color w:val="auto"/>
              </w:rPr>
              <w:t>$152,375</w:t>
            </w:r>
          </w:p>
        </w:tc>
      </w:tr>
      <w:tr>
        <w:trPr>
          <w:trHeight w:val="203"/>
        </w:trPr>
        <w:tc>
          <w:tcPr>
            <w:tcW w:w="5380" w:type="dxa"/>
            <w:vAlign w:val="bottom"/>
          </w:tcPr>
          <w:p>
            <w:pPr>
              <w:spacing w:after="0" w:line="202" w:lineRule="exact"/>
              <w:rPr>
                <w:sz w:val="20"/>
                <w:szCs w:val="20"/>
                <w:color w:val="auto"/>
              </w:rPr>
            </w:pPr>
            <w:r>
              <w:rPr>
                <w:rFonts w:ascii="Arial" w:cs="Arial" w:eastAsia="Arial" w:hAnsi="Arial"/>
                <w:sz w:val="18"/>
                <w:szCs w:val="18"/>
                <w:color w:val="auto"/>
              </w:rPr>
              <w:t>Bank promissory notes</w:t>
            </w:r>
          </w:p>
        </w:tc>
        <w:tc>
          <w:tcPr>
            <w:tcW w:w="4080" w:type="dxa"/>
            <w:vAlign w:val="bottom"/>
          </w:tcPr>
          <w:p>
            <w:pPr>
              <w:jc w:val="right"/>
              <w:ind w:right="550"/>
              <w:spacing w:after="0" w:line="202" w:lineRule="exact"/>
              <w:rPr>
                <w:sz w:val="20"/>
                <w:szCs w:val="20"/>
                <w:color w:val="auto"/>
              </w:rPr>
            </w:pPr>
            <w:r>
              <w:rPr>
                <w:rFonts w:ascii="Arial" w:cs="Arial" w:eastAsia="Arial" w:hAnsi="Arial"/>
                <w:sz w:val="18"/>
                <w:szCs w:val="18"/>
                <w:b w:val="1"/>
                <w:bCs w:val="1"/>
                <w:color w:val="auto"/>
              </w:rPr>
              <w:t>18,865</w:t>
            </w:r>
          </w:p>
        </w:tc>
        <w:tc>
          <w:tcPr>
            <w:tcW w:w="19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20,255</w:t>
            </w:r>
          </w:p>
        </w:tc>
      </w:tr>
      <w:tr>
        <w:trPr>
          <w:trHeight w:val="203"/>
        </w:trPr>
        <w:tc>
          <w:tcPr>
            <w:tcW w:w="5380" w:type="dxa"/>
            <w:vAlign w:val="bottom"/>
          </w:tcPr>
          <w:p>
            <w:pPr>
              <w:spacing w:after="0" w:line="202" w:lineRule="exact"/>
              <w:rPr>
                <w:sz w:val="20"/>
                <w:szCs w:val="20"/>
                <w:color w:val="auto"/>
              </w:rPr>
            </w:pPr>
            <w:r>
              <w:rPr>
                <w:rFonts w:ascii="Arial" w:cs="Arial" w:eastAsia="Arial" w:hAnsi="Arial"/>
                <w:sz w:val="18"/>
                <w:szCs w:val="18"/>
                <w:color w:val="auto"/>
              </w:rPr>
              <w:t>Revenue in excess of progress billings</w:t>
            </w:r>
          </w:p>
        </w:tc>
        <w:tc>
          <w:tcPr>
            <w:tcW w:w="4080" w:type="dxa"/>
            <w:vAlign w:val="bottom"/>
          </w:tcPr>
          <w:p>
            <w:pPr>
              <w:jc w:val="right"/>
              <w:ind w:right="550"/>
              <w:spacing w:after="0" w:line="202" w:lineRule="exact"/>
              <w:rPr>
                <w:sz w:val="20"/>
                <w:szCs w:val="20"/>
                <w:color w:val="auto"/>
              </w:rPr>
            </w:pPr>
            <w:r>
              <w:rPr>
                <w:rFonts w:ascii="Arial" w:cs="Arial" w:eastAsia="Arial" w:hAnsi="Arial"/>
                <w:sz w:val="18"/>
                <w:szCs w:val="18"/>
                <w:b w:val="1"/>
                <w:bCs w:val="1"/>
                <w:color w:val="auto"/>
              </w:rPr>
              <w:t>-</w:t>
            </w:r>
          </w:p>
        </w:tc>
        <w:tc>
          <w:tcPr>
            <w:tcW w:w="19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37,964</w:t>
            </w:r>
          </w:p>
        </w:tc>
      </w:tr>
      <w:tr>
        <w:trPr>
          <w:trHeight w:val="225"/>
        </w:trPr>
        <w:tc>
          <w:tcPr>
            <w:tcW w:w="53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Allowance for doubtful accounts</w:t>
            </w:r>
          </w:p>
        </w:tc>
        <w:tc>
          <w:tcPr>
            <w:tcW w:w="40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(8,094)</w:t>
            </w: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(7,919)</w:t>
            </w:r>
          </w:p>
        </w:tc>
      </w:tr>
      <w:tr>
        <w:trPr>
          <w:trHeight w:val="196"/>
        </w:trPr>
        <w:tc>
          <w:tcPr>
            <w:tcW w:w="538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Total accounts receivable</w:t>
            </w:r>
          </w:p>
        </w:tc>
        <w:tc>
          <w:tcPr>
            <w:tcW w:w="4080" w:type="dxa"/>
            <w:vAlign w:val="bottom"/>
            <w:tcBorders>
              <w:bottom w:val="single" w:sz="8" w:color="auto"/>
            </w:tcBorders>
          </w:tcPr>
          <w:p>
            <w:pPr>
              <w:jc w:val="right"/>
              <w:ind w:right="550"/>
              <w:spacing w:after="0" w:line="196" w:lineRule="exact"/>
              <w:rPr>
                <w:sz w:val="20"/>
                <w:szCs w:val="20"/>
                <w:color w:val="auto"/>
              </w:rPr>
            </w:pPr>
            <w:r>
              <w:rPr>
                <w:rFonts w:ascii="Arial" w:cs="Arial" w:eastAsia="Arial" w:hAnsi="Arial"/>
                <w:sz w:val="18"/>
                <w:szCs w:val="18"/>
                <w:b w:val="1"/>
                <w:bCs w:val="1"/>
                <w:color w:val="auto"/>
              </w:rPr>
              <w:t>$248,538</w:t>
            </w:r>
          </w:p>
        </w:tc>
        <w:tc>
          <w:tcPr>
            <w:tcW w:w="196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$202,675</w:t>
            </w:r>
          </w:p>
        </w:tc>
      </w:tr>
    </w:tbl>
    <w:p>
      <w:pPr>
        <w:spacing w:after="0" w:line="391" w:lineRule="exact"/>
        <w:rPr>
          <w:sz w:val="20"/>
          <w:szCs w:val="20"/>
          <w:color w:val="auto"/>
        </w:rPr>
      </w:pPr>
    </w:p>
    <w:p>
      <w:pPr>
        <w:ind w:right="600" w:firstLine="648"/>
        <w:spacing w:after="0" w:line="246" w:lineRule="auto"/>
        <w:rPr>
          <w:sz w:val="20"/>
          <w:szCs w:val="20"/>
          <w:color w:val="auto"/>
        </w:rPr>
      </w:pPr>
      <w:r>
        <w:rPr>
          <w:rFonts w:ascii="Arial" w:cs="Arial" w:eastAsia="Arial" w:hAnsi="Arial"/>
          <w:sz w:val="18"/>
          <w:szCs w:val="18"/>
          <w:color w:val="auto"/>
        </w:rPr>
        <w:t>In connection with certain sales in Asia, the Company accepts a bank promissory note as customer payment. The notes may be presented for payment at maturity, which is less than one year.</w:t>
      </w:r>
    </w:p>
    <w:p>
      <w:pPr>
        <w:spacing w:after="0" w:line="156" w:lineRule="exact"/>
        <w:rPr>
          <w:sz w:val="20"/>
          <w:szCs w:val="20"/>
          <w:color w:val="auto"/>
        </w:rPr>
      </w:pPr>
    </w:p>
    <w:p>
      <w:pPr>
        <w:ind w:right="500" w:firstLine="648"/>
        <w:spacing w:after="0" w:line="246" w:lineRule="auto"/>
        <w:rPr>
          <w:sz w:val="20"/>
          <w:szCs w:val="20"/>
          <w:color w:val="auto"/>
        </w:rPr>
      </w:pPr>
      <w:r>
        <w:rPr>
          <w:rFonts w:ascii="Arial" w:cs="Arial" w:eastAsia="Arial" w:hAnsi="Arial"/>
          <w:sz w:val="18"/>
          <w:szCs w:val="18"/>
          <w:color w:val="auto"/>
        </w:rPr>
        <w:t>The Company also has Noncurrent receivables in the AEC segment that represent revenue earned which has extended payment terms. The Noncurrent receivables will be invoiced to the customer, with 2% interest, over a 10-year period starting in 2020.</w:t>
      </w:r>
    </w:p>
    <w:p>
      <w:pPr>
        <w:spacing w:after="0" w:line="1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March 31, 2018 and December 31, 2017, Noncurrent receivables consisted of the following:</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4780" w:type="dxa"/>
            <w:vAlign w:val="bottom"/>
            <w:tcBorders>
              <w:top w:val="single" w:sz="8" w:color="auto"/>
            </w:tcBorders>
          </w:tcPr>
          <w:p>
            <w:pPr>
              <w:spacing w:after="0"/>
              <w:rPr>
                <w:sz w:val="16"/>
                <w:szCs w:val="16"/>
                <w:color w:val="auto"/>
              </w:rPr>
            </w:pPr>
          </w:p>
        </w:tc>
        <w:tc>
          <w:tcPr>
            <w:tcW w:w="4640" w:type="dxa"/>
            <w:vAlign w:val="bottom"/>
            <w:tcBorders>
              <w:top w:val="single" w:sz="8" w:color="auto"/>
            </w:tcBorders>
          </w:tcPr>
          <w:p>
            <w:pPr>
              <w:jc w:val="center"/>
              <w:ind w:left="1930"/>
              <w:spacing w:after="0" w:line="194" w:lineRule="exact"/>
              <w:rPr>
                <w:sz w:val="20"/>
                <w:szCs w:val="20"/>
                <w:color w:val="auto"/>
              </w:rPr>
            </w:pPr>
            <w:r>
              <w:rPr>
                <w:rFonts w:ascii="Arial" w:cs="Arial" w:eastAsia="Arial" w:hAnsi="Arial"/>
                <w:sz w:val="18"/>
                <w:szCs w:val="18"/>
                <w:b w:val="1"/>
                <w:bCs w:val="1"/>
                <w:color w:val="auto"/>
                <w:w w:val="98"/>
              </w:rPr>
              <w:t>March 31,</w:t>
            </w:r>
          </w:p>
        </w:tc>
        <w:tc>
          <w:tcPr>
            <w:tcW w:w="2000" w:type="dxa"/>
            <w:vAlign w:val="bottom"/>
            <w:tcBorders>
              <w:top w:val="single" w:sz="8" w:color="auto"/>
            </w:tcBorders>
          </w:tcPr>
          <w:p>
            <w:pPr>
              <w:jc w:val="center"/>
              <w:ind w:left="330"/>
              <w:spacing w:after="0" w:line="194" w:lineRule="exact"/>
              <w:rPr>
                <w:sz w:val="20"/>
                <w:szCs w:val="20"/>
                <w:color w:val="auto"/>
              </w:rPr>
            </w:pPr>
            <w:r>
              <w:rPr>
                <w:rFonts w:ascii="Arial" w:cs="Arial" w:eastAsia="Arial" w:hAnsi="Arial"/>
                <w:sz w:val="18"/>
                <w:szCs w:val="18"/>
                <w:b w:val="1"/>
                <w:bCs w:val="1"/>
                <w:color w:val="auto"/>
              </w:rPr>
              <w:t>December 31,</w:t>
            </w:r>
          </w:p>
        </w:tc>
      </w:tr>
      <w:tr>
        <w:trPr>
          <w:trHeight w:val="225"/>
        </w:trPr>
        <w:tc>
          <w:tcPr>
            <w:tcW w:w="47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(in thousands)</w:t>
            </w:r>
          </w:p>
        </w:tc>
        <w:tc>
          <w:tcPr>
            <w:tcW w:w="4640" w:type="dxa"/>
            <w:vAlign w:val="bottom"/>
            <w:tcBorders>
              <w:bottom w:val="single" w:sz="8" w:color="auto"/>
            </w:tcBorders>
          </w:tcPr>
          <w:p>
            <w:pPr>
              <w:jc w:val="right"/>
              <w:ind w:right="990"/>
              <w:spacing w:after="0"/>
              <w:rPr>
                <w:sz w:val="20"/>
                <w:szCs w:val="20"/>
                <w:color w:val="auto"/>
              </w:rPr>
            </w:pPr>
            <w:r>
              <w:rPr>
                <w:rFonts w:ascii="Arial" w:cs="Arial" w:eastAsia="Arial" w:hAnsi="Arial"/>
                <w:sz w:val="18"/>
                <w:szCs w:val="18"/>
                <w:b w:val="1"/>
                <w:bCs w:val="1"/>
                <w:color w:val="auto"/>
              </w:rPr>
              <w:t>2018</w:t>
            </w:r>
          </w:p>
        </w:tc>
        <w:tc>
          <w:tcPr>
            <w:tcW w:w="20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2017</w:t>
            </w:r>
          </w:p>
        </w:tc>
      </w:tr>
      <w:tr>
        <w:trPr>
          <w:trHeight w:val="196"/>
        </w:trPr>
        <w:tc>
          <w:tcPr>
            <w:tcW w:w="478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Noncurrent receivables</w:t>
            </w:r>
          </w:p>
        </w:tc>
        <w:tc>
          <w:tcPr>
            <w:tcW w:w="4640" w:type="dxa"/>
            <w:vAlign w:val="bottom"/>
            <w:tcBorders>
              <w:bottom w:val="single" w:sz="8" w:color="auto"/>
            </w:tcBorders>
          </w:tcPr>
          <w:p>
            <w:pPr>
              <w:jc w:val="right"/>
              <w:ind w:right="510"/>
              <w:spacing w:after="0" w:line="196" w:lineRule="exact"/>
              <w:rPr>
                <w:sz w:val="20"/>
                <w:szCs w:val="20"/>
                <w:color w:val="auto"/>
              </w:rPr>
            </w:pPr>
            <w:r>
              <w:rPr>
                <w:rFonts w:ascii="Arial" w:cs="Arial" w:eastAsia="Arial" w:hAnsi="Arial"/>
                <w:sz w:val="18"/>
                <w:szCs w:val="18"/>
                <w:b w:val="1"/>
                <w:bCs w:val="1"/>
                <w:color w:val="auto"/>
              </w:rPr>
              <w:t>$35,338</w:t>
            </w:r>
          </w:p>
        </w:tc>
        <w:tc>
          <w:tcPr>
            <w:tcW w:w="200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$32,811</w:t>
            </w:r>
          </w:p>
        </w:tc>
      </w:tr>
    </w:tbl>
    <w:p>
      <w:pPr>
        <w:spacing w:after="0" w:line="3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12. Contract Assets and Liabilities</w:t>
      </w:r>
    </w:p>
    <w:p>
      <w:pPr>
        <w:spacing w:after="0" w:line="193" w:lineRule="exact"/>
        <w:rPr>
          <w:sz w:val="20"/>
          <w:szCs w:val="20"/>
          <w:color w:val="auto"/>
        </w:rPr>
      </w:pPr>
    </w:p>
    <w:p>
      <w:pPr>
        <w:ind w:right="20" w:firstLine="648"/>
        <w:spacing w:after="0" w:line="238" w:lineRule="auto"/>
        <w:rPr>
          <w:sz w:val="20"/>
          <w:szCs w:val="20"/>
          <w:color w:val="auto"/>
        </w:rPr>
      </w:pPr>
      <w:r>
        <w:rPr>
          <w:rFonts w:ascii="Arial" w:cs="Arial" w:eastAsia="Arial" w:hAnsi="Arial"/>
          <w:sz w:val="18"/>
          <w:szCs w:val="18"/>
          <w:color w:val="auto"/>
        </w:rPr>
        <w:t>Beginning in 2018, Contract assets includes unbilled amounts typically resulting from sales under contracts when the cost-to-cost method of revenue recognition is utilized, and revenue recognized exceeds the amount billed to the customer. For periods prior to 2018, that asset was included in Accounts receivable. At the date of adoption of ASC 606, we recorded Contract assets of $44.9 million, which included the amount that was in Accounts receivable as of December 31, 2017, and additional transition adjustments that resulted from the retrospective application of ASC 606 to contracts in process at the time of adoption.</w:t>
      </w:r>
    </w:p>
    <w:p>
      <w:pPr>
        <w:spacing w:after="0" w:line="176" w:lineRule="exact"/>
        <w:rPr>
          <w:sz w:val="20"/>
          <w:szCs w:val="20"/>
          <w:color w:val="auto"/>
        </w:rPr>
      </w:pPr>
    </w:p>
    <w:p>
      <w:pPr>
        <w:ind w:right="420" w:firstLine="648"/>
        <w:spacing w:after="0"/>
        <w:rPr>
          <w:sz w:val="20"/>
          <w:szCs w:val="20"/>
          <w:color w:val="auto"/>
        </w:rPr>
      </w:pPr>
      <w:r>
        <w:rPr>
          <w:rFonts w:ascii="Arial" w:cs="Arial" w:eastAsia="Arial" w:hAnsi="Arial"/>
          <w:sz w:val="18"/>
          <w:szCs w:val="18"/>
          <w:color w:val="auto"/>
        </w:rPr>
        <w:t>Contract assets are transferred to Accounts receivable, net when the entitlement to pay becomes unconditional. Contract liabilities include advance payments and billings in excess of revenue recognized. Contract liabilities are included in Accrued liabilities in the Consolidated Balance Sheet.</w:t>
      </w:r>
    </w:p>
    <w:p>
      <w:pPr>
        <w:spacing w:after="0" w:line="162" w:lineRule="exact"/>
        <w:rPr>
          <w:sz w:val="20"/>
          <w:szCs w:val="20"/>
          <w:color w:val="auto"/>
        </w:rPr>
      </w:pPr>
    </w:p>
    <w:p>
      <w:pPr>
        <w:ind w:right="360" w:firstLine="648"/>
        <w:spacing w:after="0" w:line="246" w:lineRule="auto"/>
        <w:rPr>
          <w:sz w:val="20"/>
          <w:szCs w:val="20"/>
          <w:color w:val="auto"/>
        </w:rPr>
      </w:pPr>
      <w:r>
        <w:rPr>
          <w:rFonts w:ascii="Arial" w:cs="Arial" w:eastAsia="Arial" w:hAnsi="Arial"/>
          <w:sz w:val="18"/>
          <w:szCs w:val="18"/>
          <w:color w:val="auto"/>
        </w:rPr>
        <w:t>Contract assets and Contract liabilities are reported on the Consolidated Balance Sheets in a net position on a contract-by-contract basis at the end of each reporting period. Contract assets and contract liabilities were as follows: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4560" w:type="dxa"/>
            <w:vAlign w:val="bottom"/>
            <w:tcBorders>
              <w:top w:val="single" w:sz="8" w:color="auto"/>
            </w:tcBorders>
          </w:tcPr>
          <w:p>
            <w:pPr>
              <w:spacing w:after="0"/>
              <w:rPr>
                <w:sz w:val="16"/>
                <w:szCs w:val="16"/>
                <w:color w:val="auto"/>
              </w:rPr>
            </w:pPr>
          </w:p>
        </w:tc>
        <w:tc>
          <w:tcPr>
            <w:tcW w:w="4860" w:type="dxa"/>
            <w:vAlign w:val="bottom"/>
            <w:tcBorders>
              <w:top w:val="single" w:sz="8" w:color="auto"/>
            </w:tcBorders>
          </w:tcPr>
          <w:p>
            <w:pPr>
              <w:jc w:val="right"/>
              <w:ind w:right="810"/>
              <w:spacing w:after="0" w:line="194" w:lineRule="exact"/>
              <w:rPr>
                <w:sz w:val="20"/>
                <w:szCs w:val="20"/>
                <w:color w:val="auto"/>
              </w:rPr>
            </w:pPr>
            <w:r>
              <w:rPr>
                <w:rFonts w:ascii="Arial" w:cs="Arial" w:eastAsia="Arial" w:hAnsi="Arial"/>
                <w:sz w:val="18"/>
                <w:szCs w:val="18"/>
                <w:b w:val="1"/>
                <w:bCs w:val="1"/>
                <w:color w:val="auto"/>
              </w:rPr>
              <w:t>March 31,</w:t>
            </w:r>
          </w:p>
        </w:tc>
        <w:tc>
          <w:tcPr>
            <w:tcW w:w="2000" w:type="dxa"/>
            <w:vAlign w:val="bottom"/>
            <w:tcBorders>
              <w:top w:val="single" w:sz="8" w:color="auto"/>
            </w:tcBorders>
          </w:tcPr>
          <w:p>
            <w:pPr>
              <w:jc w:val="right"/>
              <w:ind w:right="110"/>
              <w:spacing w:after="0" w:line="194" w:lineRule="exact"/>
              <w:rPr>
                <w:sz w:val="20"/>
                <w:szCs w:val="20"/>
                <w:color w:val="auto"/>
              </w:rPr>
            </w:pPr>
            <w:r>
              <w:rPr>
                <w:rFonts w:ascii="Arial" w:cs="Arial" w:eastAsia="Arial" w:hAnsi="Arial"/>
                <w:sz w:val="18"/>
                <w:szCs w:val="18"/>
                <w:b w:val="1"/>
                <w:bCs w:val="1"/>
                <w:color w:val="auto"/>
              </w:rPr>
              <w:t>December 31,</w:t>
            </w:r>
          </w:p>
        </w:tc>
      </w:tr>
      <w:tr>
        <w:trPr>
          <w:trHeight w:val="225"/>
        </w:trPr>
        <w:tc>
          <w:tcPr>
            <w:tcW w:w="45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(in thousands)</w:t>
            </w:r>
          </w:p>
        </w:tc>
        <w:tc>
          <w:tcPr>
            <w:tcW w:w="4860" w:type="dxa"/>
            <w:vAlign w:val="bottom"/>
            <w:tcBorders>
              <w:bottom w:val="single" w:sz="8" w:color="auto"/>
            </w:tcBorders>
          </w:tcPr>
          <w:p>
            <w:pPr>
              <w:jc w:val="right"/>
              <w:ind w:right="990"/>
              <w:spacing w:after="0"/>
              <w:rPr>
                <w:sz w:val="20"/>
                <w:szCs w:val="20"/>
                <w:color w:val="auto"/>
              </w:rPr>
            </w:pPr>
            <w:r>
              <w:rPr>
                <w:rFonts w:ascii="Arial" w:cs="Arial" w:eastAsia="Arial" w:hAnsi="Arial"/>
                <w:sz w:val="18"/>
                <w:szCs w:val="18"/>
                <w:b w:val="1"/>
                <w:bCs w:val="1"/>
                <w:color w:val="auto"/>
              </w:rPr>
              <w:t>2018</w:t>
            </w:r>
          </w:p>
        </w:tc>
        <w:tc>
          <w:tcPr>
            <w:tcW w:w="20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2017</w:t>
            </w:r>
          </w:p>
        </w:tc>
      </w:tr>
      <w:tr>
        <w:trPr>
          <w:trHeight w:val="196"/>
        </w:trPr>
        <w:tc>
          <w:tcPr>
            <w:tcW w:w="456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Contract assets</w:t>
            </w:r>
          </w:p>
        </w:tc>
        <w:tc>
          <w:tcPr>
            <w:tcW w:w="4860" w:type="dxa"/>
            <w:vAlign w:val="bottom"/>
            <w:tcBorders>
              <w:bottom w:val="single" w:sz="8" w:color="auto"/>
            </w:tcBorders>
          </w:tcPr>
          <w:p>
            <w:pPr>
              <w:jc w:val="right"/>
              <w:ind w:right="510"/>
              <w:spacing w:after="0" w:line="196" w:lineRule="exact"/>
              <w:rPr>
                <w:sz w:val="20"/>
                <w:szCs w:val="20"/>
                <w:color w:val="auto"/>
              </w:rPr>
            </w:pPr>
            <w:r>
              <w:rPr>
                <w:rFonts w:ascii="Arial" w:cs="Arial" w:eastAsia="Arial" w:hAnsi="Arial"/>
                <w:sz w:val="18"/>
                <w:szCs w:val="18"/>
                <w:b w:val="1"/>
                <w:bCs w:val="1"/>
                <w:color w:val="auto"/>
              </w:rPr>
              <w:t>$42,895</w:t>
            </w:r>
          </w:p>
        </w:tc>
        <w:tc>
          <w:tcPr>
            <w:tcW w:w="200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  -</w:t>
            </w:r>
          </w:p>
        </w:tc>
      </w:tr>
      <w:tr>
        <w:trPr>
          <w:trHeight w:val="196"/>
        </w:trPr>
        <w:tc>
          <w:tcPr>
            <w:tcW w:w="456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Contract liabilities</w:t>
            </w:r>
          </w:p>
        </w:tc>
        <w:tc>
          <w:tcPr>
            <w:tcW w:w="4860" w:type="dxa"/>
            <w:vAlign w:val="bottom"/>
            <w:tcBorders>
              <w:bottom w:val="single" w:sz="8" w:color="auto"/>
            </w:tcBorders>
          </w:tcPr>
          <w:p>
            <w:pPr>
              <w:jc w:val="right"/>
              <w:ind w:right="510"/>
              <w:spacing w:after="0" w:line="196" w:lineRule="exact"/>
              <w:rPr>
                <w:sz w:val="20"/>
                <w:szCs w:val="20"/>
                <w:color w:val="auto"/>
              </w:rPr>
            </w:pPr>
            <w:r>
              <w:rPr>
                <w:rFonts w:ascii="Arial" w:cs="Arial" w:eastAsia="Arial" w:hAnsi="Arial"/>
                <w:sz w:val="18"/>
                <w:szCs w:val="18"/>
                <w:b w:val="1"/>
                <w:bCs w:val="1"/>
                <w:color w:val="auto"/>
              </w:rPr>
              <w:t>3,030</w:t>
            </w:r>
          </w:p>
        </w:tc>
        <w:tc>
          <w:tcPr>
            <w:tcW w:w="200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w:t>
            </w:r>
          </w:p>
        </w:tc>
      </w:tr>
    </w:tbl>
    <w:p>
      <w:pPr>
        <w:spacing w:after="0" w:line="391" w:lineRule="exact"/>
        <w:rPr>
          <w:sz w:val="20"/>
          <w:szCs w:val="20"/>
          <w:color w:val="auto"/>
        </w:rPr>
      </w:pPr>
    </w:p>
    <w:p>
      <w:pPr>
        <w:ind w:right="40" w:firstLine="648"/>
        <w:spacing w:after="0" w:line="246" w:lineRule="auto"/>
        <w:rPr>
          <w:sz w:val="20"/>
          <w:szCs w:val="20"/>
          <w:color w:val="auto"/>
        </w:rPr>
      </w:pPr>
      <w:r>
        <w:rPr>
          <w:rFonts w:ascii="Arial" w:cs="Arial" w:eastAsia="Arial" w:hAnsi="Arial"/>
          <w:sz w:val="18"/>
          <w:szCs w:val="18"/>
          <w:color w:val="auto"/>
        </w:rPr>
        <w:t>Contract assets decreased $2.0 million during the quarter ended March 31, 2018 as compared to the January 1, 2018 opening balance sheet, as adjusted for the adoption of ASC 606 (see Note 2).</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342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28" w:name="page29"/>
    <w:bookmarkEnd w:id="28"/>
    <w:p>
      <w:pPr>
        <w:jc w:val="both"/>
        <w:ind w:right="100" w:firstLine="648"/>
        <w:spacing w:after="0"/>
        <w:rPr>
          <w:sz w:val="20"/>
          <w:szCs w:val="20"/>
          <w:color w:val="auto"/>
        </w:rPr>
      </w:pPr>
      <w:r>
        <w:rPr>
          <w:rFonts w:ascii="Arial" w:cs="Arial" w:eastAsia="Arial" w:hAnsi="Arial"/>
          <w:sz w:val="18"/>
          <w:szCs w:val="18"/>
          <w:color w:val="auto"/>
        </w:rPr>
        <w:t>The decrease was primarily due to an increase in amounts billed to customers, in excess of the recognition of unbilled revenue related to the satisfaction or partial satisfaction of performance obligations. There were no significant impairment losses related to our Contract assets during the quarter ended March 31, 2018.</w:t>
      </w:r>
    </w:p>
    <w:p>
      <w:pPr>
        <w:spacing w:after="0" w:line="162" w:lineRule="exact"/>
        <w:rPr>
          <w:sz w:val="20"/>
          <w:szCs w:val="20"/>
          <w:color w:val="auto"/>
        </w:rPr>
      </w:pPr>
    </w:p>
    <w:p>
      <w:pPr>
        <w:ind w:right="340" w:firstLine="648"/>
        <w:spacing w:after="0" w:line="239" w:lineRule="auto"/>
        <w:rPr>
          <w:sz w:val="20"/>
          <w:szCs w:val="20"/>
          <w:color w:val="auto"/>
        </w:rPr>
      </w:pPr>
      <w:r>
        <w:rPr>
          <w:rFonts w:ascii="Arial" w:cs="Arial" w:eastAsia="Arial" w:hAnsi="Arial"/>
          <w:sz w:val="18"/>
          <w:szCs w:val="18"/>
          <w:color w:val="auto"/>
        </w:rPr>
        <w:t>Contract liabilities increased $2.3 million during the quarter ended March 31, 2018, as compared to the January 1, 2018 opening balance sheet, as adjusted for the adoption of ASC 606, primarily due to increased billings in excess of revenue recognized. Revenue recognized for the three-month period ended March 31, 2018, that was included in the Contract liability balance at the beginning of the year was less than $1 million, and represented revenue primarily in ASC.</w:t>
      </w: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13. Inventories</w:t>
      </w:r>
    </w:p>
    <w:p>
      <w:pPr>
        <w:spacing w:after="0" w:line="193" w:lineRule="exact"/>
        <w:rPr>
          <w:sz w:val="20"/>
          <w:szCs w:val="20"/>
          <w:color w:val="auto"/>
        </w:rPr>
      </w:pPr>
    </w:p>
    <w:p>
      <w:pPr>
        <w:ind w:right="120" w:firstLine="648"/>
        <w:spacing w:after="0" w:line="237" w:lineRule="auto"/>
        <w:rPr>
          <w:sz w:val="20"/>
          <w:szCs w:val="20"/>
          <w:color w:val="auto"/>
        </w:rPr>
      </w:pPr>
      <w:r>
        <w:rPr>
          <w:rFonts w:ascii="Arial" w:cs="Arial" w:eastAsia="Arial" w:hAnsi="Arial"/>
          <w:sz w:val="18"/>
          <w:szCs w:val="18"/>
          <w:color w:val="auto"/>
        </w:rPr>
        <w:t>Costs included in inventories are raw materials, labor, supplies and allocable depreciation and overhead. Raw material inventories are valued on an average cost basis. Other inventory cost elements are valued at cost, using the first-in, first-out method. The Company writes down the inventories for estimated obsolescence, and to lower of cost or net realizable value based upon assumptions about future demand and market conditions. If actual demand or market conditions are less favorable than those projected by the Company, additional inventory write-downs may be required. Once established, the original cost of the inventory less the related write-down represents the new cost basis of such inventories. The decrease in Inventories in 2018, compared to the balances as of December 31, 2017, was principally due to the cumulative effect of adopting ASC 606 (see Note 2) which decreased Inventories by $47.1 million.</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March 31, 2018 and December 31, 2017, inventories consisted of the following:</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4380" w:type="dxa"/>
            <w:vAlign w:val="bottom"/>
            <w:tcBorders>
              <w:top w:val="single" w:sz="8" w:color="auto"/>
            </w:tcBorders>
          </w:tcPr>
          <w:p>
            <w:pPr>
              <w:spacing w:after="0"/>
              <w:rPr>
                <w:sz w:val="16"/>
                <w:szCs w:val="16"/>
                <w:color w:val="auto"/>
              </w:rPr>
            </w:pPr>
          </w:p>
        </w:tc>
        <w:tc>
          <w:tcPr>
            <w:tcW w:w="5040" w:type="dxa"/>
            <w:vAlign w:val="bottom"/>
            <w:tcBorders>
              <w:top w:val="single" w:sz="8" w:color="auto"/>
            </w:tcBorders>
          </w:tcPr>
          <w:p>
            <w:pPr>
              <w:spacing w:after="0"/>
              <w:rPr>
                <w:sz w:val="16"/>
                <w:szCs w:val="16"/>
                <w:color w:val="auto"/>
              </w:rPr>
            </w:pPr>
          </w:p>
        </w:tc>
        <w:tc>
          <w:tcPr>
            <w:tcW w:w="2000" w:type="dxa"/>
            <w:vAlign w:val="bottom"/>
            <w:tcBorders>
              <w:top w:val="single" w:sz="8" w:color="auto"/>
            </w:tcBorders>
          </w:tcPr>
          <w:p>
            <w:pPr>
              <w:jc w:val="right"/>
              <w:ind w:right="110"/>
              <w:spacing w:after="0" w:line="194" w:lineRule="exact"/>
              <w:rPr>
                <w:sz w:val="20"/>
                <w:szCs w:val="20"/>
                <w:color w:val="auto"/>
              </w:rPr>
            </w:pPr>
            <w:r>
              <w:rPr>
                <w:rFonts w:ascii="Arial" w:cs="Arial" w:eastAsia="Arial" w:hAnsi="Arial"/>
                <w:sz w:val="18"/>
                <w:szCs w:val="18"/>
                <w:b w:val="1"/>
                <w:bCs w:val="1"/>
                <w:color w:val="auto"/>
              </w:rPr>
              <w:t>December 31,</w:t>
            </w:r>
          </w:p>
        </w:tc>
      </w:tr>
      <w:tr>
        <w:trPr>
          <w:trHeight w:val="225"/>
        </w:trPr>
        <w:tc>
          <w:tcPr>
            <w:tcW w:w="43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(in thousands)</w:t>
            </w:r>
          </w:p>
        </w:tc>
        <w:tc>
          <w:tcPr>
            <w:tcW w:w="50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March 31, 2018</w:t>
            </w:r>
          </w:p>
        </w:tc>
        <w:tc>
          <w:tcPr>
            <w:tcW w:w="20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2017</w:t>
            </w:r>
          </w:p>
        </w:tc>
      </w:tr>
      <w:tr>
        <w:trPr>
          <w:trHeight w:val="173"/>
        </w:trPr>
        <w:tc>
          <w:tcPr>
            <w:tcW w:w="4380" w:type="dxa"/>
            <w:vAlign w:val="bottom"/>
          </w:tcPr>
          <w:p>
            <w:pPr>
              <w:spacing w:after="0" w:line="173" w:lineRule="exact"/>
              <w:rPr>
                <w:sz w:val="20"/>
                <w:szCs w:val="20"/>
                <w:color w:val="auto"/>
              </w:rPr>
            </w:pPr>
            <w:r>
              <w:rPr>
                <w:rFonts w:ascii="Arial" w:cs="Arial" w:eastAsia="Arial" w:hAnsi="Arial"/>
                <w:sz w:val="18"/>
                <w:szCs w:val="18"/>
                <w:color w:val="auto"/>
              </w:rPr>
              <w:t>Raw materials</w:t>
            </w:r>
          </w:p>
        </w:tc>
        <w:tc>
          <w:tcPr>
            <w:tcW w:w="5040" w:type="dxa"/>
            <w:vAlign w:val="bottom"/>
          </w:tcPr>
          <w:p>
            <w:pPr>
              <w:jc w:val="right"/>
              <w:ind w:right="510"/>
              <w:spacing w:after="0" w:line="173" w:lineRule="exact"/>
              <w:rPr>
                <w:sz w:val="20"/>
                <w:szCs w:val="20"/>
                <w:color w:val="auto"/>
              </w:rPr>
            </w:pPr>
            <w:r>
              <w:rPr>
                <w:rFonts w:ascii="Arial" w:cs="Arial" w:eastAsia="Arial" w:hAnsi="Arial"/>
                <w:sz w:val="18"/>
                <w:szCs w:val="18"/>
                <w:b w:val="1"/>
                <w:bCs w:val="1"/>
                <w:color w:val="auto"/>
              </w:rPr>
              <w:t>$42,411</w:t>
            </w:r>
          </w:p>
        </w:tc>
        <w:tc>
          <w:tcPr>
            <w:tcW w:w="2000" w:type="dxa"/>
            <w:vAlign w:val="bottom"/>
          </w:tcPr>
          <w:p>
            <w:pPr>
              <w:jc w:val="right"/>
              <w:ind w:right="10"/>
              <w:spacing w:after="0" w:line="173" w:lineRule="exact"/>
              <w:rPr>
                <w:sz w:val="20"/>
                <w:szCs w:val="20"/>
                <w:color w:val="auto"/>
              </w:rPr>
            </w:pPr>
            <w:r>
              <w:rPr>
                <w:rFonts w:ascii="Arial" w:cs="Arial" w:eastAsia="Arial" w:hAnsi="Arial"/>
                <w:sz w:val="18"/>
                <w:szCs w:val="18"/>
                <w:color w:val="auto"/>
              </w:rPr>
              <w:t>$42,215</w:t>
            </w:r>
          </w:p>
        </w:tc>
      </w:tr>
      <w:tr>
        <w:trPr>
          <w:trHeight w:val="203"/>
        </w:trPr>
        <w:tc>
          <w:tcPr>
            <w:tcW w:w="4380" w:type="dxa"/>
            <w:vAlign w:val="bottom"/>
          </w:tcPr>
          <w:p>
            <w:pPr>
              <w:spacing w:after="0" w:line="202" w:lineRule="exact"/>
              <w:rPr>
                <w:sz w:val="20"/>
                <w:szCs w:val="20"/>
                <w:color w:val="auto"/>
              </w:rPr>
            </w:pPr>
            <w:r>
              <w:rPr>
                <w:rFonts w:ascii="Arial" w:cs="Arial" w:eastAsia="Arial" w:hAnsi="Arial"/>
                <w:sz w:val="18"/>
                <w:szCs w:val="18"/>
                <w:color w:val="auto"/>
              </w:rPr>
              <w:t>Work in process</w:t>
            </w:r>
          </w:p>
        </w:tc>
        <w:tc>
          <w:tcPr>
            <w:tcW w:w="5040" w:type="dxa"/>
            <w:vAlign w:val="bottom"/>
          </w:tcPr>
          <w:p>
            <w:pPr>
              <w:jc w:val="right"/>
              <w:ind w:right="510"/>
              <w:spacing w:after="0" w:line="202" w:lineRule="exact"/>
              <w:rPr>
                <w:sz w:val="20"/>
                <w:szCs w:val="20"/>
                <w:color w:val="auto"/>
              </w:rPr>
            </w:pPr>
            <w:r>
              <w:rPr>
                <w:rFonts w:ascii="Arial" w:cs="Arial" w:eastAsia="Arial" w:hAnsi="Arial"/>
                <w:sz w:val="18"/>
                <w:szCs w:val="18"/>
                <w:b w:val="1"/>
                <w:bCs w:val="1"/>
                <w:color w:val="auto"/>
              </w:rPr>
              <w:t>44,184</w:t>
            </w:r>
          </w:p>
        </w:tc>
        <w:tc>
          <w:tcPr>
            <w:tcW w:w="20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65,448</w:t>
            </w:r>
          </w:p>
        </w:tc>
      </w:tr>
      <w:tr>
        <w:trPr>
          <w:trHeight w:val="225"/>
        </w:trPr>
        <w:tc>
          <w:tcPr>
            <w:tcW w:w="43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Finished goods</w:t>
            </w:r>
          </w:p>
        </w:tc>
        <w:tc>
          <w:tcPr>
            <w:tcW w:w="50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13,439</w:t>
            </w:r>
          </w:p>
        </w:tc>
        <w:tc>
          <w:tcPr>
            <w:tcW w:w="2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28,856</w:t>
            </w:r>
          </w:p>
        </w:tc>
      </w:tr>
      <w:tr>
        <w:trPr>
          <w:trHeight w:val="196"/>
        </w:trPr>
        <w:tc>
          <w:tcPr>
            <w:tcW w:w="438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Total inventories</w:t>
            </w:r>
          </w:p>
        </w:tc>
        <w:tc>
          <w:tcPr>
            <w:tcW w:w="5040" w:type="dxa"/>
            <w:vAlign w:val="bottom"/>
            <w:tcBorders>
              <w:bottom w:val="single" w:sz="8" w:color="auto"/>
            </w:tcBorders>
          </w:tcPr>
          <w:p>
            <w:pPr>
              <w:jc w:val="right"/>
              <w:ind w:right="510"/>
              <w:spacing w:after="0" w:line="196" w:lineRule="exact"/>
              <w:rPr>
                <w:sz w:val="20"/>
                <w:szCs w:val="20"/>
                <w:color w:val="auto"/>
              </w:rPr>
            </w:pPr>
            <w:r>
              <w:rPr>
                <w:rFonts w:ascii="Arial" w:cs="Arial" w:eastAsia="Arial" w:hAnsi="Arial"/>
                <w:sz w:val="18"/>
                <w:szCs w:val="18"/>
                <w:b w:val="1"/>
                <w:bCs w:val="1"/>
                <w:color w:val="auto"/>
              </w:rPr>
              <w:t>$100,034</w:t>
            </w:r>
          </w:p>
        </w:tc>
        <w:tc>
          <w:tcPr>
            <w:tcW w:w="200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$136,519</w:t>
            </w:r>
          </w:p>
        </w:tc>
      </w:tr>
    </w:tbl>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14. Goodwill and Other Intangible Assets</w:t>
      </w:r>
    </w:p>
    <w:p>
      <w:pPr>
        <w:spacing w:after="0" w:line="220" w:lineRule="exact"/>
        <w:rPr>
          <w:sz w:val="20"/>
          <w:szCs w:val="20"/>
          <w:color w:val="auto"/>
        </w:rPr>
      </w:pPr>
    </w:p>
    <w:p>
      <w:pPr>
        <w:jc w:val="both"/>
        <w:ind w:right="180" w:firstLine="648"/>
        <w:spacing w:after="0"/>
        <w:rPr>
          <w:sz w:val="20"/>
          <w:szCs w:val="20"/>
          <w:color w:val="auto"/>
        </w:rPr>
      </w:pPr>
      <w:r>
        <w:rPr>
          <w:rFonts w:ascii="Arial" w:cs="Arial" w:eastAsia="Arial" w:hAnsi="Arial"/>
          <w:sz w:val="18"/>
          <w:szCs w:val="18"/>
          <w:color w:val="auto"/>
        </w:rPr>
        <w:t>Goodwill and intangible assets with indefinite useful lives are not amortized, but are tested for impairment at least annually. Goodwill represents the excess of the purchase price over the fair value of the net tangible and identifiable intangible assets acquired in each business combination.</w:t>
      </w:r>
    </w:p>
    <w:p>
      <w:pPr>
        <w:spacing w:after="0" w:line="189" w:lineRule="exact"/>
        <w:rPr>
          <w:sz w:val="20"/>
          <w:szCs w:val="20"/>
          <w:color w:val="auto"/>
        </w:rPr>
      </w:pPr>
    </w:p>
    <w:p>
      <w:pPr>
        <w:ind w:right="40" w:firstLine="648"/>
        <w:spacing w:after="0" w:line="239" w:lineRule="auto"/>
        <w:rPr>
          <w:sz w:val="20"/>
          <w:szCs w:val="20"/>
          <w:color w:val="auto"/>
        </w:rPr>
      </w:pPr>
      <w:r>
        <w:rPr>
          <w:rFonts w:ascii="Arial" w:cs="Arial" w:eastAsia="Arial" w:hAnsi="Arial"/>
          <w:sz w:val="18"/>
          <w:szCs w:val="18"/>
          <w:color w:val="auto"/>
        </w:rPr>
        <w:t>Determining the fair value of a reporting unit requires the use of significant estimates and assumptions, including revenue growth rates, operating margins, discount rates, and future market conditions, among others. Goodwill and other long-lived assets are reviewed for impairment whenever events, such as significant changes in the business climate, plant closures, changes in product offerings, or other circumstances indicate that the carrying amount may not be recoverable.</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342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598" w:right="239" w:bottom="1440" w:gutter="0" w:footer="0" w:header="0"/>
        </w:sectPr>
      </w:pPr>
    </w:p>
    <w:bookmarkStart w:id="29" w:name="page30"/>
    <w:bookmarkEnd w:id="29"/>
    <w:p>
      <w:pPr>
        <w:ind w:right="20" w:firstLine="648"/>
        <w:spacing w:after="0" w:line="238" w:lineRule="auto"/>
        <w:rPr>
          <w:sz w:val="20"/>
          <w:szCs w:val="20"/>
          <w:color w:val="auto"/>
        </w:rPr>
      </w:pPr>
      <w:r>
        <w:rPr>
          <w:rFonts w:ascii="Arial" w:cs="Arial" w:eastAsia="Arial" w:hAnsi="Arial"/>
          <w:sz w:val="18"/>
          <w:szCs w:val="18"/>
          <w:color w:val="auto"/>
        </w:rPr>
        <w:t>To determine fair value, we utilize two market-based approaches and an income approach. Under the market-based approaches, we utilize information regarding the Company as well as publicly available industry information to determine earnings multiples and sales multiples. Under the income approach, we determine fair value based on estimated future cash flows of each reporting unit, discounted by an estimated weighted-average cost of capital, which reflects the overall level of inherent risk of a reporting unit and the rate of return an outside investor would expect to earn.</w:t>
      </w:r>
    </w:p>
    <w:p>
      <w:pPr>
        <w:spacing w:after="0" w:line="189" w:lineRule="exact"/>
        <w:rPr>
          <w:sz w:val="20"/>
          <w:szCs w:val="20"/>
          <w:color w:val="auto"/>
        </w:rPr>
      </w:pPr>
    </w:p>
    <w:p>
      <w:pPr>
        <w:ind w:right="340" w:firstLine="648"/>
        <w:spacing w:after="0"/>
        <w:rPr>
          <w:sz w:val="20"/>
          <w:szCs w:val="20"/>
          <w:color w:val="auto"/>
        </w:rPr>
      </w:pPr>
      <w:r>
        <w:rPr>
          <w:rFonts w:ascii="Arial" w:cs="Arial" w:eastAsia="Arial" w:hAnsi="Arial"/>
          <w:sz w:val="18"/>
          <w:szCs w:val="18"/>
          <w:color w:val="auto"/>
        </w:rPr>
        <w:t>In the second quarter of 2017, the Company applied the qualitative assessment approach in performing its annual evaluation of goodwill and concluded that no impairment provision was required. There were no amounts at risk due to the large spread between the fair, and carrying value, of each reporting unit.</w:t>
      </w:r>
    </w:p>
    <w:p>
      <w:pPr>
        <w:spacing w:after="0" w:line="189" w:lineRule="exact"/>
        <w:rPr>
          <w:sz w:val="20"/>
          <w:szCs w:val="20"/>
          <w:color w:val="auto"/>
        </w:rPr>
      </w:pPr>
    </w:p>
    <w:p>
      <w:pPr>
        <w:ind w:right="20" w:firstLine="648"/>
        <w:spacing w:after="0"/>
        <w:rPr>
          <w:sz w:val="20"/>
          <w:szCs w:val="20"/>
          <w:color w:val="auto"/>
        </w:rPr>
      </w:pPr>
      <w:r>
        <w:rPr>
          <w:rFonts w:ascii="Arial" w:cs="Arial" w:eastAsia="Arial" w:hAnsi="Arial"/>
          <w:sz w:val="18"/>
          <w:szCs w:val="18"/>
          <w:color w:val="auto"/>
        </w:rPr>
        <w:t>We are continuing to amortize certain patents, trade names, customer relationships, customer contracts and technology assets that have finite lives. The gross carrying value, accumulated amortization and net values of intangible assets and goodwill as of December 31, 2017 and March 31, 2018, were as follows:</w:t>
      </w: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20" w:type="dxa"/>
            <w:vAlign w:val="bottom"/>
          </w:tcPr>
          <w:p>
            <w:pPr>
              <w:spacing w:after="0"/>
              <w:rPr>
                <w:sz w:val="16"/>
                <w:szCs w:val="16"/>
                <w:color w:val="auto"/>
              </w:rPr>
            </w:pPr>
          </w:p>
        </w:tc>
        <w:tc>
          <w:tcPr>
            <w:tcW w:w="3960" w:type="dxa"/>
            <w:vAlign w:val="bottom"/>
            <w:tcBorders>
              <w:top w:val="single" w:sz="8" w:color="auto"/>
            </w:tcBorders>
          </w:tcPr>
          <w:p>
            <w:pPr>
              <w:spacing w:after="0"/>
              <w:rPr>
                <w:sz w:val="16"/>
                <w:szCs w:val="16"/>
                <w:color w:val="auto"/>
              </w:rPr>
            </w:pPr>
          </w:p>
        </w:tc>
        <w:tc>
          <w:tcPr>
            <w:tcW w:w="2480" w:type="dxa"/>
            <w:vAlign w:val="bottom"/>
            <w:tcBorders>
              <w:top w:val="single" w:sz="8" w:color="auto"/>
            </w:tcBorders>
          </w:tcPr>
          <w:p>
            <w:pPr>
              <w:jc w:val="center"/>
              <w:ind w:left="770"/>
              <w:spacing w:after="0" w:line="194" w:lineRule="exact"/>
              <w:rPr>
                <w:sz w:val="20"/>
                <w:szCs w:val="20"/>
                <w:color w:val="auto"/>
              </w:rPr>
            </w:pPr>
            <w:r>
              <w:rPr>
                <w:rFonts w:ascii="Arial" w:cs="Arial" w:eastAsia="Arial" w:hAnsi="Arial"/>
                <w:sz w:val="18"/>
                <w:szCs w:val="18"/>
                <w:b w:val="1"/>
                <w:bCs w:val="1"/>
                <w:color w:val="auto"/>
              </w:rPr>
              <w:t>Weighted</w:t>
            </w:r>
          </w:p>
        </w:tc>
        <w:tc>
          <w:tcPr>
            <w:tcW w:w="1780" w:type="dxa"/>
            <w:vAlign w:val="bottom"/>
            <w:tcBorders>
              <w:top w:val="single" w:sz="8" w:color="auto"/>
            </w:tcBorders>
          </w:tcPr>
          <w:p>
            <w:pPr>
              <w:spacing w:after="0"/>
              <w:rPr>
                <w:sz w:val="16"/>
                <w:szCs w:val="16"/>
                <w:color w:val="auto"/>
              </w:rPr>
            </w:pPr>
          </w:p>
        </w:tc>
        <w:tc>
          <w:tcPr>
            <w:tcW w:w="1720" w:type="dxa"/>
            <w:vAlign w:val="bottom"/>
            <w:tcBorders>
              <w:top w:val="single" w:sz="8" w:color="auto"/>
            </w:tcBorders>
          </w:tcPr>
          <w:p>
            <w:pPr>
              <w:spacing w:after="0"/>
              <w:rPr>
                <w:sz w:val="16"/>
                <w:szCs w:val="16"/>
                <w:color w:val="auto"/>
              </w:rPr>
            </w:pPr>
          </w:p>
        </w:tc>
        <w:tc>
          <w:tcPr>
            <w:tcW w:w="1460" w:type="dxa"/>
            <w:vAlign w:val="bottom"/>
            <w:tcBorders>
              <w:top w:val="single" w:sz="8" w:color="auto"/>
            </w:tcBorders>
          </w:tcPr>
          <w:p>
            <w:pPr>
              <w:spacing w:after="0"/>
              <w:rPr>
                <w:sz w:val="16"/>
                <w:szCs w:val="16"/>
                <w:color w:val="auto"/>
              </w:rPr>
            </w:pPr>
          </w:p>
        </w:tc>
      </w:tr>
      <w:tr>
        <w:trPr>
          <w:trHeight w:val="203"/>
        </w:trPr>
        <w:tc>
          <w:tcPr>
            <w:tcW w:w="20" w:type="dxa"/>
            <w:vAlign w:val="bottom"/>
          </w:tcPr>
          <w:p>
            <w:pPr>
              <w:spacing w:after="0"/>
              <w:rPr>
                <w:sz w:val="17"/>
                <w:szCs w:val="17"/>
                <w:color w:val="auto"/>
              </w:rPr>
            </w:pPr>
          </w:p>
        </w:tc>
        <w:tc>
          <w:tcPr>
            <w:tcW w:w="3960" w:type="dxa"/>
            <w:vAlign w:val="bottom"/>
          </w:tcPr>
          <w:p>
            <w:pPr>
              <w:spacing w:after="0"/>
              <w:rPr>
                <w:sz w:val="17"/>
                <w:szCs w:val="17"/>
                <w:color w:val="auto"/>
              </w:rPr>
            </w:pPr>
          </w:p>
        </w:tc>
        <w:tc>
          <w:tcPr>
            <w:tcW w:w="2480" w:type="dxa"/>
            <w:vAlign w:val="bottom"/>
          </w:tcPr>
          <w:p>
            <w:pPr>
              <w:jc w:val="center"/>
              <w:ind w:left="710"/>
              <w:spacing w:after="0" w:line="202" w:lineRule="exact"/>
              <w:rPr>
                <w:sz w:val="20"/>
                <w:szCs w:val="20"/>
                <w:color w:val="auto"/>
              </w:rPr>
            </w:pPr>
            <w:r>
              <w:rPr>
                <w:rFonts w:ascii="Arial" w:cs="Arial" w:eastAsia="Arial" w:hAnsi="Arial"/>
                <w:sz w:val="18"/>
                <w:szCs w:val="18"/>
                <w:b w:val="1"/>
                <w:bCs w:val="1"/>
                <w:color w:val="auto"/>
                <w:w w:val="99"/>
              </w:rPr>
              <w:t>average</w:t>
            </w:r>
          </w:p>
        </w:tc>
        <w:tc>
          <w:tcPr>
            <w:tcW w:w="178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203"/>
        </w:trPr>
        <w:tc>
          <w:tcPr>
            <w:tcW w:w="3980" w:type="dxa"/>
            <w:vAlign w:val="bottom"/>
            <w:gridSpan w:val="2"/>
          </w:tcPr>
          <w:p>
            <w:pPr>
              <w:spacing w:after="0" w:line="202" w:lineRule="exact"/>
              <w:rPr>
                <w:sz w:val="20"/>
                <w:szCs w:val="20"/>
                <w:color w:val="auto"/>
              </w:rPr>
            </w:pPr>
            <w:r>
              <w:rPr>
                <w:rFonts w:ascii="Arial" w:cs="Arial" w:eastAsia="Arial" w:hAnsi="Arial"/>
                <w:sz w:val="18"/>
                <w:szCs w:val="18"/>
                <w:b w:val="1"/>
                <w:bCs w:val="1"/>
                <w:color w:val="auto"/>
              </w:rPr>
              <w:t>As of March 31, 2018</w:t>
            </w:r>
          </w:p>
        </w:tc>
        <w:tc>
          <w:tcPr>
            <w:tcW w:w="2480" w:type="dxa"/>
            <w:vAlign w:val="bottom"/>
          </w:tcPr>
          <w:p>
            <w:pPr>
              <w:jc w:val="center"/>
              <w:ind w:left="730"/>
              <w:spacing w:after="0" w:line="202" w:lineRule="exact"/>
              <w:rPr>
                <w:sz w:val="20"/>
                <w:szCs w:val="20"/>
                <w:color w:val="auto"/>
              </w:rPr>
            </w:pPr>
            <w:r>
              <w:rPr>
                <w:rFonts w:ascii="Arial" w:cs="Arial" w:eastAsia="Arial" w:hAnsi="Arial"/>
                <w:sz w:val="18"/>
                <w:szCs w:val="18"/>
                <w:b w:val="1"/>
                <w:bCs w:val="1"/>
                <w:color w:val="auto"/>
                <w:w w:val="99"/>
              </w:rPr>
              <w:t>amortization</w:t>
            </w:r>
          </w:p>
        </w:tc>
        <w:tc>
          <w:tcPr>
            <w:tcW w:w="1780" w:type="dxa"/>
            <w:vAlign w:val="bottom"/>
          </w:tcPr>
          <w:p>
            <w:pPr>
              <w:jc w:val="right"/>
              <w:ind w:right="150"/>
              <w:spacing w:after="0" w:line="202" w:lineRule="exact"/>
              <w:rPr>
                <w:sz w:val="20"/>
                <w:szCs w:val="20"/>
                <w:color w:val="auto"/>
              </w:rPr>
            </w:pPr>
            <w:r>
              <w:rPr>
                <w:rFonts w:ascii="Arial" w:cs="Arial" w:eastAsia="Arial" w:hAnsi="Arial"/>
                <w:sz w:val="18"/>
                <w:szCs w:val="18"/>
                <w:b w:val="1"/>
                <w:bCs w:val="1"/>
                <w:color w:val="auto"/>
              </w:rPr>
              <w:t>Gross carrying</w:t>
            </w:r>
          </w:p>
        </w:tc>
        <w:tc>
          <w:tcPr>
            <w:tcW w:w="1720" w:type="dxa"/>
            <w:vAlign w:val="bottom"/>
          </w:tcPr>
          <w:p>
            <w:pPr>
              <w:jc w:val="right"/>
              <w:ind w:right="250"/>
              <w:spacing w:after="0" w:line="202" w:lineRule="exact"/>
              <w:rPr>
                <w:sz w:val="20"/>
                <w:szCs w:val="20"/>
                <w:color w:val="auto"/>
              </w:rPr>
            </w:pPr>
            <w:r>
              <w:rPr>
                <w:rFonts w:ascii="Arial" w:cs="Arial" w:eastAsia="Arial" w:hAnsi="Arial"/>
                <w:sz w:val="18"/>
                <w:szCs w:val="18"/>
                <w:b w:val="1"/>
                <w:bCs w:val="1"/>
                <w:color w:val="auto"/>
              </w:rPr>
              <w:t>Accumulated</w:t>
            </w:r>
          </w:p>
        </w:tc>
        <w:tc>
          <w:tcPr>
            <w:tcW w:w="1460" w:type="dxa"/>
            <w:vAlign w:val="bottom"/>
          </w:tcPr>
          <w:p>
            <w:pPr>
              <w:jc w:val="right"/>
              <w:ind w:right="70"/>
              <w:spacing w:after="0" w:line="202" w:lineRule="exact"/>
              <w:rPr>
                <w:sz w:val="20"/>
                <w:szCs w:val="20"/>
                <w:color w:val="auto"/>
              </w:rPr>
            </w:pPr>
            <w:r>
              <w:rPr>
                <w:rFonts w:ascii="Arial" w:cs="Arial" w:eastAsia="Arial" w:hAnsi="Arial"/>
                <w:sz w:val="18"/>
                <w:szCs w:val="18"/>
                <w:b w:val="1"/>
                <w:bCs w:val="1"/>
                <w:color w:val="auto"/>
              </w:rPr>
              <w:t>Net carrying</w:t>
            </w:r>
          </w:p>
        </w:tc>
      </w:tr>
      <w:tr>
        <w:trPr>
          <w:trHeight w:val="225"/>
        </w:trPr>
        <w:tc>
          <w:tcPr>
            <w:tcW w:w="398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(in thousands)</w:t>
            </w:r>
          </w:p>
        </w:tc>
        <w:tc>
          <w:tcPr>
            <w:tcW w:w="2480" w:type="dxa"/>
            <w:vAlign w:val="bottom"/>
            <w:tcBorders>
              <w:bottom w:val="single" w:sz="8" w:color="auto"/>
            </w:tcBorders>
          </w:tcPr>
          <w:p>
            <w:pPr>
              <w:jc w:val="center"/>
              <w:ind w:left="730"/>
              <w:spacing w:after="0"/>
              <w:rPr>
                <w:sz w:val="20"/>
                <w:szCs w:val="20"/>
                <w:color w:val="auto"/>
              </w:rPr>
            </w:pPr>
            <w:r>
              <w:rPr>
                <w:rFonts w:ascii="Arial" w:cs="Arial" w:eastAsia="Arial" w:hAnsi="Arial"/>
                <w:sz w:val="18"/>
                <w:szCs w:val="18"/>
                <w:b w:val="1"/>
                <w:bCs w:val="1"/>
                <w:color w:val="auto"/>
                <w:w w:val="98"/>
              </w:rPr>
              <w:t>life in years</w:t>
            </w:r>
          </w:p>
        </w:tc>
        <w:tc>
          <w:tcPr>
            <w:tcW w:w="17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amount</w:t>
            </w:r>
          </w:p>
        </w:tc>
        <w:tc>
          <w:tcPr>
            <w:tcW w:w="17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amortization</w:t>
            </w:r>
          </w:p>
        </w:tc>
        <w:tc>
          <w:tcPr>
            <w:tcW w:w="14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amount</w:t>
            </w:r>
          </w:p>
        </w:tc>
      </w:tr>
      <w:tr>
        <w:trPr>
          <w:trHeight w:val="398"/>
        </w:trPr>
        <w:tc>
          <w:tcPr>
            <w:tcW w:w="3980" w:type="dxa"/>
            <w:vAlign w:val="bottom"/>
            <w:gridSpan w:val="2"/>
          </w:tcPr>
          <w:p>
            <w:pPr>
              <w:spacing w:after="0"/>
              <w:rPr>
                <w:sz w:val="20"/>
                <w:szCs w:val="20"/>
                <w:color w:val="auto"/>
              </w:rPr>
            </w:pPr>
            <w:r>
              <w:rPr>
                <w:rFonts w:ascii="Arial" w:cs="Arial" w:eastAsia="Arial" w:hAnsi="Arial"/>
                <w:sz w:val="18"/>
                <w:szCs w:val="18"/>
                <w:color w:val="auto"/>
              </w:rPr>
              <w:t>Amortized intangible assets:</w:t>
            </w:r>
          </w:p>
        </w:tc>
        <w:tc>
          <w:tcPr>
            <w:tcW w:w="24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203"/>
        </w:trPr>
        <w:tc>
          <w:tcPr>
            <w:tcW w:w="20" w:type="dxa"/>
            <w:vAlign w:val="bottom"/>
          </w:tcPr>
          <w:p>
            <w:pPr>
              <w:spacing w:after="0"/>
              <w:rPr>
                <w:sz w:val="17"/>
                <w:szCs w:val="17"/>
                <w:color w:val="auto"/>
              </w:rPr>
            </w:pPr>
          </w:p>
        </w:tc>
        <w:tc>
          <w:tcPr>
            <w:tcW w:w="3960" w:type="dxa"/>
            <w:vAlign w:val="bottom"/>
          </w:tcPr>
          <w:p>
            <w:pPr>
              <w:ind w:left="320"/>
              <w:spacing w:after="0" w:line="202" w:lineRule="exact"/>
              <w:rPr>
                <w:sz w:val="20"/>
                <w:szCs w:val="20"/>
                <w:color w:val="auto"/>
              </w:rPr>
            </w:pPr>
            <w:r>
              <w:rPr>
                <w:rFonts w:ascii="Arial" w:cs="Arial" w:eastAsia="Arial" w:hAnsi="Arial"/>
                <w:sz w:val="18"/>
                <w:szCs w:val="18"/>
                <w:color w:val="auto"/>
              </w:rPr>
              <w:t>AEC trade names</w:t>
            </w:r>
          </w:p>
        </w:tc>
        <w:tc>
          <w:tcPr>
            <w:tcW w:w="2480" w:type="dxa"/>
            <w:vAlign w:val="bottom"/>
          </w:tcPr>
          <w:p>
            <w:pPr>
              <w:jc w:val="right"/>
              <w:ind w:right="170"/>
              <w:spacing w:after="0" w:line="202" w:lineRule="exact"/>
              <w:rPr>
                <w:sz w:val="20"/>
                <w:szCs w:val="20"/>
                <w:color w:val="auto"/>
              </w:rPr>
            </w:pPr>
            <w:r>
              <w:rPr>
                <w:rFonts w:ascii="Arial" w:cs="Arial" w:eastAsia="Arial" w:hAnsi="Arial"/>
                <w:sz w:val="18"/>
                <w:szCs w:val="18"/>
                <w:color w:val="auto"/>
              </w:rPr>
              <w:t>15</w:t>
            </w:r>
          </w:p>
        </w:tc>
        <w:tc>
          <w:tcPr>
            <w:tcW w:w="1780" w:type="dxa"/>
            <w:vAlign w:val="bottom"/>
          </w:tcPr>
          <w:p>
            <w:pPr>
              <w:jc w:val="right"/>
              <w:ind w:right="230"/>
              <w:spacing w:after="0" w:line="202" w:lineRule="exact"/>
              <w:rPr>
                <w:sz w:val="20"/>
                <w:szCs w:val="20"/>
                <w:color w:val="auto"/>
              </w:rPr>
            </w:pPr>
            <w:r>
              <w:rPr>
                <w:rFonts w:ascii="Arial" w:cs="Arial" w:eastAsia="Arial" w:hAnsi="Arial"/>
                <w:sz w:val="18"/>
                <w:szCs w:val="18"/>
                <w:color w:val="auto"/>
              </w:rPr>
              <w:t>$140</w:t>
            </w:r>
          </w:p>
        </w:tc>
        <w:tc>
          <w:tcPr>
            <w:tcW w:w="1720" w:type="dxa"/>
            <w:vAlign w:val="bottom"/>
          </w:tcPr>
          <w:p>
            <w:pPr>
              <w:jc w:val="right"/>
              <w:ind w:right="190"/>
              <w:spacing w:after="0" w:line="202" w:lineRule="exact"/>
              <w:rPr>
                <w:sz w:val="20"/>
                <w:szCs w:val="20"/>
                <w:color w:val="auto"/>
              </w:rPr>
            </w:pPr>
            <w:r>
              <w:rPr>
                <w:rFonts w:ascii="Arial" w:cs="Arial" w:eastAsia="Arial" w:hAnsi="Arial"/>
                <w:sz w:val="18"/>
                <w:szCs w:val="18"/>
                <w:color w:val="auto"/>
              </w:rPr>
              <w:t>($126)</w:t>
            </w:r>
          </w:p>
        </w:tc>
        <w:tc>
          <w:tcPr>
            <w:tcW w:w="14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$14</w:t>
            </w:r>
          </w:p>
        </w:tc>
      </w:tr>
      <w:tr>
        <w:trPr>
          <w:trHeight w:val="203"/>
        </w:trPr>
        <w:tc>
          <w:tcPr>
            <w:tcW w:w="20" w:type="dxa"/>
            <w:vAlign w:val="bottom"/>
          </w:tcPr>
          <w:p>
            <w:pPr>
              <w:spacing w:after="0"/>
              <w:rPr>
                <w:sz w:val="17"/>
                <w:szCs w:val="17"/>
                <w:color w:val="auto"/>
              </w:rPr>
            </w:pPr>
          </w:p>
        </w:tc>
        <w:tc>
          <w:tcPr>
            <w:tcW w:w="3960" w:type="dxa"/>
            <w:vAlign w:val="bottom"/>
          </w:tcPr>
          <w:p>
            <w:pPr>
              <w:ind w:left="320"/>
              <w:spacing w:after="0" w:line="202" w:lineRule="exact"/>
              <w:rPr>
                <w:sz w:val="20"/>
                <w:szCs w:val="20"/>
                <w:color w:val="auto"/>
              </w:rPr>
            </w:pPr>
            <w:r>
              <w:rPr>
                <w:rFonts w:ascii="Arial" w:cs="Arial" w:eastAsia="Arial" w:hAnsi="Arial"/>
                <w:sz w:val="18"/>
                <w:szCs w:val="18"/>
                <w:color w:val="auto"/>
              </w:rPr>
              <w:t>AEC technology</w:t>
            </w:r>
          </w:p>
        </w:tc>
        <w:tc>
          <w:tcPr>
            <w:tcW w:w="2480" w:type="dxa"/>
            <w:vAlign w:val="bottom"/>
          </w:tcPr>
          <w:p>
            <w:pPr>
              <w:jc w:val="right"/>
              <w:ind w:right="170"/>
              <w:spacing w:after="0" w:line="202" w:lineRule="exact"/>
              <w:rPr>
                <w:sz w:val="20"/>
                <w:szCs w:val="20"/>
                <w:color w:val="auto"/>
              </w:rPr>
            </w:pPr>
            <w:r>
              <w:rPr>
                <w:rFonts w:ascii="Arial" w:cs="Arial" w:eastAsia="Arial" w:hAnsi="Arial"/>
                <w:sz w:val="18"/>
                <w:szCs w:val="18"/>
                <w:color w:val="auto"/>
              </w:rPr>
              <w:t>15</w:t>
            </w:r>
          </w:p>
        </w:tc>
        <w:tc>
          <w:tcPr>
            <w:tcW w:w="1780" w:type="dxa"/>
            <w:vAlign w:val="bottom"/>
          </w:tcPr>
          <w:p>
            <w:pPr>
              <w:jc w:val="right"/>
              <w:ind w:right="230"/>
              <w:spacing w:after="0" w:line="202" w:lineRule="exact"/>
              <w:rPr>
                <w:sz w:val="20"/>
                <w:szCs w:val="20"/>
                <w:color w:val="auto"/>
              </w:rPr>
            </w:pPr>
            <w:r>
              <w:rPr>
                <w:rFonts w:ascii="Arial" w:cs="Arial" w:eastAsia="Arial" w:hAnsi="Arial"/>
                <w:sz w:val="18"/>
                <w:szCs w:val="18"/>
                <w:color w:val="auto"/>
              </w:rPr>
              <w:t>370</w:t>
            </w:r>
          </w:p>
        </w:tc>
        <w:tc>
          <w:tcPr>
            <w:tcW w:w="1720" w:type="dxa"/>
            <w:vAlign w:val="bottom"/>
          </w:tcPr>
          <w:p>
            <w:pPr>
              <w:jc w:val="right"/>
              <w:ind w:right="190"/>
              <w:spacing w:after="0" w:line="202" w:lineRule="exact"/>
              <w:rPr>
                <w:sz w:val="20"/>
                <w:szCs w:val="20"/>
                <w:color w:val="auto"/>
              </w:rPr>
            </w:pPr>
            <w:r>
              <w:rPr>
                <w:rFonts w:ascii="Arial" w:cs="Arial" w:eastAsia="Arial" w:hAnsi="Arial"/>
                <w:sz w:val="18"/>
                <w:szCs w:val="18"/>
                <w:color w:val="auto"/>
              </w:rPr>
              <w:t>(296)</w:t>
            </w:r>
          </w:p>
        </w:tc>
        <w:tc>
          <w:tcPr>
            <w:tcW w:w="14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74</w:t>
            </w:r>
          </w:p>
        </w:tc>
      </w:tr>
      <w:tr>
        <w:trPr>
          <w:trHeight w:val="203"/>
        </w:trPr>
        <w:tc>
          <w:tcPr>
            <w:tcW w:w="20" w:type="dxa"/>
            <w:vAlign w:val="bottom"/>
          </w:tcPr>
          <w:p>
            <w:pPr>
              <w:spacing w:after="0"/>
              <w:rPr>
                <w:sz w:val="17"/>
                <w:szCs w:val="17"/>
                <w:color w:val="auto"/>
              </w:rPr>
            </w:pPr>
          </w:p>
        </w:tc>
        <w:tc>
          <w:tcPr>
            <w:tcW w:w="3960" w:type="dxa"/>
            <w:vAlign w:val="bottom"/>
          </w:tcPr>
          <w:p>
            <w:pPr>
              <w:ind w:left="320"/>
              <w:spacing w:after="0" w:line="202" w:lineRule="exact"/>
              <w:rPr>
                <w:sz w:val="20"/>
                <w:szCs w:val="20"/>
                <w:color w:val="auto"/>
              </w:rPr>
            </w:pPr>
            <w:r>
              <w:rPr>
                <w:rFonts w:ascii="Arial" w:cs="Arial" w:eastAsia="Arial" w:hAnsi="Arial"/>
                <w:sz w:val="18"/>
                <w:szCs w:val="18"/>
                <w:color w:val="auto"/>
              </w:rPr>
              <w:t>Customer relationships</w:t>
            </w:r>
          </w:p>
        </w:tc>
        <w:tc>
          <w:tcPr>
            <w:tcW w:w="2480" w:type="dxa"/>
            <w:vAlign w:val="bottom"/>
          </w:tcPr>
          <w:p>
            <w:pPr>
              <w:jc w:val="right"/>
              <w:ind w:right="170"/>
              <w:spacing w:after="0" w:line="202" w:lineRule="exact"/>
              <w:rPr>
                <w:sz w:val="20"/>
                <w:szCs w:val="20"/>
                <w:color w:val="auto"/>
              </w:rPr>
            </w:pPr>
            <w:r>
              <w:rPr>
                <w:rFonts w:ascii="Arial" w:cs="Arial" w:eastAsia="Arial" w:hAnsi="Arial"/>
                <w:sz w:val="18"/>
                <w:szCs w:val="18"/>
                <w:color w:val="auto"/>
              </w:rPr>
              <w:t>15</w:t>
            </w:r>
          </w:p>
        </w:tc>
        <w:tc>
          <w:tcPr>
            <w:tcW w:w="1780" w:type="dxa"/>
            <w:vAlign w:val="bottom"/>
          </w:tcPr>
          <w:p>
            <w:pPr>
              <w:jc w:val="right"/>
              <w:ind w:right="230"/>
              <w:spacing w:after="0" w:line="202" w:lineRule="exact"/>
              <w:rPr>
                <w:sz w:val="20"/>
                <w:szCs w:val="20"/>
                <w:color w:val="auto"/>
              </w:rPr>
            </w:pPr>
            <w:r>
              <w:rPr>
                <w:rFonts w:ascii="Arial" w:cs="Arial" w:eastAsia="Arial" w:hAnsi="Arial"/>
                <w:sz w:val="18"/>
                <w:szCs w:val="18"/>
                <w:color w:val="auto"/>
              </w:rPr>
              <w:t>48,421</w:t>
            </w:r>
          </w:p>
        </w:tc>
        <w:tc>
          <w:tcPr>
            <w:tcW w:w="1720" w:type="dxa"/>
            <w:vAlign w:val="bottom"/>
          </w:tcPr>
          <w:p>
            <w:pPr>
              <w:jc w:val="right"/>
              <w:ind w:right="190"/>
              <w:spacing w:after="0" w:line="202" w:lineRule="exact"/>
              <w:rPr>
                <w:sz w:val="20"/>
                <w:szCs w:val="20"/>
                <w:color w:val="auto"/>
              </w:rPr>
            </w:pPr>
            <w:r>
              <w:rPr>
                <w:rFonts w:ascii="Arial" w:cs="Arial" w:eastAsia="Arial" w:hAnsi="Arial"/>
                <w:sz w:val="18"/>
                <w:szCs w:val="18"/>
                <w:color w:val="auto"/>
              </w:rPr>
              <w:t>(6,462)</w:t>
            </w:r>
          </w:p>
        </w:tc>
        <w:tc>
          <w:tcPr>
            <w:tcW w:w="14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41,959</w:t>
            </w:r>
          </w:p>
        </w:tc>
      </w:tr>
      <w:tr>
        <w:trPr>
          <w:trHeight w:val="203"/>
        </w:trPr>
        <w:tc>
          <w:tcPr>
            <w:tcW w:w="20" w:type="dxa"/>
            <w:vAlign w:val="bottom"/>
          </w:tcPr>
          <w:p>
            <w:pPr>
              <w:spacing w:after="0"/>
              <w:rPr>
                <w:sz w:val="17"/>
                <w:szCs w:val="17"/>
                <w:color w:val="auto"/>
              </w:rPr>
            </w:pPr>
          </w:p>
        </w:tc>
        <w:tc>
          <w:tcPr>
            <w:tcW w:w="3960" w:type="dxa"/>
            <w:vAlign w:val="bottom"/>
          </w:tcPr>
          <w:p>
            <w:pPr>
              <w:ind w:left="320"/>
              <w:spacing w:after="0" w:line="202" w:lineRule="exact"/>
              <w:rPr>
                <w:sz w:val="20"/>
                <w:szCs w:val="20"/>
                <w:color w:val="auto"/>
              </w:rPr>
            </w:pPr>
            <w:r>
              <w:rPr>
                <w:rFonts w:ascii="Arial" w:cs="Arial" w:eastAsia="Arial" w:hAnsi="Arial"/>
                <w:sz w:val="18"/>
                <w:szCs w:val="18"/>
                <w:color w:val="auto"/>
              </w:rPr>
              <w:t>Customer contracts</w:t>
            </w:r>
          </w:p>
        </w:tc>
        <w:tc>
          <w:tcPr>
            <w:tcW w:w="2480" w:type="dxa"/>
            <w:vAlign w:val="bottom"/>
          </w:tcPr>
          <w:p>
            <w:pPr>
              <w:jc w:val="right"/>
              <w:ind w:right="170"/>
              <w:spacing w:after="0" w:line="202" w:lineRule="exact"/>
              <w:rPr>
                <w:sz w:val="20"/>
                <w:szCs w:val="20"/>
                <w:color w:val="auto"/>
              </w:rPr>
            </w:pPr>
            <w:r>
              <w:rPr>
                <w:rFonts w:ascii="Arial" w:cs="Arial" w:eastAsia="Arial" w:hAnsi="Arial"/>
                <w:sz w:val="18"/>
                <w:szCs w:val="18"/>
                <w:color w:val="auto"/>
              </w:rPr>
              <w:t>6</w:t>
            </w:r>
          </w:p>
        </w:tc>
        <w:tc>
          <w:tcPr>
            <w:tcW w:w="1780" w:type="dxa"/>
            <w:vAlign w:val="bottom"/>
          </w:tcPr>
          <w:p>
            <w:pPr>
              <w:jc w:val="right"/>
              <w:ind w:right="230"/>
              <w:spacing w:after="0" w:line="202" w:lineRule="exact"/>
              <w:rPr>
                <w:sz w:val="20"/>
                <w:szCs w:val="20"/>
                <w:color w:val="auto"/>
              </w:rPr>
            </w:pPr>
            <w:r>
              <w:rPr>
                <w:rFonts w:ascii="Arial" w:cs="Arial" w:eastAsia="Arial" w:hAnsi="Arial"/>
                <w:sz w:val="18"/>
                <w:szCs w:val="18"/>
                <w:color w:val="auto"/>
              </w:rPr>
              <w:t>17,471</w:t>
            </w:r>
          </w:p>
        </w:tc>
        <w:tc>
          <w:tcPr>
            <w:tcW w:w="1720" w:type="dxa"/>
            <w:vAlign w:val="bottom"/>
          </w:tcPr>
          <w:p>
            <w:pPr>
              <w:jc w:val="right"/>
              <w:ind w:right="190"/>
              <w:spacing w:after="0" w:line="202" w:lineRule="exact"/>
              <w:rPr>
                <w:sz w:val="20"/>
                <w:szCs w:val="20"/>
                <w:color w:val="auto"/>
              </w:rPr>
            </w:pPr>
            <w:r>
              <w:rPr>
                <w:rFonts w:ascii="Arial" w:cs="Arial" w:eastAsia="Arial" w:hAnsi="Arial"/>
                <w:sz w:val="18"/>
                <w:szCs w:val="18"/>
                <w:color w:val="auto"/>
              </w:rPr>
              <w:t>(5,830)</w:t>
            </w:r>
          </w:p>
        </w:tc>
        <w:tc>
          <w:tcPr>
            <w:tcW w:w="14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11,641</w:t>
            </w:r>
          </w:p>
        </w:tc>
      </w:tr>
      <w:tr>
        <w:trPr>
          <w:trHeight w:val="203"/>
        </w:trPr>
        <w:tc>
          <w:tcPr>
            <w:tcW w:w="20" w:type="dxa"/>
            <w:vAlign w:val="bottom"/>
          </w:tcPr>
          <w:p>
            <w:pPr>
              <w:spacing w:after="0"/>
              <w:rPr>
                <w:sz w:val="17"/>
                <w:szCs w:val="17"/>
                <w:color w:val="auto"/>
              </w:rPr>
            </w:pPr>
          </w:p>
        </w:tc>
        <w:tc>
          <w:tcPr>
            <w:tcW w:w="3960" w:type="dxa"/>
            <w:vAlign w:val="bottom"/>
            <w:tcBorders>
              <w:bottom w:val="single" w:sz="8" w:color="auto"/>
            </w:tcBorders>
          </w:tcPr>
          <w:p>
            <w:pPr>
              <w:ind w:left="320"/>
              <w:spacing w:after="0" w:line="203" w:lineRule="exact"/>
              <w:rPr>
                <w:sz w:val="20"/>
                <w:szCs w:val="20"/>
                <w:color w:val="auto"/>
              </w:rPr>
            </w:pPr>
            <w:r>
              <w:rPr>
                <w:rFonts w:ascii="Arial" w:cs="Arial" w:eastAsia="Arial" w:hAnsi="Arial"/>
                <w:sz w:val="18"/>
                <w:szCs w:val="18"/>
                <w:color w:val="auto"/>
              </w:rPr>
              <w:t>Other intangibles</w:t>
            </w:r>
          </w:p>
        </w:tc>
        <w:tc>
          <w:tcPr>
            <w:tcW w:w="2480" w:type="dxa"/>
            <w:vAlign w:val="bottom"/>
            <w:tcBorders>
              <w:bottom w:val="single" w:sz="8" w:color="auto"/>
            </w:tcBorders>
          </w:tcPr>
          <w:p>
            <w:pPr>
              <w:jc w:val="right"/>
              <w:ind w:right="170"/>
              <w:spacing w:after="0" w:line="203" w:lineRule="exact"/>
              <w:rPr>
                <w:sz w:val="20"/>
                <w:szCs w:val="20"/>
                <w:color w:val="auto"/>
              </w:rPr>
            </w:pPr>
            <w:r>
              <w:rPr>
                <w:rFonts w:ascii="Arial" w:cs="Arial" w:eastAsia="Arial" w:hAnsi="Arial"/>
                <w:sz w:val="18"/>
                <w:szCs w:val="18"/>
                <w:color w:val="auto"/>
              </w:rPr>
              <w:t>5</w:t>
            </w:r>
          </w:p>
        </w:tc>
        <w:tc>
          <w:tcPr>
            <w:tcW w:w="1780" w:type="dxa"/>
            <w:vAlign w:val="bottom"/>
            <w:tcBorders>
              <w:bottom w:val="single" w:sz="8" w:color="auto"/>
            </w:tcBorders>
          </w:tcPr>
          <w:p>
            <w:pPr>
              <w:jc w:val="right"/>
              <w:ind w:right="230"/>
              <w:spacing w:after="0" w:line="203" w:lineRule="exact"/>
              <w:rPr>
                <w:sz w:val="20"/>
                <w:szCs w:val="20"/>
                <w:color w:val="auto"/>
              </w:rPr>
            </w:pPr>
            <w:r>
              <w:rPr>
                <w:rFonts w:ascii="Arial" w:cs="Arial" w:eastAsia="Arial" w:hAnsi="Arial"/>
                <w:sz w:val="18"/>
                <w:szCs w:val="18"/>
                <w:color w:val="auto"/>
              </w:rPr>
              <w:t>322</w:t>
            </w:r>
          </w:p>
        </w:tc>
        <w:tc>
          <w:tcPr>
            <w:tcW w:w="1720" w:type="dxa"/>
            <w:vAlign w:val="bottom"/>
            <w:tcBorders>
              <w:bottom w:val="single" w:sz="8" w:color="auto"/>
            </w:tcBorders>
          </w:tcPr>
          <w:p>
            <w:pPr>
              <w:jc w:val="right"/>
              <w:ind w:right="190"/>
              <w:spacing w:after="0" w:line="203" w:lineRule="exact"/>
              <w:rPr>
                <w:sz w:val="20"/>
                <w:szCs w:val="20"/>
                <w:color w:val="auto"/>
              </w:rPr>
            </w:pPr>
            <w:r>
              <w:rPr>
                <w:rFonts w:ascii="Arial" w:cs="Arial" w:eastAsia="Arial" w:hAnsi="Arial"/>
                <w:sz w:val="18"/>
                <w:szCs w:val="18"/>
                <w:color w:val="auto"/>
              </w:rPr>
              <w:t>(129)</w:t>
            </w:r>
          </w:p>
        </w:tc>
        <w:tc>
          <w:tcPr>
            <w:tcW w:w="1460" w:type="dxa"/>
            <w:vAlign w:val="bottom"/>
            <w:tcBorders>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rPr>
              <w:t>193</w:t>
            </w:r>
          </w:p>
        </w:tc>
      </w:tr>
      <w:tr>
        <w:trPr>
          <w:trHeight w:val="196"/>
        </w:trPr>
        <w:tc>
          <w:tcPr>
            <w:tcW w:w="20" w:type="dxa"/>
            <w:vAlign w:val="bottom"/>
            <w:tcBorders>
              <w:bottom w:val="single" w:sz="8" w:color="auto"/>
            </w:tcBorders>
          </w:tcPr>
          <w:p>
            <w:pPr>
              <w:spacing w:after="0"/>
              <w:rPr>
                <w:sz w:val="17"/>
                <w:szCs w:val="17"/>
                <w:color w:val="auto"/>
              </w:rPr>
            </w:pPr>
          </w:p>
        </w:tc>
        <w:tc>
          <w:tcPr>
            <w:tcW w:w="396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Net amortized intangible assets</w:t>
            </w:r>
          </w:p>
        </w:tc>
        <w:tc>
          <w:tcPr>
            <w:tcW w:w="2480" w:type="dxa"/>
            <w:vAlign w:val="bottom"/>
            <w:tcBorders>
              <w:bottom w:val="single" w:sz="8" w:color="auto"/>
            </w:tcBorders>
          </w:tcPr>
          <w:p>
            <w:pPr>
              <w:spacing w:after="0"/>
              <w:rPr>
                <w:sz w:val="17"/>
                <w:szCs w:val="17"/>
                <w:color w:val="auto"/>
              </w:rPr>
            </w:pPr>
          </w:p>
        </w:tc>
        <w:tc>
          <w:tcPr>
            <w:tcW w:w="1780" w:type="dxa"/>
            <w:vAlign w:val="bottom"/>
            <w:tcBorders>
              <w:bottom w:val="single" w:sz="8" w:color="auto"/>
            </w:tcBorders>
          </w:tcPr>
          <w:p>
            <w:pPr>
              <w:jc w:val="right"/>
              <w:ind w:right="230"/>
              <w:spacing w:after="0" w:line="196" w:lineRule="exact"/>
              <w:rPr>
                <w:sz w:val="20"/>
                <w:szCs w:val="20"/>
                <w:color w:val="auto"/>
              </w:rPr>
            </w:pPr>
            <w:r>
              <w:rPr>
                <w:rFonts w:ascii="Arial" w:cs="Arial" w:eastAsia="Arial" w:hAnsi="Arial"/>
                <w:sz w:val="18"/>
                <w:szCs w:val="18"/>
                <w:color w:val="auto"/>
              </w:rPr>
              <w:t>$66,724</w:t>
            </w:r>
          </w:p>
        </w:tc>
        <w:tc>
          <w:tcPr>
            <w:tcW w:w="1720" w:type="dxa"/>
            <w:vAlign w:val="bottom"/>
            <w:tcBorders>
              <w:bottom w:val="single" w:sz="8" w:color="auto"/>
            </w:tcBorders>
          </w:tcPr>
          <w:p>
            <w:pPr>
              <w:jc w:val="right"/>
              <w:ind w:right="190"/>
              <w:spacing w:after="0" w:line="196" w:lineRule="exact"/>
              <w:rPr>
                <w:sz w:val="20"/>
                <w:szCs w:val="20"/>
                <w:color w:val="auto"/>
              </w:rPr>
            </w:pPr>
            <w:r>
              <w:rPr>
                <w:rFonts w:ascii="Arial" w:cs="Arial" w:eastAsia="Arial" w:hAnsi="Arial"/>
                <w:sz w:val="18"/>
                <w:szCs w:val="18"/>
                <w:color w:val="auto"/>
              </w:rPr>
              <w:t>($12,843)</w:t>
            </w:r>
          </w:p>
        </w:tc>
        <w:tc>
          <w:tcPr>
            <w:tcW w:w="146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$53,881</w:t>
            </w:r>
          </w:p>
        </w:tc>
      </w:tr>
      <w:tr>
        <w:trPr>
          <w:trHeight w:val="398"/>
        </w:trPr>
        <w:tc>
          <w:tcPr>
            <w:tcW w:w="3980" w:type="dxa"/>
            <w:vAlign w:val="bottom"/>
            <w:gridSpan w:val="2"/>
          </w:tcPr>
          <w:p>
            <w:pPr>
              <w:spacing w:after="0"/>
              <w:rPr>
                <w:sz w:val="20"/>
                <w:szCs w:val="20"/>
                <w:color w:val="auto"/>
              </w:rPr>
            </w:pPr>
            <w:r>
              <w:rPr>
                <w:rFonts w:ascii="Arial" w:cs="Arial" w:eastAsia="Arial" w:hAnsi="Arial"/>
                <w:sz w:val="18"/>
                <w:szCs w:val="18"/>
                <w:color w:val="auto"/>
              </w:rPr>
              <w:t>Unamortized intangible assets:</w:t>
            </w:r>
          </w:p>
        </w:tc>
        <w:tc>
          <w:tcPr>
            <w:tcW w:w="24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203"/>
        </w:trPr>
        <w:tc>
          <w:tcPr>
            <w:tcW w:w="20" w:type="dxa"/>
            <w:vAlign w:val="bottom"/>
          </w:tcPr>
          <w:p>
            <w:pPr>
              <w:spacing w:after="0"/>
              <w:rPr>
                <w:sz w:val="17"/>
                <w:szCs w:val="17"/>
                <w:color w:val="auto"/>
              </w:rPr>
            </w:pPr>
          </w:p>
        </w:tc>
        <w:tc>
          <w:tcPr>
            <w:tcW w:w="3960" w:type="dxa"/>
            <w:vAlign w:val="bottom"/>
          </w:tcPr>
          <w:p>
            <w:pPr>
              <w:ind w:left="320"/>
              <w:spacing w:after="0" w:line="202" w:lineRule="exact"/>
              <w:rPr>
                <w:sz w:val="20"/>
                <w:szCs w:val="20"/>
                <w:color w:val="auto"/>
              </w:rPr>
            </w:pPr>
            <w:r>
              <w:rPr>
                <w:rFonts w:ascii="Arial" w:cs="Arial" w:eastAsia="Arial" w:hAnsi="Arial"/>
                <w:sz w:val="18"/>
                <w:szCs w:val="18"/>
                <w:color w:val="auto"/>
              </w:rPr>
              <w:t>MC Goodwill</w:t>
            </w:r>
          </w:p>
        </w:tc>
        <w:tc>
          <w:tcPr>
            <w:tcW w:w="2480" w:type="dxa"/>
            <w:vAlign w:val="bottom"/>
          </w:tcPr>
          <w:p>
            <w:pPr>
              <w:spacing w:after="0"/>
              <w:rPr>
                <w:sz w:val="17"/>
                <w:szCs w:val="17"/>
                <w:color w:val="auto"/>
              </w:rPr>
            </w:pPr>
          </w:p>
        </w:tc>
        <w:tc>
          <w:tcPr>
            <w:tcW w:w="1780" w:type="dxa"/>
            <w:vAlign w:val="bottom"/>
          </w:tcPr>
          <w:p>
            <w:pPr>
              <w:jc w:val="right"/>
              <w:ind w:right="230"/>
              <w:spacing w:after="0" w:line="202" w:lineRule="exact"/>
              <w:rPr>
                <w:sz w:val="20"/>
                <w:szCs w:val="20"/>
                <w:color w:val="auto"/>
              </w:rPr>
            </w:pPr>
            <w:r>
              <w:rPr>
                <w:rFonts w:ascii="Arial" w:cs="Arial" w:eastAsia="Arial" w:hAnsi="Arial"/>
                <w:sz w:val="18"/>
                <w:szCs w:val="18"/>
                <w:color w:val="auto"/>
              </w:rPr>
              <w:t>$72,581</w:t>
            </w:r>
          </w:p>
        </w:tc>
        <w:tc>
          <w:tcPr>
            <w:tcW w:w="1720" w:type="dxa"/>
            <w:vAlign w:val="bottom"/>
          </w:tcPr>
          <w:p>
            <w:pPr>
              <w:jc w:val="right"/>
              <w:ind w:right="250"/>
              <w:spacing w:after="0" w:line="202" w:lineRule="exact"/>
              <w:rPr>
                <w:sz w:val="20"/>
                <w:szCs w:val="20"/>
                <w:color w:val="auto"/>
              </w:rPr>
            </w:pPr>
            <w:r>
              <w:rPr>
                <w:rFonts w:ascii="Arial" w:cs="Arial" w:eastAsia="Arial" w:hAnsi="Arial"/>
                <w:sz w:val="18"/>
                <w:szCs w:val="18"/>
                <w:color w:val="auto"/>
              </w:rPr>
              <w:t>$-</w:t>
            </w:r>
          </w:p>
        </w:tc>
        <w:tc>
          <w:tcPr>
            <w:tcW w:w="14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$72,581</w:t>
            </w:r>
          </w:p>
        </w:tc>
      </w:tr>
      <w:tr>
        <w:trPr>
          <w:trHeight w:val="203"/>
        </w:trPr>
        <w:tc>
          <w:tcPr>
            <w:tcW w:w="20" w:type="dxa"/>
            <w:vAlign w:val="bottom"/>
          </w:tcPr>
          <w:p>
            <w:pPr>
              <w:spacing w:after="0"/>
              <w:rPr>
                <w:sz w:val="17"/>
                <w:szCs w:val="17"/>
                <w:color w:val="auto"/>
              </w:rPr>
            </w:pPr>
          </w:p>
        </w:tc>
        <w:tc>
          <w:tcPr>
            <w:tcW w:w="3960" w:type="dxa"/>
            <w:vAlign w:val="bottom"/>
            <w:tcBorders>
              <w:bottom w:val="single" w:sz="8" w:color="auto"/>
            </w:tcBorders>
          </w:tcPr>
          <w:p>
            <w:pPr>
              <w:ind w:left="320"/>
              <w:spacing w:after="0" w:line="203" w:lineRule="exact"/>
              <w:rPr>
                <w:sz w:val="20"/>
                <w:szCs w:val="20"/>
                <w:color w:val="auto"/>
              </w:rPr>
            </w:pPr>
            <w:r>
              <w:rPr>
                <w:rFonts w:ascii="Arial" w:cs="Arial" w:eastAsia="Arial" w:hAnsi="Arial"/>
                <w:sz w:val="18"/>
                <w:szCs w:val="18"/>
                <w:color w:val="auto"/>
              </w:rPr>
              <w:t>AEC Goodwill</w:t>
            </w:r>
          </w:p>
        </w:tc>
        <w:tc>
          <w:tcPr>
            <w:tcW w:w="2480" w:type="dxa"/>
            <w:vAlign w:val="bottom"/>
            <w:tcBorders>
              <w:bottom w:val="single" w:sz="8" w:color="auto"/>
            </w:tcBorders>
          </w:tcPr>
          <w:p>
            <w:pPr>
              <w:spacing w:after="0"/>
              <w:rPr>
                <w:sz w:val="17"/>
                <w:szCs w:val="17"/>
                <w:color w:val="auto"/>
              </w:rPr>
            </w:pPr>
          </w:p>
        </w:tc>
        <w:tc>
          <w:tcPr>
            <w:tcW w:w="1780" w:type="dxa"/>
            <w:vAlign w:val="bottom"/>
            <w:tcBorders>
              <w:bottom w:val="single" w:sz="8" w:color="auto"/>
            </w:tcBorders>
          </w:tcPr>
          <w:p>
            <w:pPr>
              <w:jc w:val="right"/>
              <w:ind w:right="230"/>
              <w:spacing w:after="0" w:line="203" w:lineRule="exact"/>
              <w:rPr>
                <w:sz w:val="20"/>
                <w:szCs w:val="20"/>
                <w:color w:val="auto"/>
              </w:rPr>
            </w:pPr>
            <w:r>
              <w:rPr>
                <w:rFonts w:ascii="Arial" w:cs="Arial" w:eastAsia="Arial" w:hAnsi="Arial"/>
                <w:sz w:val="18"/>
                <w:szCs w:val="18"/>
                <w:color w:val="auto"/>
              </w:rPr>
              <w:t>95,730</w:t>
            </w:r>
          </w:p>
        </w:tc>
        <w:tc>
          <w:tcPr>
            <w:tcW w:w="1720" w:type="dxa"/>
            <w:vAlign w:val="bottom"/>
            <w:tcBorders>
              <w:bottom w:val="single" w:sz="8" w:color="auto"/>
            </w:tcBorders>
          </w:tcPr>
          <w:p>
            <w:pPr>
              <w:jc w:val="right"/>
              <w:ind w:right="250"/>
              <w:spacing w:after="0" w:line="203" w:lineRule="exact"/>
              <w:rPr>
                <w:sz w:val="20"/>
                <w:szCs w:val="20"/>
                <w:color w:val="auto"/>
              </w:rPr>
            </w:pPr>
            <w:r>
              <w:rPr>
                <w:rFonts w:ascii="Arial" w:cs="Arial" w:eastAsia="Arial" w:hAnsi="Arial"/>
                <w:sz w:val="18"/>
                <w:szCs w:val="18"/>
                <w:color w:val="auto"/>
              </w:rPr>
              <w:t>-</w:t>
            </w:r>
          </w:p>
        </w:tc>
        <w:tc>
          <w:tcPr>
            <w:tcW w:w="1460" w:type="dxa"/>
            <w:vAlign w:val="bottom"/>
            <w:tcBorders>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rPr>
              <w:t>95,730</w:t>
            </w:r>
          </w:p>
        </w:tc>
      </w:tr>
      <w:tr>
        <w:trPr>
          <w:trHeight w:val="196"/>
        </w:trPr>
        <w:tc>
          <w:tcPr>
            <w:tcW w:w="20" w:type="dxa"/>
            <w:vAlign w:val="bottom"/>
          </w:tcPr>
          <w:p>
            <w:pPr>
              <w:spacing w:after="0"/>
              <w:rPr>
                <w:sz w:val="17"/>
                <w:szCs w:val="17"/>
                <w:color w:val="auto"/>
              </w:rPr>
            </w:pPr>
          </w:p>
        </w:tc>
        <w:tc>
          <w:tcPr>
            <w:tcW w:w="396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Total unamortized intangible assets:</w:t>
            </w:r>
          </w:p>
        </w:tc>
        <w:tc>
          <w:tcPr>
            <w:tcW w:w="2480" w:type="dxa"/>
            <w:vAlign w:val="bottom"/>
            <w:tcBorders>
              <w:bottom w:val="single" w:sz="8" w:color="auto"/>
            </w:tcBorders>
          </w:tcPr>
          <w:p>
            <w:pPr>
              <w:spacing w:after="0"/>
              <w:rPr>
                <w:sz w:val="17"/>
                <w:szCs w:val="17"/>
                <w:color w:val="auto"/>
              </w:rPr>
            </w:pPr>
          </w:p>
        </w:tc>
        <w:tc>
          <w:tcPr>
            <w:tcW w:w="1780" w:type="dxa"/>
            <w:vAlign w:val="bottom"/>
            <w:tcBorders>
              <w:bottom w:val="single" w:sz="8" w:color="auto"/>
            </w:tcBorders>
          </w:tcPr>
          <w:p>
            <w:pPr>
              <w:jc w:val="right"/>
              <w:ind w:right="230"/>
              <w:spacing w:after="0" w:line="196" w:lineRule="exact"/>
              <w:rPr>
                <w:sz w:val="20"/>
                <w:szCs w:val="20"/>
                <w:color w:val="auto"/>
              </w:rPr>
            </w:pPr>
            <w:r>
              <w:rPr>
                <w:rFonts w:ascii="Arial" w:cs="Arial" w:eastAsia="Arial" w:hAnsi="Arial"/>
                <w:sz w:val="18"/>
                <w:szCs w:val="18"/>
                <w:color w:val="auto"/>
              </w:rPr>
              <w:t>$168,311</w:t>
            </w:r>
          </w:p>
        </w:tc>
        <w:tc>
          <w:tcPr>
            <w:tcW w:w="1720" w:type="dxa"/>
            <w:vAlign w:val="bottom"/>
            <w:tcBorders>
              <w:bottom w:val="single" w:sz="8" w:color="auto"/>
            </w:tcBorders>
          </w:tcPr>
          <w:p>
            <w:pPr>
              <w:jc w:val="right"/>
              <w:ind w:right="250"/>
              <w:spacing w:after="0" w:line="196" w:lineRule="exact"/>
              <w:rPr>
                <w:sz w:val="20"/>
                <w:szCs w:val="20"/>
                <w:color w:val="auto"/>
              </w:rPr>
            </w:pPr>
            <w:r>
              <w:rPr>
                <w:rFonts w:ascii="Arial" w:cs="Arial" w:eastAsia="Arial" w:hAnsi="Arial"/>
                <w:sz w:val="18"/>
                <w:szCs w:val="18"/>
                <w:color w:val="auto"/>
              </w:rPr>
              <w:t>$-</w:t>
            </w:r>
          </w:p>
        </w:tc>
        <w:tc>
          <w:tcPr>
            <w:tcW w:w="146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$168,311</w:t>
            </w:r>
          </w:p>
        </w:tc>
      </w:tr>
      <w:tr>
        <w:trPr>
          <w:trHeight w:val="628"/>
        </w:trPr>
        <w:tc>
          <w:tcPr>
            <w:tcW w:w="2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2480" w:type="dxa"/>
            <w:vAlign w:val="bottom"/>
          </w:tcPr>
          <w:p>
            <w:pPr>
              <w:jc w:val="right"/>
              <w:ind w:right="570"/>
              <w:spacing w:after="0"/>
              <w:rPr>
                <w:sz w:val="20"/>
                <w:szCs w:val="20"/>
                <w:color w:val="auto"/>
              </w:rPr>
            </w:pPr>
            <w:r>
              <w:rPr>
                <w:rFonts w:ascii="Arial" w:cs="Arial" w:eastAsia="Arial" w:hAnsi="Arial"/>
                <w:sz w:val="18"/>
                <w:szCs w:val="18"/>
                <w:color w:val="auto"/>
              </w:rPr>
              <w:t>30</w:t>
            </w:r>
          </w:p>
        </w:tc>
        <w:tc>
          <w:tcPr>
            <w:tcW w:w="17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142"/>
        </w:trPr>
        <w:tc>
          <w:tcPr>
            <w:tcW w:w="20" w:type="dxa"/>
            <w:vAlign w:val="bottom"/>
          </w:tcPr>
          <w:p>
            <w:pPr>
              <w:spacing w:after="0"/>
              <w:rPr>
                <w:sz w:val="12"/>
                <w:szCs w:val="12"/>
                <w:color w:val="auto"/>
              </w:rPr>
            </w:pPr>
          </w:p>
        </w:tc>
        <w:tc>
          <w:tcPr>
            <w:tcW w:w="3960" w:type="dxa"/>
            <w:vAlign w:val="bottom"/>
            <w:tcBorders>
              <w:bottom w:val="single" w:sz="8" w:color="auto"/>
            </w:tcBorders>
          </w:tcPr>
          <w:p>
            <w:pPr>
              <w:spacing w:after="0"/>
              <w:rPr>
                <w:sz w:val="12"/>
                <w:szCs w:val="12"/>
                <w:color w:val="auto"/>
              </w:rPr>
            </w:pPr>
          </w:p>
        </w:tc>
        <w:tc>
          <w:tcPr>
            <w:tcW w:w="2480" w:type="dxa"/>
            <w:vAlign w:val="bottom"/>
            <w:tcBorders>
              <w:bottom w:val="single" w:sz="8" w:color="auto"/>
            </w:tcBorders>
          </w:tcPr>
          <w:p>
            <w:pPr>
              <w:spacing w:after="0"/>
              <w:rPr>
                <w:sz w:val="12"/>
                <w:szCs w:val="12"/>
                <w:color w:val="auto"/>
              </w:rPr>
            </w:pPr>
          </w:p>
        </w:tc>
        <w:tc>
          <w:tcPr>
            <w:tcW w:w="1780" w:type="dxa"/>
            <w:vAlign w:val="bottom"/>
            <w:tcBorders>
              <w:bottom w:val="single" w:sz="8" w:color="auto"/>
            </w:tcBorders>
          </w:tcPr>
          <w:p>
            <w:pPr>
              <w:spacing w:after="0"/>
              <w:rPr>
                <w:sz w:val="12"/>
                <w:szCs w:val="12"/>
                <w:color w:val="auto"/>
              </w:rPr>
            </w:pPr>
          </w:p>
        </w:tc>
        <w:tc>
          <w:tcPr>
            <w:tcW w:w="1720" w:type="dxa"/>
            <w:vAlign w:val="bottom"/>
            <w:tcBorders>
              <w:bottom w:val="single" w:sz="8" w:color="auto"/>
            </w:tcBorders>
          </w:tcPr>
          <w:p>
            <w:pPr>
              <w:spacing w:after="0"/>
              <w:rPr>
                <w:sz w:val="12"/>
                <w:szCs w:val="12"/>
                <w:color w:val="auto"/>
              </w:rPr>
            </w:pPr>
          </w:p>
        </w:tc>
        <w:tc>
          <w:tcPr>
            <w:tcW w:w="1460" w:type="dxa"/>
            <w:vAlign w:val="bottom"/>
            <w:tcBorders>
              <w:bottom w:val="single" w:sz="8" w:color="auto"/>
            </w:tcBorders>
          </w:tcPr>
          <w:p>
            <w:pPr>
              <w:spacing w:after="0"/>
              <w:rPr>
                <w:sz w:val="12"/>
                <w:szCs w:val="12"/>
                <w:color w:val="auto"/>
              </w:rPr>
            </w:pPr>
          </w:p>
        </w:tc>
      </w:tr>
    </w:tbl>
    <w:p>
      <w:pPr>
        <w:sectPr>
          <w:pgSz w:w="11900" w:h="16838" w:orient="portrait"/>
          <w:cols w:equalWidth="0" w:num="1">
            <w:col w:w="11420"/>
          </w:cols>
          <w:pgMar w:left="240" w:top="598" w:right="239" w:bottom="1440" w:gutter="0" w:footer="0" w:header="0"/>
        </w:sectPr>
      </w:pPr>
    </w:p>
    <w:bookmarkStart w:id="30" w:name="page31"/>
    <w:bookmarkEnd w:id="3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20" w:type="dxa"/>
            <w:vAlign w:val="bottom"/>
          </w:tcPr>
          <w:p>
            <w:pPr>
              <w:spacing w:after="0"/>
              <w:rPr>
                <w:sz w:val="16"/>
                <w:szCs w:val="16"/>
                <w:color w:val="auto"/>
              </w:rPr>
            </w:pPr>
          </w:p>
        </w:tc>
        <w:tc>
          <w:tcPr>
            <w:tcW w:w="3960" w:type="dxa"/>
            <w:vAlign w:val="bottom"/>
            <w:tcBorders>
              <w:top w:val="single" w:sz="8" w:color="auto"/>
            </w:tcBorders>
          </w:tcPr>
          <w:p>
            <w:pPr>
              <w:spacing w:after="0"/>
              <w:rPr>
                <w:sz w:val="16"/>
                <w:szCs w:val="16"/>
                <w:color w:val="auto"/>
              </w:rPr>
            </w:pPr>
          </w:p>
        </w:tc>
        <w:tc>
          <w:tcPr>
            <w:tcW w:w="2480" w:type="dxa"/>
            <w:vAlign w:val="bottom"/>
            <w:tcBorders>
              <w:top w:val="single" w:sz="8" w:color="auto"/>
            </w:tcBorders>
          </w:tcPr>
          <w:p>
            <w:pPr>
              <w:jc w:val="center"/>
              <w:ind w:left="710"/>
              <w:spacing w:after="0" w:line="194" w:lineRule="exact"/>
              <w:rPr>
                <w:sz w:val="20"/>
                <w:szCs w:val="20"/>
                <w:color w:val="auto"/>
              </w:rPr>
            </w:pPr>
            <w:r>
              <w:rPr>
                <w:rFonts w:ascii="Arial" w:cs="Arial" w:eastAsia="Arial" w:hAnsi="Arial"/>
                <w:sz w:val="18"/>
                <w:szCs w:val="18"/>
                <w:b w:val="1"/>
                <w:bCs w:val="1"/>
                <w:color w:val="auto"/>
                <w:w w:val="98"/>
              </w:rPr>
              <w:t>Weighted</w:t>
            </w:r>
          </w:p>
        </w:tc>
        <w:tc>
          <w:tcPr>
            <w:tcW w:w="1780" w:type="dxa"/>
            <w:vAlign w:val="bottom"/>
            <w:tcBorders>
              <w:top w:val="single" w:sz="8" w:color="auto"/>
            </w:tcBorders>
          </w:tcPr>
          <w:p>
            <w:pPr>
              <w:spacing w:after="0"/>
              <w:rPr>
                <w:sz w:val="16"/>
                <w:szCs w:val="16"/>
                <w:color w:val="auto"/>
              </w:rPr>
            </w:pPr>
          </w:p>
        </w:tc>
        <w:tc>
          <w:tcPr>
            <w:tcW w:w="1720" w:type="dxa"/>
            <w:vAlign w:val="bottom"/>
            <w:tcBorders>
              <w:top w:val="single" w:sz="8" w:color="auto"/>
            </w:tcBorders>
          </w:tcPr>
          <w:p>
            <w:pPr>
              <w:spacing w:after="0"/>
              <w:rPr>
                <w:sz w:val="16"/>
                <w:szCs w:val="16"/>
                <w:color w:val="auto"/>
              </w:rPr>
            </w:pPr>
          </w:p>
        </w:tc>
        <w:tc>
          <w:tcPr>
            <w:tcW w:w="1460" w:type="dxa"/>
            <w:vAlign w:val="bottom"/>
            <w:tcBorders>
              <w:top w:val="single" w:sz="8" w:color="auto"/>
            </w:tcBorders>
          </w:tcPr>
          <w:p>
            <w:pPr>
              <w:spacing w:after="0"/>
              <w:rPr>
                <w:sz w:val="16"/>
                <w:szCs w:val="16"/>
                <w:color w:val="auto"/>
              </w:rPr>
            </w:pPr>
          </w:p>
        </w:tc>
      </w:tr>
      <w:tr>
        <w:trPr>
          <w:trHeight w:val="203"/>
        </w:trPr>
        <w:tc>
          <w:tcPr>
            <w:tcW w:w="20" w:type="dxa"/>
            <w:vAlign w:val="bottom"/>
          </w:tcPr>
          <w:p>
            <w:pPr>
              <w:spacing w:after="0"/>
              <w:rPr>
                <w:sz w:val="17"/>
                <w:szCs w:val="17"/>
                <w:color w:val="auto"/>
              </w:rPr>
            </w:pPr>
          </w:p>
        </w:tc>
        <w:tc>
          <w:tcPr>
            <w:tcW w:w="3960" w:type="dxa"/>
            <w:vAlign w:val="bottom"/>
          </w:tcPr>
          <w:p>
            <w:pPr>
              <w:spacing w:after="0"/>
              <w:rPr>
                <w:sz w:val="17"/>
                <w:szCs w:val="17"/>
                <w:color w:val="auto"/>
              </w:rPr>
            </w:pPr>
          </w:p>
        </w:tc>
        <w:tc>
          <w:tcPr>
            <w:tcW w:w="2480" w:type="dxa"/>
            <w:vAlign w:val="bottom"/>
          </w:tcPr>
          <w:p>
            <w:pPr>
              <w:jc w:val="center"/>
              <w:ind w:left="710"/>
              <w:spacing w:after="0" w:line="202" w:lineRule="exact"/>
              <w:rPr>
                <w:sz w:val="20"/>
                <w:szCs w:val="20"/>
                <w:color w:val="auto"/>
              </w:rPr>
            </w:pPr>
            <w:r>
              <w:rPr>
                <w:rFonts w:ascii="Arial" w:cs="Arial" w:eastAsia="Arial" w:hAnsi="Arial"/>
                <w:sz w:val="18"/>
                <w:szCs w:val="18"/>
                <w:b w:val="1"/>
                <w:bCs w:val="1"/>
                <w:color w:val="auto"/>
                <w:w w:val="99"/>
              </w:rPr>
              <w:t>average</w:t>
            </w:r>
          </w:p>
        </w:tc>
        <w:tc>
          <w:tcPr>
            <w:tcW w:w="178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203"/>
        </w:trPr>
        <w:tc>
          <w:tcPr>
            <w:tcW w:w="3980" w:type="dxa"/>
            <w:vAlign w:val="bottom"/>
            <w:gridSpan w:val="2"/>
          </w:tcPr>
          <w:p>
            <w:pPr>
              <w:spacing w:after="0" w:line="202" w:lineRule="exact"/>
              <w:rPr>
                <w:sz w:val="20"/>
                <w:szCs w:val="20"/>
                <w:color w:val="auto"/>
              </w:rPr>
            </w:pPr>
            <w:r>
              <w:rPr>
                <w:rFonts w:ascii="Arial" w:cs="Arial" w:eastAsia="Arial" w:hAnsi="Arial"/>
                <w:sz w:val="18"/>
                <w:szCs w:val="18"/>
                <w:b w:val="1"/>
                <w:bCs w:val="1"/>
                <w:color w:val="auto"/>
              </w:rPr>
              <w:t>As of December 31, 2017</w:t>
            </w:r>
          </w:p>
        </w:tc>
        <w:tc>
          <w:tcPr>
            <w:tcW w:w="2480" w:type="dxa"/>
            <w:vAlign w:val="bottom"/>
          </w:tcPr>
          <w:p>
            <w:pPr>
              <w:jc w:val="center"/>
              <w:ind w:left="730"/>
              <w:spacing w:after="0" w:line="202" w:lineRule="exact"/>
              <w:rPr>
                <w:sz w:val="20"/>
                <w:szCs w:val="20"/>
                <w:color w:val="auto"/>
              </w:rPr>
            </w:pPr>
            <w:r>
              <w:rPr>
                <w:rFonts w:ascii="Arial" w:cs="Arial" w:eastAsia="Arial" w:hAnsi="Arial"/>
                <w:sz w:val="18"/>
                <w:szCs w:val="18"/>
                <w:b w:val="1"/>
                <w:bCs w:val="1"/>
                <w:color w:val="auto"/>
                <w:w w:val="99"/>
              </w:rPr>
              <w:t>amortization</w:t>
            </w:r>
          </w:p>
        </w:tc>
        <w:tc>
          <w:tcPr>
            <w:tcW w:w="1780" w:type="dxa"/>
            <w:vAlign w:val="bottom"/>
          </w:tcPr>
          <w:p>
            <w:pPr>
              <w:jc w:val="right"/>
              <w:ind w:right="150"/>
              <w:spacing w:after="0" w:line="202" w:lineRule="exact"/>
              <w:rPr>
                <w:sz w:val="20"/>
                <w:szCs w:val="20"/>
                <w:color w:val="auto"/>
              </w:rPr>
            </w:pPr>
            <w:r>
              <w:rPr>
                <w:rFonts w:ascii="Arial" w:cs="Arial" w:eastAsia="Arial" w:hAnsi="Arial"/>
                <w:sz w:val="18"/>
                <w:szCs w:val="18"/>
                <w:b w:val="1"/>
                <w:bCs w:val="1"/>
                <w:color w:val="auto"/>
              </w:rPr>
              <w:t>Gross carrying</w:t>
            </w:r>
          </w:p>
        </w:tc>
        <w:tc>
          <w:tcPr>
            <w:tcW w:w="1720" w:type="dxa"/>
            <w:vAlign w:val="bottom"/>
          </w:tcPr>
          <w:p>
            <w:pPr>
              <w:jc w:val="right"/>
              <w:ind w:right="250"/>
              <w:spacing w:after="0" w:line="202" w:lineRule="exact"/>
              <w:rPr>
                <w:sz w:val="20"/>
                <w:szCs w:val="20"/>
                <w:color w:val="auto"/>
              </w:rPr>
            </w:pPr>
            <w:r>
              <w:rPr>
                <w:rFonts w:ascii="Arial" w:cs="Arial" w:eastAsia="Arial" w:hAnsi="Arial"/>
                <w:sz w:val="18"/>
                <w:szCs w:val="18"/>
                <w:b w:val="1"/>
                <w:bCs w:val="1"/>
                <w:color w:val="auto"/>
              </w:rPr>
              <w:t>Accumulated</w:t>
            </w:r>
          </w:p>
        </w:tc>
        <w:tc>
          <w:tcPr>
            <w:tcW w:w="1460" w:type="dxa"/>
            <w:vAlign w:val="bottom"/>
          </w:tcPr>
          <w:p>
            <w:pPr>
              <w:jc w:val="right"/>
              <w:ind w:right="70"/>
              <w:spacing w:after="0" w:line="202" w:lineRule="exact"/>
              <w:rPr>
                <w:sz w:val="20"/>
                <w:szCs w:val="20"/>
                <w:color w:val="auto"/>
              </w:rPr>
            </w:pPr>
            <w:r>
              <w:rPr>
                <w:rFonts w:ascii="Arial" w:cs="Arial" w:eastAsia="Arial" w:hAnsi="Arial"/>
                <w:sz w:val="18"/>
                <w:szCs w:val="18"/>
                <w:b w:val="1"/>
                <w:bCs w:val="1"/>
                <w:color w:val="auto"/>
              </w:rPr>
              <w:t>Net carrying</w:t>
            </w:r>
          </w:p>
        </w:tc>
      </w:tr>
      <w:tr>
        <w:trPr>
          <w:trHeight w:val="225"/>
        </w:trPr>
        <w:tc>
          <w:tcPr>
            <w:tcW w:w="398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(in thousands)</w:t>
            </w:r>
          </w:p>
        </w:tc>
        <w:tc>
          <w:tcPr>
            <w:tcW w:w="2480" w:type="dxa"/>
            <w:vAlign w:val="bottom"/>
            <w:tcBorders>
              <w:bottom w:val="single" w:sz="8" w:color="auto"/>
            </w:tcBorders>
          </w:tcPr>
          <w:p>
            <w:pPr>
              <w:jc w:val="center"/>
              <w:ind w:left="730"/>
              <w:spacing w:after="0"/>
              <w:rPr>
                <w:sz w:val="20"/>
                <w:szCs w:val="20"/>
                <w:color w:val="auto"/>
              </w:rPr>
            </w:pPr>
            <w:r>
              <w:rPr>
                <w:rFonts w:ascii="Arial" w:cs="Arial" w:eastAsia="Arial" w:hAnsi="Arial"/>
                <w:sz w:val="18"/>
                <w:szCs w:val="18"/>
                <w:b w:val="1"/>
                <w:bCs w:val="1"/>
                <w:color w:val="auto"/>
                <w:w w:val="98"/>
              </w:rPr>
              <w:t>life in years</w:t>
            </w:r>
          </w:p>
        </w:tc>
        <w:tc>
          <w:tcPr>
            <w:tcW w:w="17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amount</w:t>
            </w:r>
          </w:p>
        </w:tc>
        <w:tc>
          <w:tcPr>
            <w:tcW w:w="17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amortization</w:t>
            </w:r>
          </w:p>
        </w:tc>
        <w:tc>
          <w:tcPr>
            <w:tcW w:w="14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amount</w:t>
            </w:r>
          </w:p>
        </w:tc>
      </w:tr>
      <w:tr>
        <w:trPr>
          <w:trHeight w:val="398"/>
        </w:trPr>
        <w:tc>
          <w:tcPr>
            <w:tcW w:w="3980" w:type="dxa"/>
            <w:vAlign w:val="bottom"/>
            <w:gridSpan w:val="2"/>
          </w:tcPr>
          <w:p>
            <w:pPr>
              <w:spacing w:after="0"/>
              <w:rPr>
                <w:sz w:val="20"/>
                <w:szCs w:val="20"/>
                <w:color w:val="auto"/>
              </w:rPr>
            </w:pPr>
            <w:r>
              <w:rPr>
                <w:rFonts w:ascii="Arial" w:cs="Arial" w:eastAsia="Arial" w:hAnsi="Arial"/>
                <w:sz w:val="18"/>
                <w:szCs w:val="18"/>
                <w:color w:val="auto"/>
              </w:rPr>
              <w:t>Amortized intangible assets:</w:t>
            </w:r>
          </w:p>
        </w:tc>
        <w:tc>
          <w:tcPr>
            <w:tcW w:w="24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203"/>
        </w:trPr>
        <w:tc>
          <w:tcPr>
            <w:tcW w:w="20" w:type="dxa"/>
            <w:vAlign w:val="bottom"/>
          </w:tcPr>
          <w:p>
            <w:pPr>
              <w:spacing w:after="0"/>
              <w:rPr>
                <w:sz w:val="17"/>
                <w:szCs w:val="17"/>
                <w:color w:val="auto"/>
              </w:rPr>
            </w:pPr>
          </w:p>
        </w:tc>
        <w:tc>
          <w:tcPr>
            <w:tcW w:w="3960" w:type="dxa"/>
            <w:vAlign w:val="bottom"/>
          </w:tcPr>
          <w:p>
            <w:pPr>
              <w:ind w:left="160"/>
              <w:spacing w:after="0" w:line="202" w:lineRule="exact"/>
              <w:rPr>
                <w:sz w:val="20"/>
                <w:szCs w:val="20"/>
                <w:color w:val="auto"/>
              </w:rPr>
            </w:pPr>
            <w:r>
              <w:rPr>
                <w:rFonts w:ascii="Arial" w:cs="Arial" w:eastAsia="Arial" w:hAnsi="Arial"/>
                <w:sz w:val="18"/>
                <w:szCs w:val="18"/>
                <w:color w:val="auto"/>
              </w:rPr>
              <w:t>AEC trade names</w:t>
            </w:r>
          </w:p>
        </w:tc>
        <w:tc>
          <w:tcPr>
            <w:tcW w:w="2480" w:type="dxa"/>
            <w:vAlign w:val="bottom"/>
          </w:tcPr>
          <w:p>
            <w:pPr>
              <w:jc w:val="right"/>
              <w:ind w:right="170"/>
              <w:spacing w:after="0" w:line="202" w:lineRule="exact"/>
              <w:rPr>
                <w:sz w:val="20"/>
                <w:szCs w:val="20"/>
                <w:color w:val="auto"/>
              </w:rPr>
            </w:pPr>
            <w:r>
              <w:rPr>
                <w:rFonts w:ascii="Arial" w:cs="Arial" w:eastAsia="Arial" w:hAnsi="Arial"/>
                <w:sz w:val="18"/>
                <w:szCs w:val="18"/>
                <w:color w:val="auto"/>
              </w:rPr>
              <w:t>15</w:t>
            </w:r>
          </w:p>
        </w:tc>
        <w:tc>
          <w:tcPr>
            <w:tcW w:w="1780" w:type="dxa"/>
            <w:vAlign w:val="bottom"/>
          </w:tcPr>
          <w:p>
            <w:pPr>
              <w:jc w:val="right"/>
              <w:ind w:right="230"/>
              <w:spacing w:after="0" w:line="202" w:lineRule="exact"/>
              <w:rPr>
                <w:sz w:val="20"/>
                <w:szCs w:val="20"/>
                <w:color w:val="auto"/>
              </w:rPr>
            </w:pPr>
            <w:r>
              <w:rPr>
                <w:rFonts w:ascii="Arial" w:cs="Arial" w:eastAsia="Arial" w:hAnsi="Arial"/>
                <w:sz w:val="18"/>
                <w:szCs w:val="18"/>
                <w:color w:val="auto"/>
              </w:rPr>
              <w:t>$140</w:t>
            </w:r>
          </w:p>
        </w:tc>
        <w:tc>
          <w:tcPr>
            <w:tcW w:w="1720" w:type="dxa"/>
            <w:vAlign w:val="bottom"/>
          </w:tcPr>
          <w:p>
            <w:pPr>
              <w:jc w:val="right"/>
              <w:ind w:right="190"/>
              <w:spacing w:after="0" w:line="202" w:lineRule="exact"/>
              <w:rPr>
                <w:sz w:val="20"/>
                <w:szCs w:val="20"/>
                <w:color w:val="auto"/>
              </w:rPr>
            </w:pPr>
            <w:r>
              <w:rPr>
                <w:rFonts w:ascii="Arial" w:cs="Arial" w:eastAsia="Arial" w:hAnsi="Arial"/>
                <w:sz w:val="18"/>
                <w:szCs w:val="18"/>
                <w:color w:val="auto"/>
              </w:rPr>
              <w:t>($125)</w:t>
            </w:r>
          </w:p>
        </w:tc>
        <w:tc>
          <w:tcPr>
            <w:tcW w:w="14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$15</w:t>
            </w:r>
          </w:p>
        </w:tc>
      </w:tr>
      <w:tr>
        <w:trPr>
          <w:trHeight w:val="203"/>
        </w:trPr>
        <w:tc>
          <w:tcPr>
            <w:tcW w:w="20" w:type="dxa"/>
            <w:vAlign w:val="bottom"/>
          </w:tcPr>
          <w:p>
            <w:pPr>
              <w:spacing w:after="0"/>
              <w:rPr>
                <w:sz w:val="17"/>
                <w:szCs w:val="17"/>
                <w:color w:val="auto"/>
              </w:rPr>
            </w:pPr>
          </w:p>
        </w:tc>
        <w:tc>
          <w:tcPr>
            <w:tcW w:w="3960" w:type="dxa"/>
            <w:vAlign w:val="bottom"/>
          </w:tcPr>
          <w:p>
            <w:pPr>
              <w:ind w:left="160"/>
              <w:spacing w:after="0" w:line="202" w:lineRule="exact"/>
              <w:rPr>
                <w:sz w:val="20"/>
                <w:szCs w:val="20"/>
                <w:color w:val="auto"/>
              </w:rPr>
            </w:pPr>
            <w:r>
              <w:rPr>
                <w:rFonts w:ascii="Arial" w:cs="Arial" w:eastAsia="Arial" w:hAnsi="Arial"/>
                <w:sz w:val="18"/>
                <w:szCs w:val="18"/>
                <w:color w:val="auto"/>
              </w:rPr>
              <w:t>AEC technology</w:t>
            </w:r>
          </w:p>
        </w:tc>
        <w:tc>
          <w:tcPr>
            <w:tcW w:w="2480" w:type="dxa"/>
            <w:vAlign w:val="bottom"/>
          </w:tcPr>
          <w:p>
            <w:pPr>
              <w:jc w:val="right"/>
              <w:ind w:right="170"/>
              <w:spacing w:after="0" w:line="202" w:lineRule="exact"/>
              <w:rPr>
                <w:sz w:val="20"/>
                <w:szCs w:val="20"/>
                <w:color w:val="auto"/>
              </w:rPr>
            </w:pPr>
            <w:r>
              <w:rPr>
                <w:rFonts w:ascii="Arial" w:cs="Arial" w:eastAsia="Arial" w:hAnsi="Arial"/>
                <w:sz w:val="18"/>
                <w:szCs w:val="18"/>
                <w:color w:val="auto"/>
              </w:rPr>
              <w:t>15</w:t>
            </w:r>
          </w:p>
        </w:tc>
        <w:tc>
          <w:tcPr>
            <w:tcW w:w="1780" w:type="dxa"/>
            <w:vAlign w:val="bottom"/>
          </w:tcPr>
          <w:p>
            <w:pPr>
              <w:jc w:val="right"/>
              <w:ind w:right="230"/>
              <w:spacing w:after="0" w:line="202" w:lineRule="exact"/>
              <w:rPr>
                <w:sz w:val="20"/>
                <w:szCs w:val="20"/>
                <w:color w:val="auto"/>
              </w:rPr>
            </w:pPr>
            <w:r>
              <w:rPr>
                <w:rFonts w:ascii="Arial" w:cs="Arial" w:eastAsia="Arial" w:hAnsi="Arial"/>
                <w:sz w:val="18"/>
                <w:szCs w:val="18"/>
                <w:color w:val="auto"/>
              </w:rPr>
              <w:t>370</w:t>
            </w:r>
          </w:p>
        </w:tc>
        <w:tc>
          <w:tcPr>
            <w:tcW w:w="1720" w:type="dxa"/>
            <w:vAlign w:val="bottom"/>
          </w:tcPr>
          <w:p>
            <w:pPr>
              <w:jc w:val="right"/>
              <w:ind w:right="190"/>
              <w:spacing w:after="0" w:line="202" w:lineRule="exact"/>
              <w:rPr>
                <w:sz w:val="20"/>
                <w:szCs w:val="20"/>
                <w:color w:val="auto"/>
              </w:rPr>
            </w:pPr>
            <w:r>
              <w:rPr>
                <w:rFonts w:ascii="Arial" w:cs="Arial" w:eastAsia="Arial" w:hAnsi="Arial"/>
                <w:sz w:val="18"/>
                <w:szCs w:val="18"/>
                <w:color w:val="auto"/>
              </w:rPr>
              <w:t>(290)</w:t>
            </w:r>
          </w:p>
        </w:tc>
        <w:tc>
          <w:tcPr>
            <w:tcW w:w="14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80</w:t>
            </w:r>
          </w:p>
        </w:tc>
      </w:tr>
      <w:tr>
        <w:trPr>
          <w:trHeight w:val="203"/>
        </w:trPr>
        <w:tc>
          <w:tcPr>
            <w:tcW w:w="20" w:type="dxa"/>
            <w:vAlign w:val="bottom"/>
          </w:tcPr>
          <w:p>
            <w:pPr>
              <w:spacing w:after="0"/>
              <w:rPr>
                <w:sz w:val="17"/>
                <w:szCs w:val="17"/>
                <w:color w:val="auto"/>
              </w:rPr>
            </w:pPr>
          </w:p>
        </w:tc>
        <w:tc>
          <w:tcPr>
            <w:tcW w:w="3960" w:type="dxa"/>
            <w:vAlign w:val="bottom"/>
          </w:tcPr>
          <w:p>
            <w:pPr>
              <w:ind w:left="160"/>
              <w:spacing w:after="0" w:line="202" w:lineRule="exact"/>
              <w:rPr>
                <w:sz w:val="20"/>
                <w:szCs w:val="20"/>
                <w:color w:val="auto"/>
              </w:rPr>
            </w:pPr>
            <w:r>
              <w:rPr>
                <w:rFonts w:ascii="Arial" w:cs="Arial" w:eastAsia="Arial" w:hAnsi="Arial"/>
                <w:sz w:val="18"/>
                <w:szCs w:val="18"/>
                <w:color w:val="auto"/>
              </w:rPr>
              <w:t>Customer relationships</w:t>
            </w:r>
          </w:p>
        </w:tc>
        <w:tc>
          <w:tcPr>
            <w:tcW w:w="2480" w:type="dxa"/>
            <w:vAlign w:val="bottom"/>
          </w:tcPr>
          <w:p>
            <w:pPr>
              <w:jc w:val="right"/>
              <w:ind w:right="170"/>
              <w:spacing w:after="0" w:line="202" w:lineRule="exact"/>
              <w:rPr>
                <w:sz w:val="20"/>
                <w:szCs w:val="20"/>
                <w:color w:val="auto"/>
              </w:rPr>
            </w:pPr>
            <w:r>
              <w:rPr>
                <w:rFonts w:ascii="Arial" w:cs="Arial" w:eastAsia="Arial" w:hAnsi="Arial"/>
                <w:sz w:val="18"/>
                <w:szCs w:val="18"/>
                <w:color w:val="auto"/>
              </w:rPr>
              <w:t>15</w:t>
            </w:r>
          </w:p>
        </w:tc>
        <w:tc>
          <w:tcPr>
            <w:tcW w:w="1780" w:type="dxa"/>
            <w:vAlign w:val="bottom"/>
          </w:tcPr>
          <w:p>
            <w:pPr>
              <w:jc w:val="right"/>
              <w:ind w:right="230"/>
              <w:spacing w:after="0" w:line="202" w:lineRule="exact"/>
              <w:rPr>
                <w:sz w:val="20"/>
                <w:szCs w:val="20"/>
                <w:color w:val="auto"/>
              </w:rPr>
            </w:pPr>
            <w:r>
              <w:rPr>
                <w:rFonts w:ascii="Arial" w:cs="Arial" w:eastAsia="Arial" w:hAnsi="Arial"/>
                <w:sz w:val="18"/>
                <w:szCs w:val="18"/>
                <w:color w:val="auto"/>
              </w:rPr>
              <w:t>48,421</w:t>
            </w:r>
          </w:p>
        </w:tc>
        <w:tc>
          <w:tcPr>
            <w:tcW w:w="1720" w:type="dxa"/>
            <w:vAlign w:val="bottom"/>
          </w:tcPr>
          <w:p>
            <w:pPr>
              <w:jc w:val="right"/>
              <w:ind w:right="190"/>
              <w:spacing w:after="0" w:line="202" w:lineRule="exact"/>
              <w:rPr>
                <w:sz w:val="20"/>
                <w:szCs w:val="20"/>
                <w:color w:val="auto"/>
              </w:rPr>
            </w:pPr>
            <w:r>
              <w:rPr>
                <w:rFonts w:ascii="Arial" w:cs="Arial" w:eastAsia="Arial" w:hAnsi="Arial"/>
                <w:sz w:val="18"/>
                <w:szCs w:val="18"/>
                <w:color w:val="auto"/>
              </w:rPr>
              <w:t>(5,654)</w:t>
            </w:r>
          </w:p>
        </w:tc>
        <w:tc>
          <w:tcPr>
            <w:tcW w:w="14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42,767</w:t>
            </w:r>
          </w:p>
        </w:tc>
      </w:tr>
      <w:tr>
        <w:trPr>
          <w:trHeight w:val="203"/>
        </w:trPr>
        <w:tc>
          <w:tcPr>
            <w:tcW w:w="20" w:type="dxa"/>
            <w:vAlign w:val="bottom"/>
          </w:tcPr>
          <w:p>
            <w:pPr>
              <w:spacing w:after="0"/>
              <w:rPr>
                <w:sz w:val="17"/>
                <w:szCs w:val="17"/>
                <w:color w:val="auto"/>
              </w:rPr>
            </w:pPr>
          </w:p>
        </w:tc>
        <w:tc>
          <w:tcPr>
            <w:tcW w:w="3960" w:type="dxa"/>
            <w:vAlign w:val="bottom"/>
          </w:tcPr>
          <w:p>
            <w:pPr>
              <w:ind w:left="160"/>
              <w:spacing w:after="0" w:line="202" w:lineRule="exact"/>
              <w:rPr>
                <w:sz w:val="20"/>
                <w:szCs w:val="20"/>
                <w:color w:val="auto"/>
              </w:rPr>
            </w:pPr>
            <w:r>
              <w:rPr>
                <w:rFonts w:ascii="Arial" w:cs="Arial" w:eastAsia="Arial" w:hAnsi="Arial"/>
                <w:sz w:val="18"/>
                <w:szCs w:val="18"/>
                <w:color w:val="auto"/>
              </w:rPr>
              <w:t>Customer contracts</w:t>
            </w:r>
          </w:p>
        </w:tc>
        <w:tc>
          <w:tcPr>
            <w:tcW w:w="2480" w:type="dxa"/>
            <w:vAlign w:val="bottom"/>
          </w:tcPr>
          <w:p>
            <w:pPr>
              <w:jc w:val="right"/>
              <w:ind w:right="170"/>
              <w:spacing w:after="0" w:line="202" w:lineRule="exact"/>
              <w:rPr>
                <w:sz w:val="20"/>
                <w:szCs w:val="20"/>
                <w:color w:val="auto"/>
              </w:rPr>
            </w:pPr>
            <w:r>
              <w:rPr>
                <w:rFonts w:ascii="Arial" w:cs="Arial" w:eastAsia="Arial" w:hAnsi="Arial"/>
                <w:sz w:val="18"/>
                <w:szCs w:val="18"/>
                <w:color w:val="auto"/>
              </w:rPr>
              <w:t>6</w:t>
            </w:r>
          </w:p>
        </w:tc>
        <w:tc>
          <w:tcPr>
            <w:tcW w:w="1780" w:type="dxa"/>
            <w:vAlign w:val="bottom"/>
          </w:tcPr>
          <w:p>
            <w:pPr>
              <w:jc w:val="right"/>
              <w:ind w:right="230"/>
              <w:spacing w:after="0" w:line="202" w:lineRule="exact"/>
              <w:rPr>
                <w:sz w:val="20"/>
                <w:szCs w:val="20"/>
                <w:color w:val="auto"/>
              </w:rPr>
            </w:pPr>
            <w:r>
              <w:rPr>
                <w:rFonts w:ascii="Arial" w:cs="Arial" w:eastAsia="Arial" w:hAnsi="Arial"/>
                <w:sz w:val="18"/>
                <w:szCs w:val="18"/>
                <w:color w:val="auto"/>
              </w:rPr>
              <w:t>17,471</w:t>
            </w:r>
          </w:p>
        </w:tc>
        <w:tc>
          <w:tcPr>
            <w:tcW w:w="1720" w:type="dxa"/>
            <w:vAlign w:val="bottom"/>
          </w:tcPr>
          <w:p>
            <w:pPr>
              <w:jc w:val="right"/>
              <w:ind w:right="190"/>
              <w:spacing w:after="0" w:line="202" w:lineRule="exact"/>
              <w:rPr>
                <w:sz w:val="20"/>
                <w:szCs w:val="20"/>
                <w:color w:val="auto"/>
              </w:rPr>
            </w:pPr>
            <w:r>
              <w:rPr>
                <w:rFonts w:ascii="Arial" w:cs="Arial" w:eastAsia="Arial" w:hAnsi="Arial"/>
                <w:sz w:val="18"/>
                <w:szCs w:val="18"/>
                <w:color w:val="auto"/>
              </w:rPr>
              <w:t>(5,102)</w:t>
            </w:r>
          </w:p>
        </w:tc>
        <w:tc>
          <w:tcPr>
            <w:tcW w:w="14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12,369</w:t>
            </w:r>
          </w:p>
        </w:tc>
      </w:tr>
      <w:tr>
        <w:trPr>
          <w:trHeight w:val="203"/>
        </w:trPr>
        <w:tc>
          <w:tcPr>
            <w:tcW w:w="20" w:type="dxa"/>
            <w:vAlign w:val="bottom"/>
          </w:tcPr>
          <w:p>
            <w:pPr>
              <w:spacing w:after="0"/>
              <w:rPr>
                <w:sz w:val="17"/>
                <w:szCs w:val="17"/>
                <w:color w:val="auto"/>
              </w:rPr>
            </w:pPr>
          </w:p>
        </w:tc>
        <w:tc>
          <w:tcPr>
            <w:tcW w:w="3960" w:type="dxa"/>
            <w:vAlign w:val="bottom"/>
            <w:tcBorders>
              <w:bottom w:val="single" w:sz="8" w:color="auto"/>
            </w:tcBorders>
          </w:tcPr>
          <w:p>
            <w:pPr>
              <w:ind w:left="160"/>
              <w:spacing w:after="0" w:line="203" w:lineRule="exact"/>
              <w:rPr>
                <w:sz w:val="20"/>
                <w:szCs w:val="20"/>
                <w:color w:val="auto"/>
              </w:rPr>
            </w:pPr>
            <w:r>
              <w:rPr>
                <w:rFonts w:ascii="Arial" w:cs="Arial" w:eastAsia="Arial" w:hAnsi="Arial"/>
                <w:sz w:val="18"/>
                <w:szCs w:val="18"/>
                <w:color w:val="auto"/>
              </w:rPr>
              <w:t>Other intangibles</w:t>
            </w:r>
          </w:p>
        </w:tc>
        <w:tc>
          <w:tcPr>
            <w:tcW w:w="2480" w:type="dxa"/>
            <w:vAlign w:val="bottom"/>
            <w:tcBorders>
              <w:bottom w:val="single" w:sz="8" w:color="auto"/>
            </w:tcBorders>
          </w:tcPr>
          <w:p>
            <w:pPr>
              <w:jc w:val="right"/>
              <w:ind w:right="170"/>
              <w:spacing w:after="0" w:line="203" w:lineRule="exact"/>
              <w:rPr>
                <w:sz w:val="20"/>
                <w:szCs w:val="20"/>
                <w:color w:val="auto"/>
              </w:rPr>
            </w:pPr>
            <w:r>
              <w:rPr>
                <w:rFonts w:ascii="Arial" w:cs="Arial" w:eastAsia="Arial" w:hAnsi="Arial"/>
                <w:sz w:val="18"/>
                <w:szCs w:val="18"/>
                <w:color w:val="auto"/>
              </w:rPr>
              <w:t>5</w:t>
            </w:r>
          </w:p>
        </w:tc>
        <w:tc>
          <w:tcPr>
            <w:tcW w:w="1780" w:type="dxa"/>
            <w:vAlign w:val="bottom"/>
            <w:tcBorders>
              <w:bottom w:val="single" w:sz="8" w:color="auto"/>
            </w:tcBorders>
          </w:tcPr>
          <w:p>
            <w:pPr>
              <w:jc w:val="right"/>
              <w:ind w:right="230"/>
              <w:spacing w:after="0" w:line="203" w:lineRule="exact"/>
              <w:rPr>
                <w:sz w:val="20"/>
                <w:szCs w:val="20"/>
                <w:color w:val="auto"/>
              </w:rPr>
            </w:pPr>
            <w:r>
              <w:rPr>
                <w:rFonts w:ascii="Arial" w:cs="Arial" w:eastAsia="Arial" w:hAnsi="Arial"/>
                <w:sz w:val="18"/>
                <w:szCs w:val="18"/>
                <w:color w:val="auto"/>
              </w:rPr>
              <w:t>322</w:t>
            </w:r>
          </w:p>
        </w:tc>
        <w:tc>
          <w:tcPr>
            <w:tcW w:w="1720" w:type="dxa"/>
            <w:vAlign w:val="bottom"/>
            <w:tcBorders>
              <w:bottom w:val="single" w:sz="8" w:color="auto"/>
            </w:tcBorders>
          </w:tcPr>
          <w:p>
            <w:pPr>
              <w:jc w:val="right"/>
              <w:ind w:right="190"/>
              <w:spacing w:after="0" w:line="203" w:lineRule="exact"/>
              <w:rPr>
                <w:sz w:val="20"/>
                <w:szCs w:val="20"/>
                <w:color w:val="auto"/>
              </w:rPr>
            </w:pPr>
            <w:r>
              <w:rPr>
                <w:rFonts w:ascii="Arial" w:cs="Arial" w:eastAsia="Arial" w:hAnsi="Arial"/>
                <w:sz w:val="18"/>
                <w:szCs w:val="18"/>
                <w:color w:val="auto"/>
              </w:rPr>
              <w:t>(112)</w:t>
            </w:r>
          </w:p>
        </w:tc>
        <w:tc>
          <w:tcPr>
            <w:tcW w:w="1460" w:type="dxa"/>
            <w:vAlign w:val="bottom"/>
            <w:tcBorders>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rPr>
              <w:t>210</w:t>
            </w:r>
          </w:p>
        </w:tc>
      </w:tr>
      <w:tr>
        <w:trPr>
          <w:trHeight w:val="196"/>
        </w:trPr>
        <w:tc>
          <w:tcPr>
            <w:tcW w:w="20" w:type="dxa"/>
            <w:vAlign w:val="bottom"/>
            <w:tcBorders>
              <w:bottom w:val="single" w:sz="8" w:color="auto"/>
            </w:tcBorders>
          </w:tcPr>
          <w:p>
            <w:pPr>
              <w:spacing w:after="0"/>
              <w:rPr>
                <w:sz w:val="17"/>
                <w:szCs w:val="17"/>
                <w:color w:val="auto"/>
              </w:rPr>
            </w:pPr>
          </w:p>
        </w:tc>
        <w:tc>
          <w:tcPr>
            <w:tcW w:w="396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Net amortized intangible assets</w:t>
            </w:r>
          </w:p>
        </w:tc>
        <w:tc>
          <w:tcPr>
            <w:tcW w:w="2480" w:type="dxa"/>
            <w:vAlign w:val="bottom"/>
            <w:tcBorders>
              <w:bottom w:val="single" w:sz="8" w:color="auto"/>
            </w:tcBorders>
          </w:tcPr>
          <w:p>
            <w:pPr>
              <w:spacing w:after="0"/>
              <w:rPr>
                <w:sz w:val="17"/>
                <w:szCs w:val="17"/>
                <w:color w:val="auto"/>
              </w:rPr>
            </w:pPr>
          </w:p>
        </w:tc>
        <w:tc>
          <w:tcPr>
            <w:tcW w:w="1780" w:type="dxa"/>
            <w:vAlign w:val="bottom"/>
            <w:tcBorders>
              <w:bottom w:val="single" w:sz="8" w:color="auto"/>
            </w:tcBorders>
          </w:tcPr>
          <w:p>
            <w:pPr>
              <w:jc w:val="right"/>
              <w:ind w:right="230"/>
              <w:spacing w:after="0" w:line="196" w:lineRule="exact"/>
              <w:rPr>
                <w:sz w:val="20"/>
                <w:szCs w:val="20"/>
                <w:color w:val="auto"/>
              </w:rPr>
            </w:pPr>
            <w:r>
              <w:rPr>
                <w:rFonts w:ascii="Arial" w:cs="Arial" w:eastAsia="Arial" w:hAnsi="Arial"/>
                <w:sz w:val="18"/>
                <w:szCs w:val="18"/>
                <w:color w:val="auto"/>
              </w:rPr>
              <w:t>$66,724</w:t>
            </w:r>
          </w:p>
        </w:tc>
        <w:tc>
          <w:tcPr>
            <w:tcW w:w="1720" w:type="dxa"/>
            <w:vAlign w:val="bottom"/>
            <w:tcBorders>
              <w:bottom w:val="single" w:sz="8" w:color="auto"/>
            </w:tcBorders>
          </w:tcPr>
          <w:p>
            <w:pPr>
              <w:jc w:val="right"/>
              <w:ind w:right="190"/>
              <w:spacing w:after="0" w:line="196" w:lineRule="exact"/>
              <w:rPr>
                <w:sz w:val="20"/>
                <w:szCs w:val="20"/>
                <w:color w:val="auto"/>
              </w:rPr>
            </w:pPr>
            <w:r>
              <w:rPr>
                <w:rFonts w:ascii="Arial" w:cs="Arial" w:eastAsia="Arial" w:hAnsi="Arial"/>
                <w:sz w:val="18"/>
                <w:szCs w:val="18"/>
                <w:color w:val="auto"/>
              </w:rPr>
              <w:t>($11,283)</w:t>
            </w:r>
          </w:p>
        </w:tc>
        <w:tc>
          <w:tcPr>
            <w:tcW w:w="146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$55,441</w:t>
            </w:r>
          </w:p>
        </w:tc>
      </w:tr>
      <w:tr>
        <w:trPr>
          <w:trHeight w:val="398"/>
        </w:trPr>
        <w:tc>
          <w:tcPr>
            <w:tcW w:w="3980" w:type="dxa"/>
            <w:vAlign w:val="bottom"/>
            <w:gridSpan w:val="2"/>
          </w:tcPr>
          <w:p>
            <w:pPr>
              <w:spacing w:after="0"/>
              <w:rPr>
                <w:sz w:val="20"/>
                <w:szCs w:val="20"/>
                <w:color w:val="auto"/>
              </w:rPr>
            </w:pPr>
            <w:r>
              <w:rPr>
                <w:rFonts w:ascii="Arial" w:cs="Arial" w:eastAsia="Arial" w:hAnsi="Arial"/>
                <w:sz w:val="18"/>
                <w:szCs w:val="18"/>
                <w:color w:val="auto"/>
              </w:rPr>
              <w:t>Unamortized intangible assets:</w:t>
            </w:r>
          </w:p>
        </w:tc>
        <w:tc>
          <w:tcPr>
            <w:tcW w:w="24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203"/>
        </w:trPr>
        <w:tc>
          <w:tcPr>
            <w:tcW w:w="20" w:type="dxa"/>
            <w:vAlign w:val="bottom"/>
          </w:tcPr>
          <w:p>
            <w:pPr>
              <w:spacing w:after="0"/>
              <w:rPr>
                <w:sz w:val="17"/>
                <w:szCs w:val="17"/>
                <w:color w:val="auto"/>
              </w:rPr>
            </w:pPr>
          </w:p>
        </w:tc>
        <w:tc>
          <w:tcPr>
            <w:tcW w:w="3960" w:type="dxa"/>
            <w:vAlign w:val="bottom"/>
          </w:tcPr>
          <w:p>
            <w:pPr>
              <w:ind w:left="160"/>
              <w:spacing w:after="0" w:line="202" w:lineRule="exact"/>
              <w:rPr>
                <w:sz w:val="20"/>
                <w:szCs w:val="20"/>
                <w:color w:val="auto"/>
              </w:rPr>
            </w:pPr>
            <w:r>
              <w:rPr>
                <w:rFonts w:ascii="Arial" w:cs="Arial" w:eastAsia="Arial" w:hAnsi="Arial"/>
                <w:sz w:val="18"/>
                <w:szCs w:val="18"/>
                <w:color w:val="auto"/>
              </w:rPr>
              <w:t>MC Goodwill</w:t>
            </w:r>
          </w:p>
        </w:tc>
        <w:tc>
          <w:tcPr>
            <w:tcW w:w="2480" w:type="dxa"/>
            <w:vAlign w:val="bottom"/>
          </w:tcPr>
          <w:p>
            <w:pPr>
              <w:spacing w:after="0"/>
              <w:rPr>
                <w:sz w:val="17"/>
                <w:szCs w:val="17"/>
                <w:color w:val="auto"/>
              </w:rPr>
            </w:pPr>
          </w:p>
        </w:tc>
        <w:tc>
          <w:tcPr>
            <w:tcW w:w="1780" w:type="dxa"/>
            <w:vAlign w:val="bottom"/>
          </w:tcPr>
          <w:p>
            <w:pPr>
              <w:jc w:val="right"/>
              <w:ind w:right="230"/>
              <w:spacing w:after="0" w:line="202" w:lineRule="exact"/>
              <w:rPr>
                <w:sz w:val="20"/>
                <w:szCs w:val="20"/>
                <w:color w:val="auto"/>
              </w:rPr>
            </w:pPr>
            <w:r>
              <w:rPr>
                <w:rFonts w:ascii="Arial" w:cs="Arial" w:eastAsia="Arial" w:hAnsi="Arial"/>
                <w:sz w:val="18"/>
                <w:szCs w:val="18"/>
                <w:color w:val="auto"/>
              </w:rPr>
              <w:t>$71,066</w:t>
            </w:r>
          </w:p>
        </w:tc>
        <w:tc>
          <w:tcPr>
            <w:tcW w:w="1720" w:type="dxa"/>
            <w:vAlign w:val="bottom"/>
          </w:tcPr>
          <w:p>
            <w:pPr>
              <w:jc w:val="right"/>
              <w:ind w:right="250"/>
              <w:spacing w:after="0" w:line="202" w:lineRule="exact"/>
              <w:rPr>
                <w:sz w:val="20"/>
                <w:szCs w:val="20"/>
                <w:color w:val="auto"/>
              </w:rPr>
            </w:pPr>
            <w:r>
              <w:rPr>
                <w:rFonts w:ascii="Arial" w:cs="Arial" w:eastAsia="Arial" w:hAnsi="Arial"/>
                <w:sz w:val="18"/>
                <w:szCs w:val="18"/>
                <w:color w:val="auto"/>
              </w:rPr>
              <w:t>$-</w:t>
            </w:r>
          </w:p>
        </w:tc>
        <w:tc>
          <w:tcPr>
            <w:tcW w:w="14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$71,066</w:t>
            </w:r>
          </w:p>
        </w:tc>
      </w:tr>
      <w:tr>
        <w:trPr>
          <w:trHeight w:val="203"/>
        </w:trPr>
        <w:tc>
          <w:tcPr>
            <w:tcW w:w="20" w:type="dxa"/>
            <w:vAlign w:val="bottom"/>
          </w:tcPr>
          <w:p>
            <w:pPr>
              <w:spacing w:after="0"/>
              <w:rPr>
                <w:sz w:val="17"/>
                <w:szCs w:val="17"/>
                <w:color w:val="auto"/>
              </w:rPr>
            </w:pPr>
          </w:p>
        </w:tc>
        <w:tc>
          <w:tcPr>
            <w:tcW w:w="3960" w:type="dxa"/>
            <w:vAlign w:val="bottom"/>
            <w:tcBorders>
              <w:bottom w:val="single" w:sz="8" w:color="auto"/>
            </w:tcBorders>
          </w:tcPr>
          <w:p>
            <w:pPr>
              <w:ind w:left="160"/>
              <w:spacing w:after="0" w:line="203" w:lineRule="exact"/>
              <w:rPr>
                <w:sz w:val="20"/>
                <w:szCs w:val="20"/>
                <w:color w:val="auto"/>
              </w:rPr>
            </w:pPr>
            <w:r>
              <w:rPr>
                <w:rFonts w:ascii="Arial" w:cs="Arial" w:eastAsia="Arial" w:hAnsi="Arial"/>
                <w:sz w:val="18"/>
                <w:szCs w:val="18"/>
                <w:color w:val="auto"/>
              </w:rPr>
              <w:t>AEC Goodwill</w:t>
            </w:r>
          </w:p>
        </w:tc>
        <w:tc>
          <w:tcPr>
            <w:tcW w:w="2480" w:type="dxa"/>
            <w:vAlign w:val="bottom"/>
            <w:tcBorders>
              <w:bottom w:val="single" w:sz="8" w:color="auto"/>
            </w:tcBorders>
          </w:tcPr>
          <w:p>
            <w:pPr>
              <w:spacing w:after="0"/>
              <w:rPr>
                <w:sz w:val="17"/>
                <w:szCs w:val="17"/>
                <w:color w:val="auto"/>
              </w:rPr>
            </w:pPr>
          </w:p>
        </w:tc>
        <w:tc>
          <w:tcPr>
            <w:tcW w:w="1780" w:type="dxa"/>
            <w:vAlign w:val="bottom"/>
            <w:tcBorders>
              <w:bottom w:val="single" w:sz="8" w:color="auto"/>
            </w:tcBorders>
          </w:tcPr>
          <w:p>
            <w:pPr>
              <w:jc w:val="right"/>
              <w:ind w:right="230"/>
              <w:spacing w:after="0" w:line="203" w:lineRule="exact"/>
              <w:rPr>
                <w:sz w:val="20"/>
                <w:szCs w:val="20"/>
                <w:color w:val="auto"/>
              </w:rPr>
            </w:pPr>
            <w:r>
              <w:rPr>
                <w:rFonts w:ascii="Arial" w:cs="Arial" w:eastAsia="Arial" w:hAnsi="Arial"/>
                <w:sz w:val="18"/>
                <w:szCs w:val="18"/>
                <w:color w:val="auto"/>
              </w:rPr>
              <w:t>95,730</w:t>
            </w:r>
          </w:p>
        </w:tc>
        <w:tc>
          <w:tcPr>
            <w:tcW w:w="1720" w:type="dxa"/>
            <w:vAlign w:val="bottom"/>
            <w:tcBorders>
              <w:bottom w:val="single" w:sz="8" w:color="auto"/>
            </w:tcBorders>
          </w:tcPr>
          <w:p>
            <w:pPr>
              <w:jc w:val="right"/>
              <w:ind w:right="250"/>
              <w:spacing w:after="0" w:line="203" w:lineRule="exact"/>
              <w:rPr>
                <w:sz w:val="20"/>
                <w:szCs w:val="20"/>
                <w:color w:val="auto"/>
              </w:rPr>
            </w:pPr>
            <w:r>
              <w:rPr>
                <w:rFonts w:ascii="Arial" w:cs="Arial" w:eastAsia="Arial" w:hAnsi="Arial"/>
                <w:sz w:val="18"/>
                <w:szCs w:val="18"/>
                <w:color w:val="auto"/>
              </w:rPr>
              <w:t>-</w:t>
            </w:r>
          </w:p>
        </w:tc>
        <w:tc>
          <w:tcPr>
            <w:tcW w:w="1460" w:type="dxa"/>
            <w:vAlign w:val="bottom"/>
            <w:tcBorders>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rPr>
              <w:t>95,730</w:t>
            </w:r>
          </w:p>
        </w:tc>
      </w:tr>
      <w:tr>
        <w:trPr>
          <w:trHeight w:val="196"/>
        </w:trPr>
        <w:tc>
          <w:tcPr>
            <w:tcW w:w="20" w:type="dxa"/>
            <w:vAlign w:val="bottom"/>
            <w:tcBorders>
              <w:bottom w:val="single" w:sz="8" w:color="auto"/>
            </w:tcBorders>
          </w:tcPr>
          <w:p>
            <w:pPr>
              <w:spacing w:after="0"/>
              <w:rPr>
                <w:sz w:val="17"/>
                <w:szCs w:val="17"/>
                <w:color w:val="auto"/>
              </w:rPr>
            </w:pPr>
          </w:p>
        </w:tc>
        <w:tc>
          <w:tcPr>
            <w:tcW w:w="396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Total unamortized intangible assets:</w:t>
            </w:r>
          </w:p>
        </w:tc>
        <w:tc>
          <w:tcPr>
            <w:tcW w:w="2480" w:type="dxa"/>
            <w:vAlign w:val="bottom"/>
            <w:tcBorders>
              <w:bottom w:val="single" w:sz="8" w:color="auto"/>
            </w:tcBorders>
          </w:tcPr>
          <w:p>
            <w:pPr>
              <w:spacing w:after="0"/>
              <w:rPr>
                <w:sz w:val="17"/>
                <w:szCs w:val="17"/>
                <w:color w:val="auto"/>
              </w:rPr>
            </w:pPr>
          </w:p>
        </w:tc>
        <w:tc>
          <w:tcPr>
            <w:tcW w:w="1780" w:type="dxa"/>
            <w:vAlign w:val="bottom"/>
            <w:tcBorders>
              <w:bottom w:val="single" w:sz="8" w:color="auto"/>
            </w:tcBorders>
          </w:tcPr>
          <w:p>
            <w:pPr>
              <w:jc w:val="right"/>
              <w:ind w:right="230"/>
              <w:spacing w:after="0" w:line="196" w:lineRule="exact"/>
              <w:rPr>
                <w:sz w:val="20"/>
                <w:szCs w:val="20"/>
                <w:color w:val="auto"/>
              </w:rPr>
            </w:pPr>
            <w:r>
              <w:rPr>
                <w:rFonts w:ascii="Arial" w:cs="Arial" w:eastAsia="Arial" w:hAnsi="Arial"/>
                <w:sz w:val="18"/>
                <w:szCs w:val="18"/>
                <w:color w:val="auto"/>
              </w:rPr>
              <w:t>$166,796</w:t>
            </w:r>
          </w:p>
        </w:tc>
        <w:tc>
          <w:tcPr>
            <w:tcW w:w="1720" w:type="dxa"/>
            <w:vAlign w:val="bottom"/>
            <w:tcBorders>
              <w:bottom w:val="single" w:sz="8" w:color="auto"/>
            </w:tcBorders>
          </w:tcPr>
          <w:p>
            <w:pPr>
              <w:jc w:val="right"/>
              <w:ind w:right="250"/>
              <w:spacing w:after="0" w:line="196" w:lineRule="exact"/>
              <w:rPr>
                <w:sz w:val="20"/>
                <w:szCs w:val="20"/>
                <w:color w:val="auto"/>
              </w:rPr>
            </w:pPr>
            <w:r>
              <w:rPr>
                <w:rFonts w:ascii="Arial" w:cs="Arial" w:eastAsia="Arial" w:hAnsi="Arial"/>
                <w:sz w:val="18"/>
                <w:szCs w:val="18"/>
                <w:color w:val="auto"/>
              </w:rPr>
              <w:t>$-</w:t>
            </w:r>
          </w:p>
        </w:tc>
        <w:tc>
          <w:tcPr>
            <w:tcW w:w="146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$166,796</w:t>
            </w:r>
          </w:p>
        </w:tc>
      </w:tr>
    </w:tbl>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changes in intangible assets, net and goodwill from December 31, 2017 to March 31, 2018, were as follows:</w:t>
      </w: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20" w:type="dxa"/>
            <w:vAlign w:val="bottom"/>
          </w:tcPr>
          <w:p>
            <w:pPr>
              <w:spacing w:after="0"/>
              <w:rPr>
                <w:sz w:val="16"/>
                <w:szCs w:val="16"/>
                <w:color w:val="auto"/>
              </w:rPr>
            </w:pPr>
          </w:p>
        </w:tc>
        <w:tc>
          <w:tcPr>
            <w:tcW w:w="3940" w:type="dxa"/>
            <w:vAlign w:val="bottom"/>
            <w:tcBorders>
              <w:top w:val="single" w:sz="8" w:color="auto"/>
            </w:tcBorders>
          </w:tcPr>
          <w:p>
            <w:pPr>
              <w:spacing w:after="0"/>
              <w:rPr>
                <w:sz w:val="16"/>
                <w:szCs w:val="16"/>
                <w:color w:val="auto"/>
              </w:rPr>
            </w:pPr>
          </w:p>
        </w:tc>
        <w:tc>
          <w:tcPr>
            <w:tcW w:w="2540" w:type="dxa"/>
            <w:vAlign w:val="bottom"/>
            <w:tcBorders>
              <w:top w:val="single" w:sz="8" w:color="auto"/>
            </w:tcBorders>
          </w:tcPr>
          <w:p>
            <w:pPr>
              <w:jc w:val="right"/>
              <w:ind w:right="190"/>
              <w:spacing w:after="0" w:line="194" w:lineRule="exact"/>
              <w:rPr>
                <w:sz w:val="20"/>
                <w:szCs w:val="20"/>
                <w:color w:val="auto"/>
              </w:rPr>
            </w:pPr>
            <w:r>
              <w:rPr>
                <w:rFonts w:ascii="Arial" w:cs="Arial" w:eastAsia="Arial" w:hAnsi="Arial"/>
                <w:sz w:val="18"/>
                <w:szCs w:val="18"/>
                <w:b w:val="1"/>
                <w:bCs w:val="1"/>
                <w:color w:val="auto"/>
              </w:rPr>
              <w:t>December 31,</w:t>
            </w:r>
          </w:p>
        </w:tc>
        <w:tc>
          <w:tcPr>
            <w:tcW w:w="1780" w:type="dxa"/>
            <w:vAlign w:val="bottom"/>
            <w:tcBorders>
              <w:top w:val="single" w:sz="8" w:color="auto"/>
            </w:tcBorders>
          </w:tcPr>
          <w:p>
            <w:pPr>
              <w:spacing w:after="0"/>
              <w:rPr>
                <w:sz w:val="16"/>
                <w:szCs w:val="16"/>
                <w:color w:val="auto"/>
              </w:rPr>
            </w:pPr>
          </w:p>
        </w:tc>
        <w:tc>
          <w:tcPr>
            <w:tcW w:w="1580" w:type="dxa"/>
            <w:vAlign w:val="bottom"/>
            <w:tcBorders>
              <w:top w:val="single" w:sz="8" w:color="auto"/>
            </w:tcBorders>
          </w:tcPr>
          <w:p>
            <w:pPr>
              <w:jc w:val="right"/>
              <w:ind w:right="310"/>
              <w:spacing w:after="0" w:line="194" w:lineRule="exact"/>
              <w:rPr>
                <w:sz w:val="20"/>
                <w:szCs w:val="20"/>
                <w:color w:val="auto"/>
              </w:rPr>
            </w:pPr>
            <w:r>
              <w:rPr>
                <w:rFonts w:ascii="Arial" w:cs="Arial" w:eastAsia="Arial" w:hAnsi="Arial"/>
                <w:sz w:val="18"/>
                <w:szCs w:val="18"/>
                <w:b w:val="1"/>
                <w:bCs w:val="1"/>
                <w:color w:val="auto"/>
              </w:rPr>
              <w:t>Currency</w:t>
            </w:r>
          </w:p>
        </w:tc>
        <w:tc>
          <w:tcPr>
            <w:tcW w:w="156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396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(in thousands)</w:t>
            </w:r>
          </w:p>
        </w:tc>
        <w:tc>
          <w:tcPr>
            <w:tcW w:w="254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2017</w:t>
            </w:r>
          </w:p>
        </w:tc>
        <w:tc>
          <w:tcPr>
            <w:tcW w:w="17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Amortization</w:t>
            </w:r>
          </w:p>
        </w:tc>
        <w:tc>
          <w:tcPr>
            <w:tcW w:w="15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Translation</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March 31, 2018</w:t>
            </w:r>
          </w:p>
        </w:tc>
        <w:tc>
          <w:tcPr>
            <w:tcW w:w="0" w:type="dxa"/>
            <w:vAlign w:val="bottom"/>
          </w:tcPr>
          <w:p>
            <w:pPr>
              <w:spacing w:after="0"/>
              <w:rPr>
                <w:sz w:val="1"/>
                <w:szCs w:val="1"/>
                <w:color w:val="auto"/>
              </w:rPr>
            </w:pPr>
          </w:p>
        </w:tc>
      </w:tr>
      <w:tr>
        <w:trPr>
          <w:trHeight w:val="398"/>
        </w:trPr>
        <w:tc>
          <w:tcPr>
            <w:tcW w:w="3960" w:type="dxa"/>
            <w:vAlign w:val="bottom"/>
            <w:gridSpan w:val="2"/>
          </w:tcPr>
          <w:p>
            <w:pPr>
              <w:spacing w:after="0"/>
              <w:rPr>
                <w:sz w:val="20"/>
                <w:szCs w:val="20"/>
                <w:color w:val="auto"/>
              </w:rPr>
            </w:pPr>
            <w:r>
              <w:rPr>
                <w:rFonts w:ascii="Arial" w:cs="Arial" w:eastAsia="Arial" w:hAnsi="Arial"/>
                <w:sz w:val="18"/>
                <w:szCs w:val="18"/>
                <w:color w:val="auto"/>
              </w:rPr>
              <w:t>Amortized intangible assets:</w:t>
            </w:r>
          </w:p>
        </w:tc>
        <w:tc>
          <w:tcPr>
            <w:tcW w:w="25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60" w:type="dxa"/>
            <w:vAlign w:val="bottom"/>
            <w:vMerge w:val="restart"/>
          </w:tcPr>
          <w:p>
            <w:pPr>
              <w:jc w:val="right"/>
              <w:ind w:right="10"/>
              <w:spacing w:after="0"/>
              <w:rPr>
                <w:sz w:val="20"/>
                <w:szCs w:val="20"/>
                <w:color w:val="auto"/>
              </w:rPr>
            </w:pPr>
            <w:r>
              <w:rPr>
                <w:rFonts w:ascii="Arial" w:cs="Arial" w:eastAsia="Arial" w:hAnsi="Arial"/>
                <w:sz w:val="18"/>
                <w:szCs w:val="18"/>
                <w:b w:val="1"/>
                <w:bCs w:val="1"/>
                <w:color w:val="auto"/>
              </w:rPr>
              <w:t>$14</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940" w:type="dxa"/>
            <w:vAlign w:val="bottom"/>
          </w:tcPr>
          <w:p>
            <w:pPr>
              <w:ind w:left="320"/>
              <w:spacing w:after="0" w:line="181" w:lineRule="exact"/>
              <w:rPr>
                <w:sz w:val="20"/>
                <w:szCs w:val="20"/>
                <w:color w:val="auto"/>
              </w:rPr>
            </w:pPr>
            <w:r>
              <w:rPr>
                <w:rFonts w:ascii="Arial" w:cs="Arial" w:eastAsia="Arial" w:hAnsi="Arial"/>
                <w:sz w:val="18"/>
                <w:szCs w:val="18"/>
                <w:color w:val="auto"/>
              </w:rPr>
              <w:t>AEC trade names</w:t>
            </w:r>
          </w:p>
        </w:tc>
        <w:tc>
          <w:tcPr>
            <w:tcW w:w="2540" w:type="dxa"/>
            <w:vAlign w:val="bottom"/>
          </w:tcPr>
          <w:p>
            <w:pPr>
              <w:jc w:val="right"/>
              <w:ind w:right="210"/>
              <w:spacing w:after="0" w:line="181" w:lineRule="exact"/>
              <w:rPr>
                <w:sz w:val="20"/>
                <w:szCs w:val="20"/>
                <w:color w:val="auto"/>
              </w:rPr>
            </w:pPr>
            <w:r>
              <w:rPr>
                <w:rFonts w:ascii="Arial" w:cs="Arial" w:eastAsia="Arial" w:hAnsi="Arial"/>
                <w:sz w:val="18"/>
                <w:szCs w:val="18"/>
                <w:color w:val="auto"/>
              </w:rPr>
              <w:t>$15</w:t>
            </w:r>
          </w:p>
        </w:tc>
        <w:tc>
          <w:tcPr>
            <w:tcW w:w="1780" w:type="dxa"/>
            <w:vAlign w:val="bottom"/>
          </w:tcPr>
          <w:p>
            <w:pPr>
              <w:jc w:val="right"/>
              <w:ind w:right="210"/>
              <w:spacing w:after="0" w:line="181" w:lineRule="exact"/>
              <w:rPr>
                <w:sz w:val="20"/>
                <w:szCs w:val="20"/>
                <w:color w:val="auto"/>
              </w:rPr>
            </w:pPr>
            <w:r>
              <w:rPr>
                <w:rFonts w:ascii="Arial" w:cs="Arial" w:eastAsia="Arial" w:hAnsi="Arial"/>
                <w:sz w:val="18"/>
                <w:szCs w:val="18"/>
                <w:color w:val="auto"/>
              </w:rPr>
              <w:t>$(1)</w:t>
            </w:r>
          </w:p>
        </w:tc>
        <w:tc>
          <w:tcPr>
            <w:tcW w:w="1580" w:type="dxa"/>
            <w:vAlign w:val="bottom"/>
          </w:tcPr>
          <w:p>
            <w:pPr>
              <w:jc w:val="right"/>
              <w:ind w:right="150"/>
              <w:spacing w:after="0" w:line="181" w:lineRule="exact"/>
              <w:rPr>
                <w:sz w:val="20"/>
                <w:szCs w:val="20"/>
                <w:color w:val="auto"/>
              </w:rPr>
            </w:pPr>
            <w:r>
              <w:rPr>
                <w:rFonts w:ascii="Arial" w:cs="Arial" w:eastAsia="Arial" w:hAnsi="Arial"/>
                <w:sz w:val="18"/>
                <w:szCs w:val="18"/>
                <w:color w:val="auto"/>
              </w:rPr>
              <w:t>$-</w:t>
            </w:r>
          </w:p>
        </w:tc>
        <w:tc>
          <w:tcPr>
            <w:tcW w:w="15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40" w:type="dxa"/>
            <w:vAlign w:val="bottom"/>
          </w:tcPr>
          <w:p>
            <w:pPr>
              <w:ind w:left="320"/>
              <w:spacing w:after="0" w:line="202" w:lineRule="exact"/>
              <w:rPr>
                <w:sz w:val="20"/>
                <w:szCs w:val="20"/>
                <w:color w:val="auto"/>
              </w:rPr>
            </w:pPr>
            <w:r>
              <w:rPr>
                <w:rFonts w:ascii="Arial" w:cs="Arial" w:eastAsia="Arial" w:hAnsi="Arial"/>
                <w:sz w:val="18"/>
                <w:szCs w:val="18"/>
                <w:color w:val="auto"/>
              </w:rPr>
              <w:t>AEC technology</w:t>
            </w:r>
          </w:p>
        </w:tc>
        <w:tc>
          <w:tcPr>
            <w:tcW w:w="2540" w:type="dxa"/>
            <w:vAlign w:val="bottom"/>
          </w:tcPr>
          <w:p>
            <w:pPr>
              <w:jc w:val="right"/>
              <w:ind w:right="210"/>
              <w:spacing w:after="0" w:line="202" w:lineRule="exact"/>
              <w:rPr>
                <w:sz w:val="20"/>
                <w:szCs w:val="20"/>
                <w:color w:val="auto"/>
              </w:rPr>
            </w:pPr>
            <w:r>
              <w:rPr>
                <w:rFonts w:ascii="Arial" w:cs="Arial" w:eastAsia="Arial" w:hAnsi="Arial"/>
                <w:sz w:val="18"/>
                <w:szCs w:val="18"/>
                <w:color w:val="auto"/>
              </w:rPr>
              <w:t>80</w:t>
            </w:r>
          </w:p>
        </w:tc>
        <w:tc>
          <w:tcPr>
            <w:tcW w:w="1780" w:type="dxa"/>
            <w:vAlign w:val="bottom"/>
          </w:tcPr>
          <w:p>
            <w:pPr>
              <w:jc w:val="right"/>
              <w:ind w:right="210"/>
              <w:spacing w:after="0" w:line="202" w:lineRule="exact"/>
              <w:rPr>
                <w:sz w:val="20"/>
                <w:szCs w:val="20"/>
                <w:color w:val="auto"/>
              </w:rPr>
            </w:pPr>
            <w:r>
              <w:rPr>
                <w:rFonts w:ascii="Arial" w:cs="Arial" w:eastAsia="Arial" w:hAnsi="Arial"/>
                <w:sz w:val="18"/>
                <w:szCs w:val="18"/>
                <w:color w:val="auto"/>
              </w:rPr>
              <w:t>(6)</w:t>
            </w:r>
          </w:p>
        </w:tc>
        <w:tc>
          <w:tcPr>
            <w:tcW w:w="1580" w:type="dxa"/>
            <w:vAlign w:val="bottom"/>
          </w:tcPr>
          <w:p>
            <w:pPr>
              <w:jc w:val="right"/>
              <w:ind w:right="150"/>
              <w:spacing w:after="0" w:line="202" w:lineRule="exact"/>
              <w:rPr>
                <w:sz w:val="20"/>
                <w:szCs w:val="20"/>
                <w:color w:val="auto"/>
              </w:rPr>
            </w:pPr>
            <w:r>
              <w:rPr>
                <w:rFonts w:ascii="Arial" w:cs="Arial" w:eastAsia="Arial" w:hAnsi="Arial"/>
                <w:sz w:val="18"/>
                <w:szCs w:val="18"/>
                <w:color w:val="auto"/>
              </w:rPr>
              <w:t>-</w:t>
            </w:r>
          </w:p>
        </w:tc>
        <w:tc>
          <w:tcPr>
            <w:tcW w:w="1560" w:type="dxa"/>
            <w:vAlign w:val="bottom"/>
          </w:tcPr>
          <w:p>
            <w:pPr>
              <w:jc w:val="right"/>
              <w:ind w:right="10"/>
              <w:spacing w:after="0" w:line="202" w:lineRule="exact"/>
              <w:rPr>
                <w:sz w:val="20"/>
                <w:szCs w:val="20"/>
                <w:color w:val="auto"/>
              </w:rPr>
            </w:pPr>
            <w:r>
              <w:rPr>
                <w:rFonts w:ascii="Arial" w:cs="Arial" w:eastAsia="Arial" w:hAnsi="Arial"/>
                <w:sz w:val="18"/>
                <w:szCs w:val="18"/>
                <w:b w:val="1"/>
                <w:bCs w:val="1"/>
                <w:color w:val="auto"/>
              </w:rPr>
              <w:t>74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40" w:type="dxa"/>
            <w:vAlign w:val="bottom"/>
          </w:tcPr>
          <w:p>
            <w:pPr>
              <w:ind w:left="320"/>
              <w:spacing w:after="0" w:line="202" w:lineRule="exact"/>
              <w:rPr>
                <w:sz w:val="20"/>
                <w:szCs w:val="20"/>
                <w:color w:val="auto"/>
              </w:rPr>
            </w:pPr>
            <w:r>
              <w:rPr>
                <w:rFonts w:ascii="Arial" w:cs="Arial" w:eastAsia="Arial" w:hAnsi="Arial"/>
                <w:sz w:val="18"/>
                <w:szCs w:val="18"/>
                <w:color w:val="auto"/>
              </w:rPr>
              <w:t>Customer relationships</w:t>
            </w:r>
          </w:p>
        </w:tc>
        <w:tc>
          <w:tcPr>
            <w:tcW w:w="2540" w:type="dxa"/>
            <w:vAlign w:val="bottom"/>
          </w:tcPr>
          <w:p>
            <w:pPr>
              <w:jc w:val="right"/>
              <w:ind w:right="210"/>
              <w:spacing w:after="0" w:line="202" w:lineRule="exact"/>
              <w:rPr>
                <w:sz w:val="20"/>
                <w:szCs w:val="20"/>
                <w:color w:val="auto"/>
              </w:rPr>
            </w:pPr>
            <w:r>
              <w:rPr>
                <w:rFonts w:ascii="Arial" w:cs="Arial" w:eastAsia="Arial" w:hAnsi="Arial"/>
                <w:sz w:val="18"/>
                <w:szCs w:val="18"/>
                <w:color w:val="auto"/>
              </w:rPr>
              <w:t>42,767</w:t>
            </w:r>
          </w:p>
        </w:tc>
        <w:tc>
          <w:tcPr>
            <w:tcW w:w="1780" w:type="dxa"/>
            <w:vAlign w:val="bottom"/>
          </w:tcPr>
          <w:p>
            <w:pPr>
              <w:jc w:val="right"/>
              <w:ind w:right="210"/>
              <w:spacing w:after="0" w:line="202" w:lineRule="exact"/>
              <w:rPr>
                <w:sz w:val="20"/>
                <w:szCs w:val="20"/>
                <w:color w:val="auto"/>
              </w:rPr>
            </w:pPr>
            <w:r>
              <w:rPr>
                <w:rFonts w:ascii="Arial" w:cs="Arial" w:eastAsia="Arial" w:hAnsi="Arial"/>
                <w:sz w:val="18"/>
                <w:szCs w:val="18"/>
                <w:color w:val="auto"/>
              </w:rPr>
              <w:t>(808)</w:t>
            </w:r>
          </w:p>
        </w:tc>
        <w:tc>
          <w:tcPr>
            <w:tcW w:w="1580" w:type="dxa"/>
            <w:vAlign w:val="bottom"/>
          </w:tcPr>
          <w:p>
            <w:pPr>
              <w:jc w:val="right"/>
              <w:ind w:right="150"/>
              <w:spacing w:after="0" w:line="202" w:lineRule="exact"/>
              <w:rPr>
                <w:sz w:val="20"/>
                <w:szCs w:val="20"/>
                <w:color w:val="auto"/>
              </w:rPr>
            </w:pPr>
            <w:r>
              <w:rPr>
                <w:rFonts w:ascii="Arial" w:cs="Arial" w:eastAsia="Arial" w:hAnsi="Arial"/>
                <w:sz w:val="18"/>
                <w:szCs w:val="18"/>
                <w:color w:val="auto"/>
              </w:rPr>
              <w:t>-</w:t>
            </w:r>
          </w:p>
        </w:tc>
        <w:tc>
          <w:tcPr>
            <w:tcW w:w="1560" w:type="dxa"/>
            <w:vAlign w:val="bottom"/>
          </w:tcPr>
          <w:p>
            <w:pPr>
              <w:jc w:val="right"/>
              <w:ind w:right="10"/>
              <w:spacing w:after="0" w:line="202" w:lineRule="exact"/>
              <w:rPr>
                <w:sz w:val="20"/>
                <w:szCs w:val="20"/>
                <w:color w:val="auto"/>
              </w:rPr>
            </w:pPr>
            <w:r>
              <w:rPr>
                <w:rFonts w:ascii="Arial" w:cs="Arial" w:eastAsia="Arial" w:hAnsi="Arial"/>
                <w:sz w:val="18"/>
                <w:szCs w:val="18"/>
                <w:b w:val="1"/>
                <w:bCs w:val="1"/>
                <w:color w:val="auto"/>
              </w:rPr>
              <w:t>41,959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40" w:type="dxa"/>
            <w:vAlign w:val="bottom"/>
          </w:tcPr>
          <w:p>
            <w:pPr>
              <w:ind w:left="320"/>
              <w:spacing w:after="0" w:line="202" w:lineRule="exact"/>
              <w:rPr>
                <w:sz w:val="20"/>
                <w:szCs w:val="20"/>
                <w:color w:val="auto"/>
              </w:rPr>
            </w:pPr>
            <w:r>
              <w:rPr>
                <w:rFonts w:ascii="Arial" w:cs="Arial" w:eastAsia="Arial" w:hAnsi="Arial"/>
                <w:sz w:val="18"/>
                <w:szCs w:val="18"/>
                <w:color w:val="auto"/>
              </w:rPr>
              <w:t>Customer contracts</w:t>
            </w:r>
          </w:p>
        </w:tc>
        <w:tc>
          <w:tcPr>
            <w:tcW w:w="2540" w:type="dxa"/>
            <w:vAlign w:val="bottom"/>
          </w:tcPr>
          <w:p>
            <w:pPr>
              <w:jc w:val="right"/>
              <w:ind w:right="210"/>
              <w:spacing w:after="0" w:line="202" w:lineRule="exact"/>
              <w:rPr>
                <w:sz w:val="20"/>
                <w:szCs w:val="20"/>
                <w:color w:val="auto"/>
              </w:rPr>
            </w:pPr>
            <w:r>
              <w:rPr>
                <w:rFonts w:ascii="Arial" w:cs="Arial" w:eastAsia="Arial" w:hAnsi="Arial"/>
                <w:sz w:val="18"/>
                <w:szCs w:val="18"/>
                <w:color w:val="auto"/>
              </w:rPr>
              <w:t>12,369</w:t>
            </w:r>
          </w:p>
        </w:tc>
        <w:tc>
          <w:tcPr>
            <w:tcW w:w="1780" w:type="dxa"/>
            <w:vAlign w:val="bottom"/>
          </w:tcPr>
          <w:p>
            <w:pPr>
              <w:jc w:val="right"/>
              <w:ind w:right="210"/>
              <w:spacing w:after="0" w:line="202" w:lineRule="exact"/>
              <w:rPr>
                <w:sz w:val="20"/>
                <w:szCs w:val="20"/>
                <w:color w:val="auto"/>
              </w:rPr>
            </w:pPr>
            <w:r>
              <w:rPr>
                <w:rFonts w:ascii="Arial" w:cs="Arial" w:eastAsia="Arial" w:hAnsi="Arial"/>
                <w:sz w:val="18"/>
                <w:szCs w:val="18"/>
                <w:color w:val="auto"/>
              </w:rPr>
              <w:t>(728)</w:t>
            </w:r>
          </w:p>
        </w:tc>
        <w:tc>
          <w:tcPr>
            <w:tcW w:w="1580" w:type="dxa"/>
            <w:vAlign w:val="bottom"/>
          </w:tcPr>
          <w:p>
            <w:pPr>
              <w:jc w:val="right"/>
              <w:ind w:right="150"/>
              <w:spacing w:after="0" w:line="202" w:lineRule="exact"/>
              <w:rPr>
                <w:sz w:val="20"/>
                <w:szCs w:val="20"/>
                <w:color w:val="auto"/>
              </w:rPr>
            </w:pPr>
            <w:r>
              <w:rPr>
                <w:rFonts w:ascii="Arial" w:cs="Arial" w:eastAsia="Arial" w:hAnsi="Arial"/>
                <w:sz w:val="18"/>
                <w:szCs w:val="18"/>
                <w:color w:val="auto"/>
              </w:rPr>
              <w:t>-</w:t>
            </w:r>
          </w:p>
        </w:tc>
        <w:tc>
          <w:tcPr>
            <w:tcW w:w="1560" w:type="dxa"/>
            <w:vAlign w:val="bottom"/>
          </w:tcPr>
          <w:p>
            <w:pPr>
              <w:jc w:val="right"/>
              <w:ind w:right="10"/>
              <w:spacing w:after="0" w:line="202" w:lineRule="exact"/>
              <w:rPr>
                <w:sz w:val="20"/>
                <w:szCs w:val="20"/>
                <w:color w:val="auto"/>
              </w:rPr>
            </w:pPr>
            <w:r>
              <w:rPr>
                <w:rFonts w:ascii="Arial" w:cs="Arial" w:eastAsia="Arial" w:hAnsi="Arial"/>
                <w:sz w:val="18"/>
                <w:szCs w:val="18"/>
                <w:b w:val="1"/>
                <w:bCs w:val="1"/>
                <w:color w:val="auto"/>
              </w:rPr>
              <w:t>11,641</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394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rPr>
              <w:t>Other intangibles</w:t>
            </w:r>
          </w:p>
        </w:tc>
        <w:tc>
          <w:tcPr>
            <w:tcW w:w="25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210</w:t>
            </w:r>
          </w:p>
        </w:tc>
        <w:tc>
          <w:tcPr>
            <w:tcW w:w="17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(17)</w:t>
            </w:r>
          </w:p>
        </w:tc>
        <w:tc>
          <w:tcPr>
            <w:tcW w:w="15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193</w:t>
            </w:r>
          </w:p>
        </w:tc>
        <w:tc>
          <w:tcPr>
            <w:tcW w:w="0" w:type="dxa"/>
            <w:vAlign w:val="bottom"/>
          </w:tcPr>
          <w:p>
            <w:pPr>
              <w:spacing w:after="0"/>
              <w:rPr>
                <w:sz w:val="1"/>
                <w:szCs w:val="1"/>
                <w:color w:val="auto"/>
              </w:rPr>
            </w:pPr>
          </w:p>
        </w:tc>
      </w:tr>
      <w:tr>
        <w:trPr>
          <w:trHeight w:val="196"/>
        </w:trPr>
        <w:tc>
          <w:tcPr>
            <w:tcW w:w="20" w:type="dxa"/>
            <w:vAlign w:val="bottom"/>
            <w:tcBorders>
              <w:bottom w:val="single" w:sz="8" w:color="auto"/>
            </w:tcBorders>
          </w:tcPr>
          <w:p>
            <w:pPr>
              <w:spacing w:after="0"/>
              <w:rPr>
                <w:sz w:val="17"/>
                <w:szCs w:val="17"/>
                <w:color w:val="auto"/>
              </w:rPr>
            </w:pPr>
          </w:p>
        </w:tc>
        <w:tc>
          <w:tcPr>
            <w:tcW w:w="394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Net amortized intangible assets</w:t>
            </w:r>
          </w:p>
        </w:tc>
        <w:tc>
          <w:tcPr>
            <w:tcW w:w="2540" w:type="dxa"/>
            <w:vAlign w:val="bottom"/>
            <w:tcBorders>
              <w:bottom w:val="single" w:sz="8" w:color="auto"/>
            </w:tcBorders>
          </w:tcPr>
          <w:p>
            <w:pPr>
              <w:jc w:val="right"/>
              <w:ind w:right="210"/>
              <w:spacing w:after="0" w:line="196" w:lineRule="exact"/>
              <w:rPr>
                <w:sz w:val="20"/>
                <w:szCs w:val="20"/>
                <w:color w:val="auto"/>
              </w:rPr>
            </w:pPr>
            <w:r>
              <w:rPr>
                <w:rFonts w:ascii="Arial" w:cs="Arial" w:eastAsia="Arial" w:hAnsi="Arial"/>
                <w:sz w:val="18"/>
                <w:szCs w:val="18"/>
                <w:color w:val="auto"/>
              </w:rPr>
              <w:t>$55,441</w:t>
            </w:r>
          </w:p>
        </w:tc>
        <w:tc>
          <w:tcPr>
            <w:tcW w:w="1780" w:type="dxa"/>
            <w:vAlign w:val="bottom"/>
            <w:tcBorders>
              <w:bottom w:val="single" w:sz="8" w:color="auto"/>
            </w:tcBorders>
          </w:tcPr>
          <w:p>
            <w:pPr>
              <w:jc w:val="right"/>
              <w:ind w:right="210"/>
              <w:spacing w:after="0" w:line="196" w:lineRule="exact"/>
              <w:rPr>
                <w:sz w:val="20"/>
                <w:szCs w:val="20"/>
                <w:color w:val="auto"/>
              </w:rPr>
            </w:pPr>
            <w:r>
              <w:rPr>
                <w:rFonts w:ascii="Arial" w:cs="Arial" w:eastAsia="Arial" w:hAnsi="Arial"/>
                <w:sz w:val="18"/>
                <w:szCs w:val="18"/>
                <w:color w:val="auto"/>
              </w:rPr>
              <w:t>($1,560)</w:t>
            </w:r>
          </w:p>
        </w:tc>
        <w:tc>
          <w:tcPr>
            <w:tcW w:w="1580" w:type="dxa"/>
            <w:vAlign w:val="bottom"/>
            <w:tcBorders>
              <w:bottom w:val="single" w:sz="8" w:color="auto"/>
            </w:tcBorders>
          </w:tcPr>
          <w:p>
            <w:pPr>
              <w:jc w:val="right"/>
              <w:ind w:right="150"/>
              <w:spacing w:after="0" w:line="196" w:lineRule="exact"/>
              <w:rPr>
                <w:sz w:val="20"/>
                <w:szCs w:val="20"/>
                <w:color w:val="auto"/>
              </w:rPr>
            </w:pPr>
            <w:r>
              <w:rPr>
                <w:rFonts w:ascii="Arial" w:cs="Arial" w:eastAsia="Arial" w:hAnsi="Arial"/>
                <w:sz w:val="18"/>
                <w:szCs w:val="18"/>
                <w:color w:val="auto"/>
              </w:rPr>
              <w:t>$-</w:t>
            </w:r>
          </w:p>
        </w:tc>
        <w:tc>
          <w:tcPr>
            <w:tcW w:w="156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b w:val="1"/>
                <w:bCs w:val="1"/>
                <w:color w:val="auto"/>
              </w:rPr>
              <w:t>$53,881</w:t>
            </w:r>
          </w:p>
        </w:tc>
        <w:tc>
          <w:tcPr>
            <w:tcW w:w="0" w:type="dxa"/>
            <w:vAlign w:val="bottom"/>
          </w:tcPr>
          <w:p>
            <w:pPr>
              <w:spacing w:after="0"/>
              <w:rPr>
                <w:sz w:val="1"/>
                <w:szCs w:val="1"/>
                <w:color w:val="auto"/>
              </w:rPr>
            </w:pPr>
          </w:p>
        </w:tc>
      </w:tr>
      <w:tr>
        <w:trPr>
          <w:trHeight w:val="398"/>
        </w:trPr>
        <w:tc>
          <w:tcPr>
            <w:tcW w:w="3960" w:type="dxa"/>
            <w:vAlign w:val="bottom"/>
            <w:gridSpan w:val="2"/>
          </w:tcPr>
          <w:p>
            <w:pPr>
              <w:spacing w:after="0"/>
              <w:rPr>
                <w:sz w:val="20"/>
                <w:szCs w:val="20"/>
                <w:color w:val="auto"/>
              </w:rPr>
            </w:pPr>
            <w:r>
              <w:rPr>
                <w:rFonts w:ascii="Arial" w:cs="Arial" w:eastAsia="Arial" w:hAnsi="Arial"/>
                <w:sz w:val="18"/>
                <w:szCs w:val="18"/>
                <w:color w:val="auto"/>
              </w:rPr>
              <w:t>Unamortized intangible assets:</w:t>
            </w:r>
          </w:p>
        </w:tc>
        <w:tc>
          <w:tcPr>
            <w:tcW w:w="25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60" w:type="dxa"/>
            <w:vAlign w:val="bottom"/>
            <w:vMerge w:val="restart"/>
          </w:tcPr>
          <w:p>
            <w:pPr>
              <w:jc w:val="right"/>
              <w:ind w:right="10"/>
              <w:spacing w:after="0"/>
              <w:rPr>
                <w:sz w:val="20"/>
                <w:szCs w:val="20"/>
                <w:color w:val="auto"/>
              </w:rPr>
            </w:pPr>
            <w:r>
              <w:rPr>
                <w:rFonts w:ascii="Arial" w:cs="Arial" w:eastAsia="Arial" w:hAnsi="Arial"/>
                <w:sz w:val="18"/>
                <w:szCs w:val="18"/>
                <w:b w:val="1"/>
                <w:bCs w:val="1"/>
                <w:color w:val="auto"/>
              </w:rPr>
              <w:t>$72,581</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940" w:type="dxa"/>
            <w:vAlign w:val="bottom"/>
          </w:tcPr>
          <w:p>
            <w:pPr>
              <w:ind w:left="320"/>
              <w:spacing w:after="0" w:line="181" w:lineRule="exact"/>
              <w:rPr>
                <w:sz w:val="20"/>
                <w:szCs w:val="20"/>
                <w:color w:val="auto"/>
              </w:rPr>
            </w:pPr>
            <w:r>
              <w:rPr>
                <w:rFonts w:ascii="Arial" w:cs="Arial" w:eastAsia="Arial" w:hAnsi="Arial"/>
                <w:sz w:val="18"/>
                <w:szCs w:val="18"/>
                <w:color w:val="auto"/>
              </w:rPr>
              <w:t>MC Goodwill</w:t>
            </w:r>
          </w:p>
        </w:tc>
        <w:tc>
          <w:tcPr>
            <w:tcW w:w="2540" w:type="dxa"/>
            <w:vAlign w:val="bottom"/>
          </w:tcPr>
          <w:p>
            <w:pPr>
              <w:jc w:val="right"/>
              <w:ind w:right="210"/>
              <w:spacing w:after="0" w:line="181" w:lineRule="exact"/>
              <w:rPr>
                <w:sz w:val="20"/>
                <w:szCs w:val="20"/>
                <w:color w:val="auto"/>
              </w:rPr>
            </w:pPr>
            <w:r>
              <w:rPr>
                <w:rFonts w:ascii="Arial" w:cs="Arial" w:eastAsia="Arial" w:hAnsi="Arial"/>
                <w:sz w:val="18"/>
                <w:szCs w:val="18"/>
                <w:color w:val="auto"/>
              </w:rPr>
              <w:t>$71,066</w:t>
            </w:r>
          </w:p>
        </w:tc>
        <w:tc>
          <w:tcPr>
            <w:tcW w:w="1780" w:type="dxa"/>
            <w:vAlign w:val="bottom"/>
          </w:tcPr>
          <w:p>
            <w:pPr>
              <w:jc w:val="right"/>
              <w:ind w:right="270"/>
              <w:spacing w:after="0" w:line="181" w:lineRule="exact"/>
              <w:rPr>
                <w:sz w:val="20"/>
                <w:szCs w:val="20"/>
                <w:color w:val="auto"/>
              </w:rPr>
            </w:pPr>
            <w:r>
              <w:rPr>
                <w:rFonts w:ascii="Arial" w:cs="Arial" w:eastAsia="Arial" w:hAnsi="Arial"/>
                <w:sz w:val="18"/>
                <w:szCs w:val="18"/>
                <w:color w:val="auto"/>
              </w:rPr>
              <w:t>$-</w:t>
            </w:r>
          </w:p>
        </w:tc>
        <w:tc>
          <w:tcPr>
            <w:tcW w:w="1580" w:type="dxa"/>
            <w:vAlign w:val="bottom"/>
          </w:tcPr>
          <w:p>
            <w:pPr>
              <w:jc w:val="right"/>
              <w:ind w:right="150"/>
              <w:spacing w:after="0" w:line="181" w:lineRule="exact"/>
              <w:rPr>
                <w:sz w:val="20"/>
                <w:szCs w:val="20"/>
                <w:color w:val="auto"/>
              </w:rPr>
            </w:pPr>
            <w:r>
              <w:rPr>
                <w:rFonts w:ascii="Arial" w:cs="Arial" w:eastAsia="Arial" w:hAnsi="Arial"/>
                <w:sz w:val="18"/>
                <w:szCs w:val="18"/>
                <w:color w:val="auto"/>
              </w:rPr>
              <w:t>$1,515</w:t>
            </w:r>
          </w:p>
        </w:tc>
        <w:tc>
          <w:tcPr>
            <w:tcW w:w="15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394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rPr>
              <w:t>AEC Goodwill</w:t>
            </w:r>
          </w:p>
        </w:tc>
        <w:tc>
          <w:tcPr>
            <w:tcW w:w="25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95,730</w:t>
            </w:r>
          </w:p>
        </w:tc>
        <w:tc>
          <w:tcPr>
            <w:tcW w:w="17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95,730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94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Total unamortized intangible assets:</w:t>
            </w:r>
          </w:p>
        </w:tc>
        <w:tc>
          <w:tcPr>
            <w:tcW w:w="2540" w:type="dxa"/>
            <w:vAlign w:val="bottom"/>
            <w:tcBorders>
              <w:bottom w:val="single" w:sz="8" w:color="auto"/>
            </w:tcBorders>
          </w:tcPr>
          <w:p>
            <w:pPr>
              <w:jc w:val="right"/>
              <w:ind w:right="210"/>
              <w:spacing w:after="0" w:line="196" w:lineRule="exact"/>
              <w:rPr>
                <w:sz w:val="20"/>
                <w:szCs w:val="20"/>
                <w:color w:val="auto"/>
              </w:rPr>
            </w:pPr>
            <w:r>
              <w:rPr>
                <w:rFonts w:ascii="Arial" w:cs="Arial" w:eastAsia="Arial" w:hAnsi="Arial"/>
                <w:sz w:val="18"/>
                <w:szCs w:val="18"/>
                <w:color w:val="auto"/>
              </w:rPr>
              <w:t>$166,796</w:t>
            </w:r>
          </w:p>
        </w:tc>
        <w:tc>
          <w:tcPr>
            <w:tcW w:w="1780" w:type="dxa"/>
            <w:vAlign w:val="bottom"/>
            <w:tcBorders>
              <w:bottom w:val="single" w:sz="8" w:color="auto"/>
            </w:tcBorders>
          </w:tcPr>
          <w:p>
            <w:pPr>
              <w:jc w:val="right"/>
              <w:ind w:right="270"/>
              <w:spacing w:after="0" w:line="196" w:lineRule="exact"/>
              <w:rPr>
                <w:sz w:val="20"/>
                <w:szCs w:val="20"/>
                <w:color w:val="auto"/>
              </w:rPr>
            </w:pPr>
            <w:r>
              <w:rPr>
                <w:rFonts w:ascii="Arial" w:cs="Arial" w:eastAsia="Arial" w:hAnsi="Arial"/>
                <w:sz w:val="18"/>
                <w:szCs w:val="18"/>
                <w:color w:val="auto"/>
              </w:rPr>
              <w:t>$-</w:t>
            </w:r>
          </w:p>
        </w:tc>
        <w:tc>
          <w:tcPr>
            <w:tcW w:w="1580" w:type="dxa"/>
            <w:vAlign w:val="bottom"/>
            <w:tcBorders>
              <w:bottom w:val="single" w:sz="8" w:color="auto"/>
            </w:tcBorders>
          </w:tcPr>
          <w:p>
            <w:pPr>
              <w:jc w:val="right"/>
              <w:ind w:right="150"/>
              <w:spacing w:after="0" w:line="196" w:lineRule="exact"/>
              <w:rPr>
                <w:sz w:val="20"/>
                <w:szCs w:val="20"/>
                <w:color w:val="auto"/>
              </w:rPr>
            </w:pPr>
            <w:r>
              <w:rPr>
                <w:rFonts w:ascii="Arial" w:cs="Arial" w:eastAsia="Arial" w:hAnsi="Arial"/>
                <w:sz w:val="18"/>
                <w:szCs w:val="18"/>
                <w:color w:val="auto"/>
              </w:rPr>
              <w:t>$1,515</w:t>
            </w:r>
          </w:p>
        </w:tc>
        <w:tc>
          <w:tcPr>
            <w:tcW w:w="156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b w:val="1"/>
                <w:bCs w:val="1"/>
                <w:color w:val="auto"/>
              </w:rPr>
              <w:t>$168,311</w:t>
            </w:r>
          </w:p>
        </w:tc>
        <w:tc>
          <w:tcPr>
            <w:tcW w:w="0" w:type="dxa"/>
            <w:vAlign w:val="bottom"/>
          </w:tcPr>
          <w:p>
            <w:pPr>
              <w:spacing w:after="0"/>
              <w:rPr>
                <w:sz w:val="1"/>
                <w:szCs w:val="1"/>
                <w:color w:val="auto"/>
              </w:rPr>
            </w:pPr>
          </w:p>
        </w:tc>
      </w:tr>
      <w:tr>
        <w:trPr>
          <w:trHeight w:val="709"/>
        </w:trPr>
        <w:tc>
          <w:tcPr>
            <w:tcW w:w="2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2540" w:type="dxa"/>
            <w:vAlign w:val="bottom"/>
          </w:tcPr>
          <w:p>
            <w:pPr>
              <w:jc w:val="right"/>
              <w:ind w:right="610"/>
              <w:spacing w:after="0"/>
              <w:rPr>
                <w:sz w:val="20"/>
                <w:szCs w:val="20"/>
                <w:color w:val="auto"/>
              </w:rPr>
            </w:pPr>
            <w:r>
              <w:rPr>
                <w:rFonts w:ascii="Arial" w:cs="Arial" w:eastAsia="Arial" w:hAnsi="Arial"/>
                <w:sz w:val="18"/>
                <w:szCs w:val="18"/>
                <w:color w:val="auto"/>
              </w:rPr>
              <w:t>31</w:t>
            </w:r>
          </w:p>
        </w:tc>
        <w:tc>
          <w:tcPr>
            <w:tcW w:w="17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940" w:type="dxa"/>
            <w:vAlign w:val="bottom"/>
            <w:tcBorders>
              <w:bottom w:val="single" w:sz="8" w:color="auto"/>
            </w:tcBorders>
          </w:tcPr>
          <w:p>
            <w:pPr>
              <w:spacing w:after="0"/>
              <w:rPr>
                <w:sz w:val="12"/>
                <w:szCs w:val="12"/>
                <w:color w:val="auto"/>
              </w:rPr>
            </w:pPr>
          </w:p>
        </w:tc>
        <w:tc>
          <w:tcPr>
            <w:tcW w:w="2540" w:type="dxa"/>
            <w:vAlign w:val="bottom"/>
            <w:tcBorders>
              <w:bottom w:val="single" w:sz="8" w:color="auto"/>
            </w:tcBorders>
          </w:tcPr>
          <w:p>
            <w:pPr>
              <w:spacing w:after="0"/>
              <w:rPr>
                <w:sz w:val="12"/>
                <w:szCs w:val="12"/>
                <w:color w:val="auto"/>
              </w:rPr>
            </w:pPr>
          </w:p>
        </w:tc>
        <w:tc>
          <w:tcPr>
            <w:tcW w:w="1780" w:type="dxa"/>
            <w:vAlign w:val="bottom"/>
            <w:tcBorders>
              <w:bottom w:val="single" w:sz="8" w:color="auto"/>
            </w:tcBorders>
          </w:tcPr>
          <w:p>
            <w:pPr>
              <w:spacing w:after="0"/>
              <w:rPr>
                <w:sz w:val="12"/>
                <w:szCs w:val="12"/>
                <w:color w:val="auto"/>
              </w:rPr>
            </w:pPr>
          </w:p>
        </w:tc>
        <w:tc>
          <w:tcPr>
            <w:tcW w:w="1580" w:type="dxa"/>
            <w:vAlign w:val="bottom"/>
            <w:tcBorders>
              <w:bottom w:val="single" w:sz="8" w:color="auto"/>
            </w:tcBorders>
          </w:tcPr>
          <w:p>
            <w:pPr>
              <w:spacing w:after="0"/>
              <w:rPr>
                <w:sz w:val="12"/>
                <w:szCs w:val="12"/>
                <w:color w:val="auto"/>
              </w:rPr>
            </w:pPr>
          </w:p>
        </w:tc>
        <w:tc>
          <w:tcPr>
            <w:tcW w:w="156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97" w:right="239" w:bottom="1440" w:gutter="0" w:footer="0" w:header="0"/>
        </w:sectPr>
      </w:pPr>
    </w:p>
    <w:bookmarkStart w:id="31" w:name="page32"/>
    <w:bookmarkEnd w:id="3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40" w:type="dxa"/>
            <w:vAlign w:val="bottom"/>
          </w:tcPr>
          <w:p>
            <w:pPr>
              <w:spacing w:after="0"/>
              <w:rPr>
                <w:sz w:val="18"/>
                <w:szCs w:val="18"/>
                <w:color w:val="auto"/>
              </w:rPr>
            </w:pPr>
          </w:p>
        </w:tc>
        <w:tc>
          <w:tcPr>
            <w:tcW w:w="10900" w:type="dxa"/>
            <w:vAlign w:val="bottom"/>
            <w:gridSpan w:val="2"/>
          </w:tcPr>
          <w:p>
            <w:pPr>
              <w:jc w:val="right"/>
              <w:ind w:right="1600"/>
              <w:spacing w:after="0"/>
              <w:rPr>
                <w:sz w:val="20"/>
                <w:szCs w:val="20"/>
                <w:color w:val="auto"/>
              </w:rPr>
            </w:pPr>
            <w:r>
              <w:rPr>
                <w:rFonts w:ascii="Arial" w:cs="Arial" w:eastAsia="Arial" w:hAnsi="Arial"/>
                <w:sz w:val="18"/>
                <w:szCs w:val="18"/>
                <w:color w:val="auto"/>
              </w:rPr>
              <w:t>Estimated amortization expense of intangibles for the years ending December 31, 2018 through 2022, is as follows:</w:t>
            </w:r>
          </w:p>
        </w:tc>
        <w:tc>
          <w:tcPr>
            <w:tcW w:w="0" w:type="dxa"/>
            <w:vAlign w:val="bottom"/>
          </w:tcPr>
          <w:p>
            <w:pPr>
              <w:spacing w:after="0"/>
              <w:rPr>
                <w:sz w:val="1"/>
                <w:szCs w:val="1"/>
                <w:color w:val="auto"/>
              </w:rPr>
            </w:pPr>
          </w:p>
        </w:tc>
      </w:tr>
      <w:tr>
        <w:trPr>
          <w:trHeight w:val="162"/>
        </w:trPr>
        <w:tc>
          <w:tcPr>
            <w:tcW w:w="540" w:type="dxa"/>
            <w:vAlign w:val="bottom"/>
            <w:tcBorders>
              <w:bottom w:val="single" w:sz="8" w:color="auto"/>
            </w:tcBorders>
          </w:tcPr>
          <w:p>
            <w:pPr>
              <w:spacing w:after="0"/>
              <w:rPr>
                <w:sz w:val="14"/>
                <w:szCs w:val="14"/>
                <w:color w:val="auto"/>
              </w:rPr>
            </w:pPr>
          </w:p>
        </w:tc>
        <w:tc>
          <w:tcPr>
            <w:tcW w:w="10880" w:type="dxa"/>
            <w:vAlign w:val="bottom"/>
            <w:tcBorders>
              <w:bottom w:val="single" w:sz="8" w:color="auto"/>
            </w:tcBorders>
          </w:tcPr>
          <w:p>
            <w:pPr>
              <w:spacing w:after="0"/>
              <w:rPr>
                <w:sz w:val="14"/>
                <w:szCs w:val="14"/>
                <w:color w:val="auto"/>
              </w:rPr>
            </w:pP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540" w:type="dxa"/>
            <w:vAlign w:val="bottom"/>
          </w:tcPr>
          <w:p>
            <w:pPr>
              <w:spacing w:after="0"/>
              <w:rPr>
                <w:sz w:val="15"/>
                <w:szCs w:val="15"/>
                <w:color w:val="auto"/>
              </w:rPr>
            </w:pPr>
          </w:p>
        </w:tc>
        <w:tc>
          <w:tcPr>
            <w:tcW w:w="10880" w:type="dxa"/>
            <w:vAlign w:val="bottom"/>
          </w:tcPr>
          <w:p>
            <w:pPr>
              <w:jc w:val="right"/>
              <w:spacing w:after="0" w:line="173" w:lineRule="exact"/>
              <w:rPr>
                <w:sz w:val="20"/>
                <w:szCs w:val="20"/>
                <w:color w:val="auto"/>
              </w:rPr>
            </w:pPr>
            <w:r>
              <w:rPr>
                <w:rFonts w:ascii="Arial" w:cs="Arial" w:eastAsia="Arial" w:hAnsi="Arial"/>
                <w:sz w:val="18"/>
                <w:szCs w:val="18"/>
                <w:b w:val="1"/>
                <w:bCs w:val="1"/>
                <w:color w:val="auto"/>
              </w:rPr>
              <w:t>Annual amortization</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540" w:type="dxa"/>
            <w:vAlign w:val="bottom"/>
          </w:tcPr>
          <w:p>
            <w:pPr>
              <w:spacing w:after="0"/>
              <w:rPr>
                <w:sz w:val="20"/>
                <w:szCs w:val="20"/>
                <w:color w:val="auto"/>
              </w:rPr>
            </w:pPr>
            <w:r>
              <w:rPr>
                <w:rFonts w:ascii="Arial" w:cs="Arial" w:eastAsia="Arial" w:hAnsi="Arial"/>
                <w:sz w:val="18"/>
                <w:szCs w:val="18"/>
                <w:b w:val="1"/>
                <w:bCs w:val="1"/>
                <w:color w:val="auto"/>
              </w:rPr>
              <w:t>Year</w:t>
            </w:r>
          </w:p>
        </w:tc>
        <w:tc>
          <w:tcPr>
            <w:tcW w:w="109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(in thousands)</w:t>
            </w:r>
          </w:p>
        </w:tc>
        <w:tc>
          <w:tcPr>
            <w:tcW w:w="0" w:type="dxa"/>
            <w:vAlign w:val="bottom"/>
          </w:tcPr>
          <w:p>
            <w:pPr>
              <w:spacing w:after="0"/>
              <w:rPr>
                <w:sz w:val="1"/>
                <w:szCs w:val="1"/>
                <w:color w:val="auto"/>
              </w:rPr>
            </w:pPr>
          </w:p>
        </w:tc>
      </w:tr>
      <w:tr>
        <w:trPr>
          <w:trHeight w:val="195"/>
        </w:trPr>
        <w:tc>
          <w:tcPr>
            <w:tcW w:w="5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2018</w:t>
            </w:r>
          </w:p>
        </w:tc>
        <w:tc>
          <w:tcPr>
            <w:tcW w:w="10880" w:type="dxa"/>
            <w:vAlign w:val="bottom"/>
            <w:tcBorders>
              <w:top w:val="single" w:sz="8" w:color="auto"/>
            </w:tcBorders>
          </w:tcPr>
          <w:p>
            <w:pPr>
              <w:jc w:val="right"/>
              <w:ind w:right="10"/>
              <w:spacing w:after="0" w:line="195" w:lineRule="exact"/>
              <w:rPr>
                <w:sz w:val="20"/>
                <w:szCs w:val="20"/>
                <w:color w:val="auto"/>
              </w:rPr>
            </w:pPr>
            <w:r>
              <w:rPr>
                <w:rFonts w:ascii="Arial" w:cs="Arial" w:eastAsia="Arial" w:hAnsi="Arial"/>
                <w:sz w:val="18"/>
                <w:szCs w:val="18"/>
                <w:color w:val="auto"/>
              </w:rPr>
              <w:t>$6,234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40" w:type="dxa"/>
            <w:vAlign w:val="bottom"/>
          </w:tcPr>
          <w:p>
            <w:pPr>
              <w:spacing w:after="0" w:line="202" w:lineRule="exact"/>
              <w:rPr>
                <w:sz w:val="20"/>
                <w:szCs w:val="20"/>
                <w:color w:val="auto"/>
              </w:rPr>
            </w:pPr>
            <w:r>
              <w:rPr>
                <w:rFonts w:ascii="Arial" w:cs="Arial" w:eastAsia="Arial" w:hAnsi="Arial"/>
                <w:sz w:val="18"/>
                <w:szCs w:val="18"/>
                <w:color w:val="auto"/>
              </w:rPr>
              <w:t>2019</w:t>
            </w:r>
          </w:p>
        </w:tc>
        <w:tc>
          <w:tcPr>
            <w:tcW w:w="108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6,234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0" w:type="dxa"/>
            <w:vAlign w:val="bottom"/>
          </w:tcPr>
          <w:p>
            <w:pPr>
              <w:spacing w:after="0" w:line="202" w:lineRule="exact"/>
              <w:rPr>
                <w:sz w:val="20"/>
                <w:szCs w:val="20"/>
                <w:color w:val="auto"/>
              </w:rPr>
            </w:pPr>
            <w:r>
              <w:rPr>
                <w:rFonts w:ascii="Arial" w:cs="Arial" w:eastAsia="Arial" w:hAnsi="Arial"/>
                <w:sz w:val="18"/>
                <w:szCs w:val="18"/>
                <w:color w:val="auto"/>
              </w:rPr>
              <w:t>2020</w:t>
            </w:r>
          </w:p>
        </w:tc>
        <w:tc>
          <w:tcPr>
            <w:tcW w:w="108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6,234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0" w:type="dxa"/>
            <w:vAlign w:val="bottom"/>
          </w:tcPr>
          <w:p>
            <w:pPr>
              <w:spacing w:after="0" w:line="202" w:lineRule="exact"/>
              <w:rPr>
                <w:sz w:val="20"/>
                <w:szCs w:val="20"/>
                <w:color w:val="auto"/>
              </w:rPr>
            </w:pPr>
            <w:r>
              <w:rPr>
                <w:rFonts w:ascii="Arial" w:cs="Arial" w:eastAsia="Arial" w:hAnsi="Arial"/>
                <w:sz w:val="18"/>
                <w:szCs w:val="18"/>
                <w:color w:val="auto"/>
              </w:rPr>
              <w:t>2021</w:t>
            </w:r>
          </w:p>
        </w:tc>
        <w:tc>
          <w:tcPr>
            <w:tcW w:w="108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6,163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0" w:type="dxa"/>
            <w:vAlign w:val="bottom"/>
            <w:tcBorders>
              <w:bottom w:val="single" w:sz="8" w:color="auto"/>
            </w:tcBorders>
          </w:tcPr>
          <w:p>
            <w:pPr>
              <w:spacing w:after="0" w:line="203" w:lineRule="exact"/>
              <w:rPr>
                <w:sz w:val="20"/>
                <w:szCs w:val="20"/>
                <w:color w:val="auto"/>
              </w:rPr>
            </w:pPr>
            <w:r>
              <w:rPr>
                <w:rFonts w:ascii="Arial" w:cs="Arial" w:eastAsia="Arial" w:hAnsi="Arial"/>
                <w:sz w:val="18"/>
                <w:szCs w:val="18"/>
                <w:color w:val="auto"/>
              </w:rPr>
              <w:t>2022</w:t>
            </w:r>
          </w:p>
        </w:tc>
        <w:tc>
          <w:tcPr>
            <w:tcW w:w="10880" w:type="dxa"/>
            <w:vAlign w:val="bottom"/>
            <w:tcBorders>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rPr>
              <w:t>3,949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15. Financial Instruments</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Long-term debt, principally to banks and bondholders, consists of:</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7020" w:type="dxa"/>
            <w:vAlign w:val="bottom"/>
            <w:tcBorders>
              <w:top w:val="single" w:sz="8" w:color="auto"/>
            </w:tcBorders>
          </w:tcPr>
          <w:p>
            <w:pPr>
              <w:spacing w:after="0"/>
              <w:rPr>
                <w:sz w:val="16"/>
                <w:szCs w:val="16"/>
                <w:color w:val="auto"/>
              </w:rPr>
            </w:pPr>
          </w:p>
        </w:tc>
        <w:tc>
          <w:tcPr>
            <w:tcW w:w="2440" w:type="dxa"/>
            <w:vAlign w:val="bottom"/>
            <w:tcBorders>
              <w:top w:val="single" w:sz="8" w:color="auto"/>
            </w:tcBorders>
          </w:tcPr>
          <w:p>
            <w:pPr>
              <w:jc w:val="right"/>
              <w:ind w:right="850"/>
              <w:spacing w:after="0" w:line="194" w:lineRule="exact"/>
              <w:rPr>
                <w:sz w:val="20"/>
                <w:szCs w:val="20"/>
                <w:color w:val="auto"/>
              </w:rPr>
            </w:pPr>
            <w:r>
              <w:rPr>
                <w:rFonts w:ascii="Arial" w:cs="Arial" w:eastAsia="Arial" w:hAnsi="Arial"/>
                <w:sz w:val="18"/>
                <w:szCs w:val="18"/>
                <w:b w:val="1"/>
                <w:bCs w:val="1"/>
                <w:color w:val="auto"/>
              </w:rPr>
              <w:t>March 31,</w:t>
            </w:r>
          </w:p>
        </w:tc>
        <w:tc>
          <w:tcPr>
            <w:tcW w:w="1960" w:type="dxa"/>
            <w:vAlign w:val="bottom"/>
            <w:tcBorders>
              <w:top w:val="single" w:sz="8" w:color="auto"/>
            </w:tcBorders>
          </w:tcPr>
          <w:p>
            <w:pPr>
              <w:jc w:val="right"/>
              <w:ind w:right="110"/>
              <w:spacing w:after="0" w:line="194" w:lineRule="exact"/>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25"/>
        </w:trPr>
        <w:tc>
          <w:tcPr>
            <w:tcW w:w="70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(in thousands, except interest rates)</w:t>
            </w:r>
          </w:p>
        </w:tc>
        <w:tc>
          <w:tcPr>
            <w:tcW w:w="2440" w:type="dxa"/>
            <w:vAlign w:val="bottom"/>
            <w:tcBorders>
              <w:bottom w:val="single" w:sz="8" w:color="auto"/>
            </w:tcBorders>
          </w:tcPr>
          <w:p>
            <w:pPr>
              <w:jc w:val="right"/>
              <w:ind w:right="1030"/>
              <w:spacing w:after="0"/>
              <w:rPr>
                <w:sz w:val="20"/>
                <w:szCs w:val="20"/>
                <w:color w:val="auto"/>
              </w:rPr>
            </w:pPr>
            <w:r>
              <w:rPr>
                <w:rFonts w:ascii="Arial" w:cs="Arial" w:eastAsia="Arial" w:hAnsi="Arial"/>
                <w:sz w:val="18"/>
                <w:szCs w:val="18"/>
                <w:b w:val="1"/>
                <w:bCs w:val="1"/>
                <w:color w:val="auto"/>
              </w:rPr>
              <w:t>2018</w:t>
            </w:r>
          </w:p>
        </w:tc>
        <w:tc>
          <w:tcPr>
            <w:tcW w:w="19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2017</w:t>
            </w:r>
          </w:p>
        </w:tc>
        <w:tc>
          <w:tcPr>
            <w:tcW w:w="0" w:type="dxa"/>
            <w:vAlign w:val="bottom"/>
          </w:tcPr>
          <w:p>
            <w:pPr>
              <w:spacing w:after="0"/>
              <w:rPr>
                <w:sz w:val="1"/>
                <w:szCs w:val="1"/>
                <w:color w:val="auto"/>
              </w:rPr>
            </w:pPr>
          </w:p>
        </w:tc>
      </w:tr>
      <w:tr>
        <w:trPr>
          <w:trHeight w:val="398"/>
        </w:trPr>
        <w:tc>
          <w:tcPr>
            <w:tcW w:w="7020" w:type="dxa"/>
            <w:vAlign w:val="bottom"/>
          </w:tcPr>
          <w:p>
            <w:pPr>
              <w:spacing w:after="0"/>
              <w:rPr>
                <w:sz w:val="20"/>
                <w:szCs w:val="20"/>
                <w:color w:val="auto"/>
              </w:rPr>
            </w:pPr>
            <w:r>
              <w:rPr>
                <w:rFonts w:ascii="Arial" w:cs="Arial" w:eastAsia="Arial" w:hAnsi="Arial"/>
                <w:sz w:val="18"/>
                <w:szCs w:val="18"/>
                <w:color w:val="auto"/>
              </w:rPr>
              <w:t>Revolving credit agreement with borrowings outstanding at an end of period</w:t>
            </w:r>
          </w:p>
        </w:tc>
        <w:tc>
          <w:tcPr>
            <w:tcW w:w="244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7020" w:type="dxa"/>
            <w:vAlign w:val="bottom"/>
          </w:tcPr>
          <w:p>
            <w:pPr>
              <w:spacing w:after="0" w:line="202" w:lineRule="exact"/>
              <w:rPr>
                <w:sz w:val="20"/>
                <w:szCs w:val="20"/>
                <w:color w:val="auto"/>
              </w:rPr>
            </w:pPr>
            <w:r>
              <w:rPr>
                <w:rFonts w:ascii="Arial" w:cs="Arial" w:eastAsia="Arial" w:hAnsi="Arial"/>
                <w:sz w:val="18"/>
                <w:szCs w:val="18"/>
                <w:color w:val="auto"/>
              </w:rPr>
              <w:t>interest rate of 3.49% in 2018 and 3.40% in 2017 (including the effect of interest</w:t>
            </w:r>
          </w:p>
        </w:tc>
        <w:tc>
          <w:tcPr>
            <w:tcW w:w="2440" w:type="dxa"/>
            <w:vAlign w:val="bottom"/>
            <w:vMerge w:val="restart"/>
          </w:tcPr>
          <w:p>
            <w:pPr>
              <w:jc w:val="right"/>
              <w:ind w:right="550"/>
              <w:spacing w:after="0"/>
              <w:rPr>
                <w:sz w:val="20"/>
                <w:szCs w:val="20"/>
                <w:color w:val="auto"/>
              </w:rPr>
            </w:pPr>
            <w:r>
              <w:rPr>
                <w:rFonts w:ascii="Arial" w:cs="Arial" w:eastAsia="Arial" w:hAnsi="Arial"/>
                <w:sz w:val="18"/>
                <w:szCs w:val="18"/>
                <w:b w:val="1"/>
                <w:bCs w:val="1"/>
                <w:color w:val="auto"/>
              </w:rPr>
              <w:t>$506,000</w:t>
            </w:r>
          </w:p>
        </w:tc>
        <w:tc>
          <w:tcPr>
            <w:tcW w:w="1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7020" w:type="dxa"/>
            <w:vAlign w:val="bottom"/>
          </w:tcPr>
          <w:p>
            <w:pPr>
              <w:spacing w:after="0"/>
              <w:rPr>
                <w:sz w:val="20"/>
                <w:szCs w:val="20"/>
                <w:color w:val="auto"/>
              </w:rPr>
            </w:pPr>
            <w:r>
              <w:rPr>
                <w:rFonts w:ascii="Arial" w:cs="Arial" w:eastAsia="Arial" w:hAnsi="Arial"/>
                <w:sz w:val="18"/>
                <w:szCs w:val="18"/>
                <w:color w:val="auto"/>
              </w:rPr>
              <w:t>rate hedging transactions, as described below), due in 2022</w:t>
            </w:r>
          </w:p>
        </w:tc>
        <w:tc>
          <w:tcPr>
            <w:tcW w:w="2440" w:type="dxa"/>
            <w:vAlign w:val="bottom"/>
            <w:vMerge w:val="continue"/>
          </w:tcPr>
          <w:p>
            <w:pPr>
              <w:spacing w:after="0"/>
              <w:rPr>
                <w:sz w:val="18"/>
                <w:szCs w:val="18"/>
                <w:color w:val="auto"/>
              </w:rPr>
            </w:pPr>
          </w:p>
        </w:tc>
        <w:tc>
          <w:tcPr>
            <w:tcW w:w="1960" w:type="dxa"/>
            <w:vAlign w:val="bottom"/>
          </w:tcPr>
          <w:p>
            <w:pPr>
              <w:jc w:val="right"/>
              <w:ind w:right="10"/>
              <w:spacing w:after="0"/>
              <w:rPr>
                <w:sz w:val="20"/>
                <w:szCs w:val="20"/>
                <w:color w:val="auto"/>
              </w:rPr>
            </w:pPr>
            <w:r>
              <w:rPr>
                <w:rFonts w:ascii="Arial" w:cs="Arial" w:eastAsia="Arial" w:hAnsi="Arial"/>
                <w:sz w:val="18"/>
                <w:szCs w:val="18"/>
                <w:color w:val="auto"/>
              </w:rPr>
              <w:t>$501,000</w:t>
            </w:r>
          </w:p>
        </w:tc>
        <w:tc>
          <w:tcPr>
            <w:tcW w:w="0" w:type="dxa"/>
            <w:vAlign w:val="bottom"/>
          </w:tcPr>
          <w:p>
            <w:pPr>
              <w:spacing w:after="0"/>
              <w:rPr>
                <w:sz w:val="1"/>
                <w:szCs w:val="1"/>
                <w:color w:val="auto"/>
              </w:rPr>
            </w:pPr>
          </w:p>
        </w:tc>
      </w:tr>
      <w:tr>
        <w:trPr>
          <w:trHeight w:val="392"/>
        </w:trPr>
        <w:tc>
          <w:tcPr>
            <w:tcW w:w="7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Obligation under capital lease, matures 2022</w:t>
            </w:r>
          </w:p>
        </w:tc>
        <w:tc>
          <w:tcPr>
            <w:tcW w:w="244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14,477</w:t>
            </w:r>
          </w:p>
        </w:tc>
        <w:tc>
          <w:tcPr>
            <w:tcW w:w="1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14,919</w:t>
            </w:r>
          </w:p>
        </w:tc>
        <w:tc>
          <w:tcPr>
            <w:tcW w:w="0" w:type="dxa"/>
            <w:vAlign w:val="bottom"/>
          </w:tcPr>
          <w:p>
            <w:pPr>
              <w:spacing w:after="0"/>
              <w:rPr>
                <w:sz w:val="1"/>
                <w:szCs w:val="1"/>
                <w:color w:val="auto"/>
              </w:rPr>
            </w:pPr>
          </w:p>
        </w:tc>
      </w:tr>
      <w:tr>
        <w:trPr>
          <w:trHeight w:val="412"/>
        </w:trPr>
        <w:tc>
          <w:tcPr>
            <w:tcW w:w="7020" w:type="dxa"/>
            <w:vAlign w:val="bottom"/>
          </w:tcPr>
          <w:p>
            <w:pPr>
              <w:spacing w:after="0"/>
              <w:rPr>
                <w:sz w:val="20"/>
                <w:szCs w:val="20"/>
                <w:color w:val="auto"/>
              </w:rPr>
            </w:pPr>
            <w:r>
              <w:rPr>
                <w:rFonts w:ascii="Arial" w:cs="Arial" w:eastAsia="Arial" w:hAnsi="Arial"/>
                <w:sz w:val="18"/>
                <w:szCs w:val="18"/>
                <w:color w:val="auto"/>
              </w:rPr>
              <w:t>Long-term debt</w:t>
            </w:r>
          </w:p>
        </w:tc>
        <w:tc>
          <w:tcPr>
            <w:tcW w:w="2440" w:type="dxa"/>
            <w:vAlign w:val="bottom"/>
          </w:tcPr>
          <w:p>
            <w:pPr>
              <w:jc w:val="right"/>
              <w:ind w:right="550"/>
              <w:spacing w:after="0"/>
              <w:rPr>
                <w:sz w:val="20"/>
                <w:szCs w:val="20"/>
                <w:color w:val="auto"/>
              </w:rPr>
            </w:pPr>
            <w:r>
              <w:rPr>
                <w:rFonts w:ascii="Arial" w:cs="Arial" w:eastAsia="Arial" w:hAnsi="Arial"/>
                <w:sz w:val="18"/>
                <w:szCs w:val="18"/>
                <w:b w:val="1"/>
                <w:bCs w:val="1"/>
                <w:color w:val="auto"/>
              </w:rPr>
              <w:t>520,477</w:t>
            </w:r>
          </w:p>
        </w:tc>
        <w:tc>
          <w:tcPr>
            <w:tcW w:w="1960" w:type="dxa"/>
            <w:vAlign w:val="bottom"/>
          </w:tcPr>
          <w:p>
            <w:pPr>
              <w:jc w:val="right"/>
              <w:ind w:right="10"/>
              <w:spacing w:after="0"/>
              <w:rPr>
                <w:sz w:val="20"/>
                <w:szCs w:val="20"/>
                <w:color w:val="auto"/>
              </w:rPr>
            </w:pPr>
            <w:r>
              <w:rPr>
                <w:rFonts w:ascii="Arial" w:cs="Arial" w:eastAsia="Arial" w:hAnsi="Arial"/>
                <w:sz w:val="18"/>
                <w:szCs w:val="18"/>
                <w:color w:val="auto"/>
              </w:rPr>
              <w:t>515,919</w:t>
            </w:r>
          </w:p>
        </w:tc>
        <w:tc>
          <w:tcPr>
            <w:tcW w:w="0" w:type="dxa"/>
            <w:vAlign w:val="bottom"/>
          </w:tcPr>
          <w:p>
            <w:pPr>
              <w:spacing w:after="0"/>
              <w:rPr>
                <w:sz w:val="1"/>
                <w:szCs w:val="1"/>
                <w:color w:val="auto"/>
              </w:rPr>
            </w:pPr>
          </w:p>
        </w:tc>
      </w:tr>
      <w:tr>
        <w:trPr>
          <w:trHeight w:val="392"/>
        </w:trPr>
        <w:tc>
          <w:tcPr>
            <w:tcW w:w="7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Less: current portion</w:t>
            </w:r>
          </w:p>
        </w:tc>
        <w:tc>
          <w:tcPr>
            <w:tcW w:w="244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(1,821)</w:t>
            </w: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(1,799)</w:t>
            </w:r>
          </w:p>
        </w:tc>
        <w:tc>
          <w:tcPr>
            <w:tcW w:w="0" w:type="dxa"/>
            <w:vAlign w:val="bottom"/>
          </w:tcPr>
          <w:p>
            <w:pPr>
              <w:spacing w:after="0"/>
              <w:rPr>
                <w:sz w:val="1"/>
                <w:szCs w:val="1"/>
                <w:color w:val="auto"/>
              </w:rPr>
            </w:pPr>
          </w:p>
        </w:tc>
      </w:tr>
      <w:tr>
        <w:trPr>
          <w:trHeight w:val="399"/>
        </w:trPr>
        <w:tc>
          <w:tcPr>
            <w:tcW w:w="7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Long-term debt, net of current portion</w:t>
            </w:r>
          </w:p>
        </w:tc>
        <w:tc>
          <w:tcPr>
            <w:tcW w:w="244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$518,656</w:t>
            </w:r>
          </w:p>
        </w:tc>
        <w:tc>
          <w:tcPr>
            <w:tcW w:w="1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$514,120</w:t>
            </w:r>
          </w:p>
        </w:tc>
        <w:tc>
          <w:tcPr>
            <w:tcW w:w="0" w:type="dxa"/>
            <w:vAlign w:val="bottom"/>
          </w:tcPr>
          <w:p>
            <w:pPr>
              <w:spacing w:after="0"/>
              <w:rPr>
                <w:sz w:val="1"/>
                <w:szCs w:val="1"/>
                <w:color w:val="auto"/>
              </w:rPr>
            </w:pPr>
          </w:p>
        </w:tc>
      </w:tr>
    </w:tbl>
    <w:p>
      <w:pPr>
        <w:spacing w:after="0" w:line="391" w:lineRule="exact"/>
        <w:rPr>
          <w:sz w:val="20"/>
          <w:szCs w:val="20"/>
          <w:color w:val="auto"/>
        </w:rPr>
      </w:pPr>
    </w:p>
    <w:p>
      <w:pPr>
        <w:ind w:right="240" w:firstLine="648"/>
        <w:spacing w:after="0" w:line="248" w:lineRule="auto"/>
        <w:rPr>
          <w:sz w:val="20"/>
          <w:szCs w:val="20"/>
          <w:color w:val="auto"/>
        </w:rPr>
      </w:pPr>
      <w:r>
        <w:rPr>
          <w:rFonts w:ascii="Arial" w:cs="Arial" w:eastAsia="Arial" w:hAnsi="Arial"/>
          <w:sz w:val="17"/>
          <w:szCs w:val="17"/>
          <w:color w:val="auto"/>
        </w:rPr>
        <w:t>On November 7, 2017, we entered into a $685 million unsecured Five-Year Revolving Credit Facility Agreement (the “Credit Agreement”) which amended and restated the prior $550 million Agreement, entered into on April 8, 2016 (the “Prior Agreement”). Under the Credit Agreement, $506 million of borrowings were outstanding as of March 31, 2018. The applicable interest rate for borrowings was LIBOR plus a spread, based on our leverage ratio at the time of borrowing. At the time of the last borrowing on March 16, 2018, the spread was</w:t>
      </w:r>
    </w:p>
    <w:p>
      <w:pPr>
        <w:spacing w:after="0" w:line="2" w:lineRule="exact"/>
        <w:rPr>
          <w:sz w:val="20"/>
          <w:szCs w:val="20"/>
          <w:color w:val="auto"/>
        </w:rPr>
      </w:pPr>
    </w:p>
    <w:p>
      <w:pPr>
        <w:ind w:right="160"/>
        <w:spacing w:after="0"/>
        <w:rPr>
          <w:sz w:val="20"/>
          <w:szCs w:val="20"/>
          <w:color w:val="auto"/>
        </w:rPr>
      </w:pPr>
      <w:r>
        <w:rPr>
          <w:rFonts w:ascii="Arial" w:cs="Arial" w:eastAsia="Arial" w:hAnsi="Arial"/>
          <w:sz w:val="18"/>
          <w:szCs w:val="18"/>
          <w:color w:val="auto"/>
        </w:rPr>
        <w:t>1.500%. The spread was based on a pricing grid, which ranged from 1.250% to 1.750%, based on our leverage ratio. Based on our maximum leverage ratio and our Consolidated EBITDA, and without modification to any other credit agreements, as of March 31, 2018, we would have been able to borrow an additional $179 million under the Agreement.</w:t>
      </w:r>
    </w:p>
    <w:p>
      <w:pPr>
        <w:spacing w:after="0" w:line="162" w:lineRule="exact"/>
        <w:rPr>
          <w:sz w:val="20"/>
          <w:szCs w:val="20"/>
          <w:color w:val="auto"/>
        </w:rPr>
      </w:pPr>
    </w:p>
    <w:p>
      <w:pPr>
        <w:ind w:right="880" w:firstLine="648"/>
        <w:spacing w:after="0" w:line="246" w:lineRule="auto"/>
        <w:rPr>
          <w:sz w:val="20"/>
          <w:szCs w:val="20"/>
          <w:color w:val="auto"/>
        </w:rPr>
      </w:pPr>
      <w:r>
        <w:rPr>
          <w:rFonts w:ascii="Arial" w:cs="Arial" w:eastAsia="Arial" w:hAnsi="Arial"/>
          <w:sz w:val="18"/>
          <w:szCs w:val="18"/>
          <w:color w:val="auto"/>
        </w:rPr>
        <w:t>The Credit Agreement contains customary terms, as well as affirmative covenants, negative covenants and events of default comparable to those in the Prior Agreement. The Borrowings are guaranteed by certain of the Company's subsidiaries.</w:t>
      </w:r>
    </w:p>
    <w:p>
      <w:pPr>
        <w:spacing w:after="0" w:line="197" w:lineRule="exact"/>
        <w:rPr>
          <w:sz w:val="20"/>
          <w:szCs w:val="20"/>
          <w:color w:val="auto"/>
        </w:rPr>
      </w:pPr>
    </w:p>
    <w:p>
      <w:pPr>
        <w:ind w:right="340" w:firstLine="648"/>
        <w:spacing w:after="0" w:line="246" w:lineRule="auto"/>
        <w:rPr>
          <w:sz w:val="20"/>
          <w:szCs w:val="20"/>
          <w:color w:val="auto"/>
        </w:rPr>
      </w:pPr>
      <w:r>
        <w:rPr>
          <w:rFonts w:ascii="Arial" w:cs="Arial" w:eastAsia="Arial" w:hAnsi="Arial"/>
          <w:sz w:val="18"/>
          <w:szCs w:val="18"/>
          <w:color w:val="auto"/>
        </w:rPr>
        <w:t>Our ability to borrow additional amounts under the Credit Agreement is conditional upon the absence of any defaults, as well as the absence of any material adverse change (as defined in the Credit Agreement).</w:t>
      </w:r>
    </w:p>
    <w:p>
      <w:pPr>
        <w:spacing w:after="0" w:line="197" w:lineRule="exact"/>
        <w:rPr>
          <w:sz w:val="20"/>
          <w:szCs w:val="20"/>
          <w:color w:val="auto"/>
        </w:rPr>
      </w:pPr>
    </w:p>
    <w:p>
      <w:pPr>
        <w:ind w:right="20" w:firstLine="648"/>
        <w:spacing w:after="0" w:line="246" w:lineRule="auto"/>
        <w:rPr>
          <w:sz w:val="20"/>
          <w:szCs w:val="20"/>
          <w:color w:val="auto"/>
        </w:rPr>
      </w:pPr>
      <w:r>
        <w:rPr>
          <w:rFonts w:ascii="Arial" w:cs="Arial" w:eastAsia="Arial" w:hAnsi="Arial"/>
          <w:sz w:val="18"/>
          <w:szCs w:val="18"/>
          <w:color w:val="auto"/>
        </w:rPr>
        <w:t>The Company has a long-term capital lease obligation for real property in Salt Lake City, Utah. The lease has an implied interest rate of 5.0% and matures in 2022.</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342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32" w:name="page33"/>
    <w:bookmarkEnd w:id="32"/>
    <w:p>
      <w:pPr>
        <w:ind w:right="40" w:firstLine="648"/>
        <w:spacing w:after="0" w:line="246" w:lineRule="auto"/>
        <w:rPr>
          <w:sz w:val="20"/>
          <w:szCs w:val="20"/>
          <w:color w:val="auto"/>
        </w:rPr>
      </w:pPr>
      <w:r>
        <w:rPr>
          <w:rFonts w:ascii="Arial" w:cs="Arial" w:eastAsia="Arial" w:hAnsi="Arial"/>
          <w:sz w:val="18"/>
          <w:szCs w:val="18"/>
          <w:color w:val="auto"/>
        </w:rPr>
        <w:t>The following schedule presents future minimum annual lease payments under the capital lease obligation and the present value of the minimum lease payments, as of March 31, 2018.</w:t>
      </w: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6780" w:type="dxa"/>
            <w:vAlign w:val="bottom"/>
            <w:tcBorders>
              <w:top w:val="single" w:sz="8" w:color="auto"/>
            </w:tcBorders>
          </w:tcPr>
          <w:p>
            <w:pPr>
              <w:spacing w:after="0" w:line="194" w:lineRule="exact"/>
              <w:rPr>
                <w:sz w:val="20"/>
                <w:szCs w:val="20"/>
                <w:color w:val="auto"/>
              </w:rPr>
            </w:pPr>
            <w:r>
              <w:rPr>
                <w:rFonts w:ascii="Arial" w:cs="Arial" w:eastAsia="Arial" w:hAnsi="Arial"/>
                <w:sz w:val="18"/>
                <w:szCs w:val="18"/>
                <w:b w:val="1"/>
                <w:bCs w:val="1"/>
                <w:color w:val="auto"/>
              </w:rPr>
              <w:t>Years ending December 31,</w:t>
            </w:r>
          </w:p>
        </w:tc>
        <w:tc>
          <w:tcPr>
            <w:tcW w:w="4640" w:type="dxa"/>
            <w:vAlign w:val="bottom"/>
            <w:tcBorders>
              <w:top w:val="single" w:sz="8" w:color="auto"/>
            </w:tcBorders>
          </w:tcPr>
          <w:p>
            <w:pPr>
              <w:jc w:val="right"/>
              <w:spacing w:after="0" w:line="194" w:lineRule="exact"/>
              <w:rPr>
                <w:sz w:val="20"/>
                <w:szCs w:val="20"/>
                <w:color w:val="auto"/>
              </w:rPr>
            </w:pPr>
            <w:r>
              <w:rPr>
                <w:rFonts w:ascii="Arial" w:cs="Arial" w:eastAsia="Arial" w:hAnsi="Arial"/>
                <w:sz w:val="18"/>
                <w:szCs w:val="18"/>
                <w:b w:val="1"/>
                <w:bCs w:val="1"/>
                <w:color w:val="auto"/>
              </w:rPr>
              <w:t>(in thousands)</w:t>
            </w:r>
          </w:p>
        </w:tc>
      </w:tr>
      <w:tr>
        <w:trPr>
          <w:trHeight w:val="203"/>
        </w:trPr>
        <w:tc>
          <w:tcPr>
            <w:tcW w:w="6780" w:type="dxa"/>
            <w:vAlign w:val="bottom"/>
          </w:tcPr>
          <w:p>
            <w:pPr>
              <w:spacing w:after="0" w:line="202" w:lineRule="exact"/>
              <w:rPr>
                <w:sz w:val="20"/>
                <w:szCs w:val="20"/>
                <w:color w:val="auto"/>
              </w:rPr>
            </w:pPr>
            <w:r>
              <w:rPr>
                <w:rFonts w:ascii="Arial" w:cs="Arial" w:eastAsia="Arial" w:hAnsi="Arial"/>
                <w:sz w:val="18"/>
                <w:szCs w:val="18"/>
                <w:color w:val="auto"/>
              </w:rPr>
              <w:t>2018</w:t>
            </w:r>
          </w:p>
        </w:tc>
        <w:tc>
          <w:tcPr>
            <w:tcW w:w="4640" w:type="dxa"/>
            <w:vAlign w:val="bottom"/>
          </w:tcPr>
          <w:p>
            <w:pPr>
              <w:jc w:val="right"/>
              <w:ind w:right="10"/>
              <w:spacing w:after="0" w:line="202" w:lineRule="exact"/>
              <w:rPr>
                <w:sz w:val="20"/>
                <w:szCs w:val="20"/>
                <w:color w:val="auto"/>
              </w:rPr>
            </w:pPr>
            <w:r>
              <w:rPr>
                <w:rFonts w:ascii="Arial" w:cs="Arial" w:eastAsia="Arial" w:hAnsi="Arial"/>
                <w:sz w:val="18"/>
                <w:szCs w:val="18"/>
                <w:b w:val="1"/>
                <w:bCs w:val="1"/>
                <w:color w:val="auto"/>
              </w:rPr>
              <w:t>$1,854</w:t>
            </w:r>
          </w:p>
        </w:tc>
      </w:tr>
      <w:tr>
        <w:trPr>
          <w:trHeight w:val="203"/>
        </w:trPr>
        <w:tc>
          <w:tcPr>
            <w:tcW w:w="6780" w:type="dxa"/>
            <w:vAlign w:val="bottom"/>
          </w:tcPr>
          <w:p>
            <w:pPr>
              <w:spacing w:after="0" w:line="202" w:lineRule="exact"/>
              <w:rPr>
                <w:sz w:val="20"/>
                <w:szCs w:val="20"/>
                <w:color w:val="auto"/>
              </w:rPr>
            </w:pPr>
            <w:r>
              <w:rPr>
                <w:rFonts w:ascii="Arial" w:cs="Arial" w:eastAsia="Arial" w:hAnsi="Arial"/>
                <w:sz w:val="18"/>
                <w:szCs w:val="18"/>
                <w:color w:val="auto"/>
              </w:rPr>
              <w:t>2019</w:t>
            </w:r>
          </w:p>
        </w:tc>
        <w:tc>
          <w:tcPr>
            <w:tcW w:w="4640" w:type="dxa"/>
            <w:vAlign w:val="bottom"/>
          </w:tcPr>
          <w:p>
            <w:pPr>
              <w:jc w:val="right"/>
              <w:ind w:right="10"/>
              <w:spacing w:after="0" w:line="202" w:lineRule="exact"/>
              <w:rPr>
                <w:sz w:val="20"/>
                <w:szCs w:val="20"/>
                <w:color w:val="auto"/>
              </w:rPr>
            </w:pPr>
            <w:r>
              <w:rPr>
                <w:rFonts w:ascii="Arial" w:cs="Arial" w:eastAsia="Arial" w:hAnsi="Arial"/>
                <w:sz w:val="18"/>
                <w:szCs w:val="18"/>
                <w:b w:val="1"/>
                <w:bCs w:val="1"/>
                <w:color w:val="auto"/>
              </w:rPr>
              <w:t>2,473</w:t>
            </w:r>
          </w:p>
        </w:tc>
      </w:tr>
      <w:tr>
        <w:trPr>
          <w:trHeight w:val="203"/>
        </w:trPr>
        <w:tc>
          <w:tcPr>
            <w:tcW w:w="6780" w:type="dxa"/>
            <w:vAlign w:val="bottom"/>
          </w:tcPr>
          <w:p>
            <w:pPr>
              <w:spacing w:after="0" w:line="202" w:lineRule="exact"/>
              <w:rPr>
                <w:sz w:val="20"/>
                <w:szCs w:val="20"/>
                <w:color w:val="auto"/>
              </w:rPr>
            </w:pPr>
            <w:r>
              <w:rPr>
                <w:rFonts w:ascii="Arial" w:cs="Arial" w:eastAsia="Arial" w:hAnsi="Arial"/>
                <w:sz w:val="18"/>
                <w:szCs w:val="18"/>
                <w:color w:val="auto"/>
              </w:rPr>
              <w:t>2020</w:t>
            </w:r>
          </w:p>
        </w:tc>
        <w:tc>
          <w:tcPr>
            <w:tcW w:w="4640" w:type="dxa"/>
            <w:vAlign w:val="bottom"/>
          </w:tcPr>
          <w:p>
            <w:pPr>
              <w:jc w:val="right"/>
              <w:ind w:right="10"/>
              <w:spacing w:after="0" w:line="202" w:lineRule="exact"/>
              <w:rPr>
                <w:sz w:val="20"/>
                <w:szCs w:val="20"/>
                <w:color w:val="auto"/>
              </w:rPr>
            </w:pPr>
            <w:r>
              <w:rPr>
                <w:rFonts w:ascii="Arial" w:cs="Arial" w:eastAsia="Arial" w:hAnsi="Arial"/>
                <w:sz w:val="18"/>
                <w:szCs w:val="18"/>
                <w:b w:val="1"/>
                <w:bCs w:val="1"/>
                <w:color w:val="auto"/>
              </w:rPr>
              <w:t>2,520</w:t>
            </w:r>
          </w:p>
        </w:tc>
      </w:tr>
      <w:tr>
        <w:trPr>
          <w:trHeight w:val="203"/>
        </w:trPr>
        <w:tc>
          <w:tcPr>
            <w:tcW w:w="6780" w:type="dxa"/>
            <w:vAlign w:val="bottom"/>
          </w:tcPr>
          <w:p>
            <w:pPr>
              <w:spacing w:after="0" w:line="202" w:lineRule="exact"/>
              <w:rPr>
                <w:sz w:val="20"/>
                <w:szCs w:val="20"/>
                <w:color w:val="auto"/>
              </w:rPr>
            </w:pPr>
            <w:r>
              <w:rPr>
                <w:rFonts w:ascii="Arial" w:cs="Arial" w:eastAsia="Arial" w:hAnsi="Arial"/>
                <w:sz w:val="18"/>
                <w:szCs w:val="18"/>
                <w:color w:val="auto"/>
              </w:rPr>
              <w:t>2021</w:t>
            </w:r>
          </w:p>
        </w:tc>
        <w:tc>
          <w:tcPr>
            <w:tcW w:w="4640" w:type="dxa"/>
            <w:vAlign w:val="bottom"/>
          </w:tcPr>
          <w:p>
            <w:pPr>
              <w:jc w:val="right"/>
              <w:ind w:right="10"/>
              <w:spacing w:after="0" w:line="202" w:lineRule="exact"/>
              <w:rPr>
                <w:sz w:val="20"/>
                <w:szCs w:val="20"/>
                <w:color w:val="auto"/>
              </w:rPr>
            </w:pPr>
            <w:r>
              <w:rPr>
                <w:rFonts w:ascii="Arial" w:cs="Arial" w:eastAsia="Arial" w:hAnsi="Arial"/>
                <w:sz w:val="18"/>
                <w:szCs w:val="18"/>
                <w:b w:val="1"/>
                <w:bCs w:val="1"/>
                <w:color w:val="auto"/>
              </w:rPr>
              <w:t>2,520</w:t>
            </w:r>
          </w:p>
        </w:tc>
      </w:tr>
      <w:tr>
        <w:trPr>
          <w:trHeight w:val="225"/>
        </w:trPr>
        <w:tc>
          <w:tcPr>
            <w:tcW w:w="6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2022</w:t>
            </w:r>
          </w:p>
        </w:tc>
        <w:tc>
          <w:tcPr>
            <w:tcW w:w="46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7,373</w:t>
            </w:r>
          </w:p>
        </w:tc>
      </w:tr>
      <w:tr>
        <w:trPr>
          <w:trHeight w:val="173"/>
        </w:trPr>
        <w:tc>
          <w:tcPr>
            <w:tcW w:w="6780" w:type="dxa"/>
            <w:vAlign w:val="bottom"/>
          </w:tcPr>
          <w:p>
            <w:pPr>
              <w:spacing w:after="0" w:line="173" w:lineRule="exact"/>
              <w:rPr>
                <w:sz w:val="20"/>
                <w:szCs w:val="20"/>
                <w:color w:val="auto"/>
              </w:rPr>
            </w:pPr>
            <w:r>
              <w:rPr>
                <w:rFonts w:ascii="Arial" w:cs="Arial" w:eastAsia="Arial" w:hAnsi="Arial"/>
                <w:sz w:val="18"/>
                <w:szCs w:val="18"/>
                <w:color w:val="auto"/>
              </w:rPr>
              <w:t>Total minimum lease payments</w:t>
            </w:r>
          </w:p>
        </w:tc>
        <w:tc>
          <w:tcPr>
            <w:tcW w:w="4640" w:type="dxa"/>
            <w:vAlign w:val="bottom"/>
          </w:tcPr>
          <w:p>
            <w:pPr>
              <w:jc w:val="right"/>
              <w:ind w:right="10"/>
              <w:spacing w:after="0" w:line="173" w:lineRule="exact"/>
              <w:rPr>
                <w:sz w:val="20"/>
                <w:szCs w:val="20"/>
                <w:color w:val="auto"/>
              </w:rPr>
            </w:pPr>
            <w:r>
              <w:rPr>
                <w:rFonts w:ascii="Arial" w:cs="Arial" w:eastAsia="Arial" w:hAnsi="Arial"/>
                <w:sz w:val="18"/>
                <w:szCs w:val="18"/>
                <w:b w:val="1"/>
                <w:bCs w:val="1"/>
                <w:color w:val="auto"/>
              </w:rPr>
              <w:t>16,740</w:t>
            </w:r>
          </w:p>
        </w:tc>
      </w:tr>
      <w:tr>
        <w:trPr>
          <w:trHeight w:val="225"/>
        </w:trPr>
        <w:tc>
          <w:tcPr>
            <w:tcW w:w="6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Less: Amount representing interest</w:t>
            </w:r>
          </w:p>
        </w:tc>
        <w:tc>
          <w:tcPr>
            <w:tcW w:w="46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(2,263)</w:t>
            </w:r>
          </w:p>
        </w:tc>
      </w:tr>
      <w:tr>
        <w:trPr>
          <w:trHeight w:val="399"/>
        </w:trPr>
        <w:tc>
          <w:tcPr>
            <w:tcW w:w="6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Present value of minimum lease payments</w:t>
            </w:r>
          </w:p>
        </w:tc>
        <w:tc>
          <w:tcPr>
            <w:tcW w:w="46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$14,477</w:t>
            </w:r>
          </w:p>
        </w:tc>
      </w:tr>
      <w:tr>
        <w:trPr>
          <w:trHeight w:val="20"/>
        </w:trPr>
        <w:tc>
          <w:tcPr>
            <w:tcW w:w="6780" w:type="dxa"/>
            <w:vAlign w:val="bottom"/>
            <w:tcBorders>
              <w:bottom w:val="single" w:sz="8" w:color="auto"/>
            </w:tcBorders>
          </w:tcPr>
          <w:p>
            <w:pPr>
              <w:spacing w:after="0" w:line="20" w:lineRule="exact"/>
              <w:rPr>
                <w:sz w:val="1"/>
                <w:szCs w:val="1"/>
                <w:color w:val="auto"/>
              </w:rPr>
            </w:pPr>
          </w:p>
        </w:tc>
        <w:tc>
          <w:tcPr>
            <w:tcW w:w="46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ind w:right="180" w:firstLine="648"/>
        <w:spacing w:after="0" w:line="239" w:lineRule="auto"/>
        <w:rPr>
          <w:sz w:val="20"/>
          <w:szCs w:val="20"/>
          <w:color w:val="auto"/>
        </w:rPr>
      </w:pPr>
      <w:r>
        <w:rPr>
          <w:rFonts w:ascii="Arial" w:cs="Arial" w:eastAsia="Arial" w:hAnsi="Arial"/>
          <w:sz w:val="18"/>
          <w:szCs w:val="18"/>
          <w:color w:val="auto"/>
        </w:rPr>
        <w:t>On November 27, 2017, we terminated our interest rate swap agreements, originally entered into on May 9, 2016, that had effectively fixed the interest rate on $300 million of revolving credit borrowings, in order to enter into a new interest rate swap with a greater notional amount, and the same maturity as the Credit Agreement. We received cash of $6.3 million when the swap agreements were terminated and that payment will be amortized into interest expense through March 2021.</w:t>
      </w:r>
    </w:p>
    <w:p>
      <w:pPr>
        <w:spacing w:after="0" w:line="202" w:lineRule="exact"/>
        <w:rPr>
          <w:sz w:val="20"/>
          <w:szCs w:val="20"/>
          <w:color w:val="auto"/>
        </w:rPr>
      </w:pPr>
    </w:p>
    <w:p>
      <w:pPr>
        <w:ind w:right="140" w:firstLine="648"/>
        <w:spacing w:after="0"/>
        <w:rPr>
          <w:sz w:val="20"/>
          <w:szCs w:val="20"/>
          <w:color w:val="auto"/>
        </w:rPr>
      </w:pPr>
      <w:r>
        <w:rPr>
          <w:rFonts w:ascii="Arial" w:cs="Arial" w:eastAsia="Arial" w:hAnsi="Arial"/>
          <w:sz w:val="18"/>
          <w:szCs w:val="18"/>
          <w:color w:val="auto"/>
        </w:rPr>
        <w:t>On May 6, 2016, we terminated other interest rate swap agreements that had effectively fixed the interest rate on $120 million of revolving credit borrowings, in order to enter into a new interest rate swap with a greater notional amount, and the same maturity as the Credit Agreement. We paid $5.2 million to terminate the swap agreements and that cost will be amortized into interest expense through June 2020.</w:t>
      </w:r>
    </w:p>
    <w:p>
      <w:pPr>
        <w:spacing w:after="0" w:line="203" w:lineRule="exact"/>
        <w:rPr>
          <w:sz w:val="20"/>
          <w:szCs w:val="20"/>
          <w:color w:val="auto"/>
        </w:rPr>
      </w:pPr>
    </w:p>
    <w:p>
      <w:pPr>
        <w:ind w:firstLine="648"/>
        <w:spacing w:after="0" w:line="238" w:lineRule="auto"/>
        <w:rPr>
          <w:sz w:val="20"/>
          <w:szCs w:val="20"/>
          <w:color w:val="auto"/>
        </w:rPr>
      </w:pPr>
      <w:r>
        <w:rPr>
          <w:rFonts w:ascii="Arial" w:cs="Arial" w:eastAsia="Arial" w:hAnsi="Arial"/>
          <w:sz w:val="18"/>
          <w:szCs w:val="18"/>
          <w:color w:val="auto"/>
        </w:rPr>
        <w:t>On November 28, 2017, we entered into interest rate swap agreements for the period December 18, 2017 through October 17, 2022. These transactions have the effect of fixing the LIBOR portion of the effective interest rate (before addition of the spread) on $350 million of indebtedness drawn under the Credit Agreement at the rate of 2.11% during the period. Under the terms of these transactions, we pay the fixed rate of 2.11% and the counterparties pay a floating rate based on the one-month LIBOR rate at each monthly calculation date, which on March 16, 2018 was 1.79%, during the swap period. On March 16, 2018, the all-in-rate on the $350 million of debt was 3.61%.</w:t>
      </w:r>
    </w:p>
    <w:p>
      <w:pPr>
        <w:spacing w:after="0" w:line="203" w:lineRule="exact"/>
        <w:rPr>
          <w:sz w:val="20"/>
          <w:szCs w:val="20"/>
          <w:color w:val="auto"/>
        </w:rPr>
      </w:pPr>
    </w:p>
    <w:p>
      <w:pPr>
        <w:ind w:right="920" w:firstLine="648"/>
        <w:spacing w:after="0" w:line="246" w:lineRule="auto"/>
        <w:rPr>
          <w:sz w:val="20"/>
          <w:szCs w:val="20"/>
          <w:color w:val="auto"/>
        </w:rPr>
      </w:pPr>
      <w:r>
        <w:rPr>
          <w:rFonts w:ascii="Arial" w:cs="Arial" w:eastAsia="Arial" w:hAnsi="Arial"/>
          <w:sz w:val="18"/>
          <w:szCs w:val="18"/>
          <w:color w:val="auto"/>
        </w:rPr>
        <w:t>These interest rate swaps are accounted for as a hedge of future cash flows, as further described in Note 16 of the Notes to Consolidated Financial Statements. No cash collateral was received or pledged in relation to the swap agreements.</w:t>
      </w:r>
    </w:p>
    <w:p>
      <w:pPr>
        <w:spacing w:after="0" w:line="197" w:lineRule="exact"/>
        <w:rPr>
          <w:sz w:val="20"/>
          <w:szCs w:val="20"/>
          <w:color w:val="auto"/>
        </w:rPr>
      </w:pPr>
    </w:p>
    <w:p>
      <w:pPr>
        <w:ind w:right="80" w:firstLine="648"/>
        <w:spacing w:after="0"/>
        <w:rPr>
          <w:sz w:val="20"/>
          <w:szCs w:val="20"/>
          <w:color w:val="auto"/>
        </w:rPr>
      </w:pPr>
      <w:r>
        <w:rPr>
          <w:rFonts w:ascii="Arial" w:cs="Arial" w:eastAsia="Arial" w:hAnsi="Arial"/>
          <w:sz w:val="18"/>
          <w:szCs w:val="18"/>
          <w:color w:val="auto"/>
        </w:rPr>
        <w:t>Under the Credit Agreement, we are currently required to maintain a leverage ratio (as defined in the agreement) of not greater than 3.75 to 1.00 for each fiscal quarter ending prior to (but not including) September 30, 2019, and 3.50 to 1.00 for each fiscal quarter ending on or after September 30, 2019, and minimum interest coverage (as defined) of 3.00 to 1.00.</w:t>
      </w:r>
    </w:p>
    <w:p>
      <w:pPr>
        <w:spacing w:after="0" w:line="203" w:lineRule="exact"/>
        <w:rPr>
          <w:sz w:val="20"/>
          <w:szCs w:val="20"/>
          <w:color w:val="auto"/>
        </w:rPr>
      </w:pPr>
    </w:p>
    <w:p>
      <w:pPr>
        <w:ind w:right="460" w:firstLine="648"/>
        <w:spacing w:after="0"/>
        <w:rPr>
          <w:sz w:val="20"/>
          <w:szCs w:val="20"/>
          <w:color w:val="auto"/>
        </w:rPr>
      </w:pPr>
      <w:r>
        <w:rPr>
          <w:rFonts w:ascii="Arial" w:cs="Arial" w:eastAsia="Arial" w:hAnsi="Arial"/>
          <w:sz w:val="18"/>
          <w:szCs w:val="18"/>
          <w:color w:val="auto"/>
        </w:rPr>
        <w:t>As of March 31, 2018, our leverage ratio was 2.55 to 1.00 and our interest coverage ratio was 9.50 to 1.00. We may purchase our Common Stock or pay dividends to the extent our leverage ratio remains at or below 3.50 to 1.00, and may make acquisitions with cash provided our leverage ratio does not exceed the limits noted above.</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Indebtedness under the Credit Agreement is ranked equally in right of payment to all unsecured senior debt.</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were in compliance with all debt covenants as of March 31, 2018.</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342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1016" w:right="2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i w:val="1"/>
          <w:iCs w:val="1"/>
          <w:color w:val="auto"/>
        </w:rPr>
        <w:t>16. Fair-Value Measurements</w:t>
      </w:r>
    </w:p>
    <w:p>
      <w:pPr>
        <w:spacing w:after="0" w:line="234" w:lineRule="exact"/>
        <w:rPr>
          <w:sz w:val="20"/>
          <w:szCs w:val="20"/>
          <w:color w:val="auto"/>
        </w:rPr>
      </w:pPr>
    </w:p>
    <w:p>
      <w:pPr>
        <w:ind w:right="100" w:firstLine="648"/>
        <w:spacing w:after="0" w:line="237" w:lineRule="auto"/>
        <w:rPr>
          <w:sz w:val="20"/>
          <w:szCs w:val="20"/>
          <w:color w:val="auto"/>
        </w:rPr>
      </w:pPr>
      <w:r>
        <w:rPr>
          <w:rFonts w:ascii="Arial" w:cs="Arial" w:eastAsia="Arial" w:hAnsi="Arial"/>
          <w:sz w:val="18"/>
          <w:szCs w:val="18"/>
          <w:color w:val="auto"/>
        </w:rPr>
        <w:t>Fair value is defined as the exchange price that would be received for an asset or paid to transfer a liability (an exit price) in the principal or most advantageous market for the asset or liability in an orderly transaction between market participants at the measurement date. Accounting principles establish a hierarchy for inputs used in measuring fair value that maximizes the use of observable inputs and minimizes the use of unobservable inputs by requiring that the most observable inputs be used when available. Level 3 inputs are unobservable data points for the asset or liability, and include situations in which there is little, if any, market activity for the asset or liability. We had no Level 3 financial assets or liabilities at December 31, 2017 or March 31, 2018.</w:t>
      </w:r>
    </w:p>
    <w:p>
      <w:pPr>
        <w:spacing w:after="0" w:line="205" w:lineRule="exact"/>
        <w:rPr>
          <w:sz w:val="20"/>
          <w:szCs w:val="20"/>
          <w:color w:val="auto"/>
        </w:rPr>
      </w:pPr>
    </w:p>
    <w:p>
      <w:pPr>
        <w:ind w:right="120" w:firstLine="648"/>
        <w:spacing w:after="0" w:line="246" w:lineRule="auto"/>
        <w:rPr>
          <w:sz w:val="20"/>
          <w:szCs w:val="20"/>
          <w:color w:val="auto"/>
        </w:rPr>
      </w:pPr>
      <w:r>
        <w:rPr>
          <w:rFonts w:ascii="Arial" w:cs="Arial" w:eastAsia="Arial" w:hAnsi="Arial"/>
          <w:sz w:val="18"/>
          <w:szCs w:val="18"/>
          <w:color w:val="auto"/>
        </w:rPr>
        <w:t>The following table presents the fair-value hierarchy for our Level 1 and Level 2 financial and non-financial assets and liabilities, which are measured at fair value on a recurring basis:</w:t>
      </w: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4640" w:type="dxa"/>
            <w:vAlign w:val="bottom"/>
            <w:tcBorders>
              <w:top w:val="single" w:sz="8" w:color="auto"/>
            </w:tcBorders>
          </w:tcPr>
          <w:p>
            <w:pPr>
              <w:spacing w:after="0"/>
              <w:rPr>
                <w:sz w:val="16"/>
                <w:szCs w:val="16"/>
                <w:color w:val="auto"/>
              </w:rPr>
            </w:pPr>
          </w:p>
        </w:tc>
        <w:tc>
          <w:tcPr>
            <w:tcW w:w="3540" w:type="dxa"/>
            <w:vAlign w:val="bottom"/>
            <w:tcBorders>
              <w:top w:val="single" w:sz="8" w:color="auto"/>
            </w:tcBorders>
            <w:gridSpan w:val="2"/>
          </w:tcPr>
          <w:p>
            <w:pPr>
              <w:jc w:val="right"/>
              <w:ind w:right="1130"/>
              <w:spacing w:after="0" w:line="194" w:lineRule="exact"/>
              <w:rPr>
                <w:sz w:val="20"/>
                <w:szCs w:val="20"/>
                <w:color w:val="auto"/>
              </w:rPr>
            </w:pPr>
            <w:r>
              <w:rPr>
                <w:rFonts w:ascii="Arial" w:cs="Arial" w:eastAsia="Arial" w:hAnsi="Arial"/>
                <w:sz w:val="18"/>
                <w:szCs w:val="18"/>
                <w:b w:val="1"/>
                <w:bCs w:val="1"/>
                <w:color w:val="auto"/>
              </w:rPr>
              <w:t>March 31, 2018</w:t>
            </w:r>
          </w:p>
        </w:tc>
        <w:tc>
          <w:tcPr>
            <w:tcW w:w="3240" w:type="dxa"/>
            <w:vAlign w:val="bottom"/>
            <w:tcBorders>
              <w:top w:val="single" w:sz="8" w:color="auto"/>
            </w:tcBorders>
            <w:gridSpan w:val="2"/>
          </w:tcPr>
          <w:p>
            <w:pPr>
              <w:jc w:val="right"/>
              <w:ind w:right="650"/>
              <w:spacing w:after="0" w:line="194" w:lineRule="exact"/>
              <w:rPr>
                <w:sz w:val="20"/>
                <w:szCs w:val="20"/>
                <w:color w:val="auto"/>
              </w:rPr>
            </w:pPr>
            <w:r>
              <w:rPr>
                <w:rFonts w:ascii="Arial" w:cs="Arial" w:eastAsia="Arial" w:hAnsi="Arial"/>
                <w:sz w:val="18"/>
                <w:szCs w:val="18"/>
                <w:b w:val="1"/>
                <w:bCs w:val="1"/>
                <w:color w:val="auto"/>
              </w:rPr>
              <w:t>December 31, 2017</w:t>
            </w:r>
          </w:p>
        </w:tc>
        <w:tc>
          <w:tcPr>
            <w:tcW w:w="0" w:type="dxa"/>
            <w:vAlign w:val="bottom"/>
          </w:tcPr>
          <w:p>
            <w:pPr>
              <w:spacing w:after="0"/>
              <w:rPr>
                <w:sz w:val="1"/>
                <w:szCs w:val="1"/>
                <w:color w:val="auto"/>
              </w:rPr>
            </w:pPr>
          </w:p>
        </w:tc>
      </w:tr>
      <w:tr>
        <w:trPr>
          <w:trHeight w:val="203"/>
        </w:trPr>
        <w:tc>
          <w:tcPr>
            <w:tcW w:w="464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780" w:type="dxa"/>
            <w:vAlign w:val="bottom"/>
          </w:tcPr>
          <w:p>
            <w:pPr>
              <w:jc w:val="center"/>
              <w:ind w:right="170"/>
              <w:spacing w:after="0" w:line="202" w:lineRule="exact"/>
              <w:rPr>
                <w:sz w:val="20"/>
                <w:szCs w:val="20"/>
                <w:color w:val="auto"/>
              </w:rPr>
            </w:pPr>
            <w:r>
              <w:rPr>
                <w:rFonts w:ascii="Arial" w:cs="Arial" w:eastAsia="Arial" w:hAnsi="Arial"/>
                <w:sz w:val="18"/>
                <w:szCs w:val="18"/>
                <w:b w:val="1"/>
                <w:bCs w:val="1"/>
                <w:color w:val="auto"/>
                <w:w w:val="99"/>
              </w:rPr>
              <w:t>Significant</w:t>
            </w:r>
          </w:p>
        </w:tc>
        <w:tc>
          <w:tcPr>
            <w:tcW w:w="1680" w:type="dxa"/>
            <w:vAlign w:val="bottom"/>
          </w:tcPr>
          <w:p>
            <w:pPr>
              <w:spacing w:after="0"/>
              <w:rPr>
                <w:sz w:val="17"/>
                <w:szCs w:val="17"/>
                <w:color w:val="auto"/>
              </w:rPr>
            </w:pPr>
          </w:p>
        </w:tc>
        <w:tc>
          <w:tcPr>
            <w:tcW w:w="1560" w:type="dxa"/>
            <w:vAlign w:val="bottom"/>
          </w:tcPr>
          <w:p>
            <w:pPr>
              <w:jc w:val="center"/>
              <w:spacing w:after="0" w:line="202" w:lineRule="exact"/>
              <w:rPr>
                <w:sz w:val="20"/>
                <w:szCs w:val="20"/>
                <w:color w:val="auto"/>
              </w:rPr>
            </w:pPr>
            <w:r>
              <w:rPr>
                <w:rFonts w:ascii="Arial" w:cs="Arial" w:eastAsia="Arial" w:hAnsi="Arial"/>
                <w:sz w:val="18"/>
                <w:szCs w:val="18"/>
                <w:color w:val="auto"/>
              </w:rPr>
              <w:t>Significant</w:t>
            </w:r>
          </w:p>
        </w:tc>
        <w:tc>
          <w:tcPr>
            <w:tcW w:w="0" w:type="dxa"/>
            <w:vAlign w:val="bottom"/>
          </w:tcPr>
          <w:p>
            <w:pPr>
              <w:spacing w:after="0"/>
              <w:rPr>
                <w:sz w:val="1"/>
                <w:szCs w:val="1"/>
                <w:color w:val="auto"/>
              </w:rPr>
            </w:pPr>
          </w:p>
        </w:tc>
      </w:tr>
      <w:tr>
        <w:trPr>
          <w:trHeight w:val="203"/>
        </w:trPr>
        <w:tc>
          <w:tcPr>
            <w:tcW w:w="4640" w:type="dxa"/>
            <w:vAlign w:val="bottom"/>
          </w:tcPr>
          <w:p>
            <w:pPr>
              <w:spacing w:after="0"/>
              <w:rPr>
                <w:sz w:val="17"/>
                <w:szCs w:val="17"/>
                <w:color w:val="auto"/>
              </w:rPr>
            </w:pPr>
          </w:p>
        </w:tc>
        <w:tc>
          <w:tcPr>
            <w:tcW w:w="176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Quoted prices</w:t>
            </w:r>
          </w:p>
        </w:tc>
        <w:tc>
          <w:tcPr>
            <w:tcW w:w="1780" w:type="dxa"/>
            <w:vAlign w:val="bottom"/>
          </w:tcPr>
          <w:p>
            <w:pPr>
              <w:jc w:val="center"/>
              <w:ind w:right="150"/>
              <w:spacing w:after="0" w:line="202" w:lineRule="exact"/>
              <w:rPr>
                <w:sz w:val="20"/>
                <w:szCs w:val="20"/>
                <w:color w:val="auto"/>
              </w:rPr>
            </w:pPr>
            <w:r>
              <w:rPr>
                <w:rFonts w:ascii="Arial" w:cs="Arial" w:eastAsia="Arial" w:hAnsi="Arial"/>
                <w:sz w:val="18"/>
                <w:szCs w:val="18"/>
                <w:b w:val="1"/>
                <w:bCs w:val="1"/>
                <w:color w:val="auto"/>
              </w:rPr>
              <w:t>other</w:t>
            </w:r>
          </w:p>
        </w:tc>
        <w:tc>
          <w:tcPr>
            <w:tcW w:w="1680" w:type="dxa"/>
            <w:vAlign w:val="bottom"/>
          </w:tcPr>
          <w:p>
            <w:pPr>
              <w:jc w:val="center"/>
              <w:ind w:right="70"/>
              <w:spacing w:after="0" w:line="202" w:lineRule="exact"/>
              <w:rPr>
                <w:sz w:val="20"/>
                <w:szCs w:val="20"/>
                <w:color w:val="auto"/>
              </w:rPr>
            </w:pPr>
            <w:r>
              <w:rPr>
                <w:rFonts w:ascii="Arial" w:cs="Arial" w:eastAsia="Arial" w:hAnsi="Arial"/>
                <w:sz w:val="18"/>
                <w:szCs w:val="18"/>
                <w:color w:val="auto"/>
                <w:w w:val="99"/>
              </w:rPr>
              <w:t>Quoted prices</w:t>
            </w:r>
          </w:p>
        </w:tc>
        <w:tc>
          <w:tcPr>
            <w:tcW w:w="1560" w:type="dxa"/>
            <w:vAlign w:val="bottom"/>
          </w:tcPr>
          <w:p>
            <w:pPr>
              <w:jc w:val="center"/>
              <w:spacing w:after="0" w:line="202" w:lineRule="exact"/>
              <w:rPr>
                <w:sz w:val="20"/>
                <w:szCs w:val="20"/>
                <w:color w:val="auto"/>
              </w:rPr>
            </w:pPr>
            <w:r>
              <w:rPr>
                <w:rFonts w:ascii="Arial" w:cs="Arial" w:eastAsia="Arial" w:hAnsi="Arial"/>
                <w:sz w:val="18"/>
                <w:szCs w:val="18"/>
                <w:color w:val="auto"/>
                <w:w w:val="97"/>
              </w:rPr>
              <w:t>other</w:t>
            </w:r>
          </w:p>
        </w:tc>
        <w:tc>
          <w:tcPr>
            <w:tcW w:w="0" w:type="dxa"/>
            <w:vAlign w:val="bottom"/>
          </w:tcPr>
          <w:p>
            <w:pPr>
              <w:spacing w:after="0"/>
              <w:rPr>
                <w:sz w:val="1"/>
                <w:szCs w:val="1"/>
                <w:color w:val="auto"/>
              </w:rPr>
            </w:pPr>
          </w:p>
        </w:tc>
      </w:tr>
      <w:tr>
        <w:trPr>
          <w:trHeight w:val="203"/>
        </w:trPr>
        <w:tc>
          <w:tcPr>
            <w:tcW w:w="4640" w:type="dxa"/>
            <w:vAlign w:val="bottom"/>
          </w:tcPr>
          <w:p>
            <w:pPr>
              <w:spacing w:after="0"/>
              <w:rPr>
                <w:sz w:val="17"/>
                <w:szCs w:val="17"/>
                <w:color w:val="auto"/>
              </w:rPr>
            </w:pPr>
          </w:p>
        </w:tc>
        <w:tc>
          <w:tcPr>
            <w:tcW w:w="176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in active</w:t>
            </w:r>
          </w:p>
        </w:tc>
        <w:tc>
          <w:tcPr>
            <w:tcW w:w="1780" w:type="dxa"/>
            <w:vAlign w:val="bottom"/>
          </w:tcPr>
          <w:p>
            <w:pPr>
              <w:jc w:val="center"/>
              <w:ind w:right="150"/>
              <w:spacing w:after="0" w:line="202" w:lineRule="exact"/>
              <w:rPr>
                <w:sz w:val="20"/>
                <w:szCs w:val="20"/>
                <w:color w:val="auto"/>
              </w:rPr>
            </w:pPr>
            <w:r>
              <w:rPr>
                <w:rFonts w:ascii="Arial" w:cs="Arial" w:eastAsia="Arial" w:hAnsi="Arial"/>
                <w:sz w:val="18"/>
                <w:szCs w:val="18"/>
                <w:b w:val="1"/>
                <w:bCs w:val="1"/>
                <w:color w:val="auto"/>
                <w:w w:val="98"/>
              </w:rPr>
              <w:t>observable</w:t>
            </w:r>
          </w:p>
        </w:tc>
        <w:tc>
          <w:tcPr>
            <w:tcW w:w="1680" w:type="dxa"/>
            <w:vAlign w:val="bottom"/>
          </w:tcPr>
          <w:p>
            <w:pPr>
              <w:jc w:val="center"/>
              <w:ind w:right="90"/>
              <w:spacing w:after="0" w:line="202" w:lineRule="exact"/>
              <w:rPr>
                <w:sz w:val="20"/>
                <w:szCs w:val="20"/>
                <w:color w:val="auto"/>
              </w:rPr>
            </w:pPr>
            <w:r>
              <w:rPr>
                <w:rFonts w:ascii="Arial" w:cs="Arial" w:eastAsia="Arial" w:hAnsi="Arial"/>
                <w:sz w:val="18"/>
                <w:szCs w:val="18"/>
                <w:color w:val="auto"/>
                <w:w w:val="99"/>
              </w:rPr>
              <w:t>in active</w:t>
            </w:r>
          </w:p>
        </w:tc>
        <w:tc>
          <w:tcPr>
            <w:tcW w:w="1560" w:type="dxa"/>
            <w:vAlign w:val="bottom"/>
          </w:tcPr>
          <w:p>
            <w:pPr>
              <w:jc w:val="center"/>
              <w:spacing w:after="0" w:line="202" w:lineRule="exact"/>
              <w:rPr>
                <w:sz w:val="20"/>
                <w:szCs w:val="20"/>
                <w:color w:val="auto"/>
              </w:rPr>
            </w:pPr>
            <w:r>
              <w:rPr>
                <w:rFonts w:ascii="Arial" w:cs="Arial" w:eastAsia="Arial" w:hAnsi="Arial"/>
                <w:sz w:val="18"/>
                <w:szCs w:val="18"/>
                <w:color w:val="auto"/>
                <w:w w:val="99"/>
              </w:rPr>
              <w:t>observable</w:t>
            </w:r>
          </w:p>
        </w:tc>
        <w:tc>
          <w:tcPr>
            <w:tcW w:w="0" w:type="dxa"/>
            <w:vAlign w:val="bottom"/>
          </w:tcPr>
          <w:p>
            <w:pPr>
              <w:spacing w:after="0"/>
              <w:rPr>
                <w:sz w:val="1"/>
                <w:szCs w:val="1"/>
                <w:color w:val="auto"/>
              </w:rPr>
            </w:pPr>
          </w:p>
        </w:tc>
      </w:tr>
      <w:tr>
        <w:trPr>
          <w:trHeight w:val="239"/>
        </w:trPr>
        <w:tc>
          <w:tcPr>
            <w:tcW w:w="4640" w:type="dxa"/>
            <w:vAlign w:val="bottom"/>
          </w:tcPr>
          <w:p>
            <w:pPr>
              <w:spacing w:after="0"/>
              <w:rPr>
                <w:sz w:val="20"/>
                <w:szCs w:val="20"/>
                <w:color w:val="auto"/>
              </w:rPr>
            </w:pPr>
          </w:p>
        </w:tc>
        <w:tc>
          <w:tcPr>
            <w:tcW w:w="1760" w:type="dxa"/>
            <w:vAlign w:val="bottom"/>
          </w:tcPr>
          <w:p>
            <w:pPr>
              <w:jc w:val="center"/>
              <w:spacing w:after="0"/>
              <w:rPr>
                <w:sz w:val="20"/>
                <w:szCs w:val="20"/>
                <w:color w:val="auto"/>
              </w:rPr>
            </w:pPr>
            <w:r>
              <w:rPr>
                <w:rFonts w:ascii="Arial" w:cs="Arial" w:eastAsia="Arial" w:hAnsi="Arial"/>
                <w:sz w:val="18"/>
                <w:szCs w:val="18"/>
                <w:b w:val="1"/>
                <w:bCs w:val="1"/>
                <w:color w:val="auto"/>
                <w:w w:val="98"/>
              </w:rPr>
              <w:t>markets</w:t>
            </w:r>
          </w:p>
        </w:tc>
        <w:tc>
          <w:tcPr>
            <w:tcW w:w="1780" w:type="dxa"/>
            <w:vAlign w:val="bottom"/>
          </w:tcPr>
          <w:p>
            <w:pPr>
              <w:jc w:val="center"/>
              <w:ind w:right="150"/>
              <w:spacing w:after="0"/>
              <w:rPr>
                <w:sz w:val="20"/>
                <w:szCs w:val="20"/>
                <w:color w:val="auto"/>
              </w:rPr>
            </w:pPr>
            <w:r>
              <w:rPr>
                <w:rFonts w:ascii="Arial" w:cs="Arial" w:eastAsia="Arial" w:hAnsi="Arial"/>
                <w:sz w:val="18"/>
                <w:szCs w:val="18"/>
                <w:b w:val="1"/>
                <w:bCs w:val="1"/>
                <w:color w:val="auto"/>
                <w:w w:val="99"/>
              </w:rPr>
              <w:t>inputs</w:t>
            </w:r>
          </w:p>
        </w:tc>
        <w:tc>
          <w:tcPr>
            <w:tcW w:w="1680" w:type="dxa"/>
            <w:vAlign w:val="bottom"/>
          </w:tcPr>
          <w:p>
            <w:pPr>
              <w:jc w:val="center"/>
              <w:ind w:right="70"/>
              <w:spacing w:after="0"/>
              <w:rPr>
                <w:sz w:val="20"/>
                <w:szCs w:val="20"/>
                <w:color w:val="auto"/>
              </w:rPr>
            </w:pPr>
            <w:r>
              <w:rPr>
                <w:rFonts w:ascii="Arial" w:cs="Arial" w:eastAsia="Arial" w:hAnsi="Arial"/>
                <w:sz w:val="18"/>
                <w:szCs w:val="18"/>
                <w:color w:val="auto"/>
                <w:w w:val="99"/>
              </w:rPr>
              <w:t>markets</w:t>
            </w:r>
          </w:p>
        </w:tc>
        <w:tc>
          <w:tcPr>
            <w:tcW w:w="1560" w:type="dxa"/>
            <w:vAlign w:val="bottom"/>
          </w:tcPr>
          <w:p>
            <w:pPr>
              <w:jc w:val="center"/>
              <w:spacing w:after="0"/>
              <w:rPr>
                <w:sz w:val="20"/>
                <w:szCs w:val="20"/>
                <w:color w:val="auto"/>
              </w:rPr>
            </w:pPr>
            <w:r>
              <w:rPr>
                <w:rFonts w:ascii="Arial" w:cs="Arial" w:eastAsia="Arial" w:hAnsi="Arial"/>
                <w:sz w:val="18"/>
                <w:szCs w:val="18"/>
                <w:color w:val="auto"/>
                <w:w w:val="99"/>
              </w:rPr>
              <w:t>inputs</w:t>
            </w:r>
          </w:p>
        </w:tc>
        <w:tc>
          <w:tcPr>
            <w:tcW w:w="0" w:type="dxa"/>
            <w:vAlign w:val="bottom"/>
          </w:tcPr>
          <w:p>
            <w:pPr>
              <w:spacing w:after="0"/>
              <w:rPr>
                <w:sz w:val="1"/>
                <w:szCs w:val="1"/>
                <w:color w:val="auto"/>
              </w:rPr>
            </w:pPr>
          </w:p>
        </w:tc>
      </w:tr>
      <w:tr>
        <w:trPr>
          <w:trHeight w:val="392"/>
        </w:trPr>
        <w:tc>
          <w:tcPr>
            <w:tcW w:w="46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(in thousands)</w:t>
            </w:r>
          </w:p>
        </w:tc>
        <w:tc>
          <w:tcPr>
            <w:tcW w:w="17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8"/>
              </w:rPr>
              <w:t>(Level 1)</w:t>
            </w:r>
          </w:p>
        </w:tc>
        <w:tc>
          <w:tcPr>
            <w:tcW w:w="178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rPr>
              <w:t>(Level 2)</w:t>
            </w:r>
          </w:p>
        </w:tc>
        <w:tc>
          <w:tcPr>
            <w:tcW w:w="168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color w:val="auto"/>
                <w:w w:val="99"/>
              </w:rPr>
              <w:t>(Level 1)</w:t>
            </w: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(Level 2)</w:t>
            </w:r>
          </w:p>
        </w:tc>
        <w:tc>
          <w:tcPr>
            <w:tcW w:w="0" w:type="dxa"/>
            <w:vAlign w:val="bottom"/>
          </w:tcPr>
          <w:p>
            <w:pPr>
              <w:spacing w:after="0"/>
              <w:rPr>
                <w:sz w:val="1"/>
                <w:szCs w:val="1"/>
                <w:color w:val="auto"/>
              </w:rPr>
            </w:pPr>
          </w:p>
        </w:tc>
      </w:tr>
      <w:tr>
        <w:trPr>
          <w:trHeight w:val="177"/>
        </w:trPr>
        <w:tc>
          <w:tcPr>
            <w:tcW w:w="4640" w:type="dxa"/>
            <w:vAlign w:val="bottom"/>
          </w:tcPr>
          <w:p>
            <w:pPr>
              <w:spacing w:after="0" w:line="177" w:lineRule="exact"/>
              <w:rPr>
                <w:sz w:val="20"/>
                <w:szCs w:val="20"/>
                <w:color w:val="auto"/>
              </w:rPr>
            </w:pPr>
            <w:r>
              <w:rPr>
                <w:rFonts w:ascii="Arial" w:cs="Arial" w:eastAsia="Arial" w:hAnsi="Arial"/>
                <w:sz w:val="18"/>
                <w:szCs w:val="18"/>
                <w:b w:val="1"/>
                <w:bCs w:val="1"/>
                <w:color w:val="auto"/>
              </w:rPr>
              <w:t>Fair Value</w:t>
            </w:r>
          </w:p>
        </w:tc>
        <w:tc>
          <w:tcPr>
            <w:tcW w:w="176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4640" w:type="dxa"/>
            <w:vAlign w:val="bottom"/>
          </w:tcPr>
          <w:p>
            <w:pPr>
              <w:spacing w:after="0"/>
              <w:rPr>
                <w:sz w:val="20"/>
                <w:szCs w:val="20"/>
                <w:color w:val="auto"/>
              </w:rPr>
            </w:pPr>
            <w:r>
              <w:rPr>
                <w:rFonts w:ascii="Arial" w:cs="Arial" w:eastAsia="Arial" w:hAnsi="Arial"/>
                <w:sz w:val="18"/>
                <w:szCs w:val="18"/>
                <w:i w:val="1"/>
                <w:iCs w:val="1"/>
                <w:color w:val="auto"/>
              </w:rPr>
              <w:t>Assets:</w:t>
            </w:r>
          </w:p>
        </w:tc>
        <w:tc>
          <w:tcPr>
            <w:tcW w:w="1760" w:type="dxa"/>
            <w:vAlign w:val="bottom"/>
            <w:vMerge w:val="restart"/>
          </w:tcPr>
          <w:p>
            <w:pPr>
              <w:jc w:val="right"/>
              <w:ind w:right="210"/>
              <w:spacing w:after="0"/>
              <w:rPr>
                <w:sz w:val="20"/>
                <w:szCs w:val="20"/>
                <w:color w:val="auto"/>
              </w:rPr>
            </w:pPr>
            <w:r>
              <w:rPr>
                <w:rFonts w:ascii="Arial" w:cs="Arial" w:eastAsia="Arial" w:hAnsi="Arial"/>
                <w:sz w:val="18"/>
                <w:szCs w:val="18"/>
                <w:b w:val="1"/>
                <w:bCs w:val="1"/>
                <w:color w:val="auto"/>
              </w:rPr>
              <w:t>$14,806</w:t>
            </w:r>
          </w:p>
        </w:tc>
        <w:tc>
          <w:tcPr>
            <w:tcW w:w="1780" w:type="dxa"/>
            <w:vAlign w:val="bottom"/>
            <w:vMerge w:val="restart"/>
          </w:tcPr>
          <w:p>
            <w:pPr>
              <w:jc w:val="right"/>
              <w:ind w:right="310"/>
              <w:spacing w:after="0"/>
              <w:rPr>
                <w:sz w:val="20"/>
                <w:szCs w:val="20"/>
                <w:color w:val="auto"/>
              </w:rPr>
            </w:pPr>
            <w:r>
              <w:rPr>
                <w:rFonts w:ascii="Arial" w:cs="Arial" w:eastAsia="Arial" w:hAnsi="Arial"/>
                <w:sz w:val="18"/>
                <w:szCs w:val="18"/>
                <w:b w:val="1"/>
                <w:bCs w:val="1"/>
                <w:color w:val="auto"/>
              </w:rPr>
              <w:t>$-</w:t>
            </w:r>
          </w:p>
        </w:tc>
        <w:tc>
          <w:tcPr>
            <w:tcW w:w="168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4640" w:type="dxa"/>
            <w:vAlign w:val="bottom"/>
          </w:tcPr>
          <w:p>
            <w:pPr>
              <w:ind w:left="180"/>
              <w:spacing w:after="0" w:line="202" w:lineRule="exact"/>
              <w:rPr>
                <w:sz w:val="20"/>
                <w:szCs w:val="20"/>
                <w:color w:val="auto"/>
              </w:rPr>
            </w:pPr>
            <w:r>
              <w:rPr>
                <w:rFonts w:ascii="Arial" w:cs="Arial" w:eastAsia="Arial" w:hAnsi="Arial"/>
                <w:sz w:val="18"/>
                <w:szCs w:val="18"/>
                <w:color w:val="auto"/>
              </w:rPr>
              <w:t>Cash equivalents</w:t>
            </w:r>
          </w:p>
        </w:tc>
        <w:tc>
          <w:tcPr>
            <w:tcW w:w="1760" w:type="dxa"/>
            <w:vAlign w:val="bottom"/>
            <w:vMerge w:val="continue"/>
          </w:tcPr>
          <w:p>
            <w:pPr>
              <w:spacing w:after="0"/>
              <w:rPr>
                <w:sz w:val="17"/>
                <w:szCs w:val="17"/>
                <w:color w:val="auto"/>
              </w:rPr>
            </w:pPr>
          </w:p>
        </w:tc>
        <w:tc>
          <w:tcPr>
            <w:tcW w:w="1780" w:type="dxa"/>
            <w:vAlign w:val="bottom"/>
            <w:vMerge w:val="continue"/>
          </w:tcPr>
          <w:p>
            <w:pPr>
              <w:spacing w:after="0"/>
              <w:rPr>
                <w:sz w:val="17"/>
                <w:szCs w:val="17"/>
                <w:color w:val="auto"/>
              </w:rPr>
            </w:pPr>
          </w:p>
        </w:tc>
        <w:tc>
          <w:tcPr>
            <w:tcW w:w="1680" w:type="dxa"/>
            <w:vAlign w:val="bottom"/>
          </w:tcPr>
          <w:p>
            <w:pPr>
              <w:jc w:val="right"/>
              <w:ind w:right="210"/>
              <w:spacing w:after="0" w:line="202" w:lineRule="exact"/>
              <w:rPr>
                <w:sz w:val="20"/>
                <w:szCs w:val="20"/>
                <w:color w:val="auto"/>
              </w:rPr>
            </w:pPr>
            <w:r>
              <w:rPr>
                <w:rFonts w:ascii="Arial" w:cs="Arial" w:eastAsia="Arial" w:hAnsi="Arial"/>
                <w:sz w:val="18"/>
                <w:szCs w:val="18"/>
                <w:color w:val="auto"/>
              </w:rPr>
              <w:t>$13,601</w:t>
            </w:r>
          </w:p>
        </w:tc>
        <w:tc>
          <w:tcPr>
            <w:tcW w:w="1560" w:type="dxa"/>
            <w:vAlign w:val="bottom"/>
          </w:tcPr>
          <w:p>
            <w:pPr>
              <w:jc w:val="right"/>
              <w:ind w:right="9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4640" w:type="dxa"/>
            <w:vAlign w:val="bottom"/>
          </w:tcPr>
          <w:p>
            <w:pPr>
              <w:ind w:left="180"/>
              <w:spacing w:after="0" w:line="202" w:lineRule="exact"/>
              <w:rPr>
                <w:sz w:val="20"/>
                <w:szCs w:val="20"/>
                <w:color w:val="auto"/>
              </w:rPr>
            </w:pPr>
            <w:r>
              <w:rPr>
                <w:rFonts w:ascii="Arial" w:cs="Arial" w:eastAsia="Arial" w:hAnsi="Arial"/>
                <w:sz w:val="18"/>
                <w:szCs w:val="18"/>
                <w:color w:val="auto"/>
              </w:rPr>
              <w:t>Prepaid expenses and other current assets:</w:t>
            </w:r>
          </w:p>
        </w:tc>
        <w:tc>
          <w:tcPr>
            <w:tcW w:w="1760" w:type="dxa"/>
            <w:vAlign w:val="bottom"/>
            <w:vMerge w:val="restart"/>
          </w:tcPr>
          <w:p>
            <w:pPr>
              <w:jc w:val="right"/>
              <w:ind w:right="210"/>
              <w:spacing w:after="0"/>
              <w:rPr>
                <w:sz w:val="20"/>
                <w:szCs w:val="20"/>
                <w:color w:val="auto"/>
              </w:rPr>
            </w:pPr>
            <w:r>
              <w:rPr>
                <w:rFonts w:ascii="Arial" w:cs="Arial" w:eastAsia="Arial" w:hAnsi="Arial"/>
                <w:sz w:val="18"/>
                <w:szCs w:val="18"/>
                <w:b w:val="1"/>
                <w:bCs w:val="1"/>
                <w:color w:val="auto"/>
              </w:rPr>
              <w:t>75</w:t>
            </w:r>
          </w:p>
        </w:tc>
        <w:tc>
          <w:tcPr>
            <w:tcW w:w="1780" w:type="dxa"/>
            <w:vAlign w:val="bottom"/>
            <w:vMerge w:val="restart"/>
          </w:tcPr>
          <w:p>
            <w:pPr>
              <w:jc w:val="right"/>
              <w:ind w:right="310"/>
              <w:spacing w:after="0"/>
              <w:rPr>
                <w:sz w:val="20"/>
                <w:szCs w:val="20"/>
                <w:color w:val="auto"/>
              </w:rPr>
            </w:pPr>
            <w:r>
              <w:rPr>
                <w:rFonts w:ascii="Arial" w:cs="Arial" w:eastAsia="Arial" w:hAnsi="Arial"/>
                <w:sz w:val="18"/>
                <w:szCs w:val="18"/>
                <w:b w:val="1"/>
                <w:bCs w:val="1"/>
                <w:color w:val="auto"/>
              </w:rPr>
              <w:t>-</w:t>
            </w:r>
          </w:p>
        </w:tc>
        <w:tc>
          <w:tcPr>
            <w:tcW w:w="168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4640" w:type="dxa"/>
            <w:vAlign w:val="bottom"/>
          </w:tcPr>
          <w:p>
            <w:pPr>
              <w:ind w:left="320"/>
              <w:spacing w:after="0" w:line="185" w:lineRule="exact"/>
              <w:rPr>
                <w:sz w:val="20"/>
                <w:szCs w:val="20"/>
                <w:color w:val="auto"/>
              </w:rPr>
            </w:pPr>
            <w:r>
              <w:rPr>
                <w:rFonts w:ascii="Arial" w:cs="Arial" w:eastAsia="Arial" w:hAnsi="Arial"/>
                <w:sz w:val="18"/>
                <w:szCs w:val="18"/>
                <w:color w:val="auto"/>
              </w:rPr>
              <w:t>Foreign currency options</w:t>
            </w:r>
          </w:p>
        </w:tc>
        <w:tc>
          <w:tcPr>
            <w:tcW w:w="1760" w:type="dxa"/>
            <w:vAlign w:val="bottom"/>
            <w:vMerge w:val="continue"/>
          </w:tcPr>
          <w:p>
            <w:pPr>
              <w:spacing w:after="0"/>
              <w:rPr>
                <w:sz w:val="16"/>
                <w:szCs w:val="16"/>
                <w:color w:val="auto"/>
              </w:rPr>
            </w:pPr>
          </w:p>
        </w:tc>
        <w:tc>
          <w:tcPr>
            <w:tcW w:w="1780" w:type="dxa"/>
            <w:vAlign w:val="bottom"/>
            <w:vMerge w:val="continue"/>
          </w:tcPr>
          <w:p>
            <w:pPr>
              <w:spacing w:after="0"/>
              <w:rPr>
                <w:sz w:val="16"/>
                <w:szCs w:val="16"/>
                <w:color w:val="auto"/>
              </w:rPr>
            </w:pPr>
          </w:p>
        </w:tc>
        <w:tc>
          <w:tcPr>
            <w:tcW w:w="1680" w:type="dxa"/>
            <w:vAlign w:val="bottom"/>
          </w:tcPr>
          <w:p>
            <w:pPr>
              <w:jc w:val="right"/>
              <w:ind w:right="210"/>
              <w:spacing w:after="0" w:line="185" w:lineRule="exact"/>
              <w:rPr>
                <w:sz w:val="20"/>
                <w:szCs w:val="20"/>
                <w:color w:val="auto"/>
              </w:rPr>
            </w:pPr>
            <w:r>
              <w:rPr>
                <w:rFonts w:ascii="Arial" w:cs="Arial" w:eastAsia="Arial" w:hAnsi="Arial"/>
                <w:sz w:val="18"/>
                <w:szCs w:val="18"/>
                <w:color w:val="auto"/>
              </w:rPr>
              <w:t>-</w:t>
            </w:r>
          </w:p>
        </w:tc>
        <w:tc>
          <w:tcPr>
            <w:tcW w:w="1560" w:type="dxa"/>
            <w:vAlign w:val="bottom"/>
          </w:tcPr>
          <w:p>
            <w:pPr>
              <w:jc w:val="right"/>
              <w:ind w:right="90"/>
              <w:spacing w:after="0" w:line="185"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1"/>
        </w:trPr>
        <w:tc>
          <w:tcPr>
            <w:tcW w:w="4640" w:type="dxa"/>
            <w:vAlign w:val="bottom"/>
          </w:tcPr>
          <w:p>
            <w:pPr>
              <w:spacing w:after="0"/>
              <w:rPr>
                <w:sz w:val="20"/>
                <w:szCs w:val="20"/>
                <w:color w:val="auto"/>
              </w:rPr>
            </w:pPr>
            <w:r>
              <w:rPr>
                <w:rFonts w:ascii="Arial" w:cs="Arial" w:eastAsia="Arial" w:hAnsi="Arial"/>
                <w:sz w:val="18"/>
                <w:szCs w:val="18"/>
                <w:i w:val="1"/>
                <w:iCs w:val="1"/>
                <w:color w:val="auto"/>
              </w:rPr>
              <w:t>Other Assets:</w:t>
            </w:r>
          </w:p>
        </w:tc>
        <w:tc>
          <w:tcPr>
            <w:tcW w:w="176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4640" w:type="dxa"/>
            <w:vAlign w:val="bottom"/>
          </w:tcPr>
          <w:p>
            <w:pPr>
              <w:ind w:left="180"/>
              <w:spacing w:after="0" w:line="203" w:lineRule="exact"/>
              <w:rPr>
                <w:sz w:val="20"/>
                <w:szCs w:val="20"/>
                <w:color w:val="auto"/>
              </w:rPr>
            </w:pPr>
            <w:r>
              <w:rPr>
                <w:rFonts w:ascii="Arial" w:cs="Arial" w:eastAsia="Arial" w:hAnsi="Arial"/>
                <w:sz w:val="18"/>
                <w:szCs w:val="18"/>
                <w:color w:val="auto"/>
              </w:rPr>
              <w:t>Common stock of unaffiliated foreign public company</w:t>
            </w:r>
          </w:p>
        </w:tc>
        <w:tc>
          <w:tcPr>
            <w:tcW w:w="1760" w:type="dxa"/>
            <w:vAlign w:val="bottom"/>
            <w:vMerge w:val="restart"/>
          </w:tcPr>
          <w:p>
            <w:pPr>
              <w:jc w:val="right"/>
              <w:ind w:right="210"/>
              <w:spacing w:after="0"/>
              <w:rPr>
                <w:sz w:val="20"/>
                <w:szCs w:val="20"/>
                <w:color w:val="auto"/>
              </w:rPr>
            </w:pPr>
            <w:r>
              <w:rPr>
                <w:rFonts w:ascii="Arial" w:cs="Arial" w:eastAsia="Arial" w:hAnsi="Arial"/>
                <w:sz w:val="18"/>
                <w:szCs w:val="18"/>
                <w:b w:val="1"/>
                <w:bCs w:val="1"/>
                <w:color w:val="auto"/>
              </w:rPr>
              <w:t>1,022</w:t>
            </w:r>
          </w:p>
        </w:tc>
        <w:tc>
          <w:tcPr>
            <w:tcW w:w="1780" w:type="dxa"/>
            <w:vAlign w:val="bottom"/>
            <w:vMerge w:val="restart"/>
          </w:tcPr>
          <w:p>
            <w:pPr>
              <w:jc w:val="right"/>
              <w:ind w:right="310"/>
              <w:spacing w:after="0"/>
              <w:rPr>
                <w:sz w:val="20"/>
                <w:szCs w:val="20"/>
                <w:color w:val="auto"/>
              </w:rPr>
            </w:pPr>
            <w:r>
              <w:rPr>
                <w:rFonts w:ascii="Arial" w:cs="Arial" w:eastAsia="Arial" w:hAnsi="Arial"/>
                <w:sz w:val="18"/>
                <w:szCs w:val="18"/>
                <w:b w:val="1"/>
                <w:bCs w:val="1"/>
                <w:color w:val="auto"/>
              </w:rPr>
              <w:t>-</w:t>
            </w:r>
          </w:p>
        </w:tc>
        <w:tc>
          <w:tcPr>
            <w:tcW w:w="1680" w:type="dxa"/>
            <w:vAlign w:val="bottom"/>
            <w:vMerge w:val="restart"/>
          </w:tcPr>
          <w:p>
            <w:pPr>
              <w:jc w:val="right"/>
              <w:ind w:right="210"/>
              <w:spacing w:after="0"/>
              <w:rPr>
                <w:sz w:val="20"/>
                <w:szCs w:val="20"/>
                <w:color w:val="auto"/>
              </w:rPr>
            </w:pPr>
            <w:r>
              <w:rPr>
                <w:rFonts w:ascii="Arial" w:cs="Arial" w:eastAsia="Arial" w:hAnsi="Arial"/>
                <w:sz w:val="18"/>
                <w:szCs w:val="18"/>
                <w:color w:val="auto"/>
              </w:rPr>
              <w:t>999</w:t>
            </w:r>
          </w:p>
        </w:tc>
        <w:tc>
          <w:tcPr>
            <w:tcW w:w="1560" w:type="dxa"/>
            <w:vAlign w:val="bottom"/>
            <w:vMerge w:val="restart"/>
          </w:tcPr>
          <w:p>
            <w:pPr>
              <w:jc w:val="right"/>
              <w:ind w:right="9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0"/>
        </w:trPr>
        <w:tc>
          <w:tcPr>
            <w:tcW w:w="4640" w:type="dxa"/>
            <w:vAlign w:val="bottom"/>
          </w:tcPr>
          <w:p>
            <w:pPr>
              <w:ind w:left="180"/>
              <w:spacing w:after="0"/>
              <w:rPr>
                <w:sz w:val="20"/>
                <w:szCs w:val="20"/>
                <w:color w:val="auto"/>
              </w:rPr>
            </w:pPr>
            <w:r>
              <w:rPr>
                <w:rFonts w:ascii="Arial" w:cs="Arial" w:eastAsia="Arial" w:hAnsi="Arial"/>
                <w:sz w:val="15"/>
                <w:szCs w:val="15"/>
                <w:color w:val="auto"/>
              </w:rPr>
              <w:t>(a)</w:t>
            </w:r>
          </w:p>
        </w:tc>
        <w:tc>
          <w:tcPr>
            <w:tcW w:w="1760" w:type="dxa"/>
            <w:vAlign w:val="bottom"/>
            <w:vMerge w:val="continue"/>
          </w:tcPr>
          <w:p>
            <w:pPr>
              <w:spacing w:after="0"/>
              <w:rPr>
                <w:sz w:val="15"/>
                <w:szCs w:val="15"/>
                <w:color w:val="auto"/>
              </w:rPr>
            </w:pPr>
          </w:p>
        </w:tc>
        <w:tc>
          <w:tcPr>
            <w:tcW w:w="1780" w:type="dxa"/>
            <w:vAlign w:val="bottom"/>
            <w:vMerge w:val="continue"/>
          </w:tcPr>
          <w:p>
            <w:pPr>
              <w:spacing w:after="0"/>
              <w:rPr>
                <w:sz w:val="15"/>
                <w:szCs w:val="15"/>
                <w:color w:val="auto"/>
              </w:rPr>
            </w:pPr>
          </w:p>
        </w:tc>
        <w:tc>
          <w:tcPr>
            <w:tcW w:w="1680" w:type="dxa"/>
            <w:vAlign w:val="bottom"/>
            <w:vMerge w:val="continue"/>
          </w:tcPr>
          <w:p>
            <w:pPr>
              <w:spacing w:after="0"/>
              <w:rPr>
                <w:sz w:val="15"/>
                <w:szCs w:val="15"/>
                <w:color w:val="auto"/>
              </w:rPr>
            </w:pPr>
          </w:p>
        </w:tc>
        <w:tc>
          <w:tcPr>
            <w:tcW w:w="15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46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Interest rate swaps</w:t>
            </w:r>
          </w:p>
        </w:tc>
        <w:tc>
          <w:tcPr>
            <w:tcW w:w="17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w:t>
            </w:r>
          </w:p>
        </w:tc>
        <w:tc>
          <w:tcPr>
            <w:tcW w:w="17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6,554</w:t>
            </w:r>
            <w:r>
              <w:rPr>
                <w:rFonts w:ascii="Arial" w:cs="Arial" w:eastAsia="Arial" w:hAnsi="Arial"/>
                <w:sz w:val="15"/>
                <w:szCs w:val="15"/>
                <w:color w:val="auto"/>
              </w:rPr>
              <w:t>(b)</w:t>
            </w:r>
          </w:p>
        </w:tc>
        <w:tc>
          <w:tcPr>
            <w:tcW w:w="16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313</w:t>
            </w:r>
            <w:r>
              <w:rPr>
                <w:rFonts w:ascii="Arial" w:cs="Arial" w:eastAsia="Arial" w:hAnsi="Arial"/>
                <w:sz w:val="15"/>
                <w:szCs w:val="15"/>
                <w:color w:val="auto"/>
              </w:rPr>
              <w:t>(c)</w:t>
            </w:r>
          </w:p>
        </w:tc>
        <w:tc>
          <w:tcPr>
            <w:tcW w:w="0" w:type="dxa"/>
            <w:vAlign w:val="bottom"/>
          </w:tcPr>
          <w:p>
            <w:pPr>
              <w:spacing w:after="0"/>
              <w:rPr>
                <w:sz w:val="1"/>
                <w:szCs w:val="1"/>
                <w:color w:val="auto"/>
              </w:rPr>
            </w:pPr>
          </w:p>
        </w:tc>
      </w:tr>
    </w:tbl>
    <w:p>
      <w:pPr>
        <w:spacing w:after="0" w:line="219" w:lineRule="exact"/>
        <w:rPr>
          <w:sz w:val="20"/>
          <w:szCs w:val="20"/>
          <w:color w:val="auto"/>
        </w:rPr>
      </w:pPr>
    </w:p>
    <w:p>
      <w:pPr>
        <w:ind w:left="660" w:hanging="328"/>
        <w:spacing w:after="0"/>
        <w:tabs>
          <w:tab w:leader="none" w:pos="660" w:val="left"/>
        </w:tabs>
        <w:numPr>
          <w:ilvl w:val="0"/>
          <w:numId w:val="5"/>
        </w:numPr>
        <w:rPr>
          <w:rFonts w:ascii="Arial" w:cs="Arial" w:eastAsia="Arial" w:hAnsi="Arial"/>
          <w:sz w:val="29"/>
          <w:szCs w:val="29"/>
          <w:color w:val="auto"/>
          <w:vertAlign w:val="superscript"/>
        </w:rPr>
      </w:pPr>
      <w:r>
        <w:rPr>
          <w:rFonts w:ascii="Arial" w:cs="Arial" w:eastAsia="Arial" w:hAnsi="Arial"/>
          <w:sz w:val="18"/>
          <w:szCs w:val="18"/>
          <w:color w:val="auto"/>
        </w:rPr>
        <w:t>Original cost basis $0.5 million</w:t>
      </w:r>
    </w:p>
    <w:p>
      <w:pPr>
        <w:ind w:left="660" w:hanging="328"/>
        <w:spacing w:after="0" w:line="183" w:lineRule="auto"/>
        <w:tabs>
          <w:tab w:leader="none" w:pos="660" w:val="left"/>
        </w:tabs>
        <w:numPr>
          <w:ilvl w:val="0"/>
          <w:numId w:val="5"/>
        </w:numPr>
        <w:rPr>
          <w:rFonts w:ascii="Arial" w:cs="Arial" w:eastAsia="Arial" w:hAnsi="Arial"/>
          <w:sz w:val="23"/>
          <w:szCs w:val="23"/>
          <w:color w:val="auto"/>
          <w:vertAlign w:val="superscript"/>
        </w:rPr>
      </w:pPr>
      <w:r>
        <w:rPr>
          <w:rFonts w:ascii="Arial" w:cs="Arial" w:eastAsia="Arial" w:hAnsi="Arial"/>
          <w:sz w:val="15"/>
          <w:szCs w:val="15"/>
          <w:color w:val="auto"/>
        </w:rPr>
        <w:t>Net of $39.2 million receivable floating leg and $32.7 million liability fixed leg</w:t>
      </w:r>
    </w:p>
    <w:p>
      <w:pPr>
        <w:ind w:left="660" w:hanging="328"/>
        <w:spacing w:after="0" w:line="181" w:lineRule="auto"/>
        <w:tabs>
          <w:tab w:leader="none" w:pos="660" w:val="left"/>
        </w:tabs>
        <w:numPr>
          <w:ilvl w:val="0"/>
          <w:numId w:val="5"/>
        </w:numPr>
        <w:rPr>
          <w:rFonts w:ascii="Arial" w:cs="Arial" w:eastAsia="Arial" w:hAnsi="Arial"/>
          <w:sz w:val="25"/>
          <w:szCs w:val="25"/>
          <w:color w:val="auto"/>
          <w:vertAlign w:val="superscript"/>
        </w:rPr>
      </w:pPr>
      <w:r>
        <w:rPr>
          <w:rFonts w:ascii="Arial" w:cs="Arial" w:eastAsia="Arial" w:hAnsi="Arial"/>
          <w:sz w:val="16"/>
          <w:szCs w:val="16"/>
          <w:color w:val="auto"/>
        </w:rPr>
        <w:t>Net of $34.9 million receivable floating leg and $34.6 million liability fixed leg</w:t>
      </w:r>
    </w:p>
    <w:p>
      <w:pPr>
        <w:spacing w:after="0" w:line="202" w:lineRule="exact"/>
        <w:rPr>
          <w:sz w:val="20"/>
          <w:szCs w:val="20"/>
          <w:color w:val="auto"/>
        </w:rPr>
      </w:pPr>
    </w:p>
    <w:p>
      <w:pPr>
        <w:ind w:right="180" w:firstLine="648"/>
        <w:spacing w:after="0" w:line="246" w:lineRule="auto"/>
        <w:rPr>
          <w:sz w:val="20"/>
          <w:szCs w:val="20"/>
          <w:color w:val="auto"/>
        </w:rPr>
      </w:pPr>
      <w:r>
        <w:rPr>
          <w:rFonts w:ascii="Arial" w:cs="Arial" w:eastAsia="Arial" w:hAnsi="Arial"/>
          <w:sz w:val="18"/>
          <w:szCs w:val="18"/>
          <w:color w:val="auto"/>
        </w:rPr>
        <w:t>Cash equivalents include short-term securities that are considered to be highly liquid and easily tradable. These securities are valued using inputs observable in active markets for identical securities.</w:t>
      </w:r>
    </w:p>
    <w:p>
      <w:pPr>
        <w:spacing w:after="0" w:line="197" w:lineRule="exact"/>
        <w:rPr>
          <w:sz w:val="20"/>
          <w:szCs w:val="20"/>
          <w:color w:val="auto"/>
        </w:rPr>
      </w:pPr>
    </w:p>
    <w:p>
      <w:pPr>
        <w:ind w:right="140" w:firstLine="648"/>
        <w:spacing w:after="0" w:line="237" w:lineRule="auto"/>
        <w:rPr>
          <w:sz w:val="20"/>
          <w:szCs w:val="20"/>
          <w:color w:val="auto"/>
        </w:rPr>
      </w:pPr>
      <w:r>
        <w:rPr>
          <w:rFonts w:ascii="Arial" w:cs="Arial" w:eastAsia="Arial" w:hAnsi="Arial"/>
          <w:sz w:val="18"/>
          <w:szCs w:val="18"/>
          <w:color w:val="auto"/>
        </w:rPr>
        <w:t>The common stock of the unaffiliated foreign public company is traded in an active market exchange. The shares are measured at fair value using closing stock prices and are recorded in the Consolidated Balance Sheets as Other assets. The securities are classified as available for sale, and as a result any unrealized gain or loss is recorded in the Shareholders’ Equity section of the Consolidated Balance Sheets rather than in the Consolidated Statements of Income. When the security is sold or impaired, gains and losses are reported on the Consolidated Statements of Income. Investments are considered to be impaired when a decline in fair value is judged to be other than temporary.</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342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778" w:right="239" w:bottom="1440" w:gutter="0" w:footer="0" w:header="0"/>
        </w:sectPr>
      </w:pPr>
    </w:p>
    <w:bookmarkStart w:id="34" w:name="page35"/>
    <w:bookmarkEnd w:id="34"/>
    <w:p>
      <w:pPr>
        <w:ind w:firstLine="648"/>
        <w:spacing w:after="0" w:line="238" w:lineRule="auto"/>
        <w:rPr>
          <w:sz w:val="20"/>
          <w:szCs w:val="20"/>
          <w:color w:val="auto"/>
        </w:rPr>
      </w:pPr>
      <w:r>
        <w:rPr>
          <w:rFonts w:ascii="Arial" w:cs="Arial" w:eastAsia="Arial" w:hAnsi="Arial"/>
          <w:sz w:val="18"/>
          <w:szCs w:val="18"/>
          <w:color w:val="auto"/>
        </w:rPr>
        <w:t>We operate our business in many regions of the world, and currency rate movements can have a significant effect on operating results. Foreign currency instruments are entered into periodically, and consist of foreign currency option contracts and forward contracts that are valued using quoted prices in active markets obtained from independent pricing sources. These instruments are measured using market foreign exchange prices and are recorded in the Consolidated Balance Sheets as Other current assets and Accounts payable, as applicable. Changes in fair value of these instruments are recorded as gains or losses within Other expense, net.</w:t>
      </w:r>
    </w:p>
    <w:p>
      <w:pPr>
        <w:spacing w:after="0" w:line="203" w:lineRule="exact"/>
        <w:rPr>
          <w:sz w:val="20"/>
          <w:szCs w:val="20"/>
          <w:color w:val="auto"/>
        </w:rPr>
      </w:pPr>
    </w:p>
    <w:p>
      <w:pPr>
        <w:ind w:right="300" w:firstLine="648"/>
        <w:spacing w:after="0" w:line="238" w:lineRule="auto"/>
        <w:rPr>
          <w:sz w:val="20"/>
          <w:szCs w:val="20"/>
          <w:color w:val="auto"/>
        </w:rPr>
      </w:pPr>
      <w:r>
        <w:rPr>
          <w:rFonts w:ascii="Arial" w:cs="Arial" w:eastAsia="Arial" w:hAnsi="Arial"/>
          <w:sz w:val="18"/>
          <w:szCs w:val="18"/>
          <w:color w:val="auto"/>
        </w:rPr>
        <w:t>When exercised, the foreign currency instruments are net settled with the same financial institution that bought or sold them. For all positions, whether options or forward contracts, there is risk from the possible inability of the financial institution to meet the terms of the contracts and the risk of unfavorable changes in interest and currency rates, which may reduce the value of the instruments. We seek to mitigate risk by evaluating the creditworthiness of counterparties and by monitoring the currency exchange and interest rate markets while reviewing the hedging risks and contracts to ensure compliance with our internal guidelines and policies.</w:t>
      </w:r>
    </w:p>
    <w:p>
      <w:pPr>
        <w:spacing w:after="0" w:line="203" w:lineRule="exact"/>
        <w:rPr>
          <w:sz w:val="20"/>
          <w:szCs w:val="20"/>
          <w:color w:val="auto"/>
        </w:rPr>
      </w:pPr>
    </w:p>
    <w:p>
      <w:pPr>
        <w:ind w:right="340" w:firstLine="648"/>
        <w:spacing w:after="0" w:line="239" w:lineRule="auto"/>
        <w:rPr>
          <w:sz w:val="20"/>
          <w:szCs w:val="20"/>
          <w:color w:val="auto"/>
        </w:rPr>
      </w:pPr>
      <w:r>
        <w:rPr>
          <w:rFonts w:ascii="Arial" w:cs="Arial" w:eastAsia="Arial" w:hAnsi="Arial"/>
          <w:sz w:val="18"/>
          <w:szCs w:val="18"/>
          <w:color w:val="auto"/>
        </w:rPr>
        <w:t>Changes in exchange rates can result in revaluation gains and losses that are recorded in Selling, General and Administrative expenses or Other expense, net. Revaluation gains and losses occur when our business units have cash, intercompany (recorded in Other expense, net) or third-party trade (recorded in Selling, General and Administrative expenses) receivable or payable balances in a currency other than their local reporting (or functional) currency.</w:t>
      </w:r>
    </w:p>
    <w:p>
      <w:pPr>
        <w:spacing w:after="0" w:line="202" w:lineRule="exact"/>
        <w:rPr>
          <w:sz w:val="20"/>
          <w:szCs w:val="20"/>
          <w:color w:val="auto"/>
        </w:rPr>
      </w:pPr>
    </w:p>
    <w:p>
      <w:pPr>
        <w:ind w:right="160" w:firstLine="648"/>
        <w:spacing w:after="0" w:line="239" w:lineRule="auto"/>
        <w:rPr>
          <w:sz w:val="20"/>
          <w:szCs w:val="20"/>
          <w:color w:val="auto"/>
        </w:rPr>
      </w:pPr>
      <w:r>
        <w:rPr>
          <w:rFonts w:ascii="Arial" w:cs="Arial" w:eastAsia="Arial" w:hAnsi="Arial"/>
          <w:sz w:val="18"/>
          <w:szCs w:val="18"/>
          <w:color w:val="auto"/>
        </w:rPr>
        <w:t>Operating results can also be affected by the translation of sales and costs, for each non-U.S. subsidiary, from the local functional currency to the U.S. dollar. The translation effect on the Consolidated Statements of Income is dependent on our net income or expense position in each non-U.S. currency in which we do business. A net income position exists when sales realized in a particular currency exceed expenses paid in that currency; a net expense position exists if the opposite is true.</w:t>
      </w:r>
    </w:p>
    <w:p>
      <w:pPr>
        <w:spacing w:after="0" w:line="202" w:lineRule="exact"/>
        <w:rPr>
          <w:sz w:val="20"/>
          <w:szCs w:val="20"/>
          <w:color w:val="auto"/>
        </w:rPr>
      </w:pPr>
    </w:p>
    <w:p>
      <w:pPr>
        <w:ind w:right="20" w:firstLine="648"/>
        <w:spacing w:after="0" w:line="236" w:lineRule="auto"/>
        <w:rPr>
          <w:sz w:val="20"/>
          <w:szCs w:val="20"/>
          <w:color w:val="auto"/>
        </w:rPr>
      </w:pPr>
      <w:r>
        <w:rPr>
          <w:rFonts w:ascii="Arial" w:cs="Arial" w:eastAsia="Arial" w:hAnsi="Arial"/>
          <w:sz w:val="18"/>
          <w:szCs w:val="18"/>
          <w:color w:val="auto"/>
        </w:rPr>
        <w:t>The interest rate swaps are accounted for as hedges of future cash flows. The fair value of our interest rate swaps are derived from a discounted cash flow analysis based on the terms of the contract and the interest rate curve, and is included in Other assets and/or Other noncurrent liabilities in the Consolidated Balance Sheets. Unrealized gains and losses on the swaps flow through the caption Derivative valuation adjustment in the Shareholders’ equity section of the Consolidated Balance Sheets, to the extent that the hedges are highly effective. As of March 31, 2018, these interest rate swaps were determined to be highly effective hedges of interest rate cash flow risk. Any gains and losses related to the ineffective portion of the hedges will be recognized in the current period in earnings. Amounts accumulated in Other comprehensive income are reclassified as Interest expense, net when the related interest payments (that is, the hedged forecasted transactions), and amortization related to the swap buyouts, affect earnings. Interest expense related to payments under the active swap agreements totaled $0.5 million for the three month period ended March 31, 2018 and $0.4 million for the three month period ended March 31, 2017. Additionally, non-cash interest expense related to the amortization of swap buyouts totaled ($0.2) million for the three month period ended March 31, 2018 and $0.2 million of the three month period ended March 31, 2017.</w:t>
      </w:r>
    </w:p>
    <w:p>
      <w:pPr>
        <w:spacing w:after="0" w:line="1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342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380"/>
          </w:cols>
          <w:pgMar w:left="240" w:top="1017" w:right="279" w:bottom="1440" w:gutter="0" w:footer="0" w:header="0"/>
        </w:sectPr>
      </w:pPr>
    </w:p>
    <w:bookmarkStart w:id="35" w:name="page36"/>
    <w:bookmarkEnd w:id="35"/>
    <w:p>
      <w:pPr>
        <w:ind w:right="20" w:firstLine="648"/>
        <w:spacing w:after="0" w:line="246" w:lineRule="auto"/>
        <w:rPr>
          <w:sz w:val="20"/>
          <w:szCs w:val="20"/>
          <w:color w:val="auto"/>
        </w:rPr>
      </w:pPr>
      <w:r>
        <w:rPr>
          <w:rFonts w:ascii="Arial" w:cs="Arial" w:eastAsia="Arial" w:hAnsi="Arial"/>
          <w:sz w:val="18"/>
          <w:szCs w:val="18"/>
          <w:color w:val="auto"/>
        </w:rPr>
        <w:t>Gains/(losses) related to changes in fair value of derivative instruments that were recognized in Other expense, net in the Consolidated Statements of Income were as follows:</w:t>
      </w: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6220" w:type="dxa"/>
            <w:vAlign w:val="bottom"/>
            <w:tcBorders>
              <w:top w:val="single" w:sz="8" w:color="auto"/>
            </w:tcBorders>
          </w:tcPr>
          <w:p>
            <w:pPr>
              <w:spacing w:after="0"/>
              <w:rPr>
                <w:sz w:val="16"/>
                <w:szCs w:val="16"/>
                <w:color w:val="auto"/>
              </w:rPr>
            </w:pPr>
          </w:p>
        </w:tc>
        <w:tc>
          <w:tcPr>
            <w:tcW w:w="4360" w:type="dxa"/>
            <w:vAlign w:val="bottom"/>
            <w:tcBorders>
              <w:top w:val="single" w:sz="8" w:color="auto"/>
            </w:tcBorders>
          </w:tcPr>
          <w:p>
            <w:pPr>
              <w:jc w:val="right"/>
              <w:ind w:right="230"/>
              <w:spacing w:after="0" w:line="194" w:lineRule="exact"/>
              <w:rPr>
                <w:sz w:val="20"/>
                <w:szCs w:val="20"/>
                <w:color w:val="auto"/>
              </w:rPr>
            </w:pPr>
            <w:r>
              <w:rPr>
                <w:rFonts w:ascii="Arial" w:cs="Arial" w:eastAsia="Arial" w:hAnsi="Arial"/>
                <w:sz w:val="18"/>
                <w:szCs w:val="18"/>
                <w:b w:val="1"/>
                <w:bCs w:val="1"/>
                <w:color w:val="auto"/>
              </w:rPr>
              <w:t>Three months ended</w:t>
            </w:r>
          </w:p>
        </w:tc>
        <w:tc>
          <w:tcPr>
            <w:tcW w:w="84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6220" w:type="dxa"/>
            <w:vAlign w:val="bottom"/>
          </w:tcPr>
          <w:p>
            <w:pPr>
              <w:spacing w:after="0"/>
              <w:rPr>
                <w:sz w:val="17"/>
                <w:szCs w:val="17"/>
                <w:color w:val="auto"/>
              </w:rPr>
            </w:pPr>
          </w:p>
        </w:tc>
        <w:tc>
          <w:tcPr>
            <w:tcW w:w="4360" w:type="dxa"/>
            <w:vAlign w:val="bottom"/>
          </w:tcPr>
          <w:p>
            <w:pPr>
              <w:jc w:val="right"/>
              <w:ind w:right="710"/>
              <w:spacing w:after="0" w:line="202" w:lineRule="exact"/>
              <w:rPr>
                <w:sz w:val="20"/>
                <w:szCs w:val="20"/>
                <w:color w:val="auto"/>
              </w:rPr>
            </w:pPr>
            <w:r>
              <w:rPr>
                <w:rFonts w:ascii="Arial" w:cs="Arial" w:eastAsia="Arial" w:hAnsi="Arial"/>
                <w:sz w:val="18"/>
                <w:szCs w:val="18"/>
                <w:b w:val="1"/>
                <w:bCs w:val="1"/>
                <w:color w:val="auto"/>
              </w:rPr>
              <w:t>March 31,</w:t>
            </w: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62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(in thousands)</w:t>
            </w:r>
          </w:p>
        </w:tc>
        <w:tc>
          <w:tcPr>
            <w:tcW w:w="4360" w:type="dxa"/>
            <w:vAlign w:val="bottom"/>
            <w:tcBorders>
              <w:bottom w:val="single" w:sz="8" w:color="auto"/>
            </w:tcBorders>
          </w:tcPr>
          <w:p>
            <w:pPr>
              <w:jc w:val="right"/>
              <w:ind w:right="1670"/>
              <w:spacing w:after="0"/>
              <w:rPr>
                <w:sz w:val="20"/>
                <w:szCs w:val="20"/>
                <w:color w:val="auto"/>
              </w:rPr>
            </w:pPr>
            <w:r>
              <w:rPr>
                <w:rFonts w:ascii="Arial" w:cs="Arial" w:eastAsia="Arial" w:hAnsi="Arial"/>
                <w:sz w:val="18"/>
                <w:szCs w:val="18"/>
                <w:b w:val="1"/>
                <w:bCs w:val="1"/>
                <w:color w:val="auto"/>
              </w:rPr>
              <w:t>2018</w:t>
            </w:r>
          </w:p>
        </w:tc>
        <w:tc>
          <w:tcPr>
            <w:tcW w:w="8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2017</w:t>
            </w:r>
          </w:p>
        </w:tc>
        <w:tc>
          <w:tcPr>
            <w:tcW w:w="0" w:type="dxa"/>
            <w:vAlign w:val="bottom"/>
          </w:tcPr>
          <w:p>
            <w:pPr>
              <w:spacing w:after="0"/>
              <w:rPr>
                <w:sz w:val="1"/>
                <w:szCs w:val="1"/>
                <w:color w:val="auto"/>
              </w:rPr>
            </w:pPr>
          </w:p>
        </w:tc>
      </w:tr>
      <w:tr>
        <w:trPr>
          <w:trHeight w:val="398"/>
        </w:trPr>
        <w:tc>
          <w:tcPr>
            <w:tcW w:w="6220" w:type="dxa"/>
            <w:vAlign w:val="bottom"/>
          </w:tcPr>
          <w:p>
            <w:pPr>
              <w:spacing w:after="0"/>
              <w:rPr>
                <w:sz w:val="20"/>
                <w:szCs w:val="20"/>
                <w:color w:val="auto"/>
              </w:rPr>
            </w:pPr>
            <w:r>
              <w:rPr>
                <w:rFonts w:ascii="Arial" w:cs="Arial" w:eastAsia="Arial" w:hAnsi="Arial"/>
                <w:sz w:val="18"/>
                <w:szCs w:val="18"/>
                <w:color w:val="auto"/>
              </w:rPr>
              <w:t>Derivatives not designated as hedging instruments</w:t>
            </w:r>
          </w:p>
        </w:tc>
        <w:tc>
          <w:tcPr>
            <w:tcW w:w="4360" w:type="dxa"/>
            <w:vAlign w:val="bottom"/>
            <w:vMerge w:val="restart"/>
          </w:tcPr>
          <w:p>
            <w:pPr>
              <w:jc w:val="right"/>
              <w:ind w:right="1610"/>
              <w:spacing w:after="0"/>
              <w:rPr>
                <w:sz w:val="20"/>
                <w:szCs w:val="20"/>
                <w:color w:val="auto"/>
              </w:rPr>
            </w:pPr>
            <w:r>
              <w:rPr>
                <w:rFonts w:ascii="Arial" w:cs="Arial" w:eastAsia="Arial" w:hAnsi="Arial"/>
                <w:sz w:val="18"/>
                <w:szCs w:val="18"/>
                <w:b w:val="1"/>
                <w:bCs w:val="1"/>
                <w:color w:val="auto"/>
              </w:rPr>
              <w:t>($37)</w:t>
            </w: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6220" w:type="dxa"/>
            <w:vAlign w:val="bottom"/>
            <w:tcBorders>
              <w:bottom w:val="single" w:sz="8" w:color="auto"/>
            </w:tcBorders>
          </w:tcPr>
          <w:p>
            <w:pPr>
              <w:ind w:left="260"/>
              <w:spacing w:after="0" w:line="203" w:lineRule="exact"/>
              <w:rPr>
                <w:sz w:val="20"/>
                <w:szCs w:val="20"/>
                <w:color w:val="auto"/>
              </w:rPr>
            </w:pPr>
            <w:r>
              <w:rPr>
                <w:rFonts w:ascii="Arial" w:cs="Arial" w:eastAsia="Arial" w:hAnsi="Arial"/>
                <w:sz w:val="18"/>
                <w:szCs w:val="18"/>
                <w:color w:val="auto"/>
              </w:rPr>
              <w:t>Foreign currency options (losses)/gains</w:t>
            </w:r>
          </w:p>
        </w:tc>
        <w:tc>
          <w:tcPr>
            <w:tcW w:w="4360" w:type="dxa"/>
            <w:vAlign w:val="bottom"/>
            <w:tcBorders>
              <w:bottom w:val="single" w:sz="8" w:color="auto"/>
            </w:tcBorders>
            <w:vMerge w:val="continue"/>
          </w:tcPr>
          <w:p>
            <w:pPr>
              <w:spacing w:after="0"/>
              <w:rPr>
                <w:sz w:val="17"/>
                <w:szCs w:val="17"/>
                <w:color w:val="auto"/>
              </w:rPr>
            </w:pPr>
          </w:p>
        </w:tc>
        <w:tc>
          <w:tcPr>
            <w:tcW w:w="8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bl>
    <w:p>
      <w:pPr>
        <w:spacing w:after="0" w:line="3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17. Contingencies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Asbestos Litigation</w:t>
      </w:r>
    </w:p>
    <w:p>
      <w:pPr>
        <w:spacing w:after="0" w:line="193" w:lineRule="exact"/>
        <w:rPr>
          <w:sz w:val="20"/>
          <w:szCs w:val="20"/>
          <w:color w:val="auto"/>
        </w:rPr>
      </w:pPr>
    </w:p>
    <w:p>
      <w:pPr>
        <w:ind w:right="220" w:firstLine="648"/>
        <w:spacing w:after="0"/>
        <w:rPr>
          <w:sz w:val="20"/>
          <w:szCs w:val="20"/>
          <w:color w:val="auto"/>
        </w:rPr>
      </w:pPr>
      <w:r>
        <w:rPr>
          <w:rFonts w:ascii="Arial" w:cs="Arial" w:eastAsia="Arial" w:hAnsi="Arial"/>
          <w:sz w:val="18"/>
          <w:szCs w:val="18"/>
          <w:color w:val="auto"/>
        </w:rPr>
        <w:t>Albany International Corp. is a defendant in suits brought in various courts in the United States by plaintiffs who allege that they have suffered personal injury as a result of exposure to asbestos-containing paper machine clothing synthetic dryer fabrics marketed during the period from 1967 to 1976 and used in certain paper mills.</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were defending 3,662 claims as of March 31, 2018.</w:t>
      </w:r>
    </w:p>
    <w:p>
      <w:pPr>
        <w:spacing w:after="0" w:line="171" w:lineRule="exact"/>
        <w:rPr>
          <w:sz w:val="20"/>
          <w:szCs w:val="20"/>
          <w:color w:val="auto"/>
        </w:rPr>
      </w:pPr>
    </w:p>
    <w:p>
      <w:pPr>
        <w:ind w:right="660" w:firstLine="648"/>
        <w:spacing w:after="0" w:line="246" w:lineRule="auto"/>
        <w:rPr>
          <w:sz w:val="20"/>
          <w:szCs w:val="20"/>
          <w:color w:val="auto"/>
        </w:rPr>
      </w:pPr>
      <w:r>
        <w:rPr>
          <w:rFonts w:ascii="Arial" w:cs="Arial" w:eastAsia="Arial" w:hAnsi="Arial"/>
          <w:sz w:val="18"/>
          <w:szCs w:val="18"/>
          <w:color w:val="auto"/>
        </w:rPr>
        <w:t>The following table sets forth the number of claims filed, the number of claims settled, dismissed or otherwise resolved, and the aggregate settlement amount during the periods presented:</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 w:type="dxa"/>
            <w:vAlign w:val="bottom"/>
            <w:tcBorders>
              <w:top w:val="single" w:sz="8" w:color="auto"/>
              <w:right w:val="single" w:sz="8" w:color="auto"/>
            </w:tcBorders>
            <w:shd w:val="clear" w:color="auto" w:fill="000000"/>
          </w:tcPr>
          <w:p>
            <w:pPr>
              <w:spacing w:after="0"/>
              <w:rPr>
                <w:sz w:val="17"/>
                <w:szCs w:val="17"/>
                <w:color w:val="auto"/>
              </w:rPr>
            </w:pPr>
          </w:p>
        </w:tc>
        <w:tc>
          <w:tcPr>
            <w:tcW w:w="2960" w:type="dxa"/>
            <w:vAlign w:val="bottom"/>
            <w:tcBorders>
              <w:top w:val="single" w:sz="8" w:color="auto"/>
              <w:right w:val="single" w:sz="8" w:color="auto"/>
            </w:tcBorders>
          </w:tcPr>
          <w:p>
            <w:pPr>
              <w:spacing w:after="0"/>
              <w:rPr>
                <w:sz w:val="17"/>
                <w:szCs w:val="17"/>
                <w:color w:val="auto"/>
              </w:rPr>
            </w:pPr>
          </w:p>
        </w:tc>
        <w:tc>
          <w:tcPr>
            <w:tcW w:w="1720" w:type="dxa"/>
            <w:vAlign w:val="bottom"/>
            <w:tcBorders>
              <w:top w:val="single" w:sz="8" w:color="auto"/>
              <w:right w:val="single" w:sz="8" w:color="auto"/>
            </w:tcBorders>
          </w:tcPr>
          <w:p>
            <w:pPr>
              <w:spacing w:after="0"/>
              <w:rPr>
                <w:sz w:val="17"/>
                <w:szCs w:val="17"/>
                <w:color w:val="auto"/>
              </w:rPr>
            </w:pPr>
          </w:p>
        </w:tc>
        <w:tc>
          <w:tcPr>
            <w:tcW w:w="16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8"/>
              </w:rPr>
              <w:t>Claims</w:t>
            </w:r>
          </w:p>
        </w:tc>
        <w:tc>
          <w:tcPr>
            <w:tcW w:w="1720" w:type="dxa"/>
            <w:vAlign w:val="bottom"/>
            <w:tcBorders>
              <w:top w:val="single" w:sz="8" w:color="auto"/>
              <w:right w:val="single" w:sz="8" w:color="auto"/>
            </w:tcBorders>
          </w:tcPr>
          <w:p>
            <w:pPr>
              <w:spacing w:after="0"/>
              <w:rPr>
                <w:sz w:val="17"/>
                <w:szCs w:val="17"/>
                <w:color w:val="auto"/>
              </w:rPr>
            </w:pPr>
          </w:p>
        </w:tc>
        <w:tc>
          <w:tcPr>
            <w:tcW w:w="1680" w:type="dxa"/>
            <w:vAlign w:val="bottom"/>
            <w:tcBorders>
              <w:top w:val="single" w:sz="8" w:color="auto"/>
              <w:right w:val="single" w:sz="8" w:color="auto"/>
            </w:tcBorders>
          </w:tcPr>
          <w:p>
            <w:pPr>
              <w:spacing w:after="0"/>
              <w:rPr>
                <w:sz w:val="17"/>
                <w:szCs w:val="17"/>
                <w:color w:val="auto"/>
              </w:rPr>
            </w:pPr>
          </w:p>
        </w:tc>
        <w:tc>
          <w:tcPr>
            <w:tcW w:w="1700" w:type="dxa"/>
            <w:vAlign w:val="bottom"/>
            <w:tcBorders>
              <w:top w:val="single" w:sz="8" w:color="auto"/>
              <w:right w:val="single" w:sz="8" w:color="auto"/>
            </w:tcBorders>
          </w:tcPr>
          <w:p>
            <w:pPr>
              <w:spacing w:after="0"/>
              <w:rPr>
                <w:sz w:val="17"/>
                <w:szCs w:val="17"/>
                <w:color w:val="auto"/>
              </w:rPr>
            </w:pPr>
          </w:p>
        </w:tc>
      </w:tr>
      <w:tr>
        <w:trPr>
          <w:trHeight w:val="203"/>
        </w:trPr>
        <w:tc>
          <w:tcPr>
            <w:tcW w:w="40" w:type="dxa"/>
            <w:vAlign w:val="bottom"/>
            <w:tcBorders>
              <w:right w:val="single" w:sz="8" w:color="auto"/>
            </w:tcBorders>
            <w:shd w:val="clear" w:color="auto" w:fill="000000"/>
          </w:tcPr>
          <w:p>
            <w:pPr>
              <w:spacing w:after="0"/>
              <w:rPr>
                <w:sz w:val="17"/>
                <w:szCs w:val="17"/>
                <w:color w:val="auto"/>
              </w:rPr>
            </w:pPr>
          </w:p>
        </w:tc>
        <w:tc>
          <w:tcPr>
            <w:tcW w:w="2960" w:type="dxa"/>
            <w:vAlign w:val="bottom"/>
            <w:tcBorders>
              <w:right w:val="single" w:sz="8" w:color="auto"/>
            </w:tcBorders>
          </w:tcPr>
          <w:p>
            <w:pPr>
              <w:spacing w:after="0"/>
              <w:rPr>
                <w:sz w:val="17"/>
                <w:szCs w:val="17"/>
                <w:color w:val="auto"/>
              </w:rPr>
            </w:pPr>
          </w:p>
        </w:tc>
        <w:tc>
          <w:tcPr>
            <w:tcW w:w="1720" w:type="dxa"/>
            <w:vAlign w:val="bottom"/>
            <w:tcBorders>
              <w:right w:val="single" w:sz="8" w:color="auto"/>
            </w:tcBorders>
          </w:tcPr>
          <w:p>
            <w:pPr>
              <w:spacing w:after="0"/>
              <w:rPr>
                <w:sz w:val="17"/>
                <w:szCs w:val="17"/>
                <w:color w:val="auto"/>
              </w:rPr>
            </w:pPr>
          </w:p>
        </w:tc>
        <w:tc>
          <w:tcPr>
            <w:tcW w:w="160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b w:val="1"/>
                <w:bCs w:val="1"/>
                <w:color w:val="auto"/>
                <w:w w:val="98"/>
              </w:rPr>
              <w:t>Dismissed,</w:t>
            </w:r>
          </w:p>
        </w:tc>
        <w:tc>
          <w:tcPr>
            <w:tcW w:w="1720" w:type="dxa"/>
            <w:vAlign w:val="bottom"/>
            <w:tcBorders>
              <w:right w:val="single" w:sz="8" w:color="auto"/>
            </w:tcBorders>
          </w:tcPr>
          <w:p>
            <w:pPr>
              <w:spacing w:after="0"/>
              <w:rPr>
                <w:sz w:val="17"/>
                <w:szCs w:val="17"/>
                <w:color w:val="auto"/>
              </w:rPr>
            </w:pPr>
          </w:p>
        </w:tc>
        <w:tc>
          <w:tcPr>
            <w:tcW w:w="1680" w:type="dxa"/>
            <w:vAlign w:val="bottom"/>
            <w:tcBorders>
              <w:right w:val="single" w:sz="8" w:color="auto"/>
            </w:tcBorders>
          </w:tcPr>
          <w:p>
            <w:pPr>
              <w:spacing w:after="0"/>
              <w:rPr>
                <w:sz w:val="17"/>
                <w:szCs w:val="17"/>
                <w:color w:val="auto"/>
              </w:rPr>
            </w:pPr>
          </w:p>
        </w:tc>
        <w:tc>
          <w:tcPr>
            <w:tcW w:w="170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b w:val="1"/>
                <w:bCs w:val="1"/>
                <w:color w:val="auto"/>
                <w:w w:val="99"/>
              </w:rPr>
              <w:t>Amounts Paid</w:t>
            </w:r>
          </w:p>
        </w:tc>
      </w:tr>
      <w:tr>
        <w:trPr>
          <w:trHeight w:val="203"/>
        </w:trPr>
        <w:tc>
          <w:tcPr>
            <w:tcW w:w="40" w:type="dxa"/>
            <w:vAlign w:val="bottom"/>
            <w:tcBorders>
              <w:right w:val="single" w:sz="8" w:color="auto"/>
            </w:tcBorders>
            <w:shd w:val="clear" w:color="auto" w:fill="000000"/>
          </w:tcPr>
          <w:p>
            <w:pPr>
              <w:spacing w:after="0"/>
              <w:rPr>
                <w:sz w:val="17"/>
                <w:szCs w:val="17"/>
                <w:color w:val="auto"/>
              </w:rPr>
            </w:pPr>
          </w:p>
        </w:tc>
        <w:tc>
          <w:tcPr>
            <w:tcW w:w="2960" w:type="dxa"/>
            <w:vAlign w:val="bottom"/>
            <w:tcBorders>
              <w:right w:val="single" w:sz="8" w:color="auto"/>
            </w:tcBorders>
          </w:tcPr>
          <w:p>
            <w:pPr>
              <w:spacing w:after="0"/>
              <w:rPr>
                <w:sz w:val="17"/>
                <w:szCs w:val="17"/>
                <w:color w:val="auto"/>
              </w:rPr>
            </w:pPr>
          </w:p>
        </w:tc>
        <w:tc>
          <w:tcPr>
            <w:tcW w:w="1720" w:type="dxa"/>
            <w:vAlign w:val="bottom"/>
            <w:tcBorders>
              <w:right w:val="single" w:sz="8" w:color="auto"/>
            </w:tcBorders>
          </w:tcPr>
          <w:p>
            <w:pPr>
              <w:jc w:val="right"/>
              <w:ind w:right="50"/>
              <w:spacing w:after="0" w:line="202" w:lineRule="exact"/>
              <w:rPr>
                <w:sz w:val="20"/>
                <w:szCs w:val="20"/>
                <w:color w:val="auto"/>
              </w:rPr>
            </w:pPr>
            <w:r>
              <w:rPr>
                <w:rFonts w:ascii="Arial" w:cs="Arial" w:eastAsia="Arial" w:hAnsi="Arial"/>
                <w:sz w:val="18"/>
                <w:szCs w:val="18"/>
                <w:b w:val="1"/>
                <w:bCs w:val="1"/>
                <w:color w:val="auto"/>
              </w:rPr>
              <w:t>Opening Number</w:t>
            </w:r>
          </w:p>
        </w:tc>
        <w:tc>
          <w:tcPr>
            <w:tcW w:w="160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b w:val="1"/>
                <w:bCs w:val="1"/>
                <w:color w:val="auto"/>
                <w:w w:val="99"/>
              </w:rPr>
              <w:t>Settled, or</w:t>
            </w:r>
          </w:p>
        </w:tc>
        <w:tc>
          <w:tcPr>
            <w:tcW w:w="1720" w:type="dxa"/>
            <w:vAlign w:val="bottom"/>
            <w:tcBorders>
              <w:right w:val="single" w:sz="8" w:color="auto"/>
            </w:tcBorders>
          </w:tcPr>
          <w:p>
            <w:pPr>
              <w:spacing w:after="0"/>
              <w:rPr>
                <w:sz w:val="17"/>
                <w:szCs w:val="17"/>
                <w:color w:val="auto"/>
              </w:rPr>
            </w:pPr>
          </w:p>
        </w:tc>
        <w:tc>
          <w:tcPr>
            <w:tcW w:w="1680" w:type="dxa"/>
            <w:vAlign w:val="bottom"/>
            <w:tcBorders>
              <w:right w:val="single" w:sz="8" w:color="auto"/>
            </w:tcBorders>
          </w:tcPr>
          <w:p>
            <w:pPr>
              <w:jc w:val="right"/>
              <w:ind w:right="70"/>
              <w:spacing w:after="0" w:line="202" w:lineRule="exact"/>
              <w:rPr>
                <w:sz w:val="20"/>
                <w:szCs w:val="20"/>
                <w:color w:val="auto"/>
              </w:rPr>
            </w:pPr>
            <w:r>
              <w:rPr>
                <w:rFonts w:ascii="Arial" w:cs="Arial" w:eastAsia="Arial" w:hAnsi="Arial"/>
                <w:sz w:val="18"/>
                <w:szCs w:val="18"/>
                <w:b w:val="1"/>
                <w:bCs w:val="1"/>
                <w:color w:val="auto"/>
              </w:rPr>
              <w:t>Closing Number</w:t>
            </w:r>
          </w:p>
        </w:tc>
        <w:tc>
          <w:tcPr>
            <w:tcW w:w="170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b w:val="1"/>
                <w:bCs w:val="1"/>
                <w:color w:val="auto"/>
                <w:w w:val="99"/>
              </w:rPr>
              <w:t>(thousands) to</w:t>
            </w:r>
          </w:p>
        </w:tc>
      </w:tr>
      <w:tr>
        <w:trPr>
          <w:trHeight w:val="232"/>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2960" w:type="dxa"/>
            <w:vAlign w:val="bottom"/>
            <w:tcBorders>
              <w:bottom w:val="single" w:sz="8" w:color="auto"/>
              <w:right w:val="single" w:sz="8" w:color="auto"/>
            </w:tcBorders>
          </w:tcPr>
          <w:p>
            <w:pPr>
              <w:jc w:val="right"/>
              <w:ind w:right="311"/>
              <w:spacing w:after="0"/>
              <w:rPr>
                <w:sz w:val="20"/>
                <w:szCs w:val="20"/>
                <w:color w:val="auto"/>
              </w:rPr>
            </w:pPr>
            <w:r>
              <w:rPr>
                <w:rFonts w:ascii="Arial" w:cs="Arial" w:eastAsia="Arial" w:hAnsi="Arial"/>
                <w:sz w:val="18"/>
                <w:szCs w:val="18"/>
                <w:b w:val="1"/>
                <w:bCs w:val="1"/>
                <w:color w:val="auto"/>
              </w:rPr>
              <w:t>Year ended December 31,</w:t>
            </w:r>
          </w:p>
        </w:tc>
        <w:tc>
          <w:tcPr>
            <w:tcW w:w="172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of Claims</w:t>
            </w:r>
          </w:p>
        </w:tc>
        <w:tc>
          <w:tcPr>
            <w:tcW w:w="1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Resolved</w:t>
            </w:r>
          </w:p>
        </w:tc>
        <w:tc>
          <w:tcPr>
            <w:tcW w:w="1720" w:type="dxa"/>
            <w:vAlign w:val="bottom"/>
            <w:tcBorders>
              <w:bottom w:val="single" w:sz="8" w:color="auto"/>
              <w:right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New Claims</w:t>
            </w:r>
          </w:p>
        </w:tc>
        <w:tc>
          <w:tcPr>
            <w:tcW w:w="168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of Claims</w:t>
            </w:r>
          </w:p>
        </w:tc>
        <w:tc>
          <w:tcPr>
            <w:tcW w:w="1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Settle or Resolve</w:t>
            </w:r>
          </w:p>
        </w:tc>
      </w:tr>
      <w:tr>
        <w:trPr>
          <w:trHeight w:val="203"/>
        </w:trPr>
        <w:tc>
          <w:tcPr>
            <w:tcW w:w="40" w:type="dxa"/>
            <w:vAlign w:val="bottom"/>
            <w:tcBorders>
              <w:right w:val="single" w:sz="8" w:color="auto"/>
            </w:tcBorders>
          </w:tcPr>
          <w:p>
            <w:pPr>
              <w:spacing w:after="0"/>
              <w:rPr>
                <w:sz w:val="17"/>
                <w:szCs w:val="17"/>
                <w:color w:val="auto"/>
              </w:rPr>
            </w:pPr>
          </w:p>
        </w:tc>
        <w:tc>
          <w:tcPr>
            <w:tcW w:w="2960" w:type="dxa"/>
            <w:vAlign w:val="bottom"/>
            <w:tcBorders>
              <w:bottom w:val="single" w:sz="8" w:color="auto"/>
              <w:right w:val="single" w:sz="8" w:color="auto"/>
            </w:tcBorders>
          </w:tcPr>
          <w:p>
            <w:pPr>
              <w:jc w:val="right"/>
              <w:spacing w:after="0" w:line="202" w:lineRule="exact"/>
              <w:rPr>
                <w:sz w:val="20"/>
                <w:szCs w:val="20"/>
                <w:color w:val="auto"/>
              </w:rPr>
            </w:pPr>
            <w:r>
              <w:rPr>
                <w:rFonts w:ascii="Arial" w:cs="Arial" w:eastAsia="Arial" w:hAnsi="Arial"/>
                <w:sz w:val="18"/>
                <w:szCs w:val="18"/>
                <w:color w:val="auto"/>
              </w:rPr>
              <w:t>2013</w:t>
            </w:r>
          </w:p>
        </w:tc>
        <w:tc>
          <w:tcPr>
            <w:tcW w:w="1720" w:type="dxa"/>
            <w:vAlign w:val="bottom"/>
            <w:tcBorders>
              <w:bottom w:val="single" w:sz="8" w:color="auto"/>
              <w:right w:val="single" w:sz="8" w:color="auto"/>
            </w:tcBorders>
          </w:tcPr>
          <w:p>
            <w:pPr>
              <w:jc w:val="right"/>
              <w:spacing w:after="0" w:line="202" w:lineRule="exact"/>
              <w:rPr>
                <w:sz w:val="20"/>
                <w:szCs w:val="20"/>
                <w:color w:val="auto"/>
              </w:rPr>
            </w:pPr>
            <w:r>
              <w:rPr>
                <w:rFonts w:ascii="Arial" w:cs="Arial" w:eastAsia="Arial" w:hAnsi="Arial"/>
                <w:sz w:val="18"/>
                <w:szCs w:val="18"/>
                <w:color w:val="auto"/>
              </w:rPr>
              <w:t>4,463</w:t>
            </w:r>
          </w:p>
        </w:tc>
        <w:tc>
          <w:tcPr>
            <w:tcW w:w="1600" w:type="dxa"/>
            <w:vAlign w:val="bottom"/>
            <w:tcBorders>
              <w:bottom w:val="single" w:sz="8" w:color="auto"/>
              <w:right w:val="single" w:sz="8" w:color="auto"/>
            </w:tcBorders>
          </w:tcPr>
          <w:p>
            <w:pPr>
              <w:jc w:val="right"/>
              <w:spacing w:after="0" w:line="202" w:lineRule="exact"/>
              <w:rPr>
                <w:sz w:val="20"/>
                <w:szCs w:val="20"/>
                <w:color w:val="auto"/>
              </w:rPr>
            </w:pPr>
            <w:r>
              <w:rPr>
                <w:rFonts w:ascii="Arial" w:cs="Arial" w:eastAsia="Arial" w:hAnsi="Arial"/>
                <w:sz w:val="18"/>
                <w:szCs w:val="18"/>
                <w:color w:val="auto"/>
              </w:rPr>
              <w:t>230</w:t>
            </w:r>
          </w:p>
        </w:tc>
        <w:tc>
          <w:tcPr>
            <w:tcW w:w="1720" w:type="dxa"/>
            <w:vAlign w:val="bottom"/>
            <w:tcBorders>
              <w:bottom w:val="single" w:sz="8" w:color="auto"/>
              <w:right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66</w:t>
            </w:r>
          </w:p>
        </w:tc>
        <w:tc>
          <w:tcPr>
            <w:tcW w:w="1680" w:type="dxa"/>
            <w:vAlign w:val="bottom"/>
            <w:tcBorders>
              <w:bottom w:val="single" w:sz="8" w:color="auto"/>
              <w:right w:val="single" w:sz="8" w:color="auto"/>
            </w:tcBorders>
          </w:tcPr>
          <w:p>
            <w:pPr>
              <w:jc w:val="right"/>
              <w:spacing w:after="0" w:line="202" w:lineRule="exact"/>
              <w:rPr>
                <w:sz w:val="20"/>
                <w:szCs w:val="20"/>
                <w:color w:val="auto"/>
              </w:rPr>
            </w:pPr>
            <w:r>
              <w:rPr>
                <w:rFonts w:ascii="Arial" w:cs="Arial" w:eastAsia="Arial" w:hAnsi="Arial"/>
                <w:sz w:val="18"/>
                <w:szCs w:val="18"/>
                <w:color w:val="auto"/>
              </w:rPr>
              <w:t>4,299</w:t>
            </w:r>
          </w:p>
        </w:tc>
        <w:tc>
          <w:tcPr>
            <w:tcW w:w="1700" w:type="dxa"/>
            <w:vAlign w:val="bottom"/>
            <w:tcBorders>
              <w:bottom w:val="single" w:sz="8" w:color="auto"/>
              <w:right w:val="single" w:sz="8" w:color="auto"/>
            </w:tcBorders>
          </w:tcPr>
          <w:p>
            <w:pPr>
              <w:jc w:val="right"/>
              <w:spacing w:after="0" w:line="202" w:lineRule="exact"/>
              <w:rPr>
                <w:sz w:val="20"/>
                <w:szCs w:val="20"/>
                <w:color w:val="auto"/>
              </w:rPr>
            </w:pPr>
            <w:r>
              <w:rPr>
                <w:rFonts w:ascii="Arial" w:cs="Arial" w:eastAsia="Arial" w:hAnsi="Arial"/>
                <w:sz w:val="18"/>
                <w:szCs w:val="18"/>
                <w:color w:val="auto"/>
              </w:rPr>
              <w:t>$78</w:t>
            </w:r>
          </w:p>
        </w:tc>
      </w:tr>
      <w:tr>
        <w:trPr>
          <w:trHeight w:val="196"/>
        </w:trPr>
        <w:tc>
          <w:tcPr>
            <w:tcW w:w="40" w:type="dxa"/>
            <w:vAlign w:val="bottom"/>
            <w:tcBorders>
              <w:right w:val="single" w:sz="8" w:color="auto"/>
            </w:tcBorders>
          </w:tcPr>
          <w:p>
            <w:pPr>
              <w:spacing w:after="0"/>
              <w:rPr>
                <w:sz w:val="17"/>
                <w:szCs w:val="17"/>
                <w:color w:val="auto"/>
              </w:rPr>
            </w:pPr>
          </w:p>
        </w:tc>
        <w:tc>
          <w:tcPr>
            <w:tcW w:w="296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2014</w:t>
            </w:r>
          </w:p>
        </w:tc>
        <w:tc>
          <w:tcPr>
            <w:tcW w:w="172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4,299</w:t>
            </w:r>
          </w:p>
        </w:tc>
        <w:tc>
          <w:tcPr>
            <w:tcW w:w="160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625</w:t>
            </w:r>
          </w:p>
        </w:tc>
        <w:tc>
          <w:tcPr>
            <w:tcW w:w="1720" w:type="dxa"/>
            <w:vAlign w:val="bottom"/>
            <w:tcBorders>
              <w:bottom w:val="single" w:sz="8" w:color="auto"/>
              <w:right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147</w:t>
            </w:r>
          </w:p>
        </w:tc>
        <w:tc>
          <w:tcPr>
            <w:tcW w:w="168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3,821</w:t>
            </w:r>
          </w:p>
        </w:tc>
        <w:tc>
          <w:tcPr>
            <w:tcW w:w="170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437</w:t>
            </w:r>
          </w:p>
        </w:tc>
      </w:tr>
      <w:tr>
        <w:trPr>
          <w:trHeight w:val="196"/>
        </w:trPr>
        <w:tc>
          <w:tcPr>
            <w:tcW w:w="40" w:type="dxa"/>
            <w:vAlign w:val="bottom"/>
            <w:tcBorders>
              <w:right w:val="single" w:sz="8" w:color="auto"/>
            </w:tcBorders>
          </w:tcPr>
          <w:p>
            <w:pPr>
              <w:spacing w:after="0"/>
              <w:rPr>
                <w:sz w:val="17"/>
                <w:szCs w:val="17"/>
                <w:color w:val="auto"/>
              </w:rPr>
            </w:pPr>
          </w:p>
        </w:tc>
        <w:tc>
          <w:tcPr>
            <w:tcW w:w="296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2015</w:t>
            </w:r>
          </w:p>
        </w:tc>
        <w:tc>
          <w:tcPr>
            <w:tcW w:w="172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3,821</w:t>
            </w:r>
          </w:p>
        </w:tc>
        <w:tc>
          <w:tcPr>
            <w:tcW w:w="160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116</w:t>
            </w:r>
          </w:p>
        </w:tc>
        <w:tc>
          <w:tcPr>
            <w:tcW w:w="1720" w:type="dxa"/>
            <w:vAlign w:val="bottom"/>
            <w:tcBorders>
              <w:bottom w:val="single" w:sz="8" w:color="auto"/>
              <w:right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86</w:t>
            </w:r>
          </w:p>
        </w:tc>
        <w:tc>
          <w:tcPr>
            <w:tcW w:w="168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3,791</w:t>
            </w:r>
          </w:p>
        </w:tc>
        <w:tc>
          <w:tcPr>
            <w:tcW w:w="170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164</w:t>
            </w:r>
          </w:p>
        </w:tc>
      </w:tr>
      <w:tr>
        <w:trPr>
          <w:trHeight w:val="196"/>
        </w:trPr>
        <w:tc>
          <w:tcPr>
            <w:tcW w:w="40" w:type="dxa"/>
            <w:vAlign w:val="bottom"/>
            <w:tcBorders>
              <w:right w:val="single" w:sz="8" w:color="auto"/>
            </w:tcBorders>
          </w:tcPr>
          <w:p>
            <w:pPr>
              <w:spacing w:after="0"/>
              <w:rPr>
                <w:sz w:val="17"/>
                <w:szCs w:val="17"/>
                <w:color w:val="auto"/>
              </w:rPr>
            </w:pPr>
          </w:p>
        </w:tc>
        <w:tc>
          <w:tcPr>
            <w:tcW w:w="296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2016</w:t>
            </w:r>
          </w:p>
        </w:tc>
        <w:tc>
          <w:tcPr>
            <w:tcW w:w="172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3,791</w:t>
            </w:r>
          </w:p>
        </w:tc>
        <w:tc>
          <w:tcPr>
            <w:tcW w:w="160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148</w:t>
            </w:r>
          </w:p>
        </w:tc>
        <w:tc>
          <w:tcPr>
            <w:tcW w:w="1720" w:type="dxa"/>
            <w:vAlign w:val="bottom"/>
            <w:tcBorders>
              <w:bottom w:val="single" w:sz="8" w:color="auto"/>
              <w:right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102</w:t>
            </w:r>
          </w:p>
        </w:tc>
        <w:tc>
          <w:tcPr>
            <w:tcW w:w="168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3,745</w:t>
            </w:r>
          </w:p>
        </w:tc>
        <w:tc>
          <w:tcPr>
            <w:tcW w:w="170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758</w:t>
            </w:r>
          </w:p>
        </w:tc>
      </w:tr>
      <w:tr>
        <w:trPr>
          <w:trHeight w:val="196"/>
        </w:trPr>
        <w:tc>
          <w:tcPr>
            <w:tcW w:w="40" w:type="dxa"/>
            <w:vAlign w:val="bottom"/>
            <w:tcBorders>
              <w:bottom w:val="single" w:sz="8" w:color="auto"/>
              <w:right w:val="single" w:sz="8" w:color="auto"/>
            </w:tcBorders>
          </w:tcPr>
          <w:p>
            <w:pPr>
              <w:spacing w:after="0"/>
              <w:rPr>
                <w:sz w:val="17"/>
                <w:szCs w:val="17"/>
                <w:color w:val="auto"/>
              </w:rPr>
            </w:pPr>
          </w:p>
        </w:tc>
        <w:tc>
          <w:tcPr>
            <w:tcW w:w="296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2017</w:t>
            </w:r>
          </w:p>
        </w:tc>
        <w:tc>
          <w:tcPr>
            <w:tcW w:w="172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3,745</w:t>
            </w:r>
          </w:p>
        </w:tc>
        <w:tc>
          <w:tcPr>
            <w:tcW w:w="160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105</w:t>
            </w:r>
          </w:p>
        </w:tc>
        <w:tc>
          <w:tcPr>
            <w:tcW w:w="1720" w:type="dxa"/>
            <w:vAlign w:val="bottom"/>
            <w:tcBorders>
              <w:bottom w:val="single" w:sz="8" w:color="auto"/>
              <w:right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90</w:t>
            </w:r>
          </w:p>
        </w:tc>
        <w:tc>
          <w:tcPr>
            <w:tcW w:w="168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3,730</w:t>
            </w:r>
          </w:p>
        </w:tc>
        <w:tc>
          <w:tcPr>
            <w:tcW w:w="170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55</w:t>
            </w:r>
          </w:p>
        </w:tc>
      </w:tr>
      <w:tr>
        <w:trPr>
          <w:trHeight w:val="203"/>
        </w:trPr>
        <w:tc>
          <w:tcPr>
            <w:tcW w:w="40" w:type="dxa"/>
            <w:vAlign w:val="bottom"/>
            <w:tcBorders>
              <w:bottom w:val="single" w:sz="8" w:color="auto"/>
              <w:right w:val="single" w:sz="8" w:color="auto"/>
            </w:tcBorders>
            <w:shd w:val="clear" w:color="auto" w:fill="000000"/>
          </w:tcPr>
          <w:p>
            <w:pPr>
              <w:spacing w:after="0"/>
              <w:rPr>
                <w:sz w:val="17"/>
                <w:szCs w:val="17"/>
                <w:color w:val="auto"/>
              </w:rPr>
            </w:pPr>
          </w:p>
        </w:tc>
        <w:tc>
          <w:tcPr>
            <w:tcW w:w="2960" w:type="dxa"/>
            <w:vAlign w:val="bottom"/>
            <w:tcBorders>
              <w:bottom w:val="single" w:sz="8" w:color="auto"/>
              <w:right w:val="single" w:sz="8" w:color="auto"/>
            </w:tcBorders>
          </w:tcPr>
          <w:p>
            <w:pPr>
              <w:jc w:val="right"/>
              <w:ind w:right="1191"/>
              <w:spacing w:after="0"/>
              <w:rPr>
                <w:sz w:val="20"/>
                <w:szCs w:val="20"/>
                <w:color w:val="auto"/>
              </w:rPr>
            </w:pPr>
            <w:r>
              <w:rPr>
                <w:rFonts w:ascii="Arial" w:cs="Arial" w:eastAsia="Arial" w:hAnsi="Arial"/>
                <w:sz w:val="16"/>
                <w:szCs w:val="16"/>
                <w:b w:val="1"/>
                <w:bCs w:val="1"/>
                <w:color w:val="auto"/>
              </w:rPr>
              <w:t>2018 (as of March 31)</w:t>
            </w:r>
          </w:p>
        </w:tc>
        <w:tc>
          <w:tcPr>
            <w:tcW w:w="172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3,730</w:t>
            </w:r>
          </w:p>
        </w:tc>
        <w:tc>
          <w:tcPr>
            <w:tcW w:w="160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96</w:t>
            </w:r>
          </w:p>
        </w:tc>
        <w:tc>
          <w:tcPr>
            <w:tcW w:w="1720" w:type="dxa"/>
            <w:vAlign w:val="bottom"/>
            <w:tcBorders>
              <w:bottom w:val="single" w:sz="8" w:color="auto"/>
              <w:right w:val="single" w:sz="8" w:color="auto"/>
            </w:tcBorders>
          </w:tcPr>
          <w:p>
            <w:pPr>
              <w:jc w:val="right"/>
              <w:ind w:right="10"/>
              <w:spacing w:after="0" w:line="196" w:lineRule="exact"/>
              <w:rPr>
                <w:sz w:val="20"/>
                <w:szCs w:val="20"/>
                <w:color w:val="auto"/>
              </w:rPr>
            </w:pPr>
            <w:r>
              <w:rPr>
                <w:rFonts w:ascii="Arial" w:cs="Arial" w:eastAsia="Arial" w:hAnsi="Arial"/>
                <w:sz w:val="18"/>
                <w:szCs w:val="18"/>
                <w:b w:val="1"/>
                <w:bCs w:val="1"/>
                <w:color w:val="auto"/>
              </w:rPr>
              <w:t>28</w:t>
            </w:r>
          </w:p>
        </w:tc>
        <w:tc>
          <w:tcPr>
            <w:tcW w:w="168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3,662</w:t>
            </w:r>
          </w:p>
        </w:tc>
        <w:tc>
          <w:tcPr>
            <w:tcW w:w="170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$93</w:t>
            </w:r>
          </w:p>
        </w:tc>
      </w:tr>
    </w:tbl>
    <w:p>
      <w:pPr>
        <w:spacing w:after="0" w:line="391" w:lineRule="exact"/>
        <w:rPr>
          <w:sz w:val="20"/>
          <w:szCs w:val="20"/>
          <w:color w:val="auto"/>
        </w:rPr>
      </w:pPr>
    </w:p>
    <w:p>
      <w:pPr>
        <w:ind w:right="60" w:firstLine="648"/>
        <w:spacing w:after="0" w:line="238" w:lineRule="auto"/>
        <w:rPr>
          <w:sz w:val="20"/>
          <w:szCs w:val="20"/>
          <w:color w:val="auto"/>
        </w:rPr>
      </w:pPr>
      <w:r>
        <w:rPr>
          <w:rFonts w:ascii="Arial" w:cs="Arial" w:eastAsia="Arial" w:hAnsi="Arial"/>
          <w:sz w:val="18"/>
          <w:szCs w:val="18"/>
          <w:color w:val="auto"/>
        </w:rPr>
        <w:t>We anticipate that additional claims will be filed against the Company and related companies in the future, but are unable to predict the number and timing of such future claims. Due to the fact that information sufficient to meaningfully estimate a range of possible loss of a particular claim is typically not available until late in the discovery process, we do not believe a meaningful estimate can be made regarding the range of possible loss with respect to pending or future claims and therefore are unable to estimate a range of reasonably possible loss in excess of amounts already accrued for pending or future claims.</w:t>
      </w:r>
    </w:p>
    <w:p>
      <w:pPr>
        <w:spacing w:after="0" w:line="162" w:lineRule="exact"/>
        <w:rPr>
          <w:sz w:val="20"/>
          <w:szCs w:val="20"/>
          <w:color w:val="auto"/>
        </w:rPr>
      </w:pPr>
    </w:p>
    <w:p>
      <w:pPr>
        <w:ind w:right="60" w:firstLine="648"/>
        <w:spacing w:after="0" w:line="238" w:lineRule="auto"/>
        <w:rPr>
          <w:sz w:val="20"/>
          <w:szCs w:val="20"/>
          <w:color w:val="auto"/>
        </w:rPr>
      </w:pPr>
      <w:r>
        <w:rPr>
          <w:rFonts w:ascii="Arial" w:cs="Arial" w:eastAsia="Arial" w:hAnsi="Arial"/>
          <w:sz w:val="18"/>
          <w:szCs w:val="18"/>
          <w:color w:val="auto"/>
        </w:rPr>
        <w:t>While we believe we have meritorious defenses to these claims, we have settled certain claims for amounts we consider reasonable given the facts and circumstances of each case. Our insurance carrier has defended each case and funded settlements under a standard reservation of rights. As of March 31, 2018 we had resolved, by means of settlement or dismissal, 37,690 claims. The total cost of resolving all claims was $10.3 million. Of this amount, almost 100% was paid by our insurance carrier, who has confirmed that we have approximately $140 million of remaining coverage under primary and excess policies that should be available with respect to current and future asbestos claims.</w:t>
      </w: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342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1016" w:right="239" w:bottom="1440" w:gutter="0" w:footer="0" w:header="0"/>
        </w:sectPr>
      </w:pPr>
    </w:p>
    <w:bookmarkStart w:id="36" w:name="page37"/>
    <w:bookmarkEnd w:id="36"/>
    <w:p>
      <w:pPr>
        <w:ind w:right="200" w:firstLine="648"/>
        <w:spacing w:after="0" w:line="237" w:lineRule="auto"/>
        <w:rPr>
          <w:sz w:val="20"/>
          <w:szCs w:val="20"/>
          <w:color w:val="auto"/>
        </w:rPr>
      </w:pPr>
      <w:r>
        <w:rPr>
          <w:rFonts w:ascii="Arial" w:cs="Arial" w:eastAsia="Arial" w:hAnsi="Arial"/>
          <w:sz w:val="18"/>
          <w:szCs w:val="18"/>
          <w:color w:val="auto"/>
        </w:rPr>
        <w:t>The Company’s subsidiary, Brandon Drying Fabrics, Inc. (“Brandon”), is also a separate defendant in many of the asbestos cases in which Albany is named as a defendant, despite never having manufactured any fabrics containing asbestos. While Brandon was defending against 7,707 claims as of March 31, 2018, only nine claims have been filed against Brandon since January 1, 2012, and no settlement costs have been incurred since 2001. Brandon was acquired by the Company in 1999, and has its own insurance policies covering periods prior to 1999. Since 2004, Brandon’s insurance carriers have covered 100% of indemnification and defense costs, subject to policy limits and a standard reservation of rights.</w:t>
      </w:r>
    </w:p>
    <w:p>
      <w:pPr>
        <w:spacing w:after="0" w:line="165" w:lineRule="exact"/>
        <w:rPr>
          <w:sz w:val="20"/>
          <w:szCs w:val="20"/>
          <w:color w:val="auto"/>
        </w:rPr>
      </w:pPr>
    </w:p>
    <w:p>
      <w:pPr>
        <w:ind w:right="80" w:firstLine="648"/>
        <w:spacing w:after="0" w:line="237" w:lineRule="auto"/>
        <w:rPr>
          <w:sz w:val="20"/>
          <w:szCs w:val="20"/>
          <w:color w:val="auto"/>
        </w:rPr>
      </w:pPr>
      <w:r>
        <w:rPr>
          <w:rFonts w:ascii="Arial" w:cs="Arial" w:eastAsia="Arial" w:hAnsi="Arial"/>
          <w:sz w:val="18"/>
          <w:szCs w:val="18"/>
          <w:color w:val="auto"/>
        </w:rPr>
        <w:t>In some of these asbestos cases, the Company is named both as a direct defendant and as the “successor in interest” to Mount Vernon Mills (“Mount Vernon”). We acquired certain assets from Mount Vernon in 1993. Certain plaintiffs allege injury caused by asbestos-containing products alleged to have been sold by Mount Vernon many years prior to this acquisition. Mount Vernon is contractually obligated to indemnify the Company against any liability arising out of such products. We deny any liability for products sold by Mount Vernon prior to the acquisition of the Mount Vernon assets. Pursuant to its contractual indemnification obligations, Mount Vernon has assumed the defense of these claims. On this basis, we have successfully moved for dismissal in a number of actions.</w:t>
      </w:r>
    </w:p>
    <w:p>
      <w:pPr>
        <w:spacing w:after="0" w:line="178" w:lineRule="exact"/>
        <w:rPr>
          <w:sz w:val="20"/>
          <w:szCs w:val="20"/>
          <w:color w:val="auto"/>
        </w:rPr>
      </w:pPr>
    </w:p>
    <w:p>
      <w:pPr>
        <w:ind w:right="20" w:firstLine="648"/>
        <w:spacing w:after="0" w:line="238" w:lineRule="auto"/>
        <w:rPr>
          <w:sz w:val="20"/>
          <w:szCs w:val="20"/>
          <w:color w:val="auto"/>
        </w:rPr>
      </w:pPr>
      <w:r>
        <w:rPr>
          <w:rFonts w:ascii="Arial" w:cs="Arial" w:eastAsia="Arial" w:hAnsi="Arial"/>
          <w:sz w:val="18"/>
          <w:szCs w:val="18"/>
          <w:color w:val="auto"/>
        </w:rPr>
        <w:t>We currently do not anticipate, based on currently available information, that the ultimate resolution of the aforementioned proceedings will have a material adverse effect on the financial position, results of operations, or cash flows of the Company. Although we cannot predict the number and timing of future claims, based on the foregoing factors, the trends in claims filed against us, and available insurance, we also do not currently anticipate that potential future claims will have a material adverse effect on our financial position, results of operations, or cash flows.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18. Changes in Shareholders’ Equity</w:t>
      </w:r>
    </w:p>
    <w:p>
      <w:pPr>
        <w:spacing w:after="0" w:line="23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changes in Shareholders’ Equity:</w:t>
      </w: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334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center"/>
              <w:spacing w:after="0" w:line="194" w:lineRule="exact"/>
              <w:rPr>
                <w:sz w:val="20"/>
                <w:szCs w:val="20"/>
                <w:color w:val="auto"/>
              </w:rPr>
            </w:pPr>
            <w:r>
              <w:rPr>
                <w:rFonts w:ascii="Arial" w:cs="Arial" w:eastAsia="Arial" w:hAnsi="Arial"/>
                <w:sz w:val="18"/>
                <w:szCs w:val="18"/>
                <w:b w:val="1"/>
                <w:bCs w:val="1"/>
                <w:color w:val="auto"/>
                <w:w w:val="99"/>
              </w:rPr>
              <w:t>Common</w:t>
            </w:r>
          </w:p>
        </w:tc>
        <w:tc>
          <w:tcPr>
            <w:tcW w:w="106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1520" w:type="dxa"/>
            <w:vAlign w:val="bottom"/>
            <w:tcBorders>
              <w:top w:val="single" w:sz="8" w:color="auto"/>
            </w:tcBorders>
          </w:tcPr>
          <w:p>
            <w:pPr>
              <w:jc w:val="center"/>
              <w:spacing w:after="0" w:line="194" w:lineRule="exact"/>
              <w:rPr>
                <w:sz w:val="20"/>
                <w:szCs w:val="20"/>
                <w:color w:val="auto"/>
              </w:rPr>
            </w:pPr>
            <w:r>
              <w:rPr>
                <w:rFonts w:ascii="Arial" w:cs="Arial" w:eastAsia="Arial" w:hAnsi="Arial"/>
                <w:sz w:val="18"/>
                <w:szCs w:val="18"/>
                <w:b w:val="1"/>
                <w:bCs w:val="1"/>
                <w:color w:val="auto"/>
              </w:rPr>
              <w:t>Accumulated</w:t>
            </w:r>
          </w:p>
        </w:tc>
        <w:tc>
          <w:tcPr>
            <w:tcW w:w="1080" w:type="dxa"/>
            <w:vAlign w:val="bottom"/>
            <w:tcBorders>
              <w:top w:val="single" w:sz="8" w:color="auto"/>
            </w:tcBorders>
          </w:tcPr>
          <w:p>
            <w:pPr>
              <w:spacing w:after="0"/>
              <w:rPr>
                <w:sz w:val="16"/>
                <w:szCs w:val="16"/>
                <w:color w:val="auto"/>
              </w:rPr>
            </w:pPr>
          </w:p>
        </w:tc>
        <w:tc>
          <w:tcPr>
            <w:tcW w:w="148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r>
      <w:tr>
        <w:trPr>
          <w:trHeight w:val="203"/>
        </w:trPr>
        <w:tc>
          <w:tcPr>
            <w:tcW w:w="3340" w:type="dxa"/>
            <w:vAlign w:val="bottom"/>
          </w:tcPr>
          <w:p>
            <w:pPr>
              <w:spacing w:after="0"/>
              <w:rPr>
                <w:sz w:val="17"/>
                <w:szCs w:val="17"/>
                <w:color w:val="auto"/>
              </w:rPr>
            </w:pPr>
          </w:p>
        </w:tc>
        <w:tc>
          <w:tcPr>
            <w:tcW w:w="98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7"/>
              </w:rPr>
              <w:t>Stock</w:t>
            </w:r>
          </w:p>
        </w:tc>
        <w:tc>
          <w:tcPr>
            <w:tcW w:w="10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Additional</w:t>
            </w:r>
          </w:p>
        </w:tc>
        <w:tc>
          <w:tcPr>
            <w:tcW w:w="1020" w:type="dxa"/>
            <w:vAlign w:val="bottom"/>
          </w:tcPr>
          <w:p>
            <w:pPr>
              <w:spacing w:after="0"/>
              <w:rPr>
                <w:sz w:val="17"/>
                <w:szCs w:val="17"/>
                <w:color w:val="auto"/>
              </w:rPr>
            </w:pPr>
          </w:p>
        </w:tc>
        <w:tc>
          <w:tcPr>
            <w:tcW w:w="152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items of other</w:t>
            </w:r>
          </w:p>
        </w:tc>
        <w:tc>
          <w:tcPr>
            <w:tcW w:w="10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3340" w:type="dxa"/>
            <w:vAlign w:val="bottom"/>
          </w:tcPr>
          <w:p>
            <w:pPr>
              <w:spacing w:after="0"/>
              <w:rPr>
                <w:sz w:val="17"/>
                <w:szCs w:val="17"/>
                <w:color w:val="auto"/>
              </w:rPr>
            </w:pPr>
          </w:p>
        </w:tc>
        <w:tc>
          <w:tcPr>
            <w:tcW w:w="98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Class A</w:t>
            </w:r>
          </w:p>
        </w:tc>
        <w:tc>
          <w:tcPr>
            <w:tcW w:w="1060" w:type="dxa"/>
            <w:vAlign w:val="bottom"/>
          </w:tcPr>
          <w:p>
            <w:pPr>
              <w:jc w:val="right"/>
              <w:ind w:right="150"/>
              <w:spacing w:after="0" w:line="202" w:lineRule="exact"/>
              <w:rPr>
                <w:sz w:val="20"/>
                <w:szCs w:val="20"/>
                <w:color w:val="auto"/>
              </w:rPr>
            </w:pPr>
            <w:r>
              <w:rPr>
                <w:rFonts w:ascii="Arial" w:cs="Arial" w:eastAsia="Arial" w:hAnsi="Arial"/>
                <w:sz w:val="18"/>
                <w:szCs w:val="18"/>
                <w:b w:val="1"/>
                <w:bCs w:val="1"/>
                <w:color w:val="auto"/>
              </w:rPr>
              <w:t>paid in</w:t>
            </w:r>
          </w:p>
        </w:tc>
        <w:tc>
          <w:tcPr>
            <w:tcW w:w="1020" w:type="dxa"/>
            <w:vAlign w:val="bottom"/>
          </w:tcPr>
          <w:p>
            <w:pPr>
              <w:jc w:val="right"/>
              <w:ind w:right="30"/>
              <w:spacing w:after="0" w:line="202" w:lineRule="exact"/>
              <w:rPr>
                <w:sz w:val="20"/>
                <w:szCs w:val="20"/>
                <w:color w:val="auto"/>
              </w:rPr>
            </w:pPr>
            <w:r>
              <w:rPr>
                <w:rFonts w:ascii="Arial" w:cs="Arial" w:eastAsia="Arial" w:hAnsi="Arial"/>
                <w:sz w:val="18"/>
                <w:szCs w:val="18"/>
                <w:b w:val="1"/>
                <w:bCs w:val="1"/>
                <w:color w:val="auto"/>
              </w:rPr>
              <w:t>Retained</w:t>
            </w:r>
          </w:p>
        </w:tc>
        <w:tc>
          <w:tcPr>
            <w:tcW w:w="152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comprehensive</w:t>
            </w:r>
          </w:p>
        </w:tc>
        <w:tc>
          <w:tcPr>
            <w:tcW w:w="1080" w:type="dxa"/>
            <w:vAlign w:val="bottom"/>
          </w:tcPr>
          <w:p>
            <w:pPr>
              <w:jc w:val="right"/>
              <w:ind w:right="70"/>
              <w:spacing w:after="0" w:line="202" w:lineRule="exact"/>
              <w:rPr>
                <w:sz w:val="20"/>
                <w:szCs w:val="20"/>
                <w:color w:val="auto"/>
              </w:rPr>
            </w:pPr>
            <w:r>
              <w:rPr>
                <w:rFonts w:ascii="Arial" w:cs="Arial" w:eastAsia="Arial" w:hAnsi="Arial"/>
                <w:sz w:val="18"/>
                <w:szCs w:val="18"/>
                <w:b w:val="1"/>
                <w:bCs w:val="1"/>
                <w:color w:val="auto"/>
              </w:rPr>
              <w:t>Treasury</w:t>
            </w:r>
          </w:p>
        </w:tc>
        <w:tc>
          <w:tcPr>
            <w:tcW w:w="148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Noncontrolling</w:t>
            </w:r>
          </w:p>
        </w:tc>
        <w:tc>
          <w:tcPr>
            <w:tcW w:w="940" w:type="dxa"/>
            <w:vAlign w:val="bottom"/>
          </w:tcPr>
          <w:p>
            <w:pPr>
              <w:jc w:val="right"/>
              <w:ind w:right="130"/>
              <w:spacing w:after="0" w:line="202" w:lineRule="exact"/>
              <w:rPr>
                <w:sz w:val="20"/>
                <w:szCs w:val="20"/>
                <w:color w:val="auto"/>
              </w:rPr>
            </w:pPr>
            <w:r>
              <w:rPr>
                <w:rFonts w:ascii="Arial" w:cs="Arial" w:eastAsia="Arial" w:hAnsi="Arial"/>
                <w:sz w:val="18"/>
                <w:szCs w:val="18"/>
                <w:b w:val="1"/>
                <w:bCs w:val="1"/>
                <w:color w:val="auto"/>
              </w:rPr>
              <w:t>Total</w:t>
            </w:r>
          </w:p>
        </w:tc>
      </w:tr>
      <w:tr>
        <w:trPr>
          <w:trHeight w:val="225"/>
        </w:trPr>
        <w:tc>
          <w:tcPr>
            <w:tcW w:w="33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(in thousands)</w:t>
            </w: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and B</w:t>
            </w:r>
          </w:p>
        </w:tc>
        <w:tc>
          <w:tcPr>
            <w:tcW w:w="10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capital</w:t>
            </w: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earnings</w:t>
            </w: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income/(loss)</w:t>
            </w:r>
          </w:p>
        </w:tc>
        <w:tc>
          <w:tcPr>
            <w:tcW w:w="10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stock</w:t>
            </w:r>
          </w:p>
        </w:tc>
        <w:tc>
          <w:tcPr>
            <w:tcW w:w="14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Interest</w:t>
            </w:r>
          </w:p>
        </w:tc>
        <w:tc>
          <w:tcPr>
            <w:tcW w:w="9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Equity</w:t>
            </w:r>
          </w:p>
        </w:tc>
      </w:tr>
      <w:tr>
        <w:trPr>
          <w:trHeight w:val="196"/>
        </w:trPr>
        <w:tc>
          <w:tcPr>
            <w:tcW w:w="334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b w:val="1"/>
                <w:bCs w:val="1"/>
                <w:color w:val="auto"/>
              </w:rPr>
              <w:t>December 31, 2017</w:t>
            </w:r>
          </w:p>
        </w:tc>
        <w:tc>
          <w:tcPr>
            <w:tcW w:w="980" w:type="dxa"/>
            <w:vAlign w:val="bottom"/>
            <w:tcBorders>
              <w:bottom w:val="single" w:sz="8" w:color="auto"/>
            </w:tcBorders>
          </w:tcPr>
          <w:p>
            <w:pPr>
              <w:jc w:val="right"/>
              <w:ind w:right="110"/>
              <w:spacing w:after="0" w:line="196" w:lineRule="exact"/>
              <w:rPr>
                <w:sz w:val="20"/>
                <w:szCs w:val="20"/>
                <w:color w:val="auto"/>
              </w:rPr>
            </w:pPr>
            <w:r>
              <w:rPr>
                <w:rFonts w:ascii="Arial" w:cs="Arial" w:eastAsia="Arial" w:hAnsi="Arial"/>
                <w:sz w:val="18"/>
                <w:szCs w:val="18"/>
                <w:b w:val="1"/>
                <w:bCs w:val="1"/>
                <w:color w:val="auto"/>
              </w:rPr>
              <w:t>$40</w:t>
            </w:r>
          </w:p>
        </w:tc>
        <w:tc>
          <w:tcPr>
            <w:tcW w:w="1060" w:type="dxa"/>
            <w:vAlign w:val="bottom"/>
            <w:tcBorders>
              <w:bottom w:val="single" w:sz="8" w:color="auto"/>
            </w:tcBorders>
          </w:tcPr>
          <w:p>
            <w:pPr>
              <w:jc w:val="right"/>
              <w:ind w:right="130"/>
              <w:spacing w:after="0" w:line="196" w:lineRule="exact"/>
              <w:rPr>
                <w:sz w:val="20"/>
                <w:szCs w:val="20"/>
                <w:color w:val="auto"/>
              </w:rPr>
            </w:pPr>
            <w:r>
              <w:rPr>
                <w:rFonts w:ascii="Arial" w:cs="Arial" w:eastAsia="Arial" w:hAnsi="Arial"/>
                <w:sz w:val="18"/>
                <w:szCs w:val="18"/>
                <w:b w:val="1"/>
                <w:bCs w:val="1"/>
                <w:color w:val="auto"/>
              </w:rPr>
              <w:t>$428,423</w:t>
            </w:r>
          </w:p>
        </w:tc>
        <w:tc>
          <w:tcPr>
            <w:tcW w:w="1020" w:type="dxa"/>
            <w:vAlign w:val="bottom"/>
            <w:tcBorders>
              <w:bottom w:val="single" w:sz="8" w:color="auto"/>
            </w:tcBorders>
          </w:tcPr>
          <w:p>
            <w:pPr>
              <w:jc w:val="right"/>
              <w:ind w:right="90"/>
              <w:spacing w:after="0" w:line="196" w:lineRule="exact"/>
              <w:rPr>
                <w:sz w:val="20"/>
                <w:szCs w:val="20"/>
                <w:color w:val="auto"/>
              </w:rPr>
            </w:pPr>
            <w:r>
              <w:rPr>
                <w:rFonts w:ascii="Arial" w:cs="Arial" w:eastAsia="Arial" w:hAnsi="Arial"/>
                <w:sz w:val="18"/>
                <w:szCs w:val="18"/>
                <w:b w:val="1"/>
                <w:bCs w:val="1"/>
                <w:color w:val="auto"/>
              </w:rPr>
              <w:t>$534,082</w:t>
            </w:r>
          </w:p>
        </w:tc>
        <w:tc>
          <w:tcPr>
            <w:tcW w:w="1520" w:type="dxa"/>
            <w:vAlign w:val="bottom"/>
            <w:tcBorders>
              <w:bottom w:val="single" w:sz="8" w:color="auto"/>
            </w:tcBorders>
          </w:tcPr>
          <w:p>
            <w:pPr>
              <w:jc w:val="right"/>
              <w:ind w:right="130"/>
              <w:spacing w:after="0" w:line="196" w:lineRule="exact"/>
              <w:rPr>
                <w:sz w:val="20"/>
                <w:szCs w:val="20"/>
                <w:color w:val="auto"/>
              </w:rPr>
            </w:pPr>
            <w:r>
              <w:rPr>
                <w:rFonts w:ascii="Arial" w:cs="Arial" w:eastAsia="Arial" w:hAnsi="Arial"/>
                <w:sz w:val="18"/>
                <w:szCs w:val="18"/>
                <w:b w:val="1"/>
                <w:bCs w:val="1"/>
                <w:color w:val="auto"/>
              </w:rPr>
              <w:t>($135,901)</w:t>
            </w:r>
          </w:p>
        </w:tc>
        <w:tc>
          <w:tcPr>
            <w:tcW w:w="108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b w:val="1"/>
                <w:bCs w:val="1"/>
                <w:color w:val="auto"/>
              </w:rPr>
              <w:t>($256,876)</w:t>
            </w:r>
          </w:p>
        </w:tc>
        <w:tc>
          <w:tcPr>
            <w:tcW w:w="1480" w:type="dxa"/>
            <w:vAlign w:val="bottom"/>
            <w:tcBorders>
              <w:bottom w:val="single" w:sz="8" w:color="auto"/>
            </w:tcBorders>
          </w:tcPr>
          <w:p>
            <w:pPr>
              <w:jc w:val="right"/>
              <w:ind w:right="190"/>
              <w:spacing w:after="0" w:line="196" w:lineRule="exact"/>
              <w:rPr>
                <w:sz w:val="20"/>
                <w:szCs w:val="20"/>
                <w:color w:val="auto"/>
              </w:rPr>
            </w:pPr>
            <w:r>
              <w:rPr>
                <w:rFonts w:ascii="Arial" w:cs="Arial" w:eastAsia="Arial" w:hAnsi="Arial"/>
                <w:sz w:val="18"/>
                <w:szCs w:val="18"/>
                <w:b w:val="1"/>
                <w:bCs w:val="1"/>
                <w:color w:val="auto"/>
              </w:rPr>
              <w:t>$3,247</w:t>
            </w:r>
          </w:p>
        </w:tc>
        <w:tc>
          <w:tcPr>
            <w:tcW w:w="94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b w:val="1"/>
                <w:bCs w:val="1"/>
                <w:color w:val="auto"/>
              </w:rPr>
              <w:t>$573,015</w:t>
            </w:r>
          </w:p>
        </w:tc>
      </w:tr>
      <w:tr>
        <w:trPr>
          <w:trHeight w:val="195"/>
        </w:trPr>
        <w:tc>
          <w:tcPr>
            <w:tcW w:w="3340" w:type="dxa"/>
            <w:vAlign w:val="bottom"/>
          </w:tcPr>
          <w:p>
            <w:pPr>
              <w:spacing w:after="0" w:line="195" w:lineRule="exact"/>
              <w:rPr>
                <w:sz w:val="20"/>
                <w:szCs w:val="20"/>
                <w:color w:val="auto"/>
              </w:rPr>
            </w:pPr>
            <w:r>
              <w:rPr>
                <w:rFonts w:ascii="Arial" w:cs="Arial" w:eastAsia="Arial" w:hAnsi="Arial"/>
                <w:sz w:val="18"/>
                <w:szCs w:val="18"/>
                <w:color w:val="auto"/>
              </w:rPr>
              <w:t>Adoption of accounting standards (a),(b)</w:t>
            </w:r>
          </w:p>
        </w:tc>
        <w:tc>
          <w:tcPr>
            <w:tcW w:w="980" w:type="dxa"/>
            <w:vAlign w:val="bottom"/>
          </w:tcPr>
          <w:p>
            <w:pPr>
              <w:jc w:val="right"/>
              <w:ind w:right="110"/>
              <w:spacing w:after="0" w:line="195" w:lineRule="exact"/>
              <w:rPr>
                <w:sz w:val="20"/>
                <w:szCs w:val="20"/>
                <w:color w:val="auto"/>
              </w:rPr>
            </w:pPr>
            <w:r>
              <w:rPr>
                <w:rFonts w:ascii="Arial" w:cs="Arial" w:eastAsia="Arial" w:hAnsi="Arial"/>
                <w:sz w:val="18"/>
                <w:szCs w:val="18"/>
                <w:color w:val="auto"/>
              </w:rPr>
              <w:t>-</w:t>
            </w:r>
          </w:p>
        </w:tc>
        <w:tc>
          <w:tcPr>
            <w:tcW w:w="1060" w:type="dxa"/>
            <w:vAlign w:val="bottom"/>
          </w:tcPr>
          <w:p>
            <w:pPr>
              <w:jc w:val="right"/>
              <w:ind w:right="130"/>
              <w:spacing w:after="0" w:line="195" w:lineRule="exact"/>
              <w:rPr>
                <w:sz w:val="20"/>
                <w:szCs w:val="20"/>
                <w:color w:val="auto"/>
              </w:rPr>
            </w:pPr>
            <w:r>
              <w:rPr>
                <w:rFonts w:ascii="Arial" w:cs="Arial" w:eastAsia="Arial" w:hAnsi="Arial"/>
                <w:sz w:val="18"/>
                <w:szCs w:val="18"/>
                <w:color w:val="auto"/>
              </w:rPr>
              <w:t>-</w:t>
            </w:r>
          </w:p>
        </w:tc>
        <w:tc>
          <w:tcPr>
            <w:tcW w:w="1020" w:type="dxa"/>
            <w:vAlign w:val="bottom"/>
          </w:tcPr>
          <w:p>
            <w:pPr>
              <w:jc w:val="right"/>
              <w:ind w:right="30"/>
              <w:spacing w:after="0" w:line="195" w:lineRule="exact"/>
              <w:rPr>
                <w:sz w:val="20"/>
                <w:szCs w:val="20"/>
                <w:color w:val="auto"/>
              </w:rPr>
            </w:pPr>
            <w:r>
              <w:rPr>
                <w:rFonts w:ascii="Arial" w:cs="Arial" w:eastAsia="Arial" w:hAnsi="Arial"/>
                <w:sz w:val="18"/>
                <w:szCs w:val="18"/>
                <w:color w:val="auto"/>
              </w:rPr>
              <w:t>(5,085)</w:t>
            </w:r>
          </w:p>
        </w:tc>
        <w:tc>
          <w:tcPr>
            <w:tcW w:w="1520" w:type="dxa"/>
            <w:vAlign w:val="bottom"/>
          </w:tcPr>
          <w:p>
            <w:pPr>
              <w:jc w:val="right"/>
              <w:ind w:right="190"/>
              <w:spacing w:after="0" w:line="195" w:lineRule="exact"/>
              <w:rPr>
                <w:sz w:val="20"/>
                <w:szCs w:val="20"/>
                <w:color w:val="auto"/>
              </w:rPr>
            </w:pPr>
            <w:r>
              <w:rPr>
                <w:rFonts w:ascii="Arial" w:cs="Arial" w:eastAsia="Arial" w:hAnsi="Arial"/>
                <w:sz w:val="18"/>
                <w:szCs w:val="18"/>
                <w:color w:val="auto"/>
              </w:rPr>
              <w:t>-</w:t>
            </w:r>
          </w:p>
        </w:tc>
        <w:tc>
          <w:tcPr>
            <w:tcW w:w="1080" w:type="dxa"/>
            <w:vAlign w:val="bottom"/>
          </w:tcPr>
          <w:p>
            <w:pPr>
              <w:jc w:val="right"/>
              <w:ind w:right="90"/>
              <w:spacing w:after="0" w:line="195" w:lineRule="exact"/>
              <w:rPr>
                <w:sz w:val="20"/>
                <w:szCs w:val="20"/>
                <w:color w:val="auto"/>
              </w:rPr>
            </w:pPr>
            <w:r>
              <w:rPr>
                <w:rFonts w:ascii="Arial" w:cs="Arial" w:eastAsia="Arial" w:hAnsi="Arial"/>
                <w:sz w:val="18"/>
                <w:szCs w:val="18"/>
                <w:color w:val="auto"/>
              </w:rPr>
              <w:t>-</w:t>
            </w:r>
          </w:p>
        </w:tc>
        <w:tc>
          <w:tcPr>
            <w:tcW w:w="1480" w:type="dxa"/>
            <w:vAlign w:val="bottom"/>
          </w:tcPr>
          <w:p>
            <w:pPr>
              <w:jc w:val="right"/>
              <w:ind w:right="130"/>
              <w:spacing w:after="0" w:line="195" w:lineRule="exact"/>
              <w:rPr>
                <w:sz w:val="20"/>
                <w:szCs w:val="20"/>
                <w:color w:val="auto"/>
              </w:rPr>
            </w:pPr>
            <w:r>
              <w:rPr>
                <w:rFonts w:ascii="Arial" w:cs="Arial" w:eastAsia="Arial" w:hAnsi="Arial"/>
                <w:sz w:val="18"/>
                <w:szCs w:val="18"/>
                <w:color w:val="auto"/>
              </w:rPr>
              <w:t>(327)</w:t>
            </w:r>
          </w:p>
        </w:tc>
        <w:tc>
          <w:tcPr>
            <w:tcW w:w="940" w:type="dxa"/>
            <w:vAlign w:val="bottom"/>
          </w:tcPr>
          <w:p>
            <w:pPr>
              <w:jc w:val="right"/>
              <w:spacing w:after="0" w:line="195" w:lineRule="exact"/>
              <w:rPr>
                <w:sz w:val="20"/>
                <w:szCs w:val="20"/>
                <w:color w:val="auto"/>
              </w:rPr>
            </w:pPr>
            <w:r>
              <w:rPr>
                <w:rFonts w:ascii="Arial" w:cs="Arial" w:eastAsia="Arial" w:hAnsi="Arial"/>
                <w:sz w:val="18"/>
                <w:szCs w:val="18"/>
                <w:color w:val="auto"/>
              </w:rPr>
              <w:t>(5,412)</w:t>
            </w:r>
          </w:p>
        </w:tc>
      </w:tr>
      <w:tr>
        <w:trPr>
          <w:trHeight w:val="203"/>
        </w:trPr>
        <w:tc>
          <w:tcPr>
            <w:tcW w:w="3340" w:type="dxa"/>
            <w:vAlign w:val="bottom"/>
          </w:tcPr>
          <w:p>
            <w:pPr>
              <w:spacing w:after="0" w:line="202" w:lineRule="exact"/>
              <w:rPr>
                <w:sz w:val="20"/>
                <w:szCs w:val="20"/>
                <w:color w:val="auto"/>
              </w:rPr>
            </w:pPr>
            <w:r>
              <w:rPr>
                <w:rFonts w:ascii="Arial" w:cs="Arial" w:eastAsia="Arial" w:hAnsi="Arial"/>
                <w:sz w:val="18"/>
                <w:szCs w:val="18"/>
                <w:color w:val="auto"/>
              </w:rPr>
              <w:t>Net income</w:t>
            </w:r>
          </w:p>
        </w:tc>
        <w:tc>
          <w:tcPr>
            <w:tcW w:w="98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w:t>
            </w:r>
          </w:p>
        </w:tc>
        <w:tc>
          <w:tcPr>
            <w:tcW w:w="1060" w:type="dxa"/>
            <w:vAlign w:val="bottom"/>
          </w:tcPr>
          <w:p>
            <w:pPr>
              <w:jc w:val="right"/>
              <w:ind w:right="130"/>
              <w:spacing w:after="0" w:line="202" w:lineRule="exact"/>
              <w:rPr>
                <w:sz w:val="20"/>
                <w:szCs w:val="20"/>
                <w:color w:val="auto"/>
              </w:rPr>
            </w:pPr>
            <w:r>
              <w:rPr>
                <w:rFonts w:ascii="Arial" w:cs="Arial" w:eastAsia="Arial" w:hAnsi="Arial"/>
                <w:sz w:val="18"/>
                <w:szCs w:val="18"/>
                <w:color w:val="auto"/>
              </w:rPr>
              <w:t>-</w:t>
            </w:r>
          </w:p>
        </w:tc>
        <w:tc>
          <w:tcPr>
            <w:tcW w:w="1020" w:type="dxa"/>
            <w:vAlign w:val="bottom"/>
          </w:tcPr>
          <w:p>
            <w:pPr>
              <w:jc w:val="right"/>
              <w:ind w:right="90"/>
              <w:spacing w:after="0" w:line="202" w:lineRule="exact"/>
              <w:rPr>
                <w:sz w:val="20"/>
                <w:szCs w:val="20"/>
                <w:color w:val="auto"/>
              </w:rPr>
            </w:pPr>
            <w:r>
              <w:rPr>
                <w:rFonts w:ascii="Arial" w:cs="Arial" w:eastAsia="Arial" w:hAnsi="Arial"/>
                <w:sz w:val="18"/>
                <w:szCs w:val="18"/>
                <w:color w:val="auto"/>
              </w:rPr>
              <w:t>10,245</w:t>
            </w:r>
          </w:p>
        </w:tc>
        <w:tc>
          <w:tcPr>
            <w:tcW w:w="1520" w:type="dxa"/>
            <w:vAlign w:val="bottom"/>
          </w:tcPr>
          <w:p>
            <w:pPr>
              <w:jc w:val="right"/>
              <w:ind w:right="190"/>
              <w:spacing w:after="0" w:line="202" w:lineRule="exact"/>
              <w:rPr>
                <w:sz w:val="20"/>
                <w:szCs w:val="20"/>
                <w:color w:val="auto"/>
              </w:rPr>
            </w:pPr>
            <w:r>
              <w:rPr>
                <w:rFonts w:ascii="Arial" w:cs="Arial" w:eastAsia="Arial" w:hAnsi="Arial"/>
                <w:sz w:val="18"/>
                <w:szCs w:val="18"/>
                <w:color w:val="auto"/>
              </w:rPr>
              <w:t>-</w:t>
            </w:r>
          </w:p>
        </w:tc>
        <w:tc>
          <w:tcPr>
            <w:tcW w:w="1080" w:type="dxa"/>
            <w:vAlign w:val="bottom"/>
          </w:tcPr>
          <w:p>
            <w:pPr>
              <w:jc w:val="right"/>
              <w:ind w:right="90"/>
              <w:spacing w:after="0" w:line="202" w:lineRule="exact"/>
              <w:rPr>
                <w:sz w:val="20"/>
                <w:szCs w:val="20"/>
                <w:color w:val="auto"/>
              </w:rPr>
            </w:pPr>
            <w:r>
              <w:rPr>
                <w:rFonts w:ascii="Arial" w:cs="Arial" w:eastAsia="Arial" w:hAnsi="Arial"/>
                <w:sz w:val="18"/>
                <w:szCs w:val="18"/>
                <w:color w:val="auto"/>
              </w:rPr>
              <w:t>-</w:t>
            </w:r>
          </w:p>
        </w:tc>
        <w:tc>
          <w:tcPr>
            <w:tcW w:w="1480" w:type="dxa"/>
            <w:vAlign w:val="bottom"/>
          </w:tcPr>
          <w:p>
            <w:pPr>
              <w:jc w:val="right"/>
              <w:ind w:right="190"/>
              <w:spacing w:after="0" w:line="202" w:lineRule="exact"/>
              <w:rPr>
                <w:sz w:val="20"/>
                <w:szCs w:val="20"/>
                <w:color w:val="auto"/>
              </w:rPr>
            </w:pPr>
            <w:r>
              <w:rPr>
                <w:rFonts w:ascii="Arial" w:cs="Arial" w:eastAsia="Arial" w:hAnsi="Arial"/>
                <w:sz w:val="18"/>
                <w:szCs w:val="18"/>
                <w:color w:val="auto"/>
              </w:rPr>
              <w:t>237</w:t>
            </w:r>
          </w:p>
        </w:tc>
        <w:tc>
          <w:tcPr>
            <w:tcW w:w="9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10,482</w:t>
            </w:r>
          </w:p>
        </w:tc>
      </w:tr>
      <w:tr>
        <w:trPr>
          <w:trHeight w:val="203"/>
        </w:trPr>
        <w:tc>
          <w:tcPr>
            <w:tcW w:w="3340" w:type="dxa"/>
            <w:vAlign w:val="bottom"/>
          </w:tcPr>
          <w:p>
            <w:pPr>
              <w:spacing w:after="0" w:line="202" w:lineRule="exact"/>
              <w:rPr>
                <w:sz w:val="20"/>
                <w:szCs w:val="20"/>
                <w:color w:val="auto"/>
              </w:rPr>
            </w:pPr>
            <w:r>
              <w:rPr>
                <w:rFonts w:ascii="Arial" w:cs="Arial" w:eastAsia="Arial" w:hAnsi="Arial"/>
                <w:sz w:val="18"/>
                <w:szCs w:val="18"/>
                <w:color w:val="auto"/>
              </w:rPr>
              <w:t>Compensation and benefits paid or</w:t>
            </w:r>
          </w:p>
        </w:tc>
        <w:tc>
          <w:tcPr>
            <w:tcW w:w="9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3340" w:type="dxa"/>
            <w:vAlign w:val="bottom"/>
          </w:tcPr>
          <w:p>
            <w:pPr>
              <w:spacing w:after="0" w:line="202" w:lineRule="exact"/>
              <w:rPr>
                <w:sz w:val="20"/>
                <w:szCs w:val="20"/>
                <w:color w:val="auto"/>
              </w:rPr>
            </w:pPr>
            <w:r>
              <w:rPr>
                <w:rFonts w:ascii="Arial" w:cs="Arial" w:eastAsia="Arial" w:hAnsi="Arial"/>
                <w:sz w:val="18"/>
                <w:szCs w:val="18"/>
                <w:color w:val="auto"/>
              </w:rPr>
              <w:t>payable in shares</w:t>
            </w:r>
          </w:p>
        </w:tc>
        <w:tc>
          <w:tcPr>
            <w:tcW w:w="98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w:t>
            </w:r>
          </w:p>
        </w:tc>
        <w:tc>
          <w:tcPr>
            <w:tcW w:w="1060" w:type="dxa"/>
            <w:vAlign w:val="bottom"/>
          </w:tcPr>
          <w:p>
            <w:pPr>
              <w:jc w:val="right"/>
              <w:ind w:right="130"/>
              <w:spacing w:after="0" w:line="202" w:lineRule="exact"/>
              <w:rPr>
                <w:sz w:val="20"/>
                <w:szCs w:val="20"/>
                <w:color w:val="auto"/>
              </w:rPr>
            </w:pPr>
            <w:r>
              <w:rPr>
                <w:rFonts w:ascii="Arial" w:cs="Arial" w:eastAsia="Arial" w:hAnsi="Arial"/>
                <w:sz w:val="18"/>
                <w:szCs w:val="18"/>
                <w:color w:val="auto"/>
              </w:rPr>
              <w:t>289</w:t>
            </w:r>
          </w:p>
        </w:tc>
        <w:tc>
          <w:tcPr>
            <w:tcW w:w="1020" w:type="dxa"/>
            <w:vAlign w:val="bottom"/>
          </w:tcPr>
          <w:p>
            <w:pPr>
              <w:jc w:val="right"/>
              <w:ind w:right="90"/>
              <w:spacing w:after="0" w:line="202" w:lineRule="exact"/>
              <w:rPr>
                <w:sz w:val="20"/>
                <w:szCs w:val="20"/>
                <w:color w:val="auto"/>
              </w:rPr>
            </w:pPr>
            <w:r>
              <w:rPr>
                <w:rFonts w:ascii="Arial" w:cs="Arial" w:eastAsia="Arial" w:hAnsi="Arial"/>
                <w:sz w:val="18"/>
                <w:szCs w:val="18"/>
                <w:color w:val="auto"/>
              </w:rPr>
              <w:t>-</w:t>
            </w:r>
          </w:p>
        </w:tc>
        <w:tc>
          <w:tcPr>
            <w:tcW w:w="1520" w:type="dxa"/>
            <w:vAlign w:val="bottom"/>
          </w:tcPr>
          <w:p>
            <w:pPr>
              <w:jc w:val="right"/>
              <w:ind w:right="190"/>
              <w:spacing w:after="0" w:line="202" w:lineRule="exact"/>
              <w:rPr>
                <w:sz w:val="20"/>
                <w:szCs w:val="20"/>
                <w:color w:val="auto"/>
              </w:rPr>
            </w:pPr>
            <w:r>
              <w:rPr>
                <w:rFonts w:ascii="Arial" w:cs="Arial" w:eastAsia="Arial" w:hAnsi="Arial"/>
                <w:sz w:val="18"/>
                <w:szCs w:val="18"/>
                <w:color w:val="auto"/>
              </w:rPr>
              <w:t>-</w:t>
            </w:r>
          </w:p>
        </w:tc>
        <w:tc>
          <w:tcPr>
            <w:tcW w:w="1080" w:type="dxa"/>
            <w:vAlign w:val="bottom"/>
          </w:tcPr>
          <w:p>
            <w:pPr>
              <w:jc w:val="right"/>
              <w:ind w:right="90"/>
              <w:spacing w:after="0" w:line="202" w:lineRule="exact"/>
              <w:rPr>
                <w:sz w:val="20"/>
                <w:szCs w:val="20"/>
                <w:color w:val="auto"/>
              </w:rPr>
            </w:pPr>
            <w:r>
              <w:rPr>
                <w:rFonts w:ascii="Arial" w:cs="Arial" w:eastAsia="Arial" w:hAnsi="Arial"/>
                <w:sz w:val="18"/>
                <w:szCs w:val="18"/>
                <w:color w:val="auto"/>
              </w:rPr>
              <w:t>-</w:t>
            </w:r>
          </w:p>
        </w:tc>
        <w:tc>
          <w:tcPr>
            <w:tcW w:w="1480" w:type="dxa"/>
            <w:vAlign w:val="bottom"/>
          </w:tcPr>
          <w:p>
            <w:pPr>
              <w:jc w:val="right"/>
              <w:ind w:right="190"/>
              <w:spacing w:after="0" w:line="202" w:lineRule="exact"/>
              <w:rPr>
                <w:sz w:val="20"/>
                <w:szCs w:val="20"/>
                <w:color w:val="auto"/>
              </w:rPr>
            </w:pPr>
            <w:r>
              <w:rPr>
                <w:rFonts w:ascii="Arial" w:cs="Arial" w:eastAsia="Arial" w:hAnsi="Arial"/>
                <w:sz w:val="18"/>
                <w:szCs w:val="18"/>
                <w:color w:val="auto"/>
              </w:rPr>
              <w:t>-</w:t>
            </w:r>
          </w:p>
        </w:tc>
        <w:tc>
          <w:tcPr>
            <w:tcW w:w="9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289</w:t>
            </w:r>
          </w:p>
        </w:tc>
      </w:tr>
      <w:tr>
        <w:trPr>
          <w:trHeight w:val="203"/>
        </w:trPr>
        <w:tc>
          <w:tcPr>
            <w:tcW w:w="3340" w:type="dxa"/>
            <w:vAlign w:val="bottom"/>
          </w:tcPr>
          <w:p>
            <w:pPr>
              <w:spacing w:after="0" w:line="202" w:lineRule="exact"/>
              <w:rPr>
                <w:sz w:val="20"/>
                <w:szCs w:val="20"/>
                <w:color w:val="auto"/>
              </w:rPr>
            </w:pPr>
            <w:r>
              <w:rPr>
                <w:rFonts w:ascii="Arial" w:cs="Arial" w:eastAsia="Arial" w:hAnsi="Arial"/>
                <w:sz w:val="18"/>
                <w:szCs w:val="18"/>
                <w:color w:val="auto"/>
              </w:rPr>
              <w:t>Options exercised</w:t>
            </w:r>
          </w:p>
        </w:tc>
        <w:tc>
          <w:tcPr>
            <w:tcW w:w="98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w:t>
            </w:r>
          </w:p>
        </w:tc>
        <w:tc>
          <w:tcPr>
            <w:tcW w:w="1060" w:type="dxa"/>
            <w:vAlign w:val="bottom"/>
          </w:tcPr>
          <w:p>
            <w:pPr>
              <w:jc w:val="right"/>
              <w:ind w:right="130"/>
              <w:spacing w:after="0" w:line="202" w:lineRule="exact"/>
              <w:rPr>
                <w:sz w:val="20"/>
                <w:szCs w:val="20"/>
                <w:color w:val="auto"/>
              </w:rPr>
            </w:pPr>
            <w:r>
              <w:rPr>
                <w:rFonts w:ascii="Arial" w:cs="Arial" w:eastAsia="Arial" w:hAnsi="Arial"/>
                <w:sz w:val="18"/>
                <w:szCs w:val="18"/>
                <w:color w:val="auto"/>
              </w:rPr>
              <w:t>147</w:t>
            </w:r>
          </w:p>
        </w:tc>
        <w:tc>
          <w:tcPr>
            <w:tcW w:w="1020" w:type="dxa"/>
            <w:vAlign w:val="bottom"/>
          </w:tcPr>
          <w:p>
            <w:pPr>
              <w:jc w:val="right"/>
              <w:ind w:right="90"/>
              <w:spacing w:after="0" w:line="202" w:lineRule="exact"/>
              <w:rPr>
                <w:sz w:val="20"/>
                <w:szCs w:val="20"/>
                <w:color w:val="auto"/>
              </w:rPr>
            </w:pPr>
            <w:r>
              <w:rPr>
                <w:rFonts w:ascii="Arial" w:cs="Arial" w:eastAsia="Arial" w:hAnsi="Arial"/>
                <w:sz w:val="18"/>
                <w:szCs w:val="18"/>
                <w:color w:val="auto"/>
              </w:rPr>
              <w:t>-</w:t>
            </w:r>
          </w:p>
        </w:tc>
        <w:tc>
          <w:tcPr>
            <w:tcW w:w="1520" w:type="dxa"/>
            <w:vAlign w:val="bottom"/>
          </w:tcPr>
          <w:p>
            <w:pPr>
              <w:jc w:val="right"/>
              <w:ind w:right="190"/>
              <w:spacing w:after="0" w:line="202" w:lineRule="exact"/>
              <w:rPr>
                <w:sz w:val="20"/>
                <w:szCs w:val="20"/>
                <w:color w:val="auto"/>
              </w:rPr>
            </w:pPr>
            <w:r>
              <w:rPr>
                <w:rFonts w:ascii="Arial" w:cs="Arial" w:eastAsia="Arial" w:hAnsi="Arial"/>
                <w:sz w:val="18"/>
                <w:szCs w:val="18"/>
                <w:color w:val="auto"/>
              </w:rPr>
              <w:t>-</w:t>
            </w:r>
          </w:p>
        </w:tc>
        <w:tc>
          <w:tcPr>
            <w:tcW w:w="1080" w:type="dxa"/>
            <w:vAlign w:val="bottom"/>
          </w:tcPr>
          <w:p>
            <w:pPr>
              <w:jc w:val="right"/>
              <w:ind w:right="90"/>
              <w:spacing w:after="0" w:line="202" w:lineRule="exact"/>
              <w:rPr>
                <w:sz w:val="20"/>
                <w:szCs w:val="20"/>
                <w:color w:val="auto"/>
              </w:rPr>
            </w:pPr>
            <w:r>
              <w:rPr>
                <w:rFonts w:ascii="Arial" w:cs="Arial" w:eastAsia="Arial" w:hAnsi="Arial"/>
                <w:sz w:val="18"/>
                <w:szCs w:val="18"/>
                <w:color w:val="auto"/>
              </w:rPr>
              <w:t>-</w:t>
            </w:r>
          </w:p>
        </w:tc>
        <w:tc>
          <w:tcPr>
            <w:tcW w:w="1480" w:type="dxa"/>
            <w:vAlign w:val="bottom"/>
          </w:tcPr>
          <w:p>
            <w:pPr>
              <w:jc w:val="right"/>
              <w:ind w:right="190"/>
              <w:spacing w:after="0" w:line="202" w:lineRule="exact"/>
              <w:rPr>
                <w:sz w:val="20"/>
                <w:szCs w:val="20"/>
                <w:color w:val="auto"/>
              </w:rPr>
            </w:pPr>
            <w:r>
              <w:rPr>
                <w:rFonts w:ascii="Arial" w:cs="Arial" w:eastAsia="Arial" w:hAnsi="Arial"/>
                <w:sz w:val="18"/>
                <w:szCs w:val="18"/>
                <w:color w:val="auto"/>
              </w:rPr>
              <w:t>-</w:t>
            </w:r>
          </w:p>
        </w:tc>
        <w:tc>
          <w:tcPr>
            <w:tcW w:w="9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147</w:t>
            </w:r>
          </w:p>
        </w:tc>
      </w:tr>
      <w:tr>
        <w:trPr>
          <w:trHeight w:val="203"/>
        </w:trPr>
        <w:tc>
          <w:tcPr>
            <w:tcW w:w="3340" w:type="dxa"/>
            <w:vAlign w:val="bottom"/>
          </w:tcPr>
          <w:p>
            <w:pPr>
              <w:spacing w:after="0" w:line="202" w:lineRule="exact"/>
              <w:rPr>
                <w:sz w:val="20"/>
                <w:szCs w:val="20"/>
                <w:color w:val="auto"/>
              </w:rPr>
            </w:pPr>
            <w:r>
              <w:rPr>
                <w:rFonts w:ascii="Arial" w:cs="Arial" w:eastAsia="Arial" w:hAnsi="Arial"/>
                <w:sz w:val="18"/>
                <w:szCs w:val="18"/>
                <w:color w:val="auto"/>
              </w:rPr>
              <w:t>Dividends declared</w:t>
            </w:r>
          </w:p>
        </w:tc>
        <w:tc>
          <w:tcPr>
            <w:tcW w:w="98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w:t>
            </w:r>
          </w:p>
        </w:tc>
        <w:tc>
          <w:tcPr>
            <w:tcW w:w="1060" w:type="dxa"/>
            <w:vAlign w:val="bottom"/>
          </w:tcPr>
          <w:p>
            <w:pPr>
              <w:jc w:val="right"/>
              <w:ind w:right="130"/>
              <w:spacing w:after="0" w:line="202" w:lineRule="exact"/>
              <w:rPr>
                <w:sz w:val="20"/>
                <w:szCs w:val="20"/>
                <w:color w:val="auto"/>
              </w:rPr>
            </w:pPr>
            <w:r>
              <w:rPr>
                <w:rFonts w:ascii="Arial" w:cs="Arial" w:eastAsia="Arial" w:hAnsi="Arial"/>
                <w:sz w:val="18"/>
                <w:szCs w:val="18"/>
                <w:color w:val="auto"/>
              </w:rPr>
              <w:t>-</w:t>
            </w:r>
          </w:p>
        </w:tc>
        <w:tc>
          <w:tcPr>
            <w:tcW w:w="1020" w:type="dxa"/>
            <w:vAlign w:val="bottom"/>
          </w:tcPr>
          <w:p>
            <w:pPr>
              <w:jc w:val="right"/>
              <w:ind w:right="30"/>
              <w:spacing w:after="0" w:line="202" w:lineRule="exact"/>
              <w:rPr>
                <w:sz w:val="20"/>
                <w:szCs w:val="20"/>
                <w:color w:val="auto"/>
              </w:rPr>
            </w:pPr>
            <w:r>
              <w:rPr>
                <w:rFonts w:ascii="Arial" w:cs="Arial" w:eastAsia="Arial" w:hAnsi="Arial"/>
                <w:sz w:val="18"/>
                <w:szCs w:val="18"/>
                <w:color w:val="auto"/>
              </w:rPr>
              <w:t>(5,483)</w:t>
            </w:r>
          </w:p>
        </w:tc>
        <w:tc>
          <w:tcPr>
            <w:tcW w:w="1520" w:type="dxa"/>
            <w:vAlign w:val="bottom"/>
          </w:tcPr>
          <w:p>
            <w:pPr>
              <w:jc w:val="right"/>
              <w:ind w:right="190"/>
              <w:spacing w:after="0" w:line="202" w:lineRule="exact"/>
              <w:rPr>
                <w:sz w:val="20"/>
                <w:szCs w:val="20"/>
                <w:color w:val="auto"/>
              </w:rPr>
            </w:pPr>
            <w:r>
              <w:rPr>
                <w:rFonts w:ascii="Arial" w:cs="Arial" w:eastAsia="Arial" w:hAnsi="Arial"/>
                <w:sz w:val="18"/>
                <w:szCs w:val="18"/>
                <w:color w:val="auto"/>
              </w:rPr>
              <w:t>-</w:t>
            </w:r>
          </w:p>
        </w:tc>
        <w:tc>
          <w:tcPr>
            <w:tcW w:w="1080" w:type="dxa"/>
            <w:vAlign w:val="bottom"/>
          </w:tcPr>
          <w:p>
            <w:pPr>
              <w:jc w:val="right"/>
              <w:ind w:right="90"/>
              <w:spacing w:after="0" w:line="202" w:lineRule="exact"/>
              <w:rPr>
                <w:sz w:val="20"/>
                <w:szCs w:val="20"/>
                <w:color w:val="auto"/>
              </w:rPr>
            </w:pPr>
            <w:r>
              <w:rPr>
                <w:rFonts w:ascii="Arial" w:cs="Arial" w:eastAsia="Arial" w:hAnsi="Arial"/>
                <w:sz w:val="18"/>
                <w:szCs w:val="18"/>
                <w:color w:val="auto"/>
              </w:rPr>
              <w:t>-</w:t>
            </w:r>
          </w:p>
        </w:tc>
        <w:tc>
          <w:tcPr>
            <w:tcW w:w="1480" w:type="dxa"/>
            <w:vAlign w:val="bottom"/>
          </w:tcPr>
          <w:p>
            <w:pPr>
              <w:jc w:val="right"/>
              <w:ind w:right="190"/>
              <w:spacing w:after="0" w:line="202" w:lineRule="exact"/>
              <w:rPr>
                <w:sz w:val="20"/>
                <w:szCs w:val="20"/>
                <w:color w:val="auto"/>
              </w:rPr>
            </w:pPr>
            <w:r>
              <w:rPr>
                <w:rFonts w:ascii="Arial" w:cs="Arial" w:eastAsia="Arial" w:hAnsi="Arial"/>
                <w:sz w:val="18"/>
                <w:szCs w:val="18"/>
                <w:color w:val="auto"/>
              </w:rPr>
              <w:t>-</w:t>
            </w: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(5,483)</w:t>
            </w:r>
          </w:p>
        </w:tc>
      </w:tr>
      <w:tr>
        <w:trPr>
          <w:trHeight w:val="203"/>
        </w:trPr>
        <w:tc>
          <w:tcPr>
            <w:tcW w:w="3340" w:type="dxa"/>
            <w:vAlign w:val="bottom"/>
          </w:tcPr>
          <w:p>
            <w:pPr>
              <w:spacing w:after="0" w:line="202" w:lineRule="exact"/>
              <w:rPr>
                <w:sz w:val="20"/>
                <w:szCs w:val="20"/>
                <w:color w:val="auto"/>
              </w:rPr>
            </w:pPr>
            <w:r>
              <w:rPr>
                <w:rFonts w:ascii="Arial" w:cs="Arial" w:eastAsia="Arial" w:hAnsi="Arial"/>
                <w:sz w:val="18"/>
                <w:szCs w:val="18"/>
                <w:color w:val="auto"/>
              </w:rPr>
              <w:t>Cumulative translation adjustments</w:t>
            </w:r>
          </w:p>
        </w:tc>
        <w:tc>
          <w:tcPr>
            <w:tcW w:w="98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w:t>
            </w:r>
          </w:p>
        </w:tc>
        <w:tc>
          <w:tcPr>
            <w:tcW w:w="1060" w:type="dxa"/>
            <w:vAlign w:val="bottom"/>
          </w:tcPr>
          <w:p>
            <w:pPr>
              <w:jc w:val="right"/>
              <w:ind w:right="130"/>
              <w:spacing w:after="0" w:line="202" w:lineRule="exact"/>
              <w:rPr>
                <w:sz w:val="20"/>
                <w:szCs w:val="20"/>
                <w:color w:val="auto"/>
              </w:rPr>
            </w:pPr>
            <w:r>
              <w:rPr>
                <w:rFonts w:ascii="Arial" w:cs="Arial" w:eastAsia="Arial" w:hAnsi="Arial"/>
                <w:sz w:val="18"/>
                <w:szCs w:val="18"/>
                <w:color w:val="auto"/>
              </w:rPr>
              <w:t>-</w:t>
            </w:r>
          </w:p>
        </w:tc>
        <w:tc>
          <w:tcPr>
            <w:tcW w:w="1020" w:type="dxa"/>
            <w:vAlign w:val="bottom"/>
          </w:tcPr>
          <w:p>
            <w:pPr>
              <w:jc w:val="right"/>
              <w:ind w:right="90"/>
              <w:spacing w:after="0" w:line="202" w:lineRule="exact"/>
              <w:rPr>
                <w:sz w:val="20"/>
                <w:szCs w:val="20"/>
                <w:color w:val="auto"/>
              </w:rPr>
            </w:pPr>
            <w:r>
              <w:rPr>
                <w:rFonts w:ascii="Arial" w:cs="Arial" w:eastAsia="Arial" w:hAnsi="Arial"/>
                <w:sz w:val="18"/>
                <w:szCs w:val="18"/>
                <w:color w:val="auto"/>
              </w:rPr>
              <w:t>-</w:t>
            </w:r>
          </w:p>
        </w:tc>
        <w:tc>
          <w:tcPr>
            <w:tcW w:w="1520" w:type="dxa"/>
            <w:vAlign w:val="bottom"/>
          </w:tcPr>
          <w:p>
            <w:pPr>
              <w:jc w:val="right"/>
              <w:ind w:right="190"/>
              <w:spacing w:after="0" w:line="202" w:lineRule="exact"/>
              <w:rPr>
                <w:sz w:val="20"/>
                <w:szCs w:val="20"/>
                <w:color w:val="auto"/>
              </w:rPr>
            </w:pPr>
            <w:r>
              <w:rPr>
                <w:rFonts w:ascii="Arial" w:cs="Arial" w:eastAsia="Arial" w:hAnsi="Arial"/>
                <w:sz w:val="18"/>
                <w:szCs w:val="18"/>
                <w:color w:val="auto"/>
              </w:rPr>
              <w:t>17,646</w:t>
            </w:r>
          </w:p>
        </w:tc>
        <w:tc>
          <w:tcPr>
            <w:tcW w:w="1080" w:type="dxa"/>
            <w:vAlign w:val="bottom"/>
          </w:tcPr>
          <w:p>
            <w:pPr>
              <w:jc w:val="right"/>
              <w:ind w:right="90"/>
              <w:spacing w:after="0" w:line="202" w:lineRule="exact"/>
              <w:rPr>
                <w:sz w:val="20"/>
                <w:szCs w:val="20"/>
                <w:color w:val="auto"/>
              </w:rPr>
            </w:pPr>
            <w:r>
              <w:rPr>
                <w:rFonts w:ascii="Arial" w:cs="Arial" w:eastAsia="Arial" w:hAnsi="Arial"/>
                <w:sz w:val="18"/>
                <w:szCs w:val="18"/>
                <w:color w:val="auto"/>
              </w:rPr>
              <w:t>-</w:t>
            </w:r>
          </w:p>
        </w:tc>
        <w:tc>
          <w:tcPr>
            <w:tcW w:w="1480" w:type="dxa"/>
            <w:vAlign w:val="bottom"/>
          </w:tcPr>
          <w:p>
            <w:pPr>
              <w:jc w:val="right"/>
              <w:ind w:right="130"/>
              <w:spacing w:after="0" w:line="202" w:lineRule="exact"/>
              <w:rPr>
                <w:sz w:val="20"/>
                <w:szCs w:val="20"/>
                <w:color w:val="auto"/>
              </w:rPr>
            </w:pPr>
            <w:r>
              <w:rPr>
                <w:rFonts w:ascii="Arial" w:cs="Arial" w:eastAsia="Arial" w:hAnsi="Arial"/>
                <w:sz w:val="18"/>
                <w:szCs w:val="18"/>
                <w:color w:val="auto"/>
              </w:rPr>
              <w:t>(7)</w:t>
            </w:r>
          </w:p>
        </w:tc>
        <w:tc>
          <w:tcPr>
            <w:tcW w:w="9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17,639</w:t>
            </w:r>
          </w:p>
        </w:tc>
      </w:tr>
      <w:tr>
        <w:trPr>
          <w:trHeight w:val="203"/>
        </w:trPr>
        <w:tc>
          <w:tcPr>
            <w:tcW w:w="3340" w:type="dxa"/>
            <w:vAlign w:val="bottom"/>
          </w:tcPr>
          <w:p>
            <w:pPr>
              <w:spacing w:after="0" w:line="202" w:lineRule="exact"/>
              <w:rPr>
                <w:sz w:val="20"/>
                <w:szCs w:val="20"/>
                <w:color w:val="auto"/>
              </w:rPr>
            </w:pPr>
            <w:r>
              <w:rPr>
                <w:rFonts w:ascii="Arial" w:cs="Arial" w:eastAsia="Arial" w:hAnsi="Arial"/>
                <w:sz w:val="18"/>
                <w:szCs w:val="18"/>
                <w:color w:val="auto"/>
              </w:rPr>
              <w:t>Pension and postretirement liability</w:t>
            </w:r>
          </w:p>
        </w:tc>
        <w:tc>
          <w:tcPr>
            <w:tcW w:w="9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3340" w:type="dxa"/>
            <w:vAlign w:val="bottom"/>
          </w:tcPr>
          <w:p>
            <w:pPr>
              <w:spacing w:after="0" w:line="202" w:lineRule="exact"/>
              <w:rPr>
                <w:sz w:val="20"/>
                <w:szCs w:val="20"/>
                <w:color w:val="auto"/>
              </w:rPr>
            </w:pPr>
            <w:r>
              <w:rPr>
                <w:rFonts w:ascii="Arial" w:cs="Arial" w:eastAsia="Arial" w:hAnsi="Arial"/>
                <w:sz w:val="18"/>
                <w:szCs w:val="18"/>
                <w:color w:val="auto"/>
              </w:rPr>
              <w:t>adjustments</w:t>
            </w:r>
          </w:p>
        </w:tc>
        <w:tc>
          <w:tcPr>
            <w:tcW w:w="98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w:t>
            </w:r>
          </w:p>
        </w:tc>
        <w:tc>
          <w:tcPr>
            <w:tcW w:w="1060" w:type="dxa"/>
            <w:vAlign w:val="bottom"/>
          </w:tcPr>
          <w:p>
            <w:pPr>
              <w:jc w:val="right"/>
              <w:ind w:right="130"/>
              <w:spacing w:after="0" w:line="202" w:lineRule="exact"/>
              <w:rPr>
                <w:sz w:val="20"/>
                <w:szCs w:val="20"/>
                <w:color w:val="auto"/>
              </w:rPr>
            </w:pPr>
            <w:r>
              <w:rPr>
                <w:rFonts w:ascii="Arial" w:cs="Arial" w:eastAsia="Arial" w:hAnsi="Arial"/>
                <w:sz w:val="18"/>
                <w:szCs w:val="18"/>
                <w:color w:val="auto"/>
              </w:rPr>
              <w:t>-</w:t>
            </w:r>
          </w:p>
        </w:tc>
        <w:tc>
          <w:tcPr>
            <w:tcW w:w="1020" w:type="dxa"/>
            <w:vAlign w:val="bottom"/>
          </w:tcPr>
          <w:p>
            <w:pPr>
              <w:jc w:val="right"/>
              <w:ind w:right="90"/>
              <w:spacing w:after="0" w:line="202" w:lineRule="exact"/>
              <w:rPr>
                <w:sz w:val="20"/>
                <w:szCs w:val="20"/>
                <w:color w:val="auto"/>
              </w:rPr>
            </w:pPr>
            <w:r>
              <w:rPr>
                <w:rFonts w:ascii="Arial" w:cs="Arial" w:eastAsia="Arial" w:hAnsi="Arial"/>
                <w:sz w:val="18"/>
                <w:szCs w:val="18"/>
                <w:color w:val="auto"/>
              </w:rPr>
              <w:t>-</w:t>
            </w:r>
          </w:p>
        </w:tc>
        <w:tc>
          <w:tcPr>
            <w:tcW w:w="1520" w:type="dxa"/>
            <w:vAlign w:val="bottom"/>
          </w:tcPr>
          <w:p>
            <w:pPr>
              <w:jc w:val="right"/>
              <w:ind w:right="130"/>
              <w:spacing w:after="0" w:line="202" w:lineRule="exact"/>
              <w:rPr>
                <w:sz w:val="20"/>
                <w:szCs w:val="20"/>
                <w:color w:val="auto"/>
              </w:rPr>
            </w:pPr>
            <w:r>
              <w:rPr>
                <w:rFonts w:ascii="Arial" w:cs="Arial" w:eastAsia="Arial" w:hAnsi="Arial"/>
                <w:sz w:val="18"/>
                <w:szCs w:val="18"/>
                <w:color w:val="auto"/>
              </w:rPr>
              <w:t>(13)</w:t>
            </w:r>
          </w:p>
        </w:tc>
        <w:tc>
          <w:tcPr>
            <w:tcW w:w="1080" w:type="dxa"/>
            <w:vAlign w:val="bottom"/>
          </w:tcPr>
          <w:p>
            <w:pPr>
              <w:jc w:val="right"/>
              <w:ind w:right="90"/>
              <w:spacing w:after="0" w:line="202" w:lineRule="exact"/>
              <w:rPr>
                <w:sz w:val="20"/>
                <w:szCs w:val="20"/>
                <w:color w:val="auto"/>
              </w:rPr>
            </w:pPr>
            <w:r>
              <w:rPr>
                <w:rFonts w:ascii="Arial" w:cs="Arial" w:eastAsia="Arial" w:hAnsi="Arial"/>
                <w:sz w:val="18"/>
                <w:szCs w:val="18"/>
                <w:color w:val="auto"/>
              </w:rPr>
              <w:t>-</w:t>
            </w:r>
          </w:p>
        </w:tc>
        <w:tc>
          <w:tcPr>
            <w:tcW w:w="1480" w:type="dxa"/>
            <w:vAlign w:val="bottom"/>
          </w:tcPr>
          <w:p>
            <w:pPr>
              <w:jc w:val="right"/>
              <w:ind w:right="190"/>
              <w:spacing w:after="0" w:line="202" w:lineRule="exact"/>
              <w:rPr>
                <w:sz w:val="20"/>
                <w:szCs w:val="20"/>
                <w:color w:val="auto"/>
              </w:rPr>
            </w:pPr>
            <w:r>
              <w:rPr>
                <w:rFonts w:ascii="Arial" w:cs="Arial" w:eastAsia="Arial" w:hAnsi="Arial"/>
                <w:sz w:val="18"/>
                <w:szCs w:val="18"/>
                <w:color w:val="auto"/>
              </w:rPr>
              <w:t>-</w:t>
            </w: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(13)</w:t>
            </w:r>
          </w:p>
        </w:tc>
      </w:tr>
      <w:tr>
        <w:trPr>
          <w:trHeight w:val="203"/>
        </w:trPr>
        <w:tc>
          <w:tcPr>
            <w:tcW w:w="3340" w:type="dxa"/>
            <w:vAlign w:val="bottom"/>
            <w:tcBorders>
              <w:bottom w:val="single" w:sz="8" w:color="auto"/>
            </w:tcBorders>
          </w:tcPr>
          <w:p>
            <w:pPr>
              <w:spacing w:after="0" w:line="203" w:lineRule="exact"/>
              <w:rPr>
                <w:sz w:val="20"/>
                <w:szCs w:val="20"/>
                <w:color w:val="auto"/>
              </w:rPr>
            </w:pPr>
            <w:r>
              <w:rPr>
                <w:rFonts w:ascii="Arial" w:cs="Arial" w:eastAsia="Arial" w:hAnsi="Arial"/>
                <w:sz w:val="18"/>
                <w:szCs w:val="18"/>
                <w:color w:val="auto"/>
              </w:rPr>
              <w:t>Derivative valuation adjustment</w:t>
            </w:r>
          </w:p>
        </w:tc>
        <w:tc>
          <w:tcPr>
            <w:tcW w:w="980" w:type="dxa"/>
            <w:vAlign w:val="bottom"/>
            <w:tcBorders>
              <w:bottom w:val="single" w:sz="8" w:color="auto"/>
            </w:tcBorders>
          </w:tcPr>
          <w:p>
            <w:pPr>
              <w:jc w:val="right"/>
              <w:ind w:right="110"/>
              <w:spacing w:after="0" w:line="203" w:lineRule="exact"/>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ind w:right="130"/>
              <w:spacing w:after="0" w:line="203" w:lineRule="exact"/>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ind w:right="90"/>
              <w:spacing w:after="0" w:line="203" w:lineRule="exact"/>
              <w:rPr>
                <w:sz w:val="20"/>
                <w:szCs w:val="20"/>
                <w:color w:val="auto"/>
              </w:rPr>
            </w:pPr>
            <w:r>
              <w:rPr>
                <w:rFonts w:ascii="Arial" w:cs="Arial" w:eastAsia="Arial" w:hAnsi="Arial"/>
                <w:sz w:val="18"/>
                <w:szCs w:val="18"/>
                <w:color w:val="auto"/>
              </w:rPr>
              <w:t>-</w:t>
            </w:r>
          </w:p>
        </w:tc>
        <w:tc>
          <w:tcPr>
            <w:tcW w:w="1520" w:type="dxa"/>
            <w:vAlign w:val="bottom"/>
            <w:tcBorders>
              <w:bottom w:val="single" w:sz="8" w:color="auto"/>
            </w:tcBorders>
          </w:tcPr>
          <w:p>
            <w:pPr>
              <w:jc w:val="right"/>
              <w:ind w:right="190"/>
              <w:spacing w:after="0" w:line="203" w:lineRule="exact"/>
              <w:rPr>
                <w:sz w:val="20"/>
                <w:szCs w:val="20"/>
                <w:color w:val="auto"/>
              </w:rPr>
            </w:pPr>
            <w:r>
              <w:rPr>
                <w:rFonts w:ascii="Arial" w:cs="Arial" w:eastAsia="Arial" w:hAnsi="Arial"/>
                <w:sz w:val="18"/>
                <w:szCs w:val="18"/>
                <w:color w:val="auto"/>
              </w:rPr>
              <w:t>4,480</w:t>
            </w:r>
          </w:p>
        </w:tc>
        <w:tc>
          <w:tcPr>
            <w:tcW w:w="1080" w:type="dxa"/>
            <w:vAlign w:val="bottom"/>
            <w:tcBorders>
              <w:bottom w:val="single" w:sz="8" w:color="auto"/>
            </w:tcBorders>
          </w:tcPr>
          <w:p>
            <w:pPr>
              <w:jc w:val="right"/>
              <w:ind w:right="90"/>
              <w:spacing w:after="0" w:line="203" w:lineRule="exact"/>
              <w:rPr>
                <w:sz w:val="20"/>
                <w:szCs w:val="20"/>
                <w:color w:val="auto"/>
              </w:rPr>
            </w:pPr>
            <w:r>
              <w:rPr>
                <w:rFonts w:ascii="Arial" w:cs="Arial" w:eastAsia="Arial" w:hAnsi="Arial"/>
                <w:sz w:val="18"/>
                <w:szCs w:val="18"/>
                <w:color w:val="auto"/>
              </w:rPr>
              <w:t>-</w:t>
            </w:r>
          </w:p>
        </w:tc>
        <w:tc>
          <w:tcPr>
            <w:tcW w:w="1480" w:type="dxa"/>
            <w:vAlign w:val="bottom"/>
            <w:tcBorders>
              <w:bottom w:val="single" w:sz="8" w:color="auto"/>
            </w:tcBorders>
          </w:tcPr>
          <w:p>
            <w:pPr>
              <w:jc w:val="right"/>
              <w:ind w:right="190"/>
              <w:spacing w:after="0" w:line="203" w:lineRule="exact"/>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rPr>
              <w:t>4,480</w:t>
            </w:r>
          </w:p>
        </w:tc>
      </w:tr>
      <w:tr>
        <w:trPr>
          <w:trHeight w:val="196"/>
        </w:trPr>
        <w:tc>
          <w:tcPr>
            <w:tcW w:w="334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b w:val="1"/>
                <w:bCs w:val="1"/>
                <w:color w:val="auto"/>
              </w:rPr>
              <w:t>March 31, 2018</w:t>
            </w:r>
          </w:p>
        </w:tc>
        <w:tc>
          <w:tcPr>
            <w:tcW w:w="980" w:type="dxa"/>
            <w:vAlign w:val="bottom"/>
            <w:tcBorders>
              <w:bottom w:val="single" w:sz="8" w:color="auto"/>
            </w:tcBorders>
          </w:tcPr>
          <w:p>
            <w:pPr>
              <w:jc w:val="right"/>
              <w:ind w:right="110"/>
              <w:spacing w:after="0" w:line="196" w:lineRule="exact"/>
              <w:rPr>
                <w:sz w:val="20"/>
                <w:szCs w:val="20"/>
                <w:color w:val="auto"/>
              </w:rPr>
            </w:pPr>
            <w:r>
              <w:rPr>
                <w:rFonts w:ascii="Arial" w:cs="Arial" w:eastAsia="Arial" w:hAnsi="Arial"/>
                <w:sz w:val="18"/>
                <w:szCs w:val="18"/>
                <w:b w:val="1"/>
                <w:bCs w:val="1"/>
                <w:color w:val="auto"/>
              </w:rPr>
              <w:t>$40</w:t>
            </w:r>
          </w:p>
        </w:tc>
        <w:tc>
          <w:tcPr>
            <w:tcW w:w="1060" w:type="dxa"/>
            <w:vAlign w:val="bottom"/>
            <w:tcBorders>
              <w:bottom w:val="single" w:sz="8" w:color="auto"/>
            </w:tcBorders>
          </w:tcPr>
          <w:p>
            <w:pPr>
              <w:jc w:val="right"/>
              <w:ind w:right="130"/>
              <w:spacing w:after="0" w:line="196" w:lineRule="exact"/>
              <w:rPr>
                <w:sz w:val="20"/>
                <w:szCs w:val="20"/>
                <w:color w:val="auto"/>
              </w:rPr>
            </w:pPr>
            <w:r>
              <w:rPr>
                <w:rFonts w:ascii="Arial" w:cs="Arial" w:eastAsia="Arial" w:hAnsi="Arial"/>
                <w:sz w:val="18"/>
                <w:szCs w:val="18"/>
                <w:b w:val="1"/>
                <w:bCs w:val="1"/>
                <w:color w:val="auto"/>
              </w:rPr>
              <w:t>$428,859</w:t>
            </w:r>
          </w:p>
        </w:tc>
        <w:tc>
          <w:tcPr>
            <w:tcW w:w="1020" w:type="dxa"/>
            <w:vAlign w:val="bottom"/>
            <w:tcBorders>
              <w:bottom w:val="single" w:sz="8" w:color="auto"/>
            </w:tcBorders>
          </w:tcPr>
          <w:p>
            <w:pPr>
              <w:jc w:val="right"/>
              <w:ind w:right="90"/>
              <w:spacing w:after="0" w:line="196" w:lineRule="exact"/>
              <w:rPr>
                <w:sz w:val="20"/>
                <w:szCs w:val="20"/>
                <w:color w:val="auto"/>
              </w:rPr>
            </w:pPr>
            <w:r>
              <w:rPr>
                <w:rFonts w:ascii="Arial" w:cs="Arial" w:eastAsia="Arial" w:hAnsi="Arial"/>
                <w:sz w:val="18"/>
                <w:szCs w:val="18"/>
                <w:b w:val="1"/>
                <w:bCs w:val="1"/>
                <w:color w:val="auto"/>
              </w:rPr>
              <w:t>$533,759</w:t>
            </w:r>
          </w:p>
        </w:tc>
        <w:tc>
          <w:tcPr>
            <w:tcW w:w="1520" w:type="dxa"/>
            <w:vAlign w:val="bottom"/>
            <w:tcBorders>
              <w:bottom w:val="single" w:sz="8" w:color="auto"/>
            </w:tcBorders>
          </w:tcPr>
          <w:p>
            <w:pPr>
              <w:jc w:val="right"/>
              <w:ind w:right="130"/>
              <w:spacing w:after="0" w:line="196" w:lineRule="exact"/>
              <w:rPr>
                <w:sz w:val="20"/>
                <w:szCs w:val="20"/>
                <w:color w:val="auto"/>
              </w:rPr>
            </w:pPr>
            <w:r>
              <w:rPr>
                <w:rFonts w:ascii="Arial" w:cs="Arial" w:eastAsia="Arial" w:hAnsi="Arial"/>
                <w:sz w:val="18"/>
                <w:szCs w:val="18"/>
                <w:b w:val="1"/>
                <w:bCs w:val="1"/>
                <w:color w:val="auto"/>
              </w:rPr>
              <w:t>($113,788)</w:t>
            </w:r>
          </w:p>
        </w:tc>
        <w:tc>
          <w:tcPr>
            <w:tcW w:w="108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b w:val="1"/>
                <w:bCs w:val="1"/>
                <w:color w:val="auto"/>
              </w:rPr>
              <w:t>($256,876)</w:t>
            </w:r>
          </w:p>
        </w:tc>
        <w:tc>
          <w:tcPr>
            <w:tcW w:w="1480" w:type="dxa"/>
            <w:vAlign w:val="bottom"/>
            <w:tcBorders>
              <w:bottom w:val="single" w:sz="8" w:color="auto"/>
            </w:tcBorders>
          </w:tcPr>
          <w:p>
            <w:pPr>
              <w:jc w:val="right"/>
              <w:ind w:right="190"/>
              <w:spacing w:after="0" w:line="196" w:lineRule="exact"/>
              <w:rPr>
                <w:sz w:val="20"/>
                <w:szCs w:val="20"/>
                <w:color w:val="auto"/>
              </w:rPr>
            </w:pPr>
            <w:r>
              <w:rPr>
                <w:rFonts w:ascii="Arial" w:cs="Arial" w:eastAsia="Arial" w:hAnsi="Arial"/>
                <w:sz w:val="18"/>
                <w:szCs w:val="18"/>
                <w:b w:val="1"/>
                <w:bCs w:val="1"/>
                <w:color w:val="auto"/>
              </w:rPr>
              <w:t>$3,150</w:t>
            </w:r>
          </w:p>
        </w:tc>
        <w:tc>
          <w:tcPr>
            <w:tcW w:w="94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b w:val="1"/>
                <w:bCs w:val="1"/>
                <w:color w:val="auto"/>
              </w:rPr>
              <w:t>$595,144</w:t>
            </w:r>
          </w:p>
        </w:tc>
      </w:tr>
    </w:tbl>
    <w:p>
      <w:pPr>
        <w:spacing w:after="0" w:line="377" w:lineRule="exact"/>
        <w:rPr>
          <w:sz w:val="20"/>
          <w:szCs w:val="20"/>
          <w:color w:val="auto"/>
        </w:rPr>
      </w:pPr>
    </w:p>
    <w:p>
      <w:pPr>
        <w:ind w:left="340" w:right="280" w:hanging="332"/>
        <w:spacing w:after="0" w:line="234" w:lineRule="auto"/>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As described in Note 2, the Company adopted ASC 606 effective January 1, 2018, which resulted in a decrease to Retained earnings of $5.6 million and a $0.3 million decrease to Noncontrolling interest.</w:t>
      </w:r>
    </w:p>
    <w:p>
      <w:pPr>
        <w:spacing w:after="0" w:line="1" w:lineRule="exact"/>
        <w:rPr>
          <w:rFonts w:ascii="Arial" w:cs="Arial" w:eastAsia="Arial" w:hAnsi="Arial"/>
          <w:sz w:val="18"/>
          <w:szCs w:val="18"/>
          <w:color w:val="auto"/>
        </w:rPr>
      </w:pPr>
    </w:p>
    <w:p>
      <w:pPr>
        <w:ind w:left="340" w:right="520" w:hanging="332"/>
        <w:spacing w:after="0" w:line="246" w:lineRule="auto"/>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As described in Note 7, the Company adopted ASU 2016-16 effective January 1, 2018, which resulted in a $0.5 increase to Retained earnings.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342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598" w:right="23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color w:val="auto"/>
        </w:rPr>
        <w:t>19. Recent Accounting Pronouncements</w:t>
      </w:r>
    </w:p>
    <w:p>
      <w:pPr>
        <w:spacing w:after="0" w:line="220" w:lineRule="exact"/>
        <w:rPr>
          <w:sz w:val="20"/>
          <w:szCs w:val="20"/>
          <w:color w:val="auto"/>
        </w:rPr>
      </w:pPr>
    </w:p>
    <w:p>
      <w:pPr>
        <w:ind w:firstLine="648"/>
        <w:spacing w:after="0" w:line="237" w:lineRule="auto"/>
        <w:rPr>
          <w:sz w:val="20"/>
          <w:szCs w:val="20"/>
          <w:color w:val="auto"/>
        </w:rPr>
      </w:pPr>
      <w:r>
        <w:rPr>
          <w:rFonts w:ascii="Arial" w:cs="Arial" w:eastAsia="Arial" w:hAnsi="Arial"/>
          <w:sz w:val="18"/>
          <w:szCs w:val="18"/>
          <w:color w:val="auto"/>
        </w:rPr>
        <w:t>In February 2016, an accounting update was issued which requires the recognition of lease assets and lease liabilities on the balance sheet and the disclosure of key information about leasing arrangements for both lessees and lessors. The new standard is effective January 1, 2019 for public companies, with early adoption permitted. Currently, we are required to adopt the requirements of the new standard by applying a modified retrospective approach to the beginning of the earliest period presented in the financial statements. We are continuing to evaluate the expected impact to our consolidated financial statements and related disclosures. We will adopt the new standard effective January 1, 2019.</w:t>
      </w:r>
    </w:p>
    <w:p>
      <w:pPr>
        <w:spacing w:after="0" w:line="165" w:lineRule="exact"/>
        <w:rPr>
          <w:sz w:val="20"/>
          <w:szCs w:val="20"/>
          <w:color w:val="auto"/>
        </w:rPr>
      </w:pPr>
    </w:p>
    <w:p>
      <w:pPr>
        <w:ind w:right="20" w:firstLine="648"/>
        <w:spacing w:after="0"/>
        <w:rPr>
          <w:sz w:val="20"/>
          <w:szCs w:val="20"/>
          <w:color w:val="auto"/>
        </w:rPr>
      </w:pPr>
      <w:r>
        <w:rPr>
          <w:rFonts w:ascii="Arial" w:cs="Arial" w:eastAsia="Arial" w:hAnsi="Arial"/>
          <w:sz w:val="18"/>
          <w:szCs w:val="18"/>
          <w:color w:val="auto"/>
        </w:rPr>
        <w:t>In November 2016, an accounting update was issued which provides clarification of how changes in restricted cash should be reported in the statement of cash flows. We adopted this accounting update on January 1, 2018 and it did not have a material effect on our financial statements.</w:t>
      </w:r>
    </w:p>
    <w:p>
      <w:pPr>
        <w:spacing w:after="0" w:line="189" w:lineRule="exact"/>
        <w:rPr>
          <w:sz w:val="20"/>
          <w:szCs w:val="20"/>
          <w:color w:val="auto"/>
        </w:rPr>
      </w:pPr>
    </w:p>
    <w:p>
      <w:pPr>
        <w:ind w:right="20" w:firstLine="648"/>
        <w:spacing w:after="0" w:line="238" w:lineRule="auto"/>
        <w:rPr>
          <w:sz w:val="20"/>
          <w:szCs w:val="20"/>
          <w:color w:val="auto"/>
        </w:rPr>
      </w:pPr>
      <w:r>
        <w:rPr>
          <w:rFonts w:ascii="Arial" w:cs="Arial" w:eastAsia="Arial" w:hAnsi="Arial"/>
          <w:sz w:val="18"/>
          <w:szCs w:val="18"/>
          <w:color w:val="auto"/>
        </w:rPr>
        <w:t>In May 2017, an accounting update was issued to provide clarity as to when a company must account for changes to stock-based compensation programs as award modifications. Award modifications require an update to the value of the award, resulting in an adjustment to compensation expense. We have not made changes to awards in recent years that would be affected by this update, but such changes are possible in future periods. We adopted this accounting update on January 1, 2018 and it did not have a material effect on our financial statements.</w:t>
      </w:r>
    </w:p>
    <w:p>
      <w:pPr>
        <w:spacing w:after="0" w:line="189" w:lineRule="exact"/>
        <w:rPr>
          <w:sz w:val="20"/>
          <w:szCs w:val="20"/>
          <w:color w:val="auto"/>
        </w:rPr>
      </w:pPr>
    </w:p>
    <w:p>
      <w:pPr>
        <w:ind w:right="420" w:firstLine="648"/>
        <w:spacing w:after="0" w:line="239" w:lineRule="auto"/>
        <w:rPr>
          <w:sz w:val="20"/>
          <w:szCs w:val="20"/>
          <w:color w:val="auto"/>
        </w:rPr>
      </w:pPr>
      <w:r>
        <w:rPr>
          <w:rFonts w:ascii="Arial" w:cs="Arial" w:eastAsia="Arial" w:hAnsi="Arial"/>
          <w:sz w:val="18"/>
          <w:szCs w:val="18"/>
          <w:color w:val="auto"/>
        </w:rPr>
        <w:t>In August 2017, an accounting update was issued which simplifies the application of hedge accounting to better align the financial reporting of hedging relationships with a company’s risk management activities. We do not expect a significant impact to our consolidated assets and liabilities, net earnings, or cash flows as a result of adopting this new standard. We plan to adopt the new standard effective January 1, 2019.</w:t>
      </w:r>
    </w:p>
    <w:p>
      <w:pPr>
        <w:spacing w:after="0" w:line="175" w:lineRule="exact"/>
        <w:rPr>
          <w:sz w:val="20"/>
          <w:szCs w:val="20"/>
          <w:color w:val="auto"/>
        </w:rPr>
      </w:pPr>
    </w:p>
    <w:p>
      <w:pPr>
        <w:ind w:right="100" w:firstLine="648"/>
        <w:spacing w:after="0"/>
        <w:rPr>
          <w:sz w:val="20"/>
          <w:szCs w:val="20"/>
          <w:color w:val="auto"/>
        </w:rPr>
      </w:pPr>
      <w:r>
        <w:rPr>
          <w:rFonts w:ascii="Arial" w:cs="Arial" w:eastAsia="Arial" w:hAnsi="Arial"/>
          <w:sz w:val="18"/>
          <w:szCs w:val="18"/>
          <w:color w:val="auto"/>
        </w:rPr>
        <w:t>In February 2018, an accounting update was issued which allows a reclassification from accumulated other comprehensive income to retained earnings for stranded tax effects resulting from the Tax Cuts and Jobs Act. This update is effective for annual and interim periods in fiscal years beginning after December 15, 2018. We are currently evaluating the impact of this update.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93" w:lineRule="exact"/>
        <w:rPr>
          <w:sz w:val="20"/>
          <w:szCs w:val="20"/>
          <w:color w:val="auto"/>
        </w:rPr>
      </w:pPr>
    </w:p>
    <w:p>
      <w:pPr>
        <w:ind w:right="380" w:firstLine="648"/>
        <w:spacing w:after="0"/>
        <w:rPr>
          <w:sz w:val="20"/>
          <w:szCs w:val="20"/>
          <w:color w:val="auto"/>
        </w:rPr>
      </w:pPr>
      <w:r>
        <w:rPr>
          <w:rFonts w:ascii="Arial" w:cs="Arial" w:eastAsia="Arial" w:hAnsi="Arial"/>
          <w:sz w:val="18"/>
          <w:szCs w:val="18"/>
          <w:color w:val="auto"/>
        </w:rPr>
        <w:t>Management’s Discussion and Analysis (“MD&amp;A”) is intended to help the reader understand the results of operations and financial condition of the Company. MD&amp;A is provided as a supplement to, and should be read in conjunction with, our Consolidated Financial Statements and the accompanying Notes.</w:t>
      </w: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07" w:lineRule="exact"/>
        <w:rPr>
          <w:sz w:val="20"/>
          <w:szCs w:val="20"/>
          <w:color w:val="auto"/>
        </w:rPr>
      </w:pPr>
    </w:p>
    <w:p>
      <w:pPr>
        <w:ind w:right="120" w:firstLine="648"/>
        <w:spacing w:after="0" w:line="238" w:lineRule="auto"/>
        <w:rPr>
          <w:sz w:val="20"/>
          <w:szCs w:val="20"/>
          <w:color w:val="auto"/>
        </w:rPr>
      </w:pPr>
      <w:r>
        <w:rPr>
          <w:rFonts w:ascii="Arial" w:cs="Arial" w:eastAsia="Arial" w:hAnsi="Arial"/>
          <w:sz w:val="18"/>
          <w:szCs w:val="18"/>
          <w:color w:val="auto"/>
        </w:rPr>
        <w:t>This quarterly report and the documents incorporated or deemed to be incorporated by reference in this quarterly report contain statements concerning our future results and performance and other matters that are “forward-looking” statements within the meaning of Section 27A of the Securities Act and Section 21E of the Securities Exchange Act of 1934, as amended (the “Exchange Act”). The words “believe,” “expect,” “anticipate,” “intend,” “estimate,” “plan,” “project,” ”may,” “will,” “should” and variations of such words or similar expressions are intended, but are not the exclusive</w:t>
      </w:r>
    </w:p>
    <w:p>
      <w:pPr>
        <w:spacing w:after="0" w:line="25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342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380"/>
          </w:cols>
          <w:pgMar w:left="240" w:top="576" w:right="279" w:bottom="1440" w:gutter="0" w:footer="0" w:header="0"/>
        </w:sectPr>
      </w:pPr>
    </w:p>
    <w:bookmarkStart w:id="38" w:name="page39"/>
    <w:bookmarkEnd w:id="38"/>
    <w:p>
      <w:pPr>
        <w:jc w:val="both"/>
        <w:ind w:right="240"/>
        <w:spacing w:after="0"/>
        <w:rPr>
          <w:sz w:val="20"/>
          <w:szCs w:val="20"/>
          <w:color w:val="auto"/>
        </w:rPr>
      </w:pPr>
      <w:r>
        <w:rPr>
          <w:rFonts w:ascii="Arial" w:cs="Arial" w:eastAsia="Arial" w:hAnsi="Arial"/>
          <w:sz w:val="18"/>
          <w:szCs w:val="18"/>
          <w:color w:val="auto"/>
        </w:rPr>
        <w:t>means, to identify forward-looking statements. Because forward-looking statements are subject to risks and uncertainties, (including, without limitation, those set forth in the Company’s most recent Annual Report on Form 10-K or prior Quarterly Reports on Form 10-Q) actual results may differ materially from those expressed or implied by the forward-looking statements.</w:t>
      </w:r>
    </w:p>
    <w:p>
      <w:pPr>
        <w:spacing w:after="0" w:line="162" w:lineRule="exact"/>
        <w:rPr>
          <w:sz w:val="20"/>
          <w:szCs w:val="20"/>
          <w:color w:val="auto"/>
        </w:rPr>
      </w:pPr>
    </w:p>
    <w:p>
      <w:pPr>
        <w:ind w:right="520" w:firstLine="648"/>
        <w:spacing w:after="0" w:line="246" w:lineRule="auto"/>
        <w:rPr>
          <w:sz w:val="20"/>
          <w:szCs w:val="20"/>
          <w:color w:val="auto"/>
        </w:rPr>
      </w:pPr>
      <w:r>
        <w:rPr>
          <w:rFonts w:ascii="Arial" w:cs="Arial" w:eastAsia="Arial" w:hAnsi="Arial"/>
          <w:sz w:val="18"/>
          <w:szCs w:val="18"/>
          <w:color w:val="auto"/>
        </w:rPr>
        <w:t>There are a number of risks, uncertainties, and other important factors that could cause actual results to differ materially from the forward-looking statements, including, but not limited to:</w:t>
      </w:r>
    </w:p>
    <w:p>
      <w:pPr>
        <w:spacing w:after="0" w:line="170" w:lineRule="exact"/>
        <w:rPr>
          <w:sz w:val="20"/>
          <w:szCs w:val="20"/>
          <w:color w:val="auto"/>
        </w:rPr>
      </w:pPr>
    </w:p>
    <w:p>
      <w:pPr>
        <w:ind w:left="660" w:right="420" w:hanging="328"/>
        <w:spacing w:after="0" w:line="246"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Conditions in the industries in which our Machine Clothing and Albany Engineered Composites segments compete, along with the general risks associated with macroeconomic conditions;</w:t>
      </w:r>
    </w:p>
    <w:p>
      <w:pPr>
        <w:spacing w:after="0" w:line="156" w:lineRule="exact"/>
        <w:rPr>
          <w:rFonts w:ascii="Arial" w:cs="Arial" w:eastAsia="Arial" w:hAnsi="Arial"/>
          <w:sz w:val="18"/>
          <w:szCs w:val="18"/>
          <w:color w:val="auto"/>
        </w:rPr>
      </w:pPr>
    </w:p>
    <w:p>
      <w:pPr>
        <w:ind w:left="660" w:right="600" w:hanging="328"/>
        <w:spacing w:after="0" w:line="246"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 the Machine Clothing segment, greater than anticipated declines in the demand for publication grades of paper or, lower than anticipated growth in other paper grades;</w:t>
      </w:r>
    </w:p>
    <w:p>
      <w:pPr>
        <w:spacing w:after="0" w:line="156" w:lineRule="exact"/>
        <w:rPr>
          <w:rFonts w:ascii="Arial" w:cs="Arial" w:eastAsia="Arial" w:hAnsi="Arial"/>
          <w:sz w:val="18"/>
          <w:szCs w:val="18"/>
          <w:color w:val="auto"/>
        </w:rPr>
      </w:pPr>
    </w:p>
    <w:p>
      <w:pPr>
        <w:ind w:left="660" w:right="280" w:hanging="328"/>
        <w:spacing w:after="0" w:line="246"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 the Albany Engineered Composites segment, unanticipated reductions in demand, delays, technical difficulties or cancellations in aerospace programs that are expected to drive growth;</w:t>
      </w:r>
    </w:p>
    <w:p>
      <w:pPr>
        <w:spacing w:after="0" w:line="16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Failure to achieve or maintain anticipated profitable growth in our Albany Engineered Composites segment; and</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Other risks and uncertainties detailed in this report.</w:t>
      </w:r>
    </w:p>
    <w:p>
      <w:pPr>
        <w:spacing w:after="0" w:line="185" w:lineRule="exact"/>
        <w:rPr>
          <w:sz w:val="20"/>
          <w:szCs w:val="20"/>
          <w:color w:val="auto"/>
        </w:rPr>
      </w:pPr>
    </w:p>
    <w:p>
      <w:pPr>
        <w:ind w:firstLine="648"/>
        <w:spacing w:after="0" w:line="236" w:lineRule="auto"/>
        <w:rPr>
          <w:sz w:val="20"/>
          <w:szCs w:val="20"/>
          <w:color w:val="auto"/>
        </w:rPr>
      </w:pPr>
      <w:r>
        <w:rPr>
          <w:rFonts w:ascii="Arial" w:cs="Arial" w:eastAsia="Arial" w:hAnsi="Arial"/>
          <w:sz w:val="18"/>
          <w:szCs w:val="18"/>
          <w:color w:val="auto"/>
        </w:rPr>
        <w:t>Further information concerning important factors that could cause actual events or results to be materially different from the forward-looking statements can be found in “Business Environment Overview and Trends” sections of this quarterly report, as well as in Item 1A-“Risk Factors” section of our most recent Annual Report on Form 10-K. Statements expressing our assessments of the growth potential of the Albany Engineered Composites segment are not intended as forecasts of actual future growth, and should not be relied on as such. While we believe such assessments to have a reasonable basis, such assessments are, by their nature, inherently uncertain. This report sets forth a number of assumptions regarding these assessments, including projected timing and volume of demand for aircraft and for LEAP aircraft engines. Such assumptions could prove incorrect. Although we believe the expectations reflected in our other forward-looking statements are based on reasonable assumptions, it is not possible to foresee or identify all factors that could have a material and negative impact on our future performance. The forward-looking statements included or incorporated by reference in this report are made on the basis of our assumptions and analyses, as of the time the statements are made, in light of our experience and perception of historical conditions, expected future developments, and other factors believed to be appropriate under the circumstances.</w:t>
      </w:r>
    </w:p>
    <w:p>
      <w:pPr>
        <w:spacing w:after="0" w:line="179" w:lineRule="exact"/>
        <w:rPr>
          <w:sz w:val="20"/>
          <w:szCs w:val="20"/>
          <w:color w:val="auto"/>
        </w:rPr>
      </w:pPr>
    </w:p>
    <w:p>
      <w:pPr>
        <w:ind w:right="60" w:firstLine="648"/>
        <w:spacing w:after="0"/>
        <w:rPr>
          <w:sz w:val="20"/>
          <w:szCs w:val="20"/>
          <w:color w:val="auto"/>
        </w:rPr>
      </w:pPr>
      <w:r>
        <w:rPr>
          <w:rFonts w:ascii="Arial" w:cs="Arial" w:eastAsia="Arial" w:hAnsi="Arial"/>
          <w:sz w:val="18"/>
          <w:szCs w:val="18"/>
          <w:color w:val="auto"/>
        </w:rPr>
        <w:t>Except as otherwise required by the federal securities laws, we disclaim any obligations or undertaking to publicly release any updates or revisions to any forward-looking statement contained or incorporated by reference in this report to reflect any change in our expectations with regard thereto or any change in events, conditions or circumstances on which any such statement is based.</w:t>
      </w: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Environment Overview and Trends</w:t>
      </w:r>
    </w:p>
    <w:p>
      <w:pPr>
        <w:spacing w:after="0" w:line="220" w:lineRule="exact"/>
        <w:rPr>
          <w:sz w:val="20"/>
          <w:szCs w:val="20"/>
          <w:color w:val="auto"/>
        </w:rPr>
      </w:pPr>
    </w:p>
    <w:p>
      <w:pPr>
        <w:ind w:right="20" w:firstLine="648"/>
        <w:spacing w:after="0" w:line="246" w:lineRule="auto"/>
        <w:rPr>
          <w:sz w:val="20"/>
          <w:szCs w:val="20"/>
          <w:color w:val="auto"/>
        </w:rPr>
      </w:pPr>
      <w:r>
        <w:rPr>
          <w:rFonts w:ascii="Arial" w:cs="Arial" w:eastAsia="Arial" w:hAnsi="Arial"/>
          <w:sz w:val="18"/>
          <w:szCs w:val="18"/>
          <w:color w:val="auto"/>
        </w:rPr>
        <w:t>Our reportable segments, Machine Clothing (MC) and Albany Engineered Composites (AEC), draw on the same advanced textiles and materials processing capabilities, and compete on the basis of product-based advantage that is grounded in those core capabilities.</w:t>
      </w:r>
    </w:p>
    <w:p>
      <w:pPr>
        <w:spacing w:after="0" w:line="183" w:lineRule="exact"/>
        <w:rPr>
          <w:sz w:val="20"/>
          <w:szCs w:val="20"/>
          <w:color w:val="auto"/>
        </w:rPr>
      </w:pPr>
    </w:p>
    <w:p>
      <w:pPr>
        <w:ind w:right="120" w:firstLine="648"/>
        <w:spacing w:after="0" w:line="246" w:lineRule="auto"/>
        <w:rPr>
          <w:sz w:val="20"/>
          <w:szCs w:val="20"/>
          <w:color w:val="auto"/>
        </w:rPr>
      </w:pPr>
      <w:r>
        <w:rPr>
          <w:rFonts w:ascii="Arial" w:cs="Arial" w:eastAsia="Arial" w:hAnsi="Arial"/>
          <w:sz w:val="18"/>
          <w:szCs w:val="18"/>
          <w:color w:val="auto"/>
        </w:rPr>
        <w:t>The Machine Clothing segment is the Company’s long-established core business and primary generator of cash. While it has suffered from well-documented declines in publication grades in the</w:t>
      </w: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342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00"/>
          </w:cols>
          <w:pgMar w:left="240" w:top="800" w:right="259" w:bottom="1440" w:gutter="0" w:footer="0" w:header="0"/>
        </w:sectPr>
      </w:pPr>
    </w:p>
    <w:bookmarkStart w:id="39" w:name="page40"/>
    <w:bookmarkEnd w:id="39"/>
    <w:p>
      <w:pPr>
        <w:spacing w:after="0" w:line="236" w:lineRule="auto"/>
        <w:rPr>
          <w:sz w:val="20"/>
          <w:szCs w:val="20"/>
          <w:color w:val="auto"/>
        </w:rPr>
      </w:pPr>
      <w:r>
        <w:rPr>
          <w:rFonts w:ascii="Arial" w:cs="Arial" w:eastAsia="Arial" w:hAnsi="Arial"/>
          <w:sz w:val="18"/>
          <w:szCs w:val="18"/>
          <w:color w:val="auto"/>
        </w:rPr>
        <w:t>Company’s traditional markets, the paper and paperboard industry is still expected to grow slightly on a global basis, driven by demand for packaging and tissue grades. We feel we are now well-positioned in key markets, with high-quality, low-cost production in growth markets, substantially lower fixed costs in mature markets, and continued strength in new product development, technical product support, and manufacturing technology. Because of pricing pressures and industry overcapacity, the machine clothing and paper industries will continue to face top line pressure. Nonetheless, the business retains the potential for maintaining stable earnings in the future. It has been a significant generator of cash, and we seek to maintain the cash-generating potential of this business by maintaining the low costs that we achieved through previous restructuring, and competing vigorously by using our differentiated and technically superior products to reduce our customers’ total cost of operation and improve their paper quality.</w:t>
      </w:r>
    </w:p>
    <w:p>
      <w:pPr>
        <w:spacing w:after="0" w:line="168" w:lineRule="exact"/>
        <w:rPr>
          <w:sz w:val="20"/>
          <w:szCs w:val="20"/>
          <w:color w:val="auto"/>
        </w:rPr>
      </w:pPr>
    </w:p>
    <w:p>
      <w:pPr>
        <w:ind w:firstLine="648"/>
        <w:spacing w:after="0" w:line="236" w:lineRule="auto"/>
        <w:rPr>
          <w:sz w:val="20"/>
          <w:szCs w:val="20"/>
          <w:color w:val="auto"/>
        </w:rPr>
      </w:pPr>
      <w:r>
        <w:rPr>
          <w:rFonts w:ascii="Arial" w:cs="Arial" w:eastAsia="Arial" w:hAnsi="Arial"/>
          <w:sz w:val="18"/>
          <w:szCs w:val="18"/>
          <w:color w:val="auto"/>
        </w:rPr>
        <w:t>The AEC segment provides significant growth potential for our Company both near and long term. Our strategy is to grow by focusing our proprietary 3D-woven technology, as well as our conventional non-3D technology, on high-value aerospace and defense applications, while at the same time performing successfully on our portfolio of growth programs. AEC (including Albany Safran Composites, LLC (ASC), in which our customer SAFRAN Group owns a 10 percent noncontrolling interest) supplies a number of customers in the aerospace and defense industry. AEC’s largest aerospace customer is the SAFRAN Group and sales to SAFRAN (consisting primarily of fan blades and cases for CFM’s LEAP engine) accounted for approximately 14 percent of the Company’s consolidated net sales in 2017. Through ASC, AEC develops and sells 3D-woven composite aerospace components to SAFRAN, with the most significant current program being the production of fan blades and other components for the LEAP engine. AEC, through ASC, also supplies 3D-woven composite fan cases for the GE9X engine. AEC’s current portfolio of non-3D programs includes components for the F-35 Joint Strike Fighter, fuselage components for the Boeing 787, components for the CH-53K helicopter, vacuum waste tanks for Boeing 7-Series aircraft, and missile bodies for Lockheed Martin’s JASSM air-to-surface missiles. AEC is actively engaged in research to develop new applications in the aircraft engine, airframe, and automotive markets. In 2017, approximately 30 percent of AEC sales were related to U.S. government contracts or programs.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Consolidated Results of Operations</w:t>
      </w:r>
    </w:p>
    <w:p>
      <w:pPr>
        <w:spacing w:after="0" w:line="170" w:lineRule="exact"/>
        <w:rPr>
          <w:sz w:val="20"/>
          <w:szCs w:val="20"/>
          <w:color w:val="auto"/>
        </w:rPr>
      </w:pPr>
    </w:p>
    <w:p>
      <w:pPr>
        <w:ind w:right="440" w:firstLine="648"/>
        <w:spacing w:after="0" w:line="267" w:lineRule="auto"/>
        <w:rPr>
          <w:sz w:val="20"/>
          <w:szCs w:val="20"/>
          <w:color w:val="auto"/>
        </w:rPr>
      </w:pPr>
      <w:r>
        <w:rPr>
          <w:rFonts w:ascii="Arial" w:cs="Arial" w:eastAsia="Arial" w:hAnsi="Arial"/>
          <w:sz w:val="18"/>
          <w:szCs w:val="18"/>
          <w:color w:val="auto"/>
        </w:rPr>
        <w:t>In the first quarter of 2018, the Company adopted the provisions of ASC 606,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using the modified retrospective (or cumulative effect) method for transition. Under this transition method, periods prior to 2018 are not restated.</w:t>
      </w:r>
    </w:p>
    <w:p>
      <w:pPr>
        <w:spacing w:after="0" w:line="36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342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380"/>
          </w:cols>
          <w:pgMar w:left="240" w:top="800" w:right="279" w:bottom="1440" w:gutter="0" w:footer="0" w:header="0"/>
        </w:sectPr>
      </w:pPr>
    </w:p>
    <w:bookmarkStart w:id="40" w:name="page41"/>
    <w:bookmarkEnd w:id="40"/>
    <w:p>
      <w:pPr>
        <w:ind w:left="660"/>
        <w:spacing w:after="0"/>
        <w:rPr>
          <w:sz w:val="20"/>
          <w:szCs w:val="20"/>
          <w:color w:val="auto"/>
        </w:rPr>
      </w:pPr>
      <w:r>
        <w:rPr>
          <w:rFonts w:ascii="Arial" w:cs="Arial" w:eastAsia="Arial" w:hAnsi="Arial"/>
          <w:sz w:val="18"/>
          <w:szCs w:val="18"/>
          <w:color w:val="auto"/>
        </w:rPr>
        <w:t>The following table summarizes the effect on various operational metrics that resulted from the adoption of ASC 606:</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4880" w:type="dxa"/>
            <w:vAlign w:val="bottom"/>
            <w:tcBorders>
              <w:top w:val="single" w:sz="8" w:color="auto"/>
            </w:tcBorders>
            <w:gridSpan w:val="2"/>
          </w:tcPr>
          <w:p>
            <w:pPr>
              <w:spacing w:after="0" w:line="194" w:lineRule="exact"/>
              <w:rPr>
                <w:sz w:val="20"/>
                <w:szCs w:val="20"/>
                <w:color w:val="auto"/>
              </w:rPr>
            </w:pPr>
            <w:r>
              <w:rPr>
                <w:rFonts w:ascii="Arial" w:cs="Arial" w:eastAsia="Arial" w:hAnsi="Arial"/>
                <w:sz w:val="18"/>
                <w:szCs w:val="18"/>
                <w:b w:val="1"/>
                <w:bCs w:val="1"/>
                <w:color w:val="auto"/>
              </w:rPr>
              <w:t>Increase/(decrease) attributable to application of</w:t>
            </w:r>
          </w:p>
        </w:tc>
        <w:tc>
          <w:tcPr>
            <w:tcW w:w="1380" w:type="dxa"/>
            <w:vAlign w:val="bottom"/>
            <w:tcBorders>
              <w:top w:val="single" w:sz="8" w:color="auto"/>
            </w:tcBorders>
          </w:tcPr>
          <w:p>
            <w:pPr>
              <w:spacing w:after="0"/>
              <w:rPr>
                <w:sz w:val="16"/>
                <w:szCs w:val="16"/>
                <w:color w:val="auto"/>
              </w:rPr>
            </w:pPr>
          </w:p>
        </w:tc>
        <w:tc>
          <w:tcPr>
            <w:tcW w:w="1900" w:type="dxa"/>
            <w:vAlign w:val="bottom"/>
            <w:tcBorders>
              <w:top w:val="single" w:sz="8" w:color="auto"/>
            </w:tcBorders>
          </w:tcPr>
          <w:p>
            <w:pPr>
              <w:spacing w:after="0"/>
              <w:rPr>
                <w:sz w:val="16"/>
                <w:szCs w:val="16"/>
                <w:color w:val="auto"/>
              </w:rPr>
            </w:pPr>
          </w:p>
        </w:tc>
        <w:tc>
          <w:tcPr>
            <w:tcW w:w="1740" w:type="dxa"/>
            <w:vAlign w:val="bottom"/>
            <w:tcBorders>
              <w:top w:val="single" w:sz="8" w:color="auto"/>
            </w:tcBorders>
          </w:tcPr>
          <w:p>
            <w:pPr>
              <w:spacing w:after="0"/>
              <w:rPr>
                <w:sz w:val="16"/>
                <w:szCs w:val="16"/>
                <w:color w:val="auto"/>
              </w:rPr>
            </w:pPr>
          </w:p>
        </w:tc>
        <w:tc>
          <w:tcPr>
            <w:tcW w:w="152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4880" w:type="dxa"/>
            <w:vAlign w:val="bottom"/>
            <w:gridSpan w:val="2"/>
          </w:tcPr>
          <w:p>
            <w:pPr>
              <w:spacing w:after="0"/>
              <w:rPr>
                <w:sz w:val="20"/>
                <w:szCs w:val="20"/>
                <w:color w:val="auto"/>
              </w:rPr>
            </w:pPr>
            <w:r>
              <w:rPr>
                <w:rFonts w:ascii="Arial" w:cs="Arial" w:eastAsia="Arial" w:hAnsi="Arial"/>
                <w:sz w:val="18"/>
                <w:szCs w:val="18"/>
                <w:b w:val="1"/>
                <w:bCs w:val="1"/>
                <w:color w:val="auto"/>
              </w:rPr>
              <w:t>ASC 606 for the Three Months ended March 31, 2018</w:t>
            </w:r>
          </w:p>
        </w:tc>
        <w:tc>
          <w:tcPr>
            <w:tcW w:w="1380" w:type="dxa"/>
            <w:vAlign w:val="bottom"/>
          </w:tcPr>
          <w:p>
            <w:pPr>
              <w:spacing w:after="0"/>
              <w:rPr>
                <w:sz w:val="19"/>
                <w:szCs w:val="19"/>
                <w:color w:val="auto"/>
              </w:rPr>
            </w:pPr>
          </w:p>
        </w:tc>
        <w:tc>
          <w:tcPr>
            <w:tcW w:w="1900" w:type="dxa"/>
            <w:vAlign w:val="bottom"/>
          </w:tcPr>
          <w:p>
            <w:pPr>
              <w:jc w:val="center"/>
              <w:ind w:left="210"/>
              <w:spacing w:after="0"/>
              <w:rPr>
                <w:sz w:val="20"/>
                <w:szCs w:val="20"/>
                <w:color w:val="auto"/>
              </w:rPr>
            </w:pPr>
            <w:r>
              <w:rPr>
                <w:rFonts w:ascii="Arial" w:cs="Arial" w:eastAsia="Arial" w:hAnsi="Arial"/>
                <w:sz w:val="18"/>
                <w:szCs w:val="18"/>
                <w:color w:val="auto"/>
              </w:rPr>
              <w:t>Albany</w:t>
            </w:r>
          </w:p>
        </w:tc>
        <w:tc>
          <w:tcPr>
            <w:tcW w:w="1740" w:type="dxa"/>
            <w:vAlign w:val="bottom"/>
          </w:tcPr>
          <w:p>
            <w:pPr>
              <w:jc w:val="center"/>
              <w:spacing w:after="0"/>
              <w:rPr>
                <w:sz w:val="20"/>
                <w:szCs w:val="20"/>
                <w:color w:val="auto"/>
              </w:rPr>
            </w:pPr>
            <w:r>
              <w:rPr>
                <w:rFonts w:ascii="Arial" w:cs="Arial" w:eastAsia="Arial" w:hAnsi="Arial"/>
                <w:sz w:val="18"/>
                <w:szCs w:val="18"/>
                <w:color w:val="auto"/>
              </w:rPr>
              <w:t>Income tax and</w:t>
            </w: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60" w:type="dxa"/>
            <w:vAlign w:val="bottom"/>
          </w:tcPr>
          <w:p>
            <w:pPr>
              <w:spacing w:after="0"/>
              <w:rPr>
                <w:sz w:val="17"/>
                <w:szCs w:val="17"/>
                <w:color w:val="auto"/>
              </w:rPr>
            </w:pPr>
          </w:p>
        </w:tc>
        <w:tc>
          <w:tcPr>
            <w:tcW w:w="1380" w:type="dxa"/>
            <w:vAlign w:val="bottom"/>
          </w:tcPr>
          <w:p>
            <w:pPr>
              <w:jc w:val="right"/>
              <w:ind w:right="210"/>
              <w:spacing w:after="0" w:line="202" w:lineRule="exact"/>
              <w:rPr>
                <w:sz w:val="20"/>
                <w:szCs w:val="20"/>
                <w:color w:val="auto"/>
              </w:rPr>
            </w:pPr>
            <w:r>
              <w:rPr>
                <w:rFonts w:ascii="Arial" w:cs="Arial" w:eastAsia="Arial" w:hAnsi="Arial"/>
                <w:sz w:val="18"/>
                <w:szCs w:val="18"/>
                <w:color w:val="auto"/>
              </w:rPr>
              <w:t>Machine</w:t>
            </w:r>
          </w:p>
        </w:tc>
        <w:tc>
          <w:tcPr>
            <w:tcW w:w="1900" w:type="dxa"/>
            <w:vAlign w:val="bottom"/>
          </w:tcPr>
          <w:p>
            <w:pPr>
              <w:jc w:val="center"/>
              <w:ind w:left="210"/>
              <w:spacing w:after="0" w:line="202" w:lineRule="exact"/>
              <w:rPr>
                <w:sz w:val="20"/>
                <w:szCs w:val="20"/>
                <w:color w:val="auto"/>
              </w:rPr>
            </w:pPr>
            <w:r>
              <w:rPr>
                <w:rFonts w:ascii="Arial" w:cs="Arial" w:eastAsia="Arial" w:hAnsi="Arial"/>
                <w:sz w:val="18"/>
                <w:szCs w:val="18"/>
                <w:color w:val="auto"/>
                <w:w w:val="99"/>
              </w:rPr>
              <w:t>Engineered</w:t>
            </w:r>
          </w:p>
        </w:tc>
        <w:tc>
          <w:tcPr>
            <w:tcW w:w="1740" w:type="dxa"/>
            <w:vAlign w:val="bottom"/>
          </w:tcPr>
          <w:p>
            <w:pPr>
              <w:jc w:val="center"/>
              <w:spacing w:after="0" w:line="202" w:lineRule="exact"/>
              <w:rPr>
                <w:sz w:val="20"/>
                <w:szCs w:val="20"/>
                <w:color w:val="auto"/>
              </w:rPr>
            </w:pPr>
            <w:r>
              <w:rPr>
                <w:rFonts w:ascii="Arial" w:cs="Arial" w:eastAsia="Arial" w:hAnsi="Arial"/>
                <w:sz w:val="18"/>
                <w:szCs w:val="18"/>
                <w:color w:val="auto"/>
                <w:w w:val="99"/>
              </w:rPr>
              <w:t>noncontrolling</w:t>
            </w:r>
          </w:p>
        </w:tc>
        <w:tc>
          <w:tcPr>
            <w:tcW w:w="15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Total Company</w:t>
            </w:r>
          </w:p>
        </w:tc>
        <w:tc>
          <w:tcPr>
            <w:tcW w:w="0" w:type="dxa"/>
            <w:vAlign w:val="bottom"/>
          </w:tcPr>
          <w:p>
            <w:pPr>
              <w:spacing w:after="0"/>
              <w:rPr>
                <w:sz w:val="1"/>
                <w:szCs w:val="1"/>
                <w:color w:val="auto"/>
              </w:rPr>
            </w:pPr>
          </w:p>
        </w:tc>
      </w:tr>
      <w:tr>
        <w:trPr>
          <w:trHeight w:val="203"/>
        </w:trPr>
        <w:tc>
          <w:tcPr>
            <w:tcW w:w="4880" w:type="dxa"/>
            <w:vAlign w:val="bottom"/>
            <w:tcBorders>
              <w:bottom w:val="single" w:sz="8" w:color="auto"/>
            </w:tcBorders>
            <w:gridSpan w:val="2"/>
          </w:tcPr>
          <w:p>
            <w:pPr>
              <w:spacing w:after="0" w:line="203" w:lineRule="exact"/>
              <w:rPr>
                <w:sz w:val="20"/>
                <w:szCs w:val="20"/>
                <w:color w:val="auto"/>
              </w:rPr>
            </w:pPr>
            <w:r>
              <w:rPr>
                <w:rFonts w:ascii="Arial" w:cs="Arial" w:eastAsia="Arial" w:hAnsi="Arial"/>
                <w:sz w:val="18"/>
                <w:szCs w:val="18"/>
                <w:color w:val="auto"/>
              </w:rPr>
              <w:t>(in thousands)</w:t>
            </w:r>
          </w:p>
        </w:tc>
        <w:tc>
          <w:tcPr>
            <w:tcW w:w="1380" w:type="dxa"/>
            <w:vAlign w:val="bottom"/>
            <w:tcBorders>
              <w:bottom w:val="single" w:sz="8" w:color="auto"/>
            </w:tcBorders>
          </w:tcPr>
          <w:p>
            <w:pPr>
              <w:jc w:val="right"/>
              <w:ind w:right="210"/>
              <w:spacing w:after="0" w:line="203" w:lineRule="exact"/>
              <w:rPr>
                <w:sz w:val="20"/>
                <w:szCs w:val="20"/>
                <w:color w:val="auto"/>
              </w:rPr>
            </w:pPr>
            <w:r>
              <w:rPr>
                <w:rFonts w:ascii="Arial" w:cs="Arial" w:eastAsia="Arial" w:hAnsi="Arial"/>
                <w:sz w:val="18"/>
                <w:szCs w:val="18"/>
                <w:color w:val="auto"/>
              </w:rPr>
              <w:t>Clothing</w:t>
            </w:r>
          </w:p>
        </w:tc>
        <w:tc>
          <w:tcPr>
            <w:tcW w:w="1900" w:type="dxa"/>
            <w:vAlign w:val="bottom"/>
            <w:tcBorders>
              <w:bottom w:val="single" w:sz="8" w:color="auto"/>
            </w:tcBorders>
          </w:tcPr>
          <w:p>
            <w:pPr>
              <w:jc w:val="center"/>
              <w:ind w:left="210"/>
              <w:spacing w:after="0" w:line="203" w:lineRule="exact"/>
              <w:rPr>
                <w:sz w:val="20"/>
                <w:szCs w:val="20"/>
                <w:color w:val="auto"/>
              </w:rPr>
            </w:pPr>
            <w:r>
              <w:rPr>
                <w:rFonts w:ascii="Arial" w:cs="Arial" w:eastAsia="Arial" w:hAnsi="Arial"/>
                <w:sz w:val="18"/>
                <w:szCs w:val="18"/>
                <w:color w:val="auto"/>
              </w:rPr>
              <w:t>Composites</w:t>
            </w:r>
          </w:p>
        </w:tc>
        <w:tc>
          <w:tcPr>
            <w:tcW w:w="1740" w:type="dxa"/>
            <w:vAlign w:val="bottom"/>
            <w:tcBorders>
              <w:bottom w:val="single" w:sz="8" w:color="auto"/>
            </w:tcBorders>
          </w:tcPr>
          <w:p>
            <w:pPr>
              <w:jc w:val="center"/>
              <w:spacing w:after="0" w:line="203" w:lineRule="exact"/>
              <w:rPr>
                <w:sz w:val="20"/>
                <w:szCs w:val="20"/>
                <w:color w:val="auto"/>
              </w:rPr>
            </w:pPr>
            <w:r>
              <w:rPr>
                <w:rFonts w:ascii="Arial" w:cs="Arial" w:eastAsia="Arial" w:hAnsi="Arial"/>
                <w:sz w:val="18"/>
                <w:szCs w:val="18"/>
                <w:color w:val="auto"/>
                <w:w w:val="99"/>
              </w:rPr>
              <w:t>interest effect</w:t>
            </w:r>
          </w:p>
        </w:tc>
        <w:tc>
          <w:tcPr>
            <w:tcW w:w="15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3"/>
        </w:trPr>
        <w:tc>
          <w:tcPr>
            <w:tcW w:w="4880" w:type="dxa"/>
            <w:vAlign w:val="bottom"/>
            <w:gridSpan w:val="2"/>
          </w:tcPr>
          <w:p>
            <w:pPr>
              <w:spacing w:after="0" w:line="173" w:lineRule="exact"/>
              <w:rPr>
                <w:sz w:val="20"/>
                <w:szCs w:val="20"/>
                <w:color w:val="auto"/>
              </w:rPr>
            </w:pPr>
            <w:r>
              <w:rPr>
                <w:rFonts w:ascii="Arial" w:cs="Arial" w:eastAsia="Arial" w:hAnsi="Arial"/>
                <w:sz w:val="18"/>
                <w:szCs w:val="18"/>
                <w:color w:val="auto"/>
              </w:rPr>
              <w:t>Net sales</w:t>
            </w:r>
          </w:p>
        </w:tc>
        <w:tc>
          <w:tcPr>
            <w:tcW w:w="1380" w:type="dxa"/>
            <w:vAlign w:val="bottom"/>
          </w:tcPr>
          <w:p>
            <w:pPr>
              <w:jc w:val="right"/>
              <w:spacing w:after="0" w:line="173" w:lineRule="exact"/>
              <w:rPr>
                <w:sz w:val="20"/>
                <w:szCs w:val="20"/>
                <w:color w:val="auto"/>
              </w:rPr>
            </w:pPr>
            <w:r>
              <w:rPr>
                <w:rFonts w:ascii="Arial" w:cs="Arial" w:eastAsia="Arial" w:hAnsi="Arial"/>
                <w:sz w:val="18"/>
                <w:szCs w:val="18"/>
                <w:color w:val="auto"/>
              </w:rPr>
              <w:t>$4,211</w:t>
            </w:r>
          </w:p>
        </w:tc>
        <w:tc>
          <w:tcPr>
            <w:tcW w:w="1900" w:type="dxa"/>
            <w:vAlign w:val="bottom"/>
          </w:tcPr>
          <w:p>
            <w:pPr>
              <w:jc w:val="right"/>
              <w:ind w:right="150"/>
              <w:spacing w:after="0" w:line="173" w:lineRule="exact"/>
              <w:rPr>
                <w:sz w:val="20"/>
                <w:szCs w:val="20"/>
                <w:color w:val="auto"/>
              </w:rPr>
            </w:pPr>
            <w:r>
              <w:rPr>
                <w:rFonts w:ascii="Arial" w:cs="Arial" w:eastAsia="Arial" w:hAnsi="Arial"/>
                <w:sz w:val="18"/>
                <w:szCs w:val="18"/>
                <w:color w:val="auto"/>
              </w:rPr>
              <w:t>$4,223</w:t>
            </w:r>
          </w:p>
        </w:tc>
        <w:tc>
          <w:tcPr>
            <w:tcW w:w="1740" w:type="dxa"/>
            <w:vAlign w:val="bottom"/>
          </w:tcPr>
          <w:p>
            <w:pPr>
              <w:jc w:val="right"/>
              <w:ind w:right="190"/>
              <w:spacing w:after="0" w:line="173" w:lineRule="exact"/>
              <w:rPr>
                <w:sz w:val="20"/>
                <w:szCs w:val="20"/>
                <w:color w:val="auto"/>
              </w:rPr>
            </w:pPr>
            <w:r>
              <w:rPr>
                <w:rFonts w:ascii="Arial" w:cs="Arial" w:eastAsia="Arial" w:hAnsi="Arial"/>
                <w:sz w:val="18"/>
                <w:szCs w:val="18"/>
                <w:color w:val="auto"/>
              </w:rPr>
              <w:t>$ -</w:t>
            </w:r>
          </w:p>
        </w:tc>
        <w:tc>
          <w:tcPr>
            <w:tcW w:w="1520" w:type="dxa"/>
            <w:vAlign w:val="bottom"/>
          </w:tcPr>
          <w:p>
            <w:pPr>
              <w:jc w:val="right"/>
              <w:ind w:right="10"/>
              <w:spacing w:after="0" w:line="173" w:lineRule="exact"/>
              <w:rPr>
                <w:sz w:val="20"/>
                <w:szCs w:val="20"/>
                <w:color w:val="auto"/>
              </w:rPr>
            </w:pPr>
            <w:r>
              <w:rPr>
                <w:rFonts w:ascii="Arial" w:cs="Arial" w:eastAsia="Arial" w:hAnsi="Arial"/>
                <w:sz w:val="18"/>
                <w:szCs w:val="18"/>
                <w:b w:val="1"/>
                <w:bCs w:val="1"/>
                <w:color w:val="auto"/>
              </w:rPr>
              <w:t>$8,434</w:t>
            </w:r>
          </w:p>
        </w:tc>
        <w:tc>
          <w:tcPr>
            <w:tcW w:w="0" w:type="dxa"/>
            <w:vAlign w:val="bottom"/>
          </w:tcPr>
          <w:p>
            <w:pPr>
              <w:spacing w:after="0"/>
              <w:rPr>
                <w:sz w:val="1"/>
                <w:szCs w:val="1"/>
                <w:color w:val="auto"/>
              </w:rPr>
            </w:pPr>
          </w:p>
        </w:tc>
      </w:tr>
      <w:tr>
        <w:trPr>
          <w:trHeight w:val="203"/>
        </w:trPr>
        <w:tc>
          <w:tcPr>
            <w:tcW w:w="4880" w:type="dxa"/>
            <w:vAlign w:val="bottom"/>
            <w:gridSpan w:val="2"/>
          </w:tcPr>
          <w:p>
            <w:pPr>
              <w:spacing w:after="0" w:line="202" w:lineRule="exact"/>
              <w:rPr>
                <w:sz w:val="20"/>
                <w:szCs w:val="20"/>
                <w:color w:val="auto"/>
              </w:rPr>
            </w:pPr>
            <w:r>
              <w:rPr>
                <w:rFonts w:ascii="Arial" w:cs="Arial" w:eastAsia="Arial" w:hAnsi="Arial"/>
                <w:sz w:val="18"/>
                <w:szCs w:val="18"/>
                <w:color w:val="auto"/>
              </w:rPr>
              <w:t>Gross profit</w:t>
            </w:r>
          </w:p>
        </w:tc>
        <w:tc>
          <w:tcPr>
            <w:tcW w:w="1380" w:type="dxa"/>
            <w:vAlign w:val="bottom"/>
          </w:tcPr>
          <w:p>
            <w:pPr>
              <w:jc w:val="right"/>
              <w:spacing w:after="0" w:line="202" w:lineRule="exact"/>
              <w:rPr>
                <w:sz w:val="20"/>
                <w:szCs w:val="20"/>
                <w:color w:val="auto"/>
              </w:rPr>
            </w:pPr>
            <w:r>
              <w:rPr>
                <w:rFonts w:ascii="Arial" w:cs="Arial" w:eastAsia="Arial" w:hAnsi="Arial"/>
                <w:sz w:val="18"/>
                <w:szCs w:val="18"/>
                <w:color w:val="auto"/>
              </w:rPr>
              <w:t>1,039</w:t>
            </w:r>
          </w:p>
        </w:tc>
        <w:tc>
          <w:tcPr>
            <w:tcW w:w="1900" w:type="dxa"/>
            <w:vAlign w:val="bottom"/>
          </w:tcPr>
          <w:p>
            <w:pPr>
              <w:jc w:val="right"/>
              <w:ind w:right="150"/>
              <w:spacing w:after="0" w:line="202" w:lineRule="exact"/>
              <w:rPr>
                <w:sz w:val="20"/>
                <w:szCs w:val="20"/>
                <w:color w:val="auto"/>
              </w:rPr>
            </w:pPr>
            <w:r>
              <w:rPr>
                <w:rFonts w:ascii="Arial" w:cs="Arial" w:eastAsia="Arial" w:hAnsi="Arial"/>
                <w:sz w:val="18"/>
                <w:szCs w:val="18"/>
                <w:color w:val="auto"/>
              </w:rPr>
              <w:t>869</w:t>
            </w:r>
          </w:p>
        </w:tc>
        <w:tc>
          <w:tcPr>
            <w:tcW w:w="1740" w:type="dxa"/>
            <w:vAlign w:val="bottom"/>
          </w:tcPr>
          <w:p>
            <w:pPr>
              <w:jc w:val="right"/>
              <w:ind w:right="190"/>
              <w:spacing w:after="0" w:line="202" w:lineRule="exact"/>
              <w:rPr>
                <w:sz w:val="20"/>
                <w:szCs w:val="20"/>
                <w:color w:val="auto"/>
              </w:rPr>
            </w:pPr>
            <w:r>
              <w:rPr>
                <w:rFonts w:ascii="Arial" w:cs="Arial" w:eastAsia="Arial" w:hAnsi="Arial"/>
                <w:sz w:val="18"/>
                <w:szCs w:val="18"/>
                <w:color w:val="auto"/>
              </w:rPr>
              <w:t>-</w:t>
            </w:r>
          </w:p>
        </w:tc>
        <w:tc>
          <w:tcPr>
            <w:tcW w:w="1520" w:type="dxa"/>
            <w:vAlign w:val="bottom"/>
          </w:tcPr>
          <w:p>
            <w:pPr>
              <w:jc w:val="right"/>
              <w:ind w:right="10"/>
              <w:spacing w:after="0" w:line="202" w:lineRule="exact"/>
              <w:rPr>
                <w:sz w:val="20"/>
                <w:szCs w:val="20"/>
                <w:color w:val="auto"/>
              </w:rPr>
            </w:pPr>
            <w:r>
              <w:rPr>
                <w:rFonts w:ascii="Arial" w:cs="Arial" w:eastAsia="Arial" w:hAnsi="Arial"/>
                <w:sz w:val="18"/>
                <w:szCs w:val="18"/>
                <w:b w:val="1"/>
                <w:bCs w:val="1"/>
                <w:color w:val="auto"/>
              </w:rPr>
              <w:t>1,908</w:t>
            </w:r>
          </w:p>
        </w:tc>
        <w:tc>
          <w:tcPr>
            <w:tcW w:w="0" w:type="dxa"/>
            <w:vAlign w:val="bottom"/>
          </w:tcPr>
          <w:p>
            <w:pPr>
              <w:spacing w:after="0"/>
              <w:rPr>
                <w:sz w:val="1"/>
                <w:szCs w:val="1"/>
                <w:color w:val="auto"/>
              </w:rPr>
            </w:pPr>
          </w:p>
        </w:tc>
      </w:tr>
      <w:tr>
        <w:trPr>
          <w:trHeight w:val="203"/>
        </w:trPr>
        <w:tc>
          <w:tcPr>
            <w:tcW w:w="4880" w:type="dxa"/>
            <w:vAlign w:val="bottom"/>
            <w:gridSpan w:val="2"/>
          </w:tcPr>
          <w:p>
            <w:pPr>
              <w:spacing w:after="0" w:line="202" w:lineRule="exact"/>
              <w:rPr>
                <w:sz w:val="20"/>
                <w:szCs w:val="20"/>
                <w:color w:val="auto"/>
              </w:rPr>
            </w:pPr>
            <w:r>
              <w:rPr>
                <w:rFonts w:ascii="Arial" w:cs="Arial" w:eastAsia="Arial" w:hAnsi="Arial"/>
                <w:sz w:val="18"/>
                <w:szCs w:val="18"/>
                <w:color w:val="auto"/>
              </w:rPr>
              <w:t>Selling, technical, general and research expenses</w:t>
            </w:r>
          </w:p>
        </w:tc>
        <w:tc>
          <w:tcPr>
            <w:tcW w:w="1380" w:type="dxa"/>
            <w:vAlign w:val="bottom"/>
          </w:tcPr>
          <w:p>
            <w:pPr>
              <w:jc w:val="right"/>
              <w:spacing w:after="0" w:line="202" w:lineRule="exact"/>
              <w:rPr>
                <w:sz w:val="20"/>
                <w:szCs w:val="20"/>
                <w:color w:val="auto"/>
              </w:rPr>
            </w:pPr>
            <w:r>
              <w:rPr>
                <w:rFonts w:ascii="Arial" w:cs="Arial" w:eastAsia="Arial" w:hAnsi="Arial"/>
                <w:sz w:val="18"/>
                <w:szCs w:val="18"/>
                <w:color w:val="auto"/>
              </w:rPr>
              <w:t>60</w:t>
            </w:r>
          </w:p>
        </w:tc>
        <w:tc>
          <w:tcPr>
            <w:tcW w:w="1900" w:type="dxa"/>
            <w:vAlign w:val="bottom"/>
          </w:tcPr>
          <w:p>
            <w:pPr>
              <w:jc w:val="right"/>
              <w:ind w:right="150"/>
              <w:spacing w:after="0" w:line="202" w:lineRule="exact"/>
              <w:rPr>
                <w:sz w:val="20"/>
                <w:szCs w:val="20"/>
                <w:color w:val="auto"/>
              </w:rPr>
            </w:pPr>
            <w:r>
              <w:rPr>
                <w:rFonts w:ascii="Arial" w:cs="Arial" w:eastAsia="Arial" w:hAnsi="Arial"/>
                <w:sz w:val="18"/>
                <w:szCs w:val="18"/>
                <w:color w:val="auto"/>
              </w:rPr>
              <w:t>-</w:t>
            </w:r>
          </w:p>
        </w:tc>
        <w:tc>
          <w:tcPr>
            <w:tcW w:w="1740" w:type="dxa"/>
            <w:vAlign w:val="bottom"/>
          </w:tcPr>
          <w:p>
            <w:pPr>
              <w:jc w:val="right"/>
              <w:ind w:right="190"/>
              <w:spacing w:after="0" w:line="202" w:lineRule="exact"/>
              <w:rPr>
                <w:sz w:val="20"/>
                <w:szCs w:val="20"/>
                <w:color w:val="auto"/>
              </w:rPr>
            </w:pPr>
            <w:r>
              <w:rPr>
                <w:rFonts w:ascii="Arial" w:cs="Arial" w:eastAsia="Arial" w:hAnsi="Arial"/>
                <w:sz w:val="18"/>
                <w:szCs w:val="18"/>
                <w:color w:val="auto"/>
              </w:rPr>
              <w:t>-</w:t>
            </w:r>
          </w:p>
        </w:tc>
        <w:tc>
          <w:tcPr>
            <w:tcW w:w="1520" w:type="dxa"/>
            <w:vAlign w:val="bottom"/>
          </w:tcPr>
          <w:p>
            <w:pPr>
              <w:jc w:val="right"/>
              <w:ind w:right="10"/>
              <w:spacing w:after="0" w:line="202" w:lineRule="exact"/>
              <w:rPr>
                <w:sz w:val="20"/>
                <w:szCs w:val="20"/>
                <w:color w:val="auto"/>
              </w:rPr>
            </w:pPr>
            <w:r>
              <w:rPr>
                <w:rFonts w:ascii="Arial" w:cs="Arial" w:eastAsia="Arial" w:hAnsi="Arial"/>
                <w:sz w:val="18"/>
                <w:szCs w:val="18"/>
                <w:b w:val="1"/>
                <w:bCs w:val="1"/>
                <w:color w:val="auto"/>
              </w:rPr>
              <w:t>60</w:t>
            </w:r>
          </w:p>
        </w:tc>
        <w:tc>
          <w:tcPr>
            <w:tcW w:w="0" w:type="dxa"/>
            <w:vAlign w:val="bottom"/>
          </w:tcPr>
          <w:p>
            <w:pPr>
              <w:spacing w:after="0"/>
              <w:rPr>
                <w:sz w:val="1"/>
                <w:szCs w:val="1"/>
                <w:color w:val="auto"/>
              </w:rPr>
            </w:pPr>
          </w:p>
        </w:tc>
      </w:tr>
      <w:tr>
        <w:trPr>
          <w:trHeight w:val="203"/>
        </w:trPr>
        <w:tc>
          <w:tcPr>
            <w:tcW w:w="4880" w:type="dxa"/>
            <w:vAlign w:val="bottom"/>
            <w:gridSpan w:val="2"/>
          </w:tcPr>
          <w:p>
            <w:pPr>
              <w:spacing w:after="0" w:line="202" w:lineRule="exact"/>
              <w:rPr>
                <w:sz w:val="20"/>
                <w:szCs w:val="20"/>
                <w:color w:val="auto"/>
              </w:rPr>
            </w:pPr>
            <w:r>
              <w:rPr>
                <w:rFonts w:ascii="Arial" w:cs="Arial" w:eastAsia="Arial" w:hAnsi="Arial"/>
                <w:sz w:val="18"/>
                <w:szCs w:val="18"/>
                <w:color w:val="auto"/>
              </w:rPr>
              <w:t>Operating income and Income before income taxes</w:t>
            </w:r>
          </w:p>
        </w:tc>
        <w:tc>
          <w:tcPr>
            <w:tcW w:w="1380" w:type="dxa"/>
            <w:vAlign w:val="bottom"/>
          </w:tcPr>
          <w:p>
            <w:pPr>
              <w:jc w:val="right"/>
              <w:spacing w:after="0" w:line="202" w:lineRule="exact"/>
              <w:rPr>
                <w:sz w:val="20"/>
                <w:szCs w:val="20"/>
                <w:color w:val="auto"/>
              </w:rPr>
            </w:pPr>
            <w:r>
              <w:rPr>
                <w:rFonts w:ascii="Arial" w:cs="Arial" w:eastAsia="Arial" w:hAnsi="Arial"/>
                <w:sz w:val="18"/>
                <w:szCs w:val="18"/>
                <w:color w:val="auto"/>
              </w:rPr>
              <w:t>979</w:t>
            </w:r>
          </w:p>
        </w:tc>
        <w:tc>
          <w:tcPr>
            <w:tcW w:w="1900" w:type="dxa"/>
            <w:vAlign w:val="bottom"/>
          </w:tcPr>
          <w:p>
            <w:pPr>
              <w:jc w:val="right"/>
              <w:ind w:right="150"/>
              <w:spacing w:after="0" w:line="202" w:lineRule="exact"/>
              <w:rPr>
                <w:sz w:val="20"/>
                <w:szCs w:val="20"/>
                <w:color w:val="auto"/>
              </w:rPr>
            </w:pPr>
            <w:r>
              <w:rPr>
                <w:rFonts w:ascii="Arial" w:cs="Arial" w:eastAsia="Arial" w:hAnsi="Arial"/>
                <w:sz w:val="18"/>
                <w:szCs w:val="18"/>
                <w:color w:val="auto"/>
              </w:rPr>
              <w:t>869</w:t>
            </w:r>
          </w:p>
        </w:tc>
        <w:tc>
          <w:tcPr>
            <w:tcW w:w="1740" w:type="dxa"/>
            <w:vAlign w:val="bottom"/>
          </w:tcPr>
          <w:p>
            <w:pPr>
              <w:jc w:val="right"/>
              <w:ind w:right="190"/>
              <w:spacing w:after="0" w:line="202" w:lineRule="exact"/>
              <w:rPr>
                <w:sz w:val="20"/>
                <w:szCs w:val="20"/>
                <w:color w:val="auto"/>
              </w:rPr>
            </w:pPr>
            <w:r>
              <w:rPr>
                <w:rFonts w:ascii="Arial" w:cs="Arial" w:eastAsia="Arial" w:hAnsi="Arial"/>
                <w:sz w:val="18"/>
                <w:szCs w:val="18"/>
                <w:color w:val="auto"/>
              </w:rPr>
              <w:t>-</w:t>
            </w:r>
          </w:p>
        </w:tc>
        <w:tc>
          <w:tcPr>
            <w:tcW w:w="1520" w:type="dxa"/>
            <w:vAlign w:val="bottom"/>
          </w:tcPr>
          <w:p>
            <w:pPr>
              <w:jc w:val="right"/>
              <w:ind w:right="10"/>
              <w:spacing w:after="0" w:line="202" w:lineRule="exact"/>
              <w:rPr>
                <w:sz w:val="20"/>
                <w:szCs w:val="20"/>
                <w:color w:val="auto"/>
              </w:rPr>
            </w:pPr>
            <w:r>
              <w:rPr>
                <w:rFonts w:ascii="Arial" w:cs="Arial" w:eastAsia="Arial" w:hAnsi="Arial"/>
                <w:sz w:val="18"/>
                <w:szCs w:val="18"/>
                <w:b w:val="1"/>
                <w:bCs w:val="1"/>
                <w:color w:val="auto"/>
              </w:rPr>
              <w:t>1,848</w:t>
            </w:r>
          </w:p>
        </w:tc>
        <w:tc>
          <w:tcPr>
            <w:tcW w:w="0" w:type="dxa"/>
            <w:vAlign w:val="bottom"/>
          </w:tcPr>
          <w:p>
            <w:pPr>
              <w:spacing w:after="0"/>
              <w:rPr>
                <w:sz w:val="1"/>
                <w:szCs w:val="1"/>
                <w:color w:val="auto"/>
              </w:rPr>
            </w:pPr>
          </w:p>
        </w:tc>
      </w:tr>
      <w:tr>
        <w:trPr>
          <w:trHeight w:val="203"/>
        </w:trPr>
        <w:tc>
          <w:tcPr>
            <w:tcW w:w="4880" w:type="dxa"/>
            <w:vAlign w:val="bottom"/>
            <w:gridSpan w:val="2"/>
          </w:tcPr>
          <w:p>
            <w:pPr>
              <w:spacing w:after="0" w:line="202" w:lineRule="exact"/>
              <w:rPr>
                <w:sz w:val="20"/>
                <w:szCs w:val="20"/>
                <w:color w:val="auto"/>
              </w:rPr>
            </w:pPr>
            <w:r>
              <w:rPr>
                <w:rFonts w:ascii="Arial" w:cs="Arial" w:eastAsia="Arial" w:hAnsi="Arial"/>
                <w:sz w:val="18"/>
                <w:szCs w:val="18"/>
                <w:color w:val="auto"/>
              </w:rPr>
              <w:t>Income taxes</w:t>
            </w:r>
          </w:p>
        </w:tc>
        <w:tc>
          <w:tcPr>
            <w:tcW w:w="13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900" w:type="dxa"/>
            <w:vAlign w:val="bottom"/>
          </w:tcPr>
          <w:p>
            <w:pPr>
              <w:jc w:val="right"/>
              <w:ind w:right="150"/>
              <w:spacing w:after="0" w:line="202" w:lineRule="exact"/>
              <w:rPr>
                <w:sz w:val="20"/>
                <w:szCs w:val="20"/>
                <w:color w:val="auto"/>
              </w:rPr>
            </w:pPr>
            <w:r>
              <w:rPr>
                <w:rFonts w:ascii="Arial" w:cs="Arial" w:eastAsia="Arial" w:hAnsi="Arial"/>
                <w:sz w:val="18"/>
                <w:szCs w:val="18"/>
                <w:color w:val="auto"/>
              </w:rPr>
              <w:t>-</w:t>
            </w:r>
          </w:p>
        </w:tc>
        <w:tc>
          <w:tcPr>
            <w:tcW w:w="1740" w:type="dxa"/>
            <w:vAlign w:val="bottom"/>
          </w:tcPr>
          <w:p>
            <w:pPr>
              <w:jc w:val="right"/>
              <w:ind w:right="190"/>
              <w:spacing w:after="0" w:line="202" w:lineRule="exact"/>
              <w:rPr>
                <w:sz w:val="20"/>
                <w:szCs w:val="20"/>
                <w:color w:val="auto"/>
              </w:rPr>
            </w:pPr>
            <w:r>
              <w:rPr>
                <w:rFonts w:ascii="Arial" w:cs="Arial" w:eastAsia="Arial" w:hAnsi="Arial"/>
                <w:sz w:val="18"/>
                <w:szCs w:val="18"/>
                <w:color w:val="auto"/>
              </w:rPr>
              <w:t>601</w:t>
            </w:r>
          </w:p>
        </w:tc>
        <w:tc>
          <w:tcPr>
            <w:tcW w:w="1520" w:type="dxa"/>
            <w:vAlign w:val="bottom"/>
          </w:tcPr>
          <w:p>
            <w:pPr>
              <w:jc w:val="right"/>
              <w:ind w:right="10"/>
              <w:spacing w:after="0" w:line="202" w:lineRule="exact"/>
              <w:rPr>
                <w:sz w:val="20"/>
                <w:szCs w:val="20"/>
                <w:color w:val="auto"/>
              </w:rPr>
            </w:pPr>
            <w:r>
              <w:rPr>
                <w:rFonts w:ascii="Arial" w:cs="Arial" w:eastAsia="Arial" w:hAnsi="Arial"/>
                <w:sz w:val="18"/>
                <w:szCs w:val="18"/>
                <w:b w:val="1"/>
                <w:bCs w:val="1"/>
                <w:color w:val="auto"/>
              </w:rPr>
              <w:t>601</w:t>
            </w:r>
          </w:p>
        </w:tc>
        <w:tc>
          <w:tcPr>
            <w:tcW w:w="0" w:type="dxa"/>
            <w:vAlign w:val="bottom"/>
          </w:tcPr>
          <w:p>
            <w:pPr>
              <w:spacing w:after="0"/>
              <w:rPr>
                <w:sz w:val="1"/>
                <w:szCs w:val="1"/>
                <w:color w:val="auto"/>
              </w:rPr>
            </w:pPr>
          </w:p>
        </w:tc>
      </w:tr>
      <w:tr>
        <w:trPr>
          <w:trHeight w:val="203"/>
        </w:trPr>
        <w:tc>
          <w:tcPr>
            <w:tcW w:w="4880" w:type="dxa"/>
            <w:vAlign w:val="bottom"/>
            <w:gridSpan w:val="2"/>
          </w:tcPr>
          <w:p>
            <w:pPr>
              <w:spacing w:after="0" w:line="202" w:lineRule="exact"/>
              <w:rPr>
                <w:sz w:val="20"/>
                <w:szCs w:val="20"/>
                <w:color w:val="auto"/>
              </w:rPr>
            </w:pPr>
            <w:r>
              <w:rPr>
                <w:rFonts w:ascii="Arial" w:cs="Arial" w:eastAsia="Arial" w:hAnsi="Arial"/>
                <w:sz w:val="18"/>
                <w:szCs w:val="18"/>
                <w:color w:val="auto"/>
              </w:rPr>
              <w:t>Net income</w:t>
            </w:r>
          </w:p>
        </w:tc>
        <w:tc>
          <w:tcPr>
            <w:tcW w:w="1380" w:type="dxa"/>
            <w:vAlign w:val="bottom"/>
          </w:tcPr>
          <w:p>
            <w:pPr>
              <w:jc w:val="right"/>
              <w:spacing w:after="0" w:line="202" w:lineRule="exact"/>
              <w:rPr>
                <w:sz w:val="20"/>
                <w:szCs w:val="20"/>
                <w:color w:val="auto"/>
              </w:rPr>
            </w:pPr>
            <w:r>
              <w:rPr>
                <w:rFonts w:ascii="Arial" w:cs="Arial" w:eastAsia="Arial" w:hAnsi="Arial"/>
                <w:sz w:val="18"/>
                <w:szCs w:val="18"/>
                <w:color w:val="auto"/>
              </w:rPr>
              <w:t>979</w:t>
            </w:r>
          </w:p>
        </w:tc>
        <w:tc>
          <w:tcPr>
            <w:tcW w:w="1900" w:type="dxa"/>
            <w:vAlign w:val="bottom"/>
          </w:tcPr>
          <w:p>
            <w:pPr>
              <w:jc w:val="right"/>
              <w:ind w:right="150"/>
              <w:spacing w:after="0" w:line="202" w:lineRule="exact"/>
              <w:rPr>
                <w:sz w:val="20"/>
                <w:szCs w:val="20"/>
                <w:color w:val="auto"/>
              </w:rPr>
            </w:pPr>
            <w:r>
              <w:rPr>
                <w:rFonts w:ascii="Arial" w:cs="Arial" w:eastAsia="Arial" w:hAnsi="Arial"/>
                <w:sz w:val="18"/>
                <w:szCs w:val="18"/>
                <w:color w:val="auto"/>
              </w:rPr>
              <w:t>869</w:t>
            </w:r>
          </w:p>
        </w:tc>
        <w:tc>
          <w:tcPr>
            <w:tcW w:w="1740" w:type="dxa"/>
            <w:vAlign w:val="bottom"/>
          </w:tcPr>
          <w:p>
            <w:pPr>
              <w:jc w:val="right"/>
              <w:ind w:right="130"/>
              <w:spacing w:after="0" w:line="202" w:lineRule="exact"/>
              <w:rPr>
                <w:sz w:val="20"/>
                <w:szCs w:val="20"/>
                <w:color w:val="auto"/>
              </w:rPr>
            </w:pPr>
            <w:r>
              <w:rPr>
                <w:rFonts w:ascii="Arial" w:cs="Arial" w:eastAsia="Arial" w:hAnsi="Arial"/>
                <w:sz w:val="18"/>
                <w:szCs w:val="18"/>
                <w:color w:val="auto"/>
              </w:rPr>
              <w:t>(601)</w:t>
            </w:r>
          </w:p>
        </w:tc>
        <w:tc>
          <w:tcPr>
            <w:tcW w:w="1520" w:type="dxa"/>
            <w:vAlign w:val="bottom"/>
          </w:tcPr>
          <w:p>
            <w:pPr>
              <w:jc w:val="right"/>
              <w:ind w:right="10"/>
              <w:spacing w:after="0" w:line="202" w:lineRule="exact"/>
              <w:rPr>
                <w:sz w:val="20"/>
                <w:szCs w:val="20"/>
                <w:color w:val="auto"/>
              </w:rPr>
            </w:pPr>
            <w:r>
              <w:rPr>
                <w:rFonts w:ascii="Arial" w:cs="Arial" w:eastAsia="Arial" w:hAnsi="Arial"/>
                <w:sz w:val="18"/>
                <w:szCs w:val="18"/>
                <w:b w:val="1"/>
                <w:bCs w:val="1"/>
                <w:color w:val="auto"/>
              </w:rPr>
              <w:t>1,247</w:t>
            </w:r>
          </w:p>
        </w:tc>
        <w:tc>
          <w:tcPr>
            <w:tcW w:w="0" w:type="dxa"/>
            <w:vAlign w:val="bottom"/>
          </w:tcPr>
          <w:p>
            <w:pPr>
              <w:spacing w:after="0"/>
              <w:rPr>
                <w:sz w:val="1"/>
                <w:szCs w:val="1"/>
                <w:color w:val="auto"/>
              </w:rPr>
            </w:pPr>
          </w:p>
        </w:tc>
      </w:tr>
      <w:tr>
        <w:trPr>
          <w:trHeight w:val="203"/>
        </w:trPr>
        <w:tc>
          <w:tcPr>
            <w:tcW w:w="4880" w:type="dxa"/>
            <w:vAlign w:val="bottom"/>
            <w:gridSpan w:val="2"/>
          </w:tcPr>
          <w:p>
            <w:pPr>
              <w:spacing w:after="0" w:line="202" w:lineRule="exact"/>
              <w:rPr>
                <w:sz w:val="20"/>
                <w:szCs w:val="20"/>
                <w:color w:val="auto"/>
              </w:rPr>
            </w:pPr>
            <w:r>
              <w:rPr>
                <w:rFonts w:ascii="Arial" w:cs="Arial" w:eastAsia="Arial" w:hAnsi="Arial"/>
                <w:sz w:val="18"/>
                <w:szCs w:val="18"/>
                <w:color w:val="auto"/>
              </w:rPr>
              <w:t>Net income attributable to the noncontrolling interest</w:t>
            </w:r>
          </w:p>
        </w:tc>
        <w:tc>
          <w:tcPr>
            <w:tcW w:w="13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900" w:type="dxa"/>
            <w:vAlign w:val="bottom"/>
          </w:tcPr>
          <w:p>
            <w:pPr>
              <w:jc w:val="right"/>
              <w:ind w:right="150"/>
              <w:spacing w:after="0" w:line="202" w:lineRule="exact"/>
              <w:rPr>
                <w:sz w:val="20"/>
                <w:szCs w:val="20"/>
                <w:color w:val="auto"/>
              </w:rPr>
            </w:pPr>
            <w:r>
              <w:rPr>
                <w:rFonts w:ascii="Arial" w:cs="Arial" w:eastAsia="Arial" w:hAnsi="Arial"/>
                <w:sz w:val="18"/>
                <w:szCs w:val="18"/>
                <w:color w:val="auto"/>
              </w:rPr>
              <w:t>-</w:t>
            </w:r>
          </w:p>
        </w:tc>
        <w:tc>
          <w:tcPr>
            <w:tcW w:w="1740" w:type="dxa"/>
            <w:vAlign w:val="bottom"/>
          </w:tcPr>
          <w:p>
            <w:pPr>
              <w:jc w:val="right"/>
              <w:ind w:right="190"/>
              <w:spacing w:after="0" w:line="202" w:lineRule="exact"/>
              <w:rPr>
                <w:sz w:val="20"/>
                <w:szCs w:val="20"/>
                <w:color w:val="auto"/>
              </w:rPr>
            </w:pPr>
            <w:r>
              <w:rPr>
                <w:rFonts w:ascii="Arial" w:cs="Arial" w:eastAsia="Arial" w:hAnsi="Arial"/>
                <w:sz w:val="18"/>
                <w:szCs w:val="18"/>
                <w:color w:val="auto"/>
              </w:rPr>
              <w:t>57</w:t>
            </w:r>
          </w:p>
        </w:tc>
        <w:tc>
          <w:tcPr>
            <w:tcW w:w="1520" w:type="dxa"/>
            <w:vAlign w:val="bottom"/>
          </w:tcPr>
          <w:p>
            <w:pPr>
              <w:jc w:val="right"/>
              <w:ind w:right="10"/>
              <w:spacing w:after="0" w:line="202" w:lineRule="exact"/>
              <w:rPr>
                <w:sz w:val="20"/>
                <w:szCs w:val="20"/>
                <w:color w:val="auto"/>
              </w:rPr>
            </w:pPr>
            <w:r>
              <w:rPr>
                <w:rFonts w:ascii="Arial" w:cs="Arial" w:eastAsia="Arial" w:hAnsi="Arial"/>
                <w:sz w:val="18"/>
                <w:szCs w:val="18"/>
                <w:b w:val="1"/>
                <w:bCs w:val="1"/>
                <w:color w:val="auto"/>
              </w:rPr>
              <w:t>57</w:t>
            </w:r>
          </w:p>
        </w:tc>
        <w:tc>
          <w:tcPr>
            <w:tcW w:w="0" w:type="dxa"/>
            <w:vAlign w:val="bottom"/>
          </w:tcPr>
          <w:p>
            <w:pPr>
              <w:spacing w:after="0"/>
              <w:rPr>
                <w:sz w:val="1"/>
                <w:szCs w:val="1"/>
                <w:color w:val="auto"/>
              </w:rPr>
            </w:pPr>
          </w:p>
        </w:tc>
      </w:tr>
      <w:tr>
        <w:trPr>
          <w:trHeight w:val="225"/>
        </w:trPr>
        <w:tc>
          <w:tcPr>
            <w:tcW w:w="48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Net income attributable to the Company</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$979</w:t>
            </w:r>
          </w:p>
        </w:tc>
        <w:tc>
          <w:tcPr>
            <w:tcW w:w="19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$869</w:t>
            </w:r>
          </w:p>
        </w:tc>
        <w:tc>
          <w:tcPr>
            <w:tcW w:w="17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($658)</w:t>
            </w:r>
          </w:p>
        </w:tc>
        <w:tc>
          <w:tcPr>
            <w:tcW w:w="15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$1,190</w:t>
            </w:r>
          </w:p>
        </w:tc>
        <w:tc>
          <w:tcPr>
            <w:tcW w:w="0" w:type="dxa"/>
            <w:vAlign w:val="bottom"/>
          </w:tcPr>
          <w:p>
            <w:pPr>
              <w:spacing w:after="0"/>
              <w:rPr>
                <w:sz w:val="1"/>
                <w:szCs w:val="1"/>
                <w:color w:val="auto"/>
              </w:rPr>
            </w:pPr>
          </w:p>
        </w:tc>
      </w:tr>
      <w:tr>
        <w:trPr>
          <w:trHeight w:val="601"/>
        </w:trPr>
        <w:tc>
          <w:tcPr>
            <w:tcW w:w="4880" w:type="dxa"/>
            <w:vAlign w:val="bottom"/>
            <w:gridSpan w:val="2"/>
          </w:tcPr>
          <w:p>
            <w:pPr>
              <w:spacing w:after="0"/>
              <w:rPr>
                <w:sz w:val="20"/>
                <w:szCs w:val="20"/>
                <w:color w:val="auto"/>
              </w:rPr>
            </w:pPr>
            <w:r>
              <w:rPr>
                <w:rFonts w:ascii="Arial" w:cs="Arial" w:eastAsia="Arial" w:hAnsi="Arial"/>
                <w:sz w:val="18"/>
                <w:szCs w:val="18"/>
                <w:b w:val="1"/>
                <w:bCs w:val="1"/>
                <w:color w:val="auto"/>
              </w:rPr>
              <w:t>Net sales</w:t>
            </w:r>
          </w:p>
        </w:tc>
        <w:tc>
          <w:tcPr>
            <w:tcW w:w="138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20" w:type="dxa"/>
            <w:vAlign w:val="bottom"/>
          </w:tcPr>
          <w:p>
            <w:pPr>
              <w:spacing w:after="0"/>
              <w:rPr>
                <w:sz w:val="24"/>
                <w:szCs w:val="24"/>
                <w:color w:val="auto"/>
              </w:rPr>
            </w:pPr>
          </w:p>
        </w:tc>
        <w:tc>
          <w:tcPr>
            <w:tcW w:w="6240" w:type="dxa"/>
            <w:vAlign w:val="bottom"/>
            <w:gridSpan w:val="2"/>
          </w:tcPr>
          <w:p>
            <w:pPr>
              <w:jc w:val="right"/>
              <w:ind w:right="90"/>
              <w:spacing w:after="0"/>
              <w:rPr>
                <w:sz w:val="20"/>
                <w:szCs w:val="20"/>
                <w:color w:val="auto"/>
              </w:rPr>
            </w:pPr>
            <w:r>
              <w:rPr>
                <w:rFonts w:ascii="Arial" w:cs="Arial" w:eastAsia="Arial" w:hAnsi="Arial"/>
                <w:sz w:val="18"/>
                <w:szCs w:val="18"/>
                <w:color w:val="auto"/>
              </w:rPr>
              <w:t>The following table summarizes our Net sales by business segment:</w:t>
            </w:r>
          </w:p>
        </w:tc>
        <w:tc>
          <w:tcPr>
            <w:tcW w:w="19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20" w:type="dxa"/>
            <w:vAlign w:val="bottom"/>
          </w:tcPr>
          <w:p>
            <w:pPr>
              <w:spacing w:after="0"/>
              <w:rPr>
                <w:sz w:val="24"/>
                <w:szCs w:val="24"/>
                <w:color w:val="auto"/>
              </w:rPr>
            </w:pPr>
          </w:p>
        </w:tc>
        <w:tc>
          <w:tcPr>
            <w:tcW w:w="486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3640" w:type="dxa"/>
            <w:vAlign w:val="bottom"/>
            <w:tcBorders>
              <w:bottom w:val="single" w:sz="8" w:color="auto"/>
            </w:tcBorders>
            <w:gridSpan w:val="2"/>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86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spacing w:after="0"/>
              <w:rPr>
                <w:sz w:val="17"/>
                <w:szCs w:val="17"/>
                <w:color w:val="auto"/>
              </w:rPr>
            </w:pPr>
          </w:p>
        </w:tc>
        <w:tc>
          <w:tcPr>
            <w:tcW w:w="3640" w:type="dxa"/>
            <w:vAlign w:val="bottom"/>
            <w:tcBorders>
              <w:bottom w:val="single" w:sz="8" w:color="auto"/>
            </w:tcBorders>
            <w:gridSpan w:val="2"/>
          </w:tcPr>
          <w:p>
            <w:pPr>
              <w:jc w:val="right"/>
              <w:ind w:right="830"/>
              <w:spacing w:after="0" w:line="196" w:lineRule="exact"/>
              <w:rPr>
                <w:sz w:val="20"/>
                <w:szCs w:val="20"/>
                <w:color w:val="auto"/>
              </w:rPr>
            </w:pPr>
            <w:r>
              <w:rPr>
                <w:rFonts w:ascii="Arial" w:cs="Arial" w:eastAsia="Arial" w:hAnsi="Arial"/>
                <w:sz w:val="18"/>
                <w:szCs w:val="18"/>
                <w:b w:val="1"/>
                <w:bCs w:val="1"/>
                <w:color w:val="auto"/>
              </w:rPr>
              <w:t>Three months ended March 31,</w:t>
            </w:r>
          </w:p>
        </w:tc>
        <w:tc>
          <w:tcPr>
            <w:tcW w:w="15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Borders>
              <w:bottom w:val="single" w:sz="8" w:color="auto"/>
            </w:tcBorders>
          </w:tcPr>
          <w:p>
            <w:pPr>
              <w:spacing w:after="0"/>
              <w:rPr>
                <w:sz w:val="17"/>
                <w:szCs w:val="17"/>
                <w:color w:val="auto"/>
              </w:rPr>
            </w:pPr>
          </w:p>
        </w:tc>
        <w:tc>
          <w:tcPr>
            <w:tcW w:w="486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b w:val="1"/>
                <w:bCs w:val="1"/>
                <w:color w:val="auto"/>
              </w:rPr>
              <w:t>(in thousands, except percentages)</w:t>
            </w:r>
          </w:p>
        </w:tc>
        <w:tc>
          <w:tcPr>
            <w:tcW w:w="1380" w:type="dxa"/>
            <w:vAlign w:val="bottom"/>
            <w:tcBorders>
              <w:bottom w:val="single" w:sz="8" w:color="auto"/>
            </w:tcBorders>
          </w:tcPr>
          <w:p>
            <w:pPr>
              <w:spacing w:after="0"/>
              <w:rPr>
                <w:sz w:val="17"/>
                <w:szCs w:val="17"/>
                <w:color w:val="auto"/>
              </w:rPr>
            </w:pPr>
          </w:p>
        </w:tc>
        <w:tc>
          <w:tcPr>
            <w:tcW w:w="1900" w:type="dxa"/>
            <w:vAlign w:val="bottom"/>
            <w:tcBorders>
              <w:bottom w:val="single" w:sz="8" w:color="auto"/>
            </w:tcBorders>
          </w:tcPr>
          <w:p>
            <w:pPr>
              <w:jc w:val="right"/>
              <w:ind w:right="1310"/>
              <w:spacing w:after="0" w:line="196" w:lineRule="exact"/>
              <w:rPr>
                <w:sz w:val="20"/>
                <w:szCs w:val="20"/>
                <w:color w:val="auto"/>
              </w:rPr>
            </w:pPr>
            <w:r>
              <w:rPr>
                <w:rFonts w:ascii="Arial" w:cs="Arial" w:eastAsia="Arial" w:hAnsi="Arial"/>
                <w:sz w:val="18"/>
                <w:szCs w:val="18"/>
                <w:b w:val="1"/>
                <w:bCs w:val="1"/>
                <w:color w:val="auto"/>
              </w:rPr>
              <w:t>2018</w:t>
            </w:r>
          </w:p>
        </w:tc>
        <w:tc>
          <w:tcPr>
            <w:tcW w:w="1740" w:type="dxa"/>
            <w:vAlign w:val="bottom"/>
            <w:tcBorders>
              <w:bottom w:val="single" w:sz="8" w:color="auto"/>
            </w:tcBorders>
          </w:tcPr>
          <w:p>
            <w:pPr>
              <w:jc w:val="right"/>
              <w:ind w:right="1010"/>
              <w:spacing w:after="0" w:line="196" w:lineRule="exact"/>
              <w:rPr>
                <w:sz w:val="20"/>
                <w:szCs w:val="20"/>
                <w:color w:val="auto"/>
              </w:rPr>
            </w:pPr>
            <w:r>
              <w:rPr>
                <w:rFonts w:ascii="Arial" w:cs="Arial" w:eastAsia="Arial" w:hAnsi="Arial"/>
                <w:sz w:val="18"/>
                <w:szCs w:val="18"/>
                <w:b w:val="1"/>
                <w:bCs w:val="1"/>
                <w:color w:val="auto"/>
              </w:rPr>
              <w:t>2017</w:t>
            </w:r>
          </w:p>
        </w:tc>
        <w:tc>
          <w:tcPr>
            <w:tcW w:w="1520" w:type="dxa"/>
            <w:vAlign w:val="bottom"/>
            <w:tcBorders>
              <w:bottom w:val="single" w:sz="8" w:color="auto"/>
            </w:tcBorders>
          </w:tcPr>
          <w:p>
            <w:pPr>
              <w:jc w:val="right"/>
              <w:ind w:right="250"/>
              <w:spacing w:after="0" w:line="196" w:lineRule="exact"/>
              <w:rPr>
                <w:sz w:val="20"/>
                <w:szCs w:val="20"/>
                <w:color w:val="auto"/>
              </w:rPr>
            </w:pPr>
            <w:r>
              <w:rPr>
                <w:rFonts w:ascii="Arial" w:cs="Arial" w:eastAsia="Arial" w:hAnsi="Arial"/>
                <w:sz w:val="18"/>
                <w:szCs w:val="18"/>
                <w:color w:val="auto"/>
              </w:rPr>
              <w:t>% Change</w:t>
            </w:r>
          </w:p>
        </w:tc>
        <w:tc>
          <w:tcPr>
            <w:tcW w:w="0" w:type="dxa"/>
            <w:vAlign w:val="bottom"/>
          </w:tcPr>
          <w:p>
            <w:pPr>
              <w:spacing w:after="0"/>
              <w:rPr>
                <w:sz w:val="1"/>
                <w:szCs w:val="1"/>
                <w:color w:val="auto"/>
              </w:rPr>
            </w:pPr>
          </w:p>
        </w:tc>
      </w:tr>
      <w:tr>
        <w:trPr>
          <w:trHeight w:val="173"/>
        </w:trPr>
        <w:tc>
          <w:tcPr>
            <w:tcW w:w="4880" w:type="dxa"/>
            <w:vAlign w:val="bottom"/>
            <w:gridSpan w:val="2"/>
          </w:tcPr>
          <w:p>
            <w:pPr>
              <w:spacing w:after="0" w:line="173" w:lineRule="exact"/>
              <w:rPr>
                <w:sz w:val="20"/>
                <w:szCs w:val="20"/>
                <w:color w:val="auto"/>
              </w:rPr>
            </w:pPr>
            <w:r>
              <w:rPr>
                <w:rFonts w:ascii="Arial" w:cs="Arial" w:eastAsia="Arial" w:hAnsi="Arial"/>
                <w:sz w:val="18"/>
                <w:szCs w:val="18"/>
                <w:color w:val="auto"/>
              </w:rPr>
              <w:t>Machine Clothing</w:t>
            </w:r>
          </w:p>
        </w:tc>
        <w:tc>
          <w:tcPr>
            <w:tcW w:w="1380" w:type="dxa"/>
            <w:vAlign w:val="bottom"/>
          </w:tcPr>
          <w:p>
            <w:pPr>
              <w:spacing w:after="0"/>
              <w:rPr>
                <w:sz w:val="15"/>
                <w:szCs w:val="15"/>
                <w:color w:val="auto"/>
              </w:rPr>
            </w:pPr>
          </w:p>
        </w:tc>
        <w:tc>
          <w:tcPr>
            <w:tcW w:w="1900" w:type="dxa"/>
            <w:vAlign w:val="bottom"/>
          </w:tcPr>
          <w:p>
            <w:pPr>
              <w:jc w:val="right"/>
              <w:ind w:right="890"/>
              <w:spacing w:after="0" w:line="173" w:lineRule="exact"/>
              <w:rPr>
                <w:sz w:val="20"/>
                <w:szCs w:val="20"/>
                <w:color w:val="auto"/>
              </w:rPr>
            </w:pPr>
            <w:r>
              <w:rPr>
                <w:rFonts w:ascii="Arial" w:cs="Arial" w:eastAsia="Arial" w:hAnsi="Arial"/>
                <w:sz w:val="18"/>
                <w:szCs w:val="18"/>
                <w:b w:val="1"/>
                <w:bCs w:val="1"/>
                <w:color w:val="auto"/>
              </w:rPr>
              <w:t>$148,151</w:t>
            </w:r>
          </w:p>
        </w:tc>
        <w:tc>
          <w:tcPr>
            <w:tcW w:w="1740" w:type="dxa"/>
            <w:vAlign w:val="bottom"/>
          </w:tcPr>
          <w:p>
            <w:pPr>
              <w:jc w:val="right"/>
              <w:ind w:right="590"/>
              <w:spacing w:after="0" w:line="173" w:lineRule="exact"/>
              <w:rPr>
                <w:sz w:val="20"/>
                <w:szCs w:val="20"/>
                <w:color w:val="auto"/>
              </w:rPr>
            </w:pPr>
            <w:r>
              <w:rPr>
                <w:rFonts w:ascii="Arial" w:cs="Arial" w:eastAsia="Arial" w:hAnsi="Arial"/>
                <w:sz w:val="18"/>
                <w:szCs w:val="18"/>
                <w:color w:val="auto"/>
              </w:rPr>
              <w:t>$142,827</w:t>
            </w:r>
          </w:p>
        </w:tc>
        <w:tc>
          <w:tcPr>
            <w:tcW w:w="1520" w:type="dxa"/>
            <w:vAlign w:val="bottom"/>
          </w:tcPr>
          <w:p>
            <w:pPr>
              <w:jc w:val="right"/>
              <w:spacing w:after="0" w:line="173" w:lineRule="exact"/>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25"/>
        </w:trPr>
        <w:tc>
          <w:tcPr>
            <w:tcW w:w="48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Albany Engineered Composites</w:t>
            </w:r>
          </w:p>
        </w:tc>
        <w:tc>
          <w:tcPr>
            <w:tcW w:w="138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tcPr>
          <w:p>
            <w:pPr>
              <w:jc w:val="right"/>
              <w:ind w:right="890"/>
              <w:spacing w:after="0"/>
              <w:rPr>
                <w:sz w:val="20"/>
                <w:szCs w:val="20"/>
                <w:color w:val="auto"/>
              </w:rPr>
            </w:pPr>
            <w:r>
              <w:rPr>
                <w:rFonts w:ascii="Arial" w:cs="Arial" w:eastAsia="Arial" w:hAnsi="Arial"/>
                <w:sz w:val="18"/>
                <w:szCs w:val="18"/>
                <w:b w:val="1"/>
                <w:bCs w:val="1"/>
                <w:color w:val="auto"/>
              </w:rPr>
              <w:t>81,830</w:t>
            </w:r>
          </w:p>
        </w:tc>
        <w:tc>
          <w:tcPr>
            <w:tcW w:w="174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color w:val="auto"/>
              </w:rPr>
              <w:t>56,450</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45.0%</w:t>
            </w:r>
          </w:p>
        </w:tc>
        <w:tc>
          <w:tcPr>
            <w:tcW w:w="0" w:type="dxa"/>
            <w:vAlign w:val="bottom"/>
          </w:tcPr>
          <w:p>
            <w:pPr>
              <w:spacing w:after="0"/>
              <w:rPr>
                <w:sz w:val="1"/>
                <w:szCs w:val="1"/>
                <w:color w:val="auto"/>
              </w:rPr>
            </w:pPr>
          </w:p>
        </w:tc>
      </w:tr>
      <w:tr>
        <w:trPr>
          <w:trHeight w:val="196"/>
        </w:trPr>
        <w:tc>
          <w:tcPr>
            <w:tcW w:w="4880" w:type="dxa"/>
            <w:vAlign w:val="bottom"/>
            <w:tcBorders>
              <w:bottom w:val="single" w:sz="8" w:color="auto"/>
            </w:tcBorders>
            <w:gridSpan w:val="2"/>
          </w:tcPr>
          <w:p>
            <w:pPr>
              <w:spacing w:after="0" w:line="196" w:lineRule="exact"/>
              <w:rPr>
                <w:sz w:val="20"/>
                <w:szCs w:val="20"/>
                <w:color w:val="auto"/>
              </w:rPr>
            </w:pPr>
            <w:r>
              <w:rPr>
                <w:rFonts w:ascii="Arial" w:cs="Arial" w:eastAsia="Arial" w:hAnsi="Arial"/>
                <w:sz w:val="18"/>
                <w:szCs w:val="18"/>
                <w:color w:val="auto"/>
              </w:rPr>
              <w:t>Total</w:t>
            </w:r>
          </w:p>
        </w:tc>
        <w:tc>
          <w:tcPr>
            <w:tcW w:w="1380" w:type="dxa"/>
            <w:vAlign w:val="bottom"/>
            <w:tcBorders>
              <w:bottom w:val="single" w:sz="8" w:color="auto"/>
            </w:tcBorders>
          </w:tcPr>
          <w:p>
            <w:pPr>
              <w:spacing w:after="0"/>
              <w:rPr>
                <w:sz w:val="17"/>
                <w:szCs w:val="17"/>
                <w:color w:val="auto"/>
              </w:rPr>
            </w:pPr>
          </w:p>
        </w:tc>
        <w:tc>
          <w:tcPr>
            <w:tcW w:w="1900" w:type="dxa"/>
            <w:vAlign w:val="bottom"/>
            <w:tcBorders>
              <w:bottom w:val="single" w:sz="8" w:color="auto"/>
            </w:tcBorders>
          </w:tcPr>
          <w:p>
            <w:pPr>
              <w:jc w:val="right"/>
              <w:ind w:right="890"/>
              <w:spacing w:after="0" w:line="196" w:lineRule="exact"/>
              <w:rPr>
                <w:sz w:val="20"/>
                <w:szCs w:val="20"/>
                <w:color w:val="auto"/>
              </w:rPr>
            </w:pPr>
            <w:r>
              <w:rPr>
                <w:rFonts w:ascii="Arial" w:cs="Arial" w:eastAsia="Arial" w:hAnsi="Arial"/>
                <w:sz w:val="18"/>
                <w:szCs w:val="18"/>
                <w:b w:val="1"/>
                <w:bCs w:val="1"/>
                <w:color w:val="auto"/>
              </w:rPr>
              <w:t>$229,981</w:t>
            </w:r>
          </w:p>
        </w:tc>
        <w:tc>
          <w:tcPr>
            <w:tcW w:w="1740" w:type="dxa"/>
            <w:vAlign w:val="bottom"/>
            <w:tcBorders>
              <w:bottom w:val="single" w:sz="8" w:color="auto"/>
            </w:tcBorders>
          </w:tcPr>
          <w:p>
            <w:pPr>
              <w:jc w:val="right"/>
              <w:ind w:right="590"/>
              <w:spacing w:after="0" w:line="196" w:lineRule="exact"/>
              <w:rPr>
                <w:sz w:val="20"/>
                <w:szCs w:val="20"/>
                <w:color w:val="auto"/>
              </w:rPr>
            </w:pPr>
            <w:r>
              <w:rPr>
                <w:rFonts w:ascii="Arial" w:cs="Arial" w:eastAsia="Arial" w:hAnsi="Arial"/>
                <w:sz w:val="18"/>
                <w:szCs w:val="18"/>
                <w:color w:val="auto"/>
              </w:rPr>
              <w:t>$199,277</w:t>
            </w:r>
          </w:p>
        </w:tc>
        <w:tc>
          <w:tcPr>
            <w:tcW w:w="15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The following table summarizes first-quarter 2018 Net sales, excluding the impact of ASC 606 and currency translation effects:</w:t>
      </w:r>
    </w:p>
    <w:p>
      <w:pPr>
        <w:spacing w:after="0" w:line="190" w:lineRule="exact"/>
        <w:rPr>
          <w:sz w:val="20"/>
          <w:szCs w:val="20"/>
          <w:color w:val="auto"/>
        </w:rPr>
      </w:pPr>
    </w:p>
    <w:p>
      <w:pPr>
        <w:ind w:left="4640"/>
        <w:spacing w:after="0"/>
        <w:rPr>
          <w:sz w:val="20"/>
          <w:szCs w:val="20"/>
          <w:color w:val="auto"/>
        </w:rPr>
      </w:pPr>
      <w:r>
        <w:rPr>
          <w:rFonts w:ascii="Arial" w:cs="Arial" w:eastAsia="Arial" w:hAnsi="Arial"/>
          <w:sz w:val="18"/>
          <w:szCs w:val="18"/>
          <w:b w:val="1"/>
          <w:bCs w:val="1"/>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2466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ind w:left="5140"/>
        <w:spacing w:after="0"/>
        <w:rPr>
          <w:sz w:val="20"/>
          <w:szCs w:val="20"/>
          <w:color w:val="auto"/>
        </w:rPr>
      </w:pPr>
      <w:r>
        <w:rPr>
          <w:rFonts w:ascii="Arial" w:cs="Arial" w:eastAsia="Arial" w:hAnsi="Arial"/>
          <w:sz w:val="18"/>
          <w:szCs w:val="18"/>
          <w:b w:val="1"/>
          <w:bCs w:val="1"/>
          <w:color w:val="auto"/>
        </w:rPr>
        <w:t>March 31,</w:t>
      </w:r>
    </w:p>
    <w:tbl>
      <w:tblPr>
        <w:tblLayout w:type="fixed"/>
        <w:tblInd w:w="0" w:type="dxa"/>
        <w:tblCellMar>
          <w:top w:w="0" w:type="dxa"/>
          <w:left w:w="0" w:type="dxa"/>
          <w:bottom w:w="0" w:type="dxa"/>
          <w:right w:w="0" w:type="dxa"/>
        </w:tblCellMar>
      </w:tblPr>
      <w:tr>
        <w:trPr>
          <w:trHeight w:val="173"/>
        </w:trPr>
        <w:tc>
          <w:tcPr>
            <w:tcW w:w="3680" w:type="dxa"/>
            <w:vAlign w:val="bottom"/>
            <w:tcBorders>
              <w:top w:val="single" w:sz="8" w:color="auto"/>
            </w:tcBorders>
          </w:tcPr>
          <w:p>
            <w:pPr>
              <w:spacing w:after="0"/>
              <w:rPr>
                <w:sz w:val="15"/>
                <w:szCs w:val="15"/>
                <w:color w:val="auto"/>
              </w:rPr>
            </w:pPr>
          </w:p>
        </w:tc>
        <w:tc>
          <w:tcPr>
            <w:tcW w:w="1840" w:type="dxa"/>
            <w:vAlign w:val="bottom"/>
            <w:tcBorders>
              <w:top w:val="single" w:sz="8" w:color="auto"/>
            </w:tcBorders>
          </w:tcPr>
          <w:p>
            <w:pPr>
              <w:spacing w:after="0"/>
              <w:rPr>
                <w:sz w:val="15"/>
                <w:szCs w:val="15"/>
                <w:color w:val="auto"/>
              </w:rPr>
            </w:pPr>
          </w:p>
        </w:tc>
        <w:tc>
          <w:tcPr>
            <w:tcW w:w="1560" w:type="dxa"/>
            <w:vAlign w:val="bottom"/>
            <w:tcBorders>
              <w:top w:val="single" w:sz="8" w:color="auto"/>
            </w:tcBorders>
          </w:tcPr>
          <w:p>
            <w:pPr>
              <w:spacing w:after="0"/>
              <w:rPr>
                <w:sz w:val="15"/>
                <w:szCs w:val="15"/>
                <w:color w:val="auto"/>
              </w:rPr>
            </w:pPr>
          </w:p>
        </w:tc>
        <w:tc>
          <w:tcPr>
            <w:tcW w:w="1460" w:type="dxa"/>
            <w:vAlign w:val="bottom"/>
            <w:tcBorders>
              <w:top w:val="single" w:sz="8" w:color="auto"/>
            </w:tcBorders>
          </w:tcPr>
          <w:p>
            <w:pPr>
              <w:jc w:val="center"/>
              <w:spacing w:after="0" w:line="173" w:lineRule="exact"/>
              <w:rPr>
                <w:sz w:val="20"/>
                <w:szCs w:val="20"/>
                <w:color w:val="auto"/>
              </w:rPr>
            </w:pPr>
            <w:r>
              <w:rPr>
                <w:rFonts w:ascii="Arial" w:cs="Arial" w:eastAsia="Arial" w:hAnsi="Arial"/>
                <w:sz w:val="18"/>
                <w:szCs w:val="18"/>
                <w:b w:val="1"/>
                <w:bCs w:val="1"/>
                <w:color w:val="auto"/>
                <w:w w:val="99"/>
              </w:rPr>
              <w:t>Increase due</w:t>
            </w:r>
          </w:p>
        </w:tc>
        <w:tc>
          <w:tcPr>
            <w:tcW w:w="1520" w:type="dxa"/>
            <w:vAlign w:val="bottom"/>
            <w:tcBorders>
              <w:top w:val="single" w:sz="8" w:color="auto"/>
            </w:tcBorders>
          </w:tcPr>
          <w:p>
            <w:pPr>
              <w:spacing w:after="0"/>
              <w:rPr>
                <w:sz w:val="15"/>
                <w:szCs w:val="15"/>
                <w:color w:val="auto"/>
              </w:rPr>
            </w:pPr>
          </w:p>
        </w:tc>
        <w:tc>
          <w:tcPr>
            <w:tcW w:w="1360" w:type="dxa"/>
            <w:vAlign w:val="bottom"/>
            <w:tcBorders>
              <w:top w:val="single" w:sz="8" w:color="auto"/>
            </w:tcBorders>
          </w:tcPr>
          <w:p>
            <w:pPr>
              <w:spacing w:after="0"/>
              <w:rPr>
                <w:sz w:val="15"/>
                <w:szCs w:val="15"/>
                <w:color w:val="auto"/>
              </w:rPr>
            </w:pPr>
          </w:p>
        </w:tc>
      </w:tr>
      <w:tr>
        <w:trPr>
          <w:trHeight w:val="203"/>
        </w:trPr>
        <w:tc>
          <w:tcPr>
            <w:tcW w:w="368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46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to changes in</w:t>
            </w:r>
          </w:p>
        </w:tc>
        <w:tc>
          <w:tcPr>
            <w:tcW w:w="152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03"/>
        </w:trPr>
        <w:tc>
          <w:tcPr>
            <w:tcW w:w="3680" w:type="dxa"/>
            <w:vAlign w:val="bottom"/>
          </w:tcPr>
          <w:p>
            <w:pPr>
              <w:spacing w:after="0"/>
              <w:rPr>
                <w:sz w:val="17"/>
                <w:szCs w:val="17"/>
                <w:color w:val="auto"/>
              </w:rPr>
            </w:pPr>
          </w:p>
        </w:tc>
        <w:tc>
          <w:tcPr>
            <w:tcW w:w="1840" w:type="dxa"/>
            <w:vAlign w:val="bottom"/>
          </w:tcPr>
          <w:p>
            <w:pPr>
              <w:jc w:val="center"/>
              <w:ind w:left="450"/>
              <w:spacing w:after="0" w:line="202" w:lineRule="exact"/>
              <w:rPr>
                <w:sz w:val="20"/>
                <w:szCs w:val="20"/>
                <w:color w:val="auto"/>
              </w:rPr>
            </w:pPr>
            <w:r>
              <w:rPr>
                <w:rFonts w:ascii="Arial" w:cs="Arial" w:eastAsia="Arial" w:hAnsi="Arial"/>
                <w:sz w:val="18"/>
                <w:szCs w:val="18"/>
                <w:b w:val="1"/>
                <w:bCs w:val="1"/>
                <w:color w:val="auto"/>
              </w:rPr>
              <w:t>Net sales as</w:t>
            </w:r>
          </w:p>
        </w:tc>
        <w:tc>
          <w:tcPr>
            <w:tcW w:w="1560" w:type="dxa"/>
            <w:vAlign w:val="bottom"/>
          </w:tcPr>
          <w:p>
            <w:pPr>
              <w:spacing w:after="0"/>
              <w:rPr>
                <w:sz w:val="17"/>
                <w:szCs w:val="17"/>
                <w:color w:val="auto"/>
              </w:rPr>
            </w:pPr>
          </w:p>
        </w:tc>
        <w:tc>
          <w:tcPr>
            <w:tcW w:w="146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currency</w:t>
            </w:r>
          </w:p>
        </w:tc>
        <w:tc>
          <w:tcPr>
            <w:tcW w:w="152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Q1 2018 sales</w:t>
            </w:r>
          </w:p>
        </w:tc>
        <w:tc>
          <w:tcPr>
            <w:tcW w:w="136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8"/>
              </w:rPr>
              <w:t>% Change</w:t>
            </w:r>
          </w:p>
        </w:tc>
      </w:tr>
      <w:tr>
        <w:trPr>
          <w:trHeight w:val="203"/>
        </w:trPr>
        <w:tc>
          <w:tcPr>
            <w:tcW w:w="3680" w:type="dxa"/>
            <w:vAlign w:val="bottom"/>
          </w:tcPr>
          <w:p>
            <w:pPr>
              <w:spacing w:after="0"/>
              <w:rPr>
                <w:sz w:val="17"/>
                <w:szCs w:val="17"/>
                <w:color w:val="auto"/>
              </w:rPr>
            </w:pPr>
          </w:p>
        </w:tc>
        <w:tc>
          <w:tcPr>
            <w:tcW w:w="1840" w:type="dxa"/>
            <w:vAlign w:val="bottom"/>
          </w:tcPr>
          <w:p>
            <w:pPr>
              <w:jc w:val="center"/>
              <w:ind w:left="450"/>
              <w:spacing w:after="0" w:line="202" w:lineRule="exact"/>
              <w:rPr>
                <w:sz w:val="20"/>
                <w:szCs w:val="20"/>
                <w:color w:val="auto"/>
              </w:rPr>
            </w:pPr>
            <w:r>
              <w:rPr>
                <w:rFonts w:ascii="Arial" w:cs="Arial" w:eastAsia="Arial" w:hAnsi="Arial"/>
                <w:sz w:val="18"/>
                <w:szCs w:val="18"/>
                <w:b w:val="1"/>
                <w:bCs w:val="1"/>
                <w:color w:val="auto"/>
                <w:w w:val="98"/>
              </w:rPr>
              <w:t>reported, Q1</w:t>
            </w:r>
          </w:p>
        </w:tc>
        <w:tc>
          <w:tcPr>
            <w:tcW w:w="1560" w:type="dxa"/>
            <w:vAlign w:val="bottom"/>
          </w:tcPr>
          <w:p>
            <w:pPr>
              <w:jc w:val="right"/>
              <w:ind w:right="70"/>
              <w:spacing w:after="0" w:line="202" w:lineRule="exact"/>
              <w:rPr>
                <w:sz w:val="20"/>
                <w:szCs w:val="20"/>
                <w:color w:val="auto"/>
              </w:rPr>
            </w:pPr>
            <w:r>
              <w:rPr>
                <w:rFonts w:ascii="Arial" w:cs="Arial" w:eastAsia="Arial" w:hAnsi="Arial"/>
                <w:sz w:val="18"/>
                <w:szCs w:val="18"/>
                <w:b w:val="1"/>
                <w:bCs w:val="1"/>
                <w:color w:val="auto"/>
              </w:rPr>
              <w:t>Increase due</w:t>
            </w:r>
          </w:p>
        </w:tc>
        <w:tc>
          <w:tcPr>
            <w:tcW w:w="146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translation</w:t>
            </w:r>
          </w:p>
        </w:tc>
        <w:tc>
          <w:tcPr>
            <w:tcW w:w="152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on same basis</w:t>
            </w:r>
          </w:p>
        </w:tc>
        <w:tc>
          <w:tcPr>
            <w:tcW w:w="136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compared to</w:t>
            </w:r>
          </w:p>
        </w:tc>
      </w:tr>
      <w:tr>
        <w:trPr>
          <w:trHeight w:val="225"/>
        </w:trPr>
        <w:tc>
          <w:tcPr>
            <w:tcW w:w="36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(in thousands, except percentages)</w:t>
            </w:r>
          </w:p>
        </w:tc>
        <w:tc>
          <w:tcPr>
            <w:tcW w:w="1840" w:type="dxa"/>
            <w:vAlign w:val="bottom"/>
            <w:tcBorders>
              <w:bottom w:val="single" w:sz="8" w:color="auto"/>
            </w:tcBorders>
          </w:tcPr>
          <w:p>
            <w:pPr>
              <w:jc w:val="center"/>
              <w:ind w:left="450"/>
              <w:spacing w:after="0"/>
              <w:rPr>
                <w:sz w:val="20"/>
                <w:szCs w:val="20"/>
                <w:color w:val="auto"/>
              </w:rPr>
            </w:pPr>
            <w:r>
              <w:rPr>
                <w:rFonts w:ascii="Arial" w:cs="Arial" w:eastAsia="Arial" w:hAnsi="Arial"/>
                <w:sz w:val="18"/>
                <w:szCs w:val="18"/>
                <w:b w:val="1"/>
                <w:bCs w:val="1"/>
                <w:color w:val="auto"/>
              </w:rPr>
              <w:t>2018</w:t>
            </w:r>
          </w:p>
        </w:tc>
        <w:tc>
          <w:tcPr>
            <w:tcW w:w="15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to ASC 606</w:t>
            </w: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rates</w:t>
            </w: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as Q1 2017</w:t>
            </w: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rPr>
              <w:t>Q1 2017</w:t>
            </w:r>
          </w:p>
        </w:tc>
      </w:tr>
      <w:tr>
        <w:trPr>
          <w:trHeight w:val="173"/>
        </w:trPr>
        <w:tc>
          <w:tcPr>
            <w:tcW w:w="3680" w:type="dxa"/>
            <w:vAlign w:val="bottom"/>
          </w:tcPr>
          <w:p>
            <w:pPr>
              <w:spacing w:after="0" w:line="173" w:lineRule="exact"/>
              <w:rPr>
                <w:sz w:val="20"/>
                <w:szCs w:val="20"/>
                <w:color w:val="auto"/>
              </w:rPr>
            </w:pPr>
            <w:r>
              <w:rPr>
                <w:rFonts w:ascii="Arial" w:cs="Arial" w:eastAsia="Arial" w:hAnsi="Arial"/>
                <w:sz w:val="18"/>
                <w:szCs w:val="18"/>
                <w:color w:val="auto"/>
              </w:rPr>
              <w:t>Machine Clothing</w:t>
            </w:r>
          </w:p>
        </w:tc>
        <w:tc>
          <w:tcPr>
            <w:tcW w:w="1840" w:type="dxa"/>
            <w:vAlign w:val="bottom"/>
          </w:tcPr>
          <w:p>
            <w:pPr>
              <w:jc w:val="right"/>
              <w:ind w:right="50"/>
              <w:spacing w:after="0" w:line="173" w:lineRule="exact"/>
              <w:rPr>
                <w:sz w:val="20"/>
                <w:szCs w:val="20"/>
                <w:color w:val="auto"/>
              </w:rPr>
            </w:pPr>
            <w:r>
              <w:rPr>
                <w:rFonts w:ascii="Arial" w:cs="Arial" w:eastAsia="Arial" w:hAnsi="Arial"/>
                <w:sz w:val="18"/>
                <w:szCs w:val="18"/>
                <w:b w:val="1"/>
                <w:bCs w:val="1"/>
                <w:color w:val="auto"/>
              </w:rPr>
              <w:t>$148,151</w:t>
            </w:r>
          </w:p>
        </w:tc>
        <w:tc>
          <w:tcPr>
            <w:tcW w:w="1560" w:type="dxa"/>
            <w:vAlign w:val="bottom"/>
          </w:tcPr>
          <w:p>
            <w:pPr>
              <w:jc w:val="right"/>
              <w:ind w:right="110"/>
              <w:spacing w:after="0" w:line="173" w:lineRule="exact"/>
              <w:rPr>
                <w:sz w:val="20"/>
                <w:szCs w:val="20"/>
                <w:color w:val="auto"/>
              </w:rPr>
            </w:pPr>
            <w:r>
              <w:rPr>
                <w:rFonts w:ascii="Arial" w:cs="Arial" w:eastAsia="Arial" w:hAnsi="Arial"/>
                <w:sz w:val="18"/>
                <w:szCs w:val="18"/>
                <w:color w:val="auto"/>
              </w:rPr>
              <w:t>$4,211</w:t>
            </w:r>
          </w:p>
        </w:tc>
        <w:tc>
          <w:tcPr>
            <w:tcW w:w="1460" w:type="dxa"/>
            <w:vAlign w:val="bottom"/>
          </w:tcPr>
          <w:p>
            <w:pPr>
              <w:jc w:val="right"/>
              <w:ind w:right="110"/>
              <w:spacing w:after="0" w:line="173" w:lineRule="exact"/>
              <w:rPr>
                <w:sz w:val="20"/>
                <w:szCs w:val="20"/>
                <w:color w:val="auto"/>
              </w:rPr>
            </w:pPr>
            <w:r>
              <w:rPr>
                <w:rFonts w:ascii="Arial" w:cs="Arial" w:eastAsia="Arial" w:hAnsi="Arial"/>
                <w:sz w:val="18"/>
                <w:szCs w:val="18"/>
                <w:color w:val="auto"/>
              </w:rPr>
              <w:t>$6,760</w:t>
            </w:r>
          </w:p>
        </w:tc>
        <w:tc>
          <w:tcPr>
            <w:tcW w:w="1520" w:type="dxa"/>
            <w:vAlign w:val="bottom"/>
          </w:tcPr>
          <w:p>
            <w:pPr>
              <w:jc w:val="right"/>
              <w:ind w:right="170"/>
              <w:spacing w:after="0" w:line="173" w:lineRule="exact"/>
              <w:rPr>
                <w:sz w:val="20"/>
                <w:szCs w:val="20"/>
                <w:color w:val="auto"/>
              </w:rPr>
            </w:pPr>
            <w:r>
              <w:rPr>
                <w:rFonts w:ascii="Arial" w:cs="Arial" w:eastAsia="Arial" w:hAnsi="Arial"/>
                <w:sz w:val="18"/>
                <w:szCs w:val="18"/>
                <w:color w:val="auto"/>
              </w:rPr>
              <w:t>$137,180</w:t>
            </w:r>
          </w:p>
        </w:tc>
        <w:tc>
          <w:tcPr>
            <w:tcW w:w="1360" w:type="dxa"/>
            <w:vAlign w:val="bottom"/>
          </w:tcPr>
          <w:p>
            <w:pPr>
              <w:jc w:val="right"/>
              <w:spacing w:after="0" w:line="173" w:lineRule="exact"/>
              <w:rPr>
                <w:sz w:val="20"/>
                <w:szCs w:val="20"/>
                <w:color w:val="auto"/>
              </w:rPr>
            </w:pPr>
            <w:r>
              <w:rPr>
                <w:rFonts w:ascii="Arial" w:cs="Arial" w:eastAsia="Arial" w:hAnsi="Arial"/>
                <w:sz w:val="18"/>
                <w:szCs w:val="18"/>
                <w:color w:val="auto"/>
              </w:rPr>
              <w:t>-4.0%</w:t>
            </w:r>
          </w:p>
        </w:tc>
      </w:tr>
      <w:tr>
        <w:trPr>
          <w:trHeight w:val="225"/>
        </w:trPr>
        <w:tc>
          <w:tcPr>
            <w:tcW w:w="36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Albany Engineered Composites</w:t>
            </w:r>
          </w:p>
        </w:tc>
        <w:tc>
          <w:tcPr>
            <w:tcW w:w="18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81,830</w:t>
            </w:r>
          </w:p>
        </w:tc>
        <w:tc>
          <w:tcPr>
            <w:tcW w:w="15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4,223</w:t>
            </w:r>
          </w:p>
        </w:tc>
        <w:tc>
          <w:tcPr>
            <w:tcW w:w="14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2,311</w:t>
            </w:r>
          </w:p>
        </w:tc>
        <w:tc>
          <w:tcPr>
            <w:tcW w:w="15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75,296</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33.4%</w:t>
            </w:r>
          </w:p>
        </w:tc>
      </w:tr>
      <w:tr>
        <w:trPr>
          <w:trHeight w:val="196"/>
        </w:trPr>
        <w:tc>
          <w:tcPr>
            <w:tcW w:w="368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Total</w:t>
            </w:r>
          </w:p>
        </w:tc>
        <w:tc>
          <w:tcPr>
            <w:tcW w:w="1840" w:type="dxa"/>
            <w:vAlign w:val="bottom"/>
            <w:tcBorders>
              <w:bottom w:val="single" w:sz="8" w:color="auto"/>
            </w:tcBorders>
          </w:tcPr>
          <w:p>
            <w:pPr>
              <w:jc w:val="right"/>
              <w:ind w:right="50"/>
              <w:spacing w:after="0" w:line="196" w:lineRule="exact"/>
              <w:rPr>
                <w:sz w:val="20"/>
                <w:szCs w:val="20"/>
                <w:color w:val="auto"/>
              </w:rPr>
            </w:pPr>
            <w:r>
              <w:rPr>
                <w:rFonts w:ascii="Arial" w:cs="Arial" w:eastAsia="Arial" w:hAnsi="Arial"/>
                <w:sz w:val="18"/>
                <w:szCs w:val="18"/>
                <w:b w:val="1"/>
                <w:bCs w:val="1"/>
                <w:color w:val="auto"/>
              </w:rPr>
              <w:t>$229,981</w:t>
            </w:r>
          </w:p>
        </w:tc>
        <w:tc>
          <w:tcPr>
            <w:tcW w:w="1560" w:type="dxa"/>
            <w:vAlign w:val="bottom"/>
            <w:tcBorders>
              <w:bottom w:val="single" w:sz="8" w:color="auto"/>
            </w:tcBorders>
          </w:tcPr>
          <w:p>
            <w:pPr>
              <w:jc w:val="right"/>
              <w:ind w:right="110"/>
              <w:spacing w:after="0" w:line="196" w:lineRule="exact"/>
              <w:rPr>
                <w:sz w:val="20"/>
                <w:szCs w:val="20"/>
                <w:color w:val="auto"/>
              </w:rPr>
            </w:pPr>
            <w:r>
              <w:rPr>
                <w:rFonts w:ascii="Arial" w:cs="Arial" w:eastAsia="Arial" w:hAnsi="Arial"/>
                <w:sz w:val="18"/>
                <w:szCs w:val="18"/>
                <w:color w:val="auto"/>
              </w:rPr>
              <w:t>$8,434</w:t>
            </w:r>
          </w:p>
        </w:tc>
        <w:tc>
          <w:tcPr>
            <w:tcW w:w="1460" w:type="dxa"/>
            <w:vAlign w:val="bottom"/>
            <w:tcBorders>
              <w:bottom w:val="single" w:sz="8" w:color="auto"/>
            </w:tcBorders>
          </w:tcPr>
          <w:p>
            <w:pPr>
              <w:jc w:val="right"/>
              <w:ind w:right="110"/>
              <w:spacing w:after="0" w:line="196" w:lineRule="exact"/>
              <w:rPr>
                <w:sz w:val="20"/>
                <w:szCs w:val="20"/>
                <w:color w:val="auto"/>
              </w:rPr>
            </w:pPr>
            <w:r>
              <w:rPr>
                <w:rFonts w:ascii="Arial" w:cs="Arial" w:eastAsia="Arial" w:hAnsi="Arial"/>
                <w:sz w:val="18"/>
                <w:szCs w:val="18"/>
                <w:color w:val="auto"/>
              </w:rPr>
              <w:t>$9,071</w:t>
            </w:r>
          </w:p>
        </w:tc>
        <w:tc>
          <w:tcPr>
            <w:tcW w:w="1520" w:type="dxa"/>
            <w:vAlign w:val="bottom"/>
            <w:tcBorders>
              <w:bottom w:val="single" w:sz="8" w:color="auto"/>
            </w:tcBorders>
          </w:tcPr>
          <w:p>
            <w:pPr>
              <w:jc w:val="right"/>
              <w:ind w:right="170"/>
              <w:spacing w:after="0" w:line="196" w:lineRule="exact"/>
              <w:rPr>
                <w:sz w:val="20"/>
                <w:szCs w:val="20"/>
                <w:color w:val="auto"/>
              </w:rPr>
            </w:pPr>
            <w:r>
              <w:rPr>
                <w:rFonts w:ascii="Arial" w:cs="Arial" w:eastAsia="Arial" w:hAnsi="Arial"/>
                <w:sz w:val="18"/>
                <w:szCs w:val="18"/>
                <w:color w:val="auto"/>
              </w:rPr>
              <w:t>$212,476</w:t>
            </w:r>
          </w:p>
        </w:tc>
        <w:tc>
          <w:tcPr>
            <w:tcW w:w="13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6.6%</w:t>
            </w:r>
          </w:p>
        </w:tc>
      </w:tr>
      <w:tr>
        <w:trPr>
          <w:trHeight w:val="628"/>
        </w:trPr>
        <w:tc>
          <w:tcPr>
            <w:tcW w:w="368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560" w:type="dxa"/>
            <w:vAlign w:val="bottom"/>
          </w:tcPr>
          <w:p>
            <w:pPr>
              <w:jc w:val="right"/>
              <w:ind w:right="1190"/>
              <w:spacing w:after="0"/>
              <w:rPr>
                <w:sz w:val="20"/>
                <w:szCs w:val="20"/>
                <w:color w:val="auto"/>
              </w:rPr>
            </w:pPr>
            <w:r>
              <w:rPr>
                <w:rFonts w:ascii="Arial" w:cs="Arial" w:eastAsia="Arial" w:hAnsi="Arial"/>
                <w:sz w:val="18"/>
                <w:szCs w:val="18"/>
                <w:color w:val="auto"/>
              </w:rPr>
              <w:t>41</w:t>
            </w:r>
          </w:p>
        </w:tc>
        <w:tc>
          <w:tcPr>
            <w:tcW w:w="14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142"/>
        </w:trPr>
        <w:tc>
          <w:tcPr>
            <w:tcW w:w="3680" w:type="dxa"/>
            <w:vAlign w:val="bottom"/>
            <w:tcBorders>
              <w:bottom w:val="single" w:sz="8" w:color="auto"/>
            </w:tcBorders>
          </w:tcPr>
          <w:p>
            <w:pPr>
              <w:spacing w:after="0"/>
              <w:rPr>
                <w:sz w:val="12"/>
                <w:szCs w:val="12"/>
                <w:color w:val="auto"/>
              </w:rPr>
            </w:pPr>
          </w:p>
        </w:tc>
        <w:tc>
          <w:tcPr>
            <w:tcW w:w="1840" w:type="dxa"/>
            <w:vAlign w:val="bottom"/>
            <w:tcBorders>
              <w:bottom w:val="single" w:sz="8" w:color="auto"/>
            </w:tcBorders>
          </w:tcPr>
          <w:p>
            <w:pPr>
              <w:spacing w:after="0"/>
              <w:rPr>
                <w:sz w:val="12"/>
                <w:szCs w:val="12"/>
                <w:color w:val="auto"/>
              </w:rPr>
            </w:pPr>
          </w:p>
        </w:tc>
        <w:tc>
          <w:tcPr>
            <w:tcW w:w="1560" w:type="dxa"/>
            <w:vAlign w:val="bottom"/>
            <w:tcBorders>
              <w:bottom w:val="single" w:sz="8" w:color="auto"/>
            </w:tcBorders>
          </w:tcPr>
          <w:p>
            <w:pPr>
              <w:spacing w:after="0"/>
              <w:rPr>
                <w:sz w:val="12"/>
                <w:szCs w:val="12"/>
                <w:color w:val="auto"/>
              </w:rPr>
            </w:pPr>
          </w:p>
        </w:tc>
        <w:tc>
          <w:tcPr>
            <w:tcW w:w="1460" w:type="dxa"/>
            <w:vAlign w:val="bottom"/>
            <w:tcBorders>
              <w:bottom w:val="single" w:sz="8" w:color="auto"/>
            </w:tcBorders>
          </w:tcPr>
          <w:p>
            <w:pPr>
              <w:spacing w:after="0"/>
              <w:rPr>
                <w:sz w:val="12"/>
                <w:szCs w:val="12"/>
                <w:color w:val="auto"/>
              </w:rPr>
            </w:pPr>
          </w:p>
        </w:tc>
        <w:tc>
          <w:tcPr>
            <w:tcW w:w="1520" w:type="dxa"/>
            <w:vAlign w:val="bottom"/>
            <w:tcBorders>
              <w:bottom w:val="single" w:sz="8" w:color="auto"/>
            </w:tcBorders>
          </w:tcPr>
          <w:p>
            <w:pPr>
              <w:spacing w:after="0"/>
              <w:rPr>
                <w:sz w:val="12"/>
                <w:szCs w:val="12"/>
                <w:color w:val="auto"/>
              </w:rPr>
            </w:pPr>
          </w:p>
        </w:tc>
        <w:tc>
          <w:tcPr>
            <w:tcW w:w="1360" w:type="dxa"/>
            <w:vAlign w:val="bottom"/>
            <w:tcBorders>
              <w:bottom w:val="single" w:sz="8" w:color="auto"/>
            </w:tcBorders>
          </w:tcPr>
          <w:p>
            <w:pPr>
              <w:spacing w:after="0"/>
              <w:rPr>
                <w:sz w:val="12"/>
                <w:szCs w:val="12"/>
                <w:color w:val="auto"/>
              </w:rPr>
            </w:pPr>
          </w:p>
        </w:tc>
      </w:tr>
    </w:tbl>
    <w:p>
      <w:pPr>
        <w:sectPr>
          <w:pgSz w:w="11900" w:h="16838" w:orient="portrait"/>
          <w:cols w:equalWidth="0" w:num="1">
            <w:col w:w="11420"/>
          </w:cols>
          <w:pgMar w:left="240" w:top="800" w:right="23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color w:val="auto"/>
        </w:rPr>
        <w:t>Three month comparison</w:t>
      </w:r>
    </w:p>
    <w:p>
      <w:pPr>
        <w:spacing w:after="0" w:line="220" w:lineRule="exact"/>
        <w:rPr>
          <w:sz w:val="20"/>
          <w:szCs w:val="20"/>
          <w:color w:val="auto"/>
        </w:rPr>
      </w:pPr>
    </w:p>
    <w:p>
      <w:pPr>
        <w:ind w:left="980" w:right="520" w:hanging="324"/>
        <w:spacing w:after="0" w:line="246"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Changes in currency translation rates had the effect of increasing net sales by $9.1 million during the first quarter of 2018, as compared to 2017, principally due to the euro and Chinese renminbi strengthening in 2018.</w:t>
      </w:r>
    </w:p>
    <w:p>
      <w:pPr>
        <w:spacing w:after="0" w:line="156"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Excluding the effect of changes in currency translation rates:</w:t>
      </w:r>
    </w:p>
    <w:p>
      <w:pPr>
        <w:spacing w:after="0" w:line="198" w:lineRule="exact"/>
        <w:rPr>
          <w:rFonts w:ascii="Arial" w:cs="Arial" w:eastAsia="Arial" w:hAnsi="Arial"/>
          <w:sz w:val="18"/>
          <w:szCs w:val="18"/>
          <w:color w:val="auto"/>
        </w:rPr>
      </w:pPr>
    </w:p>
    <w:p>
      <w:pPr>
        <w:ind w:left="1620" w:right="300" w:hanging="315"/>
        <w:spacing w:after="0" w:line="246" w:lineRule="auto"/>
        <w:tabs>
          <w:tab w:leader="none" w:pos="1620" w:val="left"/>
        </w:tabs>
        <w:numPr>
          <w:ilvl w:val="1"/>
          <w:numId w:val="8"/>
        </w:numPr>
        <w:rPr>
          <w:rFonts w:ascii="Arial" w:cs="Arial" w:eastAsia="Arial" w:hAnsi="Arial"/>
          <w:sz w:val="18"/>
          <w:szCs w:val="18"/>
          <w:color w:val="auto"/>
        </w:rPr>
      </w:pPr>
      <w:r>
        <w:rPr>
          <w:rFonts w:ascii="Arial" w:cs="Arial" w:eastAsia="Arial" w:hAnsi="Arial"/>
          <w:sz w:val="18"/>
          <w:szCs w:val="18"/>
          <w:color w:val="auto"/>
        </w:rPr>
        <w:t>Net sales increased 10.9% compared to the same period in 2017. Excluding the additional effect of ASC 606, Net sales increased 6.6%.</w:t>
      </w:r>
    </w:p>
    <w:p>
      <w:pPr>
        <w:spacing w:after="0" w:line="156" w:lineRule="exact"/>
        <w:rPr>
          <w:rFonts w:ascii="Arial" w:cs="Arial" w:eastAsia="Arial" w:hAnsi="Arial"/>
          <w:sz w:val="18"/>
          <w:szCs w:val="18"/>
          <w:color w:val="auto"/>
        </w:rPr>
      </w:pPr>
    </w:p>
    <w:p>
      <w:pPr>
        <w:ind w:left="1620" w:right="80" w:hanging="315"/>
        <w:spacing w:after="0"/>
        <w:tabs>
          <w:tab w:leader="none" w:pos="1620" w:val="left"/>
        </w:tabs>
        <w:numPr>
          <w:ilvl w:val="1"/>
          <w:numId w:val="8"/>
        </w:numPr>
        <w:rPr>
          <w:rFonts w:ascii="Arial" w:cs="Arial" w:eastAsia="Arial" w:hAnsi="Arial"/>
          <w:sz w:val="18"/>
          <w:szCs w:val="18"/>
          <w:color w:val="auto"/>
        </w:rPr>
      </w:pPr>
      <w:r>
        <w:rPr>
          <w:rFonts w:ascii="Arial" w:cs="Arial" w:eastAsia="Arial" w:hAnsi="Arial"/>
          <w:sz w:val="18"/>
          <w:szCs w:val="18"/>
          <w:color w:val="auto"/>
        </w:rPr>
        <w:t>Net sales in MC decreased 1.0%. Excluding the additional effect of adopting ASC 606, Net sales decreased 4.0%, principally due to continuing declines in publication grade sales and lower sales in tissue and packaging, primarily in North America as first-quarter 2017 sales were particularly strong in those grades.</w:t>
      </w:r>
    </w:p>
    <w:p>
      <w:pPr>
        <w:spacing w:after="0" w:line="162" w:lineRule="exact"/>
        <w:rPr>
          <w:rFonts w:ascii="Arial" w:cs="Arial" w:eastAsia="Arial" w:hAnsi="Arial"/>
          <w:sz w:val="18"/>
          <w:szCs w:val="18"/>
          <w:color w:val="auto"/>
        </w:rPr>
      </w:pPr>
    </w:p>
    <w:p>
      <w:pPr>
        <w:ind w:left="1620" w:right="540" w:hanging="315"/>
        <w:spacing w:after="0" w:line="246" w:lineRule="auto"/>
        <w:tabs>
          <w:tab w:leader="none" w:pos="1620" w:val="left"/>
        </w:tabs>
        <w:numPr>
          <w:ilvl w:val="1"/>
          <w:numId w:val="8"/>
        </w:numPr>
        <w:rPr>
          <w:rFonts w:ascii="Arial" w:cs="Arial" w:eastAsia="Arial" w:hAnsi="Arial"/>
          <w:sz w:val="18"/>
          <w:szCs w:val="18"/>
          <w:color w:val="auto"/>
        </w:rPr>
      </w:pPr>
      <w:r>
        <w:rPr>
          <w:rFonts w:ascii="Arial" w:cs="Arial" w:eastAsia="Arial" w:hAnsi="Arial"/>
          <w:sz w:val="18"/>
          <w:szCs w:val="18"/>
          <w:color w:val="auto"/>
        </w:rPr>
        <w:t>Net sales in AEC increased 40.9%. Excluding the additional effect of adopting ASC 606, Net sales increased 33.4%, primarily driven by growth in the LEAP, Boeing 787, and F-35 programs.</w:t>
      </w: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Gross Profit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gross profit by business segment:</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5440" w:type="dxa"/>
            <w:vAlign w:val="bottom"/>
            <w:tcBorders>
              <w:top w:val="single" w:sz="8" w:color="auto"/>
            </w:tcBorders>
          </w:tcPr>
          <w:p>
            <w:pPr>
              <w:spacing w:after="0"/>
              <w:rPr>
                <w:sz w:val="16"/>
                <w:szCs w:val="16"/>
                <w:color w:val="auto"/>
              </w:rPr>
            </w:pPr>
          </w:p>
        </w:tc>
        <w:tc>
          <w:tcPr>
            <w:tcW w:w="5980" w:type="dxa"/>
            <w:vAlign w:val="bottom"/>
            <w:tcBorders>
              <w:top w:val="single" w:sz="8" w:color="auto"/>
            </w:tcBorders>
            <w:gridSpan w:val="2"/>
          </w:tcPr>
          <w:p>
            <w:pPr>
              <w:jc w:val="right"/>
              <w:ind w:right="670"/>
              <w:spacing w:after="0" w:line="194" w:lineRule="exact"/>
              <w:rPr>
                <w:sz w:val="20"/>
                <w:szCs w:val="20"/>
                <w:color w:val="auto"/>
              </w:rPr>
            </w:pPr>
            <w:r>
              <w:rPr>
                <w:rFonts w:ascii="Arial" w:cs="Arial" w:eastAsia="Arial" w:hAnsi="Arial"/>
                <w:sz w:val="18"/>
                <w:szCs w:val="18"/>
                <w:b w:val="1"/>
                <w:bCs w:val="1"/>
                <w:color w:val="auto"/>
              </w:rPr>
              <w:t>Three months ended March 31,</w:t>
            </w:r>
          </w:p>
        </w:tc>
      </w:tr>
      <w:tr>
        <w:trPr>
          <w:trHeight w:val="225"/>
        </w:trPr>
        <w:tc>
          <w:tcPr>
            <w:tcW w:w="54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(in thousands, except percentages)</w:t>
            </w:r>
          </w:p>
        </w:tc>
        <w:tc>
          <w:tcPr>
            <w:tcW w:w="4200" w:type="dxa"/>
            <w:vAlign w:val="bottom"/>
            <w:tcBorders>
              <w:bottom w:val="single" w:sz="8" w:color="auto"/>
            </w:tcBorders>
          </w:tcPr>
          <w:p>
            <w:pPr>
              <w:jc w:val="right"/>
              <w:ind w:right="1290"/>
              <w:spacing w:after="0"/>
              <w:rPr>
                <w:sz w:val="20"/>
                <w:szCs w:val="20"/>
                <w:color w:val="auto"/>
              </w:rPr>
            </w:pPr>
            <w:r>
              <w:rPr>
                <w:rFonts w:ascii="Arial" w:cs="Arial" w:eastAsia="Arial" w:hAnsi="Arial"/>
                <w:sz w:val="18"/>
                <w:szCs w:val="18"/>
                <w:b w:val="1"/>
                <w:bCs w:val="1"/>
                <w:color w:val="auto"/>
              </w:rPr>
              <w:t>2018</w:t>
            </w:r>
          </w:p>
        </w:tc>
        <w:tc>
          <w:tcPr>
            <w:tcW w:w="178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2017</w:t>
            </w:r>
          </w:p>
        </w:tc>
      </w:tr>
      <w:tr>
        <w:trPr>
          <w:trHeight w:val="173"/>
        </w:trPr>
        <w:tc>
          <w:tcPr>
            <w:tcW w:w="5440" w:type="dxa"/>
            <w:vAlign w:val="bottom"/>
          </w:tcPr>
          <w:p>
            <w:pPr>
              <w:spacing w:after="0" w:line="173" w:lineRule="exact"/>
              <w:rPr>
                <w:sz w:val="20"/>
                <w:szCs w:val="20"/>
                <w:color w:val="auto"/>
              </w:rPr>
            </w:pPr>
            <w:r>
              <w:rPr>
                <w:rFonts w:ascii="Arial" w:cs="Arial" w:eastAsia="Arial" w:hAnsi="Arial"/>
                <w:sz w:val="18"/>
                <w:szCs w:val="18"/>
                <w:color w:val="auto"/>
              </w:rPr>
              <w:t>Machine Clothing</w:t>
            </w:r>
          </w:p>
        </w:tc>
        <w:tc>
          <w:tcPr>
            <w:tcW w:w="4200" w:type="dxa"/>
            <w:vAlign w:val="bottom"/>
          </w:tcPr>
          <w:p>
            <w:pPr>
              <w:jc w:val="right"/>
              <w:ind w:right="830"/>
              <w:spacing w:after="0" w:line="173" w:lineRule="exact"/>
              <w:rPr>
                <w:sz w:val="20"/>
                <w:szCs w:val="20"/>
                <w:color w:val="auto"/>
              </w:rPr>
            </w:pPr>
            <w:r>
              <w:rPr>
                <w:rFonts w:ascii="Arial" w:cs="Arial" w:eastAsia="Arial" w:hAnsi="Arial"/>
                <w:sz w:val="18"/>
                <w:szCs w:val="18"/>
                <w:b w:val="1"/>
                <w:bCs w:val="1"/>
                <w:color w:val="auto"/>
              </w:rPr>
              <w:t>$70,181</w:t>
            </w:r>
          </w:p>
        </w:tc>
        <w:tc>
          <w:tcPr>
            <w:tcW w:w="1780" w:type="dxa"/>
            <w:vAlign w:val="bottom"/>
          </w:tcPr>
          <w:p>
            <w:pPr>
              <w:jc w:val="right"/>
              <w:ind w:right="70"/>
              <w:spacing w:after="0" w:line="173" w:lineRule="exact"/>
              <w:rPr>
                <w:sz w:val="20"/>
                <w:szCs w:val="20"/>
                <w:color w:val="auto"/>
              </w:rPr>
            </w:pPr>
            <w:r>
              <w:rPr>
                <w:rFonts w:ascii="Arial" w:cs="Arial" w:eastAsia="Arial" w:hAnsi="Arial"/>
                <w:sz w:val="18"/>
                <w:szCs w:val="18"/>
                <w:color w:val="auto"/>
              </w:rPr>
              <w:t>$69,218</w:t>
            </w:r>
          </w:p>
        </w:tc>
      </w:tr>
      <w:tr>
        <w:trPr>
          <w:trHeight w:val="203"/>
        </w:trPr>
        <w:tc>
          <w:tcPr>
            <w:tcW w:w="5440" w:type="dxa"/>
            <w:vAlign w:val="bottom"/>
          </w:tcPr>
          <w:p>
            <w:pPr>
              <w:spacing w:after="0" w:line="202" w:lineRule="exact"/>
              <w:rPr>
                <w:sz w:val="20"/>
                <w:szCs w:val="20"/>
                <w:color w:val="auto"/>
              </w:rPr>
            </w:pPr>
            <w:r>
              <w:rPr>
                <w:rFonts w:ascii="Arial" w:cs="Arial" w:eastAsia="Arial" w:hAnsi="Arial"/>
                <w:sz w:val="18"/>
                <w:szCs w:val="18"/>
                <w:color w:val="auto"/>
              </w:rPr>
              <w:t>Albany Engineered Composites</w:t>
            </w:r>
          </w:p>
        </w:tc>
        <w:tc>
          <w:tcPr>
            <w:tcW w:w="4200" w:type="dxa"/>
            <w:vAlign w:val="bottom"/>
          </w:tcPr>
          <w:p>
            <w:pPr>
              <w:jc w:val="right"/>
              <w:ind w:right="830"/>
              <w:spacing w:after="0" w:line="202" w:lineRule="exact"/>
              <w:rPr>
                <w:sz w:val="20"/>
                <w:szCs w:val="20"/>
                <w:color w:val="auto"/>
              </w:rPr>
            </w:pPr>
            <w:r>
              <w:rPr>
                <w:rFonts w:ascii="Arial" w:cs="Arial" w:eastAsia="Arial" w:hAnsi="Arial"/>
                <w:sz w:val="18"/>
                <w:szCs w:val="18"/>
                <w:b w:val="1"/>
                <w:bCs w:val="1"/>
                <w:color w:val="auto"/>
              </w:rPr>
              <w:t>11,524</w:t>
            </w:r>
          </w:p>
        </w:tc>
        <w:tc>
          <w:tcPr>
            <w:tcW w:w="1780" w:type="dxa"/>
            <w:vAlign w:val="bottom"/>
          </w:tcPr>
          <w:p>
            <w:pPr>
              <w:jc w:val="right"/>
              <w:ind w:right="70"/>
              <w:spacing w:after="0" w:line="202" w:lineRule="exact"/>
              <w:rPr>
                <w:sz w:val="20"/>
                <w:szCs w:val="20"/>
                <w:color w:val="auto"/>
              </w:rPr>
            </w:pPr>
            <w:r>
              <w:rPr>
                <w:rFonts w:ascii="Arial" w:cs="Arial" w:eastAsia="Arial" w:hAnsi="Arial"/>
                <w:sz w:val="18"/>
                <w:szCs w:val="18"/>
                <w:color w:val="auto"/>
              </w:rPr>
              <w:t>6,833</w:t>
            </w:r>
          </w:p>
        </w:tc>
      </w:tr>
      <w:tr>
        <w:trPr>
          <w:trHeight w:val="225"/>
        </w:trPr>
        <w:tc>
          <w:tcPr>
            <w:tcW w:w="5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Corporate expenses</w:t>
            </w:r>
          </w:p>
        </w:tc>
        <w:tc>
          <w:tcPr>
            <w:tcW w:w="4200" w:type="dxa"/>
            <w:vAlign w:val="bottom"/>
            <w:tcBorders>
              <w:bottom w:val="single" w:sz="8" w:color="auto"/>
            </w:tcBorders>
          </w:tcPr>
          <w:p>
            <w:pPr>
              <w:jc w:val="right"/>
              <w:ind w:right="770"/>
              <w:spacing w:after="0"/>
              <w:rPr>
                <w:sz w:val="20"/>
                <w:szCs w:val="20"/>
                <w:color w:val="auto"/>
              </w:rPr>
            </w:pPr>
            <w:r>
              <w:rPr>
                <w:rFonts w:ascii="Arial" w:cs="Arial" w:eastAsia="Arial" w:hAnsi="Arial"/>
                <w:sz w:val="18"/>
                <w:szCs w:val="18"/>
                <w:b w:val="1"/>
                <w:bCs w:val="1"/>
                <w:color w:val="auto"/>
              </w:rPr>
              <w:t>(54)</w:t>
            </w:r>
          </w:p>
        </w:tc>
        <w:tc>
          <w:tcPr>
            <w:tcW w:w="17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(23)</w:t>
            </w:r>
          </w:p>
        </w:tc>
      </w:tr>
      <w:tr>
        <w:trPr>
          <w:trHeight w:val="196"/>
        </w:trPr>
        <w:tc>
          <w:tcPr>
            <w:tcW w:w="544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Total</w:t>
            </w:r>
          </w:p>
        </w:tc>
        <w:tc>
          <w:tcPr>
            <w:tcW w:w="4200" w:type="dxa"/>
            <w:vAlign w:val="bottom"/>
            <w:tcBorders>
              <w:bottom w:val="single" w:sz="8" w:color="auto"/>
            </w:tcBorders>
          </w:tcPr>
          <w:p>
            <w:pPr>
              <w:jc w:val="right"/>
              <w:ind w:right="830"/>
              <w:spacing w:after="0" w:line="196" w:lineRule="exact"/>
              <w:rPr>
                <w:sz w:val="20"/>
                <w:szCs w:val="20"/>
                <w:color w:val="auto"/>
              </w:rPr>
            </w:pPr>
            <w:r>
              <w:rPr>
                <w:rFonts w:ascii="Arial" w:cs="Arial" w:eastAsia="Arial" w:hAnsi="Arial"/>
                <w:sz w:val="18"/>
                <w:szCs w:val="18"/>
                <w:b w:val="1"/>
                <w:bCs w:val="1"/>
                <w:color w:val="auto"/>
              </w:rPr>
              <w:t>$81,651</w:t>
            </w:r>
          </w:p>
        </w:tc>
        <w:tc>
          <w:tcPr>
            <w:tcW w:w="1780" w:type="dxa"/>
            <w:vAlign w:val="bottom"/>
            <w:tcBorders>
              <w:bottom w:val="single" w:sz="8" w:color="auto"/>
            </w:tcBorders>
          </w:tcPr>
          <w:p>
            <w:pPr>
              <w:jc w:val="right"/>
              <w:ind w:right="70"/>
              <w:spacing w:after="0" w:line="196" w:lineRule="exact"/>
              <w:rPr>
                <w:sz w:val="20"/>
                <w:szCs w:val="20"/>
                <w:color w:val="auto"/>
              </w:rPr>
            </w:pPr>
            <w:r>
              <w:rPr>
                <w:rFonts w:ascii="Arial" w:cs="Arial" w:eastAsia="Arial" w:hAnsi="Arial"/>
                <w:sz w:val="18"/>
                <w:szCs w:val="18"/>
                <w:color w:val="auto"/>
              </w:rPr>
              <w:t>$76,028</w:t>
            </w:r>
          </w:p>
        </w:tc>
      </w:tr>
      <w:tr>
        <w:trPr>
          <w:trHeight w:val="196"/>
        </w:trPr>
        <w:tc>
          <w:tcPr>
            <w:tcW w:w="544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 of Net sales</w:t>
            </w:r>
          </w:p>
        </w:tc>
        <w:tc>
          <w:tcPr>
            <w:tcW w:w="4200" w:type="dxa"/>
            <w:vAlign w:val="bottom"/>
            <w:tcBorders>
              <w:bottom w:val="single" w:sz="8" w:color="auto"/>
            </w:tcBorders>
          </w:tcPr>
          <w:p>
            <w:pPr>
              <w:jc w:val="right"/>
              <w:ind w:right="670"/>
              <w:spacing w:after="0" w:line="196" w:lineRule="exact"/>
              <w:rPr>
                <w:sz w:val="20"/>
                <w:szCs w:val="20"/>
                <w:color w:val="auto"/>
              </w:rPr>
            </w:pPr>
            <w:r>
              <w:rPr>
                <w:rFonts w:ascii="Arial" w:cs="Arial" w:eastAsia="Arial" w:hAnsi="Arial"/>
                <w:sz w:val="18"/>
                <w:szCs w:val="18"/>
                <w:b w:val="1"/>
                <w:bCs w:val="1"/>
                <w:color w:val="auto"/>
              </w:rPr>
              <w:t>35.5%</w:t>
            </w:r>
          </w:p>
        </w:tc>
        <w:tc>
          <w:tcPr>
            <w:tcW w:w="17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38.2%</w:t>
            </w:r>
          </w:p>
        </w:tc>
      </w:tr>
    </w:tbl>
    <w:p>
      <w:pPr>
        <w:spacing w:after="0" w:line="38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Three month comparison</w:t>
      </w:r>
    </w:p>
    <w:p>
      <w:pPr>
        <w:spacing w:after="0" w:line="220" w:lineRule="exact"/>
        <w:rPr>
          <w:sz w:val="20"/>
          <w:szCs w:val="20"/>
          <w:color w:val="auto"/>
        </w:rPr>
      </w:pPr>
    </w:p>
    <w:p>
      <w:pPr>
        <w:ind w:right="80" w:firstLine="648"/>
        <w:spacing w:after="0" w:line="246" w:lineRule="auto"/>
        <w:rPr>
          <w:sz w:val="20"/>
          <w:szCs w:val="20"/>
          <w:color w:val="auto"/>
        </w:rPr>
      </w:pPr>
      <w:r>
        <w:rPr>
          <w:rFonts w:ascii="Arial" w:cs="Arial" w:eastAsia="Arial" w:hAnsi="Arial"/>
          <w:sz w:val="18"/>
          <w:szCs w:val="18"/>
          <w:color w:val="auto"/>
        </w:rPr>
        <w:t>The overall increase in 2018 gross profit, as compared to the same period in 2017, was principally due to the net effect of the following individually significant items:</w:t>
      </w:r>
    </w:p>
    <w:p>
      <w:pPr>
        <w:spacing w:after="0" w:line="359" w:lineRule="exact"/>
        <w:rPr>
          <w:sz w:val="20"/>
          <w:szCs w:val="20"/>
          <w:color w:val="auto"/>
        </w:rPr>
      </w:pPr>
    </w:p>
    <w:p>
      <w:pPr>
        <w:ind w:left="1300" w:hanging="320"/>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AEC gross profit increased $4.7 million due to the increase in net sales, as described above, and improved labor productivity.</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 increase in MC gross profit, principally due to increased capacity utilization.</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Changes in currency translation rates did not have a significant effect on MC gross profit in 2018.</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342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778" w:right="23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color w:val="auto"/>
        </w:rPr>
        <w:t>Selling, Technical, General, and Research (STG&amp;R)</w:t>
      </w:r>
    </w:p>
    <w:p>
      <w:pPr>
        <w:spacing w:after="0" w:line="220" w:lineRule="exact"/>
        <w:rPr>
          <w:sz w:val="20"/>
          <w:szCs w:val="20"/>
          <w:color w:val="auto"/>
        </w:rPr>
      </w:pPr>
    </w:p>
    <w:p>
      <w:pPr>
        <w:ind w:right="200" w:firstLine="648"/>
        <w:spacing w:after="0" w:line="246" w:lineRule="auto"/>
        <w:rPr>
          <w:sz w:val="20"/>
          <w:szCs w:val="20"/>
          <w:color w:val="auto"/>
        </w:rPr>
      </w:pPr>
      <w:r>
        <w:rPr>
          <w:rFonts w:ascii="Arial" w:cs="Arial" w:eastAsia="Arial" w:hAnsi="Arial"/>
          <w:sz w:val="18"/>
          <w:szCs w:val="18"/>
          <w:color w:val="auto"/>
        </w:rPr>
        <w:t>Selling, Technical, General and Research (STG&amp;R) expenses include; selling, general, administrative, technical, product engineering and research expenses. The following table summarizes STG&amp;R expenses by business segment:</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5440" w:type="dxa"/>
            <w:vAlign w:val="bottom"/>
            <w:tcBorders>
              <w:top w:val="single" w:sz="8" w:color="auto"/>
            </w:tcBorders>
          </w:tcPr>
          <w:p>
            <w:pPr>
              <w:spacing w:after="0"/>
              <w:rPr>
                <w:sz w:val="16"/>
                <w:szCs w:val="16"/>
                <w:color w:val="auto"/>
              </w:rPr>
            </w:pPr>
          </w:p>
        </w:tc>
        <w:tc>
          <w:tcPr>
            <w:tcW w:w="5980" w:type="dxa"/>
            <w:vAlign w:val="bottom"/>
            <w:tcBorders>
              <w:top w:val="single" w:sz="8" w:color="auto"/>
            </w:tcBorders>
            <w:gridSpan w:val="2"/>
          </w:tcPr>
          <w:p>
            <w:pPr>
              <w:jc w:val="right"/>
              <w:ind w:right="670"/>
              <w:spacing w:after="0" w:line="194" w:lineRule="exact"/>
              <w:rPr>
                <w:sz w:val="20"/>
                <w:szCs w:val="20"/>
                <w:color w:val="auto"/>
              </w:rPr>
            </w:pPr>
            <w:r>
              <w:rPr>
                <w:rFonts w:ascii="Arial" w:cs="Arial" w:eastAsia="Arial" w:hAnsi="Arial"/>
                <w:sz w:val="18"/>
                <w:szCs w:val="18"/>
                <w:b w:val="1"/>
                <w:bCs w:val="1"/>
                <w:color w:val="auto"/>
              </w:rPr>
              <w:t>Three months ended March 31,</w:t>
            </w:r>
          </w:p>
        </w:tc>
      </w:tr>
      <w:tr>
        <w:trPr>
          <w:trHeight w:val="225"/>
        </w:trPr>
        <w:tc>
          <w:tcPr>
            <w:tcW w:w="54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(in thousands, except percentages)</w:t>
            </w:r>
          </w:p>
        </w:tc>
        <w:tc>
          <w:tcPr>
            <w:tcW w:w="4200" w:type="dxa"/>
            <w:vAlign w:val="bottom"/>
            <w:tcBorders>
              <w:bottom w:val="single" w:sz="8" w:color="auto"/>
            </w:tcBorders>
          </w:tcPr>
          <w:p>
            <w:pPr>
              <w:jc w:val="right"/>
              <w:ind w:right="1290"/>
              <w:spacing w:after="0"/>
              <w:rPr>
                <w:sz w:val="20"/>
                <w:szCs w:val="20"/>
                <w:color w:val="auto"/>
              </w:rPr>
            </w:pPr>
            <w:r>
              <w:rPr>
                <w:rFonts w:ascii="Arial" w:cs="Arial" w:eastAsia="Arial" w:hAnsi="Arial"/>
                <w:sz w:val="18"/>
                <w:szCs w:val="18"/>
                <w:b w:val="1"/>
                <w:bCs w:val="1"/>
                <w:color w:val="auto"/>
              </w:rPr>
              <w:t>2018</w:t>
            </w:r>
          </w:p>
        </w:tc>
        <w:tc>
          <w:tcPr>
            <w:tcW w:w="178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2017</w:t>
            </w:r>
          </w:p>
        </w:tc>
      </w:tr>
      <w:tr>
        <w:trPr>
          <w:trHeight w:val="173"/>
        </w:trPr>
        <w:tc>
          <w:tcPr>
            <w:tcW w:w="5440" w:type="dxa"/>
            <w:vAlign w:val="bottom"/>
          </w:tcPr>
          <w:p>
            <w:pPr>
              <w:spacing w:after="0" w:line="173" w:lineRule="exact"/>
              <w:rPr>
                <w:sz w:val="20"/>
                <w:szCs w:val="20"/>
                <w:color w:val="auto"/>
              </w:rPr>
            </w:pPr>
            <w:r>
              <w:rPr>
                <w:rFonts w:ascii="Arial" w:cs="Arial" w:eastAsia="Arial" w:hAnsi="Arial"/>
                <w:sz w:val="18"/>
                <w:szCs w:val="18"/>
                <w:color w:val="auto"/>
              </w:rPr>
              <w:t>Machine Clothing</w:t>
            </w:r>
          </w:p>
        </w:tc>
        <w:tc>
          <w:tcPr>
            <w:tcW w:w="4200" w:type="dxa"/>
            <w:vAlign w:val="bottom"/>
          </w:tcPr>
          <w:p>
            <w:pPr>
              <w:jc w:val="right"/>
              <w:ind w:right="830"/>
              <w:spacing w:after="0" w:line="173" w:lineRule="exact"/>
              <w:rPr>
                <w:sz w:val="20"/>
                <w:szCs w:val="20"/>
                <w:color w:val="auto"/>
              </w:rPr>
            </w:pPr>
            <w:r>
              <w:rPr>
                <w:rFonts w:ascii="Arial" w:cs="Arial" w:eastAsia="Arial" w:hAnsi="Arial"/>
                <w:sz w:val="18"/>
                <w:szCs w:val="18"/>
                <w:b w:val="1"/>
                <w:bCs w:val="1"/>
                <w:color w:val="auto"/>
              </w:rPr>
              <w:t>$31,060</w:t>
            </w:r>
          </w:p>
        </w:tc>
        <w:tc>
          <w:tcPr>
            <w:tcW w:w="1780" w:type="dxa"/>
            <w:vAlign w:val="bottom"/>
          </w:tcPr>
          <w:p>
            <w:pPr>
              <w:jc w:val="right"/>
              <w:ind w:right="70"/>
              <w:spacing w:after="0" w:line="173" w:lineRule="exact"/>
              <w:rPr>
                <w:sz w:val="20"/>
                <w:szCs w:val="20"/>
                <w:color w:val="auto"/>
              </w:rPr>
            </w:pPr>
            <w:r>
              <w:rPr>
                <w:rFonts w:ascii="Arial" w:cs="Arial" w:eastAsia="Arial" w:hAnsi="Arial"/>
                <w:sz w:val="18"/>
                <w:szCs w:val="18"/>
                <w:color w:val="auto"/>
              </w:rPr>
              <w:t>$30,845</w:t>
            </w:r>
          </w:p>
        </w:tc>
      </w:tr>
      <w:tr>
        <w:trPr>
          <w:trHeight w:val="203"/>
        </w:trPr>
        <w:tc>
          <w:tcPr>
            <w:tcW w:w="5440" w:type="dxa"/>
            <w:vAlign w:val="bottom"/>
          </w:tcPr>
          <w:p>
            <w:pPr>
              <w:spacing w:after="0" w:line="202" w:lineRule="exact"/>
              <w:rPr>
                <w:sz w:val="20"/>
                <w:szCs w:val="20"/>
                <w:color w:val="auto"/>
              </w:rPr>
            </w:pPr>
            <w:r>
              <w:rPr>
                <w:rFonts w:ascii="Arial" w:cs="Arial" w:eastAsia="Arial" w:hAnsi="Arial"/>
                <w:sz w:val="18"/>
                <w:szCs w:val="18"/>
                <w:color w:val="auto"/>
              </w:rPr>
              <w:t>Albany Engineered Composites</w:t>
            </w:r>
          </w:p>
        </w:tc>
        <w:tc>
          <w:tcPr>
            <w:tcW w:w="4200" w:type="dxa"/>
            <w:vAlign w:val="bottom"/>
          </w:tcPr>
          <w:p>
            <w:pPr>
              <w:jc w:val="right"/>
              <w:ind w:right="830"/>
              <w:spacing w:after="0" w:line="202" w:lineRule="exact"/>
              <w:rPr>
                <w:sz w:val="20"/>
                <w:szCs w:val="20"/>
                <w:color w:val="auto"/>
              </w:rPr>
            </w:pPr>
            <w:r>
              <w:rPr>
                <w:rFonts w:ascii="Arial" w:cs="Arial" w:eastAsia="Arial" w:hAnsi="Arial"/>
                <w:sz w:val="18"/>
                <w:szCs w:val="18"/>
                <w:b w:val="1"/>
                <w:bCs w:val="1"/>
                <w:color w:val="auto"/>
              </w:rPr>
              <w:t>9,028</w:t>
            </w:r>
          </w:p>
        </w:tc>
        <w:tc>
          <w:tcPr>
            <w:tcW w:w="1780" w:type="dxa"/>
            <w:vAlign w:val="bottom"/>
          </w:tcPr>
          <w:p>
            <w:pPr>
              <w:jc w:val="right"/>
              <w:ind w:right="70"/>
              <w:spacing w:after="0" w:line="202" w:lineRule="exact"/>
              <w:rPr>
                <w:sz w:val="20"/>
                <w:szCs w:val="20"/>
                <w:color w:val="auto"/>
              </w:rPr>
            </w:pPr>
            <w:r>
              <w:rPr>
                <w:rFonts w:ascii="Arial" w:cs="Arial" w:eastAsia="Arial" w:hAnsi="Arial"/>
                <w:sz w:val="18"/>
                <w:szCs w:val="18"/>
                <w:color w:val="auto"/>
              </w:rPr>
              <w:t>9,376</w:t>
            </w:r>
          </w:p>
        </w:tc>
      </w:tr>
      <w:tr>
        <w:trPr>
          <w:trHeight w:val="225"/>
        </w:trPr>
        <w:tc>
          <w:tcPr>
            <w:tcW w:w="5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Corporate expenses</w:t>
            </w:r>
          </w:p>
        </w:tc>
        <w:tc>
          <w:tcPr>
            <w:tcW w:w="4200" w:type="dxa"/>
            <w:vAlign w:val="bottom"/>
            <w:tcBorders>
              <w:bottom w:val="single" w:sz="8" w:color="auto"/>
            </w:tcBorders>
          </w:tcPr>
          <w:p>
            <w:pPr>
              <w:jc w:val="right"/>
              <w:ind w:right="830"/>
              <w:spacing w:after="0"/>
              <w:rPr>
                <w:sz w:val="20"/>
                <w:szCs w:val="20"/>
                <w:color w:val="auto"/>
              </w:rPr>
            </w:pPr>
            <w:r>
              <w:rPr>
                <w:rFonts w:ascii="Arial" w:cs="Arial" w:eastAsia="Arial" w:hAnsi="Arial"/>
                <w:sz w:val="18"/>
                <w:szCs w:val="18"/>
                <w:b w:val="1"/>
                <w:bCs w:val="1"/>
                <w:color w:val="auto"/>
              </w:rPr>
              <w:t>12,159</w:t>
            </w:r>
          </w:p>
        </w:tc>
        <w:tc>
          <w:tcPr>
            <w:tcW w:w="17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10,448</w:t>
            </w:r>
          </w:p>
        </w:tc>
      </w:tr>
      <w:tr>
        <w:trPr>
          <w:trHeight w:val="196"/>
        </w:trPr>
        <w:tc>
          <w:tcPr>
            <w:tcW w:w="544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Total</w:t>
            </w:r>
          </w:p>
        </w:tc>
        <w:tc>
          <w:tcPr>
            <w:tcW w:w="4200" w:type="dxa"/>
            <w:vAlign w:val="bottom"/>
            <w:tcBorders>
              <w:bottom w:val="single" w:sz="8" w:color="auto"/>
            </w:tcBorders>
          </w:tcPr>
          <w:p>
            <w:pPr>
              <w:jc w:val="right"/>
              <w:ind w:right="830"/>
              <w:spacing w:after="0" w:line="196" w:lineRule="exact"/>
              <w:rPr>
                <w:sz w:val="20"/>
                <w:szCs w:val="20"/>
                <w:color w:val="auto"/>
              </w:rPr>
            </w:pPr>
            <w:r>
              <w:rPr>
                <w:rFonts w:ascii="Arial" w:cs="Arial" w:eastAsia="Arial" w:hAnsi="Arial"/>
                <w:sz w:val="18"/>
                <w:szCs w:val="18"/>
                <w:b w:val="1"/>
                <w:bCs w:val="1"/>
                <w:color w:val="auto"/>
              </w:rPr>
              <w:t>$52,247</w:t>
            </w:r>
          </w:p>
        </w:tc>
        <w:tc>
          <w:tcPr>
            <w:tcW w:w="1780" w:type="dxa"/>
            <w:vAlign w:val="bottom"/>
            <w:tcBorders>
              <w:bottom w:val="single" w:sz="8" w:color="auto"/>
            </w:tcBorders>
          </w:tcPr>
          <w:p>
            <w:pPr>
              <w:jc w:val="right"/>
              <w:ind w:right="70"/>
              <w:spacing w:after="0" w:line="196" w:lineRule="exact"/>
              <w:rPr>
                <w:sz w:val="20"/>
                <w:szCs w:val="20"/>
                <w:color w:val="auto"/>
              </w:rPr>
            </w:pPr>
            <w:r>
              <w:rPr>
                <w:rFonts w:ascii="Arial" w:cs="Arial" w:eastAsia="Arial" w:hAnsi="Arial"/>
                <w:sz w:val="18"/>
                <w:szCs w:val="18"/>
                <w:color w:val="auto"/>
              </w:rPr>
              <w:t>$50,669</w:t>
            </w:r>
          </w:p>
        </w:tc>
      </w:tr>
      <w:tr>
        <w:trPr>
          <w:trHeight w:val="196"/>
        </w:trPr>
        <w:tc>
          <w:tcPr>
            <w:tcW w:w="544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 of Net sales</w:t>
            </w:r>
          </w:p>
        </w:tc>
        <w:tc>
          <w:tcPr>
            <w:tcW w:w="4200" w:type="dxa"/>
            <w:vAlign w:val="bottom"/>
            <w:tcBorders>
              <w:bottom w:val="single" w:sz="8" w:color="auto"/>
            </w:tcBorders>
          </w:tcPr>
          <w:p>
            <w:pPr>
              <w:jc w:val="right"/>
              <w:ind w:right="670"/>
              <w:spacing w:after="0" w:line="196" w:lineRule="exact"/>
              <w:rPr>
                <w:sz w:val="20"/>
                <w:szCs w:val="20"/>
                <w:color w:val="auto"/>
              </w:rPr>
            </w:pPr>
            <w:r>
              <w:rPr>
                <w:rFonts w:ascii="Arial" w:cs="Arial" w:eastAsia="Arial" w:hAnsi="Arial"/>
                <w:sz w:val="18"/>
                <w:szCs w:val="18"/>
                <w:b w:val="1"/>
                <w:bCs w:val="1"/>
                <w:color w:val="auto"/>
              </w:rPr>
              <w:t>22.7%</w:t>
            </w:r>
          </w:p>
        </w:tc>
        <w:tc>
          <w:tcPr>
            <w:tcW w:w="17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25.4%</w:t>
            </w:r>
          </w:p>
        </w:tc>
      </w:tr>
    </w:tbl>
    <w:p>
      <w:pPr>
        <w:spacing w:after="0" w:line="3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 comparison</w:t>
      </w:r>
    </w:p>
    <w:p>
      <w:pPr>
        <w:spacing w:after="0" w:line="220" w:lineRule="exact"/>
        <w:rPr>
          <w:sz w:val="20"/>
          <w:szCs w:val="20"/>
          <w:color w:val="auto"/>
        </w:rPr>
      </w:pPr>
    </w:p>
    <w:p>
      <w:pPr>
        <w:ind w:right="280" w:firstLine="324"/>
        <w:spacing w:after="0" w:line="246" w:lineRule="auto"/>
        <w:rPr>
          <w:sz w:val="20"/>
          <w:szCs w:val="20"/>
          <w:color w:val="auto"/>
        </w:rPr>
      </w:pPr>
      <w:r>
        <w:rPr>
          <w:rFonts w:ascii="Arial" w:cs="Arial" w:eastAsia="Arial" w:hAnsi="Arial"/>
          <w:sz w:val="18"/>
          <w:szCs w:val="18"/>
          <w:color w:val="auto"/>
        </w:rPr>
        <w:t>The increase in STG&amp;R expenses in the first three months of 2018, compared to the same period in 2017, was principally due to the net effect of the following individually significant items:</w:t>
      </w:r>
    </w:p>
    <w:p>
      <w:pPr>
        <w:spacing w:after="0" w:line="183" w:lineRule="exact"/>
        <w:rPr>
          <w:sz w:val="20"/>
          <w:szCs w:val="20"/>
          <w:color w:val="auto"/>
        </w:rPr>
      </w:pPr>
    </w:p>
    <w:p>
      <w:pPr>
        <w:ind w:left="1300" w:right="340" w:hanging="320"/>
        <w:spacing w:after="0" w:line="234" w:lineRule="auto"/>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 MC, revaluation of nonfunctional currency assets and liabilities resulted in first-quarter losses of $1.5 million in 2018, and $1.7 million in 2017.</w:t>
      </w:r>
    </w:p>
    <w:p>
      <w:pPr>
        <w:spacing w:after="0" w:line="1" w:lineRule="exact"/>
        <w:rPr>
          <w:rFonts w:ascii="Arial" w:cs="Arial" w:eastAsia="Arial" w:hAnsi="Arial"/>
          <w:sz w:val="18"/>
          <w:szCs w:val="18"/>
          <w:color w:val="auto"/>
        </w:rPr>
      </w:pPr>
    </w:p>
    <w:p>
      <w:pPr>
        <w:ind w:left="1300" w:right="100" w:hanging="320"/>
        <w:spacing w:after="0" w:line="246" w:lineRule="auto"/>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Corporate STG&amp;R expenses increased by approximately $1.7 million principally due to higher costs for information systems to support continued growth in AEC.</w:t>
      </w: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220" w:lineRule="exact"/>
        <w:rPr>
          <w:sz w:val="20"/>
          <w:szCs w:val="20"/>
          <w:color w:val="auto"/>
        </w:rPr>
      </w:pPr>
    </w:p>
    <w:p>
      <w:pPr>
        <w:ind w:right="540" w:firstLine="648"/>
        <w:spacing w:after="0" w:line="246" w:lineRule="auto"/>
        <w:rPr>
          <w:sz w:val="20"/>
          <w:szCs w:val="20"/>
          <w:color w:val="auto"/>
        </w:rPr>
      </w:pPr>
      <w:r>
        <w:rPr>
          <w:rFonts w:ascii="Arial" w:cs="Arial" w:eastAsia="Arial" w:hAnsi="Arial"/>
          <w:sz w:val="18"/>
          <w:szCs w:val="18"/>
          <w:color w:val="auto"/>
        </w:rPr>
        <w:t>The following table is a subset of the STG&amp;R expenses table above and summarizes expenses associated with internally funded research and development by business segment:</w:t>
      </w: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4080" w:type="dxa"/>
            <w:vAlign w:val="bottom"/>
            <w:tcBorders>
              <w:top w:val="single" w:sz="8" w:color="auto"/>
            </w:tcBorders>
          </w:tcPr>
          <w:p>
            <w:pPr>
              <w:spacing w:after="0"/>
              <w:rPr>
                <w:sz w:val="16"/>
                <w:szCs w:val="16"/>
                <w:color w:val="auto"/>
              </w:rPr>
            </w:pPr>
          </w:p>
        </w:tc>
        <w:tc>
          <w:tcPr>
            <w:tcW w:w="7340" w:type="dxa"/>
            <w:vAlign w:val="bottom"/>
            <w:tcBorders>
              <w:top w:val="single" w:sz="8" w:color="auto"/>
            </w:tcBorders>
            <w:gridSpan w:val="2"/>
          </w:tcPr>
          <w:p>
            <w:pPr>
              <w:jc w:val="right"/>
              <w:ind w:right="630"/>
              <w:spacing w:after="0" w:line="194" w:lineRule="exact"/>
              <w:rPr>
                <w:sz w:val="20"/>
                <w:szCs w:val="20"/>
                <w:color w:val="auto"/>
              </w:rPr>
            </w:pPr>
            <w:r>
              <w:rPr>
                <w:rFonts w:ascii="Arial" w:cs="Arial" w:eastAsia="Arial" w:hAnsi="Arial"/>
                <w:sz w:val="18"/>
                <w:szCs w:val="18"/>
                <w:b w:val="1"/>
                <w:bCs w:val="1"/>
                <w:color w:val="auto"/>
              </w:rPr>
              <w:t>Three months ended March 31,</w:t>
            </w:r>
          </w:p>
        </w:tc>
      </w:tr>
      <w:tr>
        <w:trPr>
          <w:trHeight w:val="225"/>
        </w:trPr>
        <w:tc>
          <w:tcPr>
            <w:tcW w:w="40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(in thousands)</w:t>
            </w:r>
          </w:p>
        </w:tc>
        <w:tc>
          <w:tcPr>
            <w:tcW w:w="5540" w:type="dxa"/>
            <w:vAlign w:val="bottom"/>
            <w:tcBorders>
              <w:bottom w:val="single" w:sz="8" w:color="auto"/>
            </w:tcBorders>
          </w:tcPr>
          <w:p>
            <w:pPr>
              <w:jc w:val="right"/>
              <w:ind w:right="1190"/>
              <w:spacing w:after="0"/>
              <w:rPr>
                <w:sz w:val="20"/>
                <w:szCs w:val="20"/>
                <w:color w:val="auto"/>
              </w:rPr>
            </w:pPr>
            <w:r>
              <w:rPr>
                <w:rFonts w:ascii="Arial" w:cs="Arial" w:eastAsia="Arial" w:hAnsi="Arial"/>
                <w:sz w:val="18"/>
                <w:szCs w:val="18"/>
                <w:b w:val="1"/>
                <w:bCs w:val="1"/>
                <w:color w:val="auto"/>
              </w:rPr>
              <w:t>2018</w:t>
            </w:r>
          </w:p>
        </w:tc>
        <w:tc>
          <w:tcPr>
            <w:tcW w:w="18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2017</w:t>
            </w:r>
          </w:p>
        </w:tc>
      </w:tr>
      <w:tr>
        <w:trPr>
          <w:trHeight w:val="173"/>
        </w:trPr>
        <w:tc>
          <w:tcPr>
            <w:tcW w:w="4080" w:type="dxa"/>
            <w:vAlign w:val="bottom"/>
          </w:tcPr>
          <w:p>
            <w:pPr>
              <w:spacing w:after="0" w:line="173" w:lineRule="exact"/>
              <w:rPr>
                <w:sz w:val="20"/>
                <w:szCs w:val="20"/>
                <w:color w:val="auto"/>
              </w:rPr>
            </w:pPr>
            <w:r>
              <w:rPr>
                <w:rFonts w:ascii="Arial" w:cs="Arial" w:eastAsia="Arial" w:hAnsi="Arial"/>
                <w:sz w:val="18"/>
                <w:szCs w:val="18"/>
                <w:color w:val="auto"/>
              </w:rPr>
              <w:t>Machine Clothing</w:t>
            </w:r>
          </w:p>
        </w:tc>
        <w:tc>
          <w:tcPr>
            <w:tcW w:w="5540" w:type="dxa"/>
            <w:vAlign w:val="bottom"/>
          </w:tcPr>
          <w:p>
            <w:pPr>
              <w:jc w:val="right"/>
              <w:ind w:right="710"/>
              <w:spacing w:after="0" w:line="173" w:lineRule="exact"/>
              <w:rPr>
                <w:sz w:val="20"/>
                <w:szCs w:val="20"/>
                <w:color w:val="auto"/>
              </w:rPr>
            </w:pPr>
            <w:r>
              <w:rPr>
                <w:rFonts w:ascii="Arial" w:cs="Arial" w:eastAsia="Arial" w:hAnsi="Arial"/>
                <w:sz w:val="18"/>
                <w:szCs w:val="18"/>
                <w:b w:val="1"/>
                <w:bCs w:val="1"/>
                <w:color w:val="auto"/>
              </w:rPr>
              <w:t>$4,418</w:t>
            </w:r>
          </w:p>
        </w:tc>
        <w:tc>
          <w:tcPr>
            <w:tcW w:w="1800" w:type="dxa"/>
            <w:vAlign w:val="bottom"/>
          </w:tcPr>
          <w:p>
            <w:pPr>
              <w:jc w:val="right"/>
              <w:ind w:right="10"/>
              <w:spacing w:after="0" w:line="173" w:lineRule="exact"/>
              <w:rPr>
                <w:sz w:val="20"/>
                <w:szCs w:val="20"/>
                <w:color w:val="auto"/>
              </w:rPr>
            </w:pPr>
            <w:r>
              <w:rPr>
                <w:rFonts w:ascii="Arial" w:cs="Arial" w:eastAsia="Arial" w:hAnsi="Arial"/>
                <w:sz w:val="18"/>
                <w:szCs w:val="18"/>
                <w:color w:val="auto"/>
              </w:rPr>
              <w:t>$4,519</w:t>
            </w:r>
          </w:p>
        </w:tc>
      </w:tr>
      <w:tr>
        <w:trPr>
          <w:trHeight w:val="225"/>
        </w:trPr>
        <w:tc>
          <w:tcPr>
            <w:tcW w:w="40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Albany Engineered Composites</w:t>
            </w:r>
          </w:p>
        </w:tc>
        <w:tc>
          <w:tcPr>
            <w:tcW w:w="5540" w:type="dxa"/>
            <w:vAlign w:val="bottom"/>
            <w:tcBorders>
              <w:bottom w:val="single" w:sz="8" w:color="auto"/>
            </w:tcBorders>
          </w:tcPr>
          <w:p>
            <w:pPr>
              <w:jc w:val="right"/>
              <w:ind w:right="710"/>
              <w:spacing w:after="0"/>
              <w:rPr>
                <w:sz w:val="20"/>
                <w:szCs w:val="20"/>
                <w:color w:val="auto"/>
              </w:rPr>
            </w:pPr>
            <w:r>
              <w:rPr>
                <w:rFonts w:ascii="Arial" w:cs="Arial" w:eastAsia="Arial" w:hAnsi="Arial"/>
                <w:sz w:val="18"/>
                <w:szCs w:val="18"/>
                <w:b w:val="1"/>
                <w:bCs w:val="1"/>
                <w:color w:val="auto"/>
              </w:rPr>
              <w:t>3,148</w:t>
            </w:r>
          </w:p>
        </w:tc>
        <w:tc>
          <w:tcPr>
            <w:tcW w:w="18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3,076</w:t>
            </w:r>
          </w:p>
        </w:tc>
      </w:tr>
      <w:tr>
        <w:trPr>
          <w:trHeight w:val="196"/>
        </w:trPr>
        <w:tc>
          <w:tcPr>
            <w:tcW w:w="408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Total</w:t>
            </w:r>
          </w:p>
        </w:tc>
        <w:tc>
          <w:tcPr>
            <w:tcW w:w="5540" w:type="dxa"/>
            <w:vAlign w:val="bottom"/>
            <w:tcBorders>
              <w:bottom w:val="single" w:sz="8" w:color="auto"/>
            </w:tcBorders>
          </w:tcPr>
          <w:p>
            <w:pPr>
              <w:jc w:val="right"/>
              <w:ind w:right="710"/>
              <w:spacing w:after="0" w:line="196" w:lineRule="exact"/>
              <w:rPr>
                <w:sz w:val="20"/>
                <w:szCs w:val="20"/>
                <w:color w:val="auto"/>
              </w:rPr>
            </w:pPr>
            <w:r>
              <w:rPr>
                <w:rFonts w:ascii="Arial" w:cs="Arial" w:eastAsia="Arial" w:hAnsi="Arial"/>
                <w:sz w:val="18"/>
                <w:szCs w:val="18"/>
                <w:b w:val="1"/>
                <w:bCs w:val="1"/>
                <w:color w:val="auto"/>
              </w:rPr>
              <w:t>$7,566</w:t>
            </w:r>
          </w:p>
        </w:tc>
        <w:tc>
          <w:tcPr>
            <w:tcW w:w="180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$7,595</w:t>
            </w:r>
          </w:p>
        </w:tc>
      </w:tr>
      <w:tr>
        <w:trPr>
          <w:trHeight w:val="844"/>
        </w:trPr>
        <w:tc>
          <w:tcPr>
            <w:tcW w:w="4080" w:type="dxa"/>
            <w:vAlign w:val="bottom"/>
          </w:tcPr>
          <w:p>
            <w:pPr>
              <w:spacing w:after="0"/>
              <w:rPr>
                <w:sz w:val="24"/>
                <w:szCs w:val="24"/>
                <w:color w:val="auto"/>
              </w:rPr>
            </w:pPr>
          </w:p>
        </w:tc>
        <w:tc>
          <w:tcPr>
            <w:tcW w:w="5540" w:type="dxa"/>
            <w:vAlign w:val="bottom"/>
          </w:tcPr>
          <w:p>
            <w:pPr>
              <w:jc w:val="right"/>
              <w:ind w:right="3730"/>
              <w:spacing w:after="0"/>
              <w:rPr>
                <w:sz w:val="20"/>
                <w:szCs w:val="20"/>
                <w:color w:val="auto"/>
              </w:rPr>
            </w:pPr>
            <w:r>
              <w:rPr>
                <w:rFonts w:ascii="Arial" w:cs="Arial" w:eastAsia="Arial" w:hAnsi="Arial"/>
                <w:sz w:val="18"/>
                <w:szCs w:val="18"/>
                <w:color w:val="auto"/>
              </w:rPr>
              <w:t>43</w:t>
            </w:r>
          </w:p>
        </w:tc>
        <w:tc>
          <w:tcPr>
            <w:tcW w:w="1800" w:type="dxa"/>
            <w:vAlign w:val="bottom"/>
          </w:tcPr>
          <w:p>
            <w:pPr>
              <w:spacing w:after="0"/>
              <w:rPr>
                <w:sz w:val="24"/>
                <w:szCs w:val="24"/>
                <w:color w:val="auto"/>
              </w:rPr>
            </w:pPr>
          </w:p>
        </w:tc>
      </w:tr>
      <w:tr>
        <w:trPr>
          <w:trHeight w:val="142"/>
        </w:trPr>
        <w:tc>
          <w:tcPr>
            <w:tcW w:w="4080" w:type="dxa"/>
            <w:vAlign w:val="bottom"/>
            <w:tcBorders>
              <w:bottom w:val="single" w:sz="8" w:color="auto"/>
            </w:tcBorders>
          </w:tcPr>
          <w:p>
            <w:pPr>
              <w:spacing w:after="0"/>
              <w:rPr>
                <w:sz w:val="12"/>
                <w:szCs w:val="12"/>
                <w:color w:val="auto"/>
              </w:rPr>
            </w:pPr>
          </w:p>
        </w:tc>
        <w:tc>
          <w:tcPr>
            <w:tcW w:w="5540" w:type="dxa"/>
            <w:vAlign w:val="bottom"/>
            <w:tcBorders>
              <w:bottom w:val="single" w:sz="8" w:color="auto"/>
            </w:tcBorders>
          </w:tcPr>
          <w:p>
            <w:pPr>
              <w:spacing w:after="0"/>
              <w:rPr>
                <w:sz w:val="12"/>
                <w:szCs w:val="12"/>
                <w:color w:val="auto"/>
              </w:rPr>
            </w:pPr>
          </w:p>
        </w:tc>
        <w:tc>
          <w:tcPr>
            <w:tcW w:w="1800" w:type="dxa"/>
            <w:vAlign w:val="bottom"/>
            <w:tcBorders>
              <w:bottom w:val="single" w:sz="8" w:color="auto"/>
            </w:tcBorders>
          </w:tcPr>
          <w:p>
            <w:pPr>
              <w:spacing w:after="0"/>
              <w:rPr>
                <w:sz w:val="12"/>
                <w:szCs w:val="12"/>
                <w:color w:val="auto"/>
              </w:rPr>
            </w:pPr>
          </w:p>
        </w:tc>
      </w:tr>
    </w:tbl>
    <w:p>
      <w:pPr>
        <w:sectPr>
          <w:pgSz w:w="11900" w:h="16838" w:orient="portrait"/>
          <w:cols w:equalWidth="0" w:num="1">
            <w:col w:w="11420"/>
          </w:cols>
          <w:pgMar w:left="240" w:top="778" w:right="23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color w:val="auto"/>
        </w:rPr>
        <w:t>Restructuring Expense</w:t>
      </w:r>
    </w:p>
    <w:p>
      <w:pPr>
        <w:spacing w:after="0" w:line="220" w:lineRule="exact"/>
        <w:rPr>
          <w:sz w:val="20"/>
          <w:szCs w:val="20"/>
          <w:color w:val="auto"/>
        </w:rPr>
      </w:pPr>
    </w:p>
    <w:p>
      <w:pPr>
        <w:ind w:right="180" w:firstLine="648"/>
        <w:spacing w:after="0" w:line="246" w:lineRule="auto"/>
        <w:rPr>
          <w:sz w:val="20"/>
          <w:szCs w:val="20"/>
          <w:color w:val="auto"/>
        </w:rPr>
      </w:pPr>
      <w:r>
        <w:rPr>
          <w:rFonts w:ascii="Arial" w:cs="Arial" w:eastAsia="Arial" w:hAnsi="Arial"/>
          <w:sz w:val="18"/>
          <w:szCs w:val="18"/>
          <w:color w:val="auto"/>
        </w:rPr>
        <w:t>In addition to the items discussed above affecting gross profit, and STG&amp;R expenses, operating income was affected by restructuring costs of $8.6 million in the first quarter of 2018 and $2.7 million for the same period in 2017.</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restructuring expenses by business segment:</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5240" w:type="dxa"/>
            <w:vAlign w:val="bottom"/>
            <w:tcBorders>
              <w:top w:val="single" w:sz="8" w:color="auto"/>
            </w:tcBorders>
          </w:tcPr>
          <w:p>
            <w:pPr>
              <w:spacing w:after="0"/>
              <w:rPr>
                <w:sz w:val="16"/>
                <w:szCs w:val="16"/>
                <w:color w:val="auto"/>
              </w:rPr>
            </w:pPr>
          </w:p>
        </w:tc>
        <w:tc>
          <w:tcPr>
            <w:tcW w:w="6180" w:type="dxa"/>
            <w:vAlign w:val="bottom"/>
            <w:tcBorders>
              <w:top w:val="single" w:sz="8" w:color="auto"/>
            </w:tcBorders>
            <w:gridSpan w:val="2"/>
          </w:tcPr>
          <w:p>
            <w:pPr>
              <w:jc w:val="right"/>
              <w:ind w:right="630"/>
              <w:spacing w:after="0" w:line="194" w:lineRule="exact"/>
              <w:rPr>
                <w:sz w:val="20"/>
                <w:szCs w:val="20"/>
                <w:color w:val="auto"/>
              </w:rPr>
            </w:pPr>
            <w:r>
              <w:rPr>
                <w:rFonts w:ascii="Arial" w:cs="Arial" w:eastAsia="Arial" w:hAnsi="Arial"/>
                <w:sz w:val="18"/>
                <w:szCs w:val="18"/>
                <w:b w:val="1"/>
                <w:bCs w:val="1"/>
                <w:color w:val="auto"/>
              </w:rPr>
              <w:t>Three months ended March 31,</w:t>
            </w:r>
          </w:p>
        </w:tc>
      </w:tr>
      <w:tr>
        <w:trPr>
          <w:trHeight w:val="225"/>
        </w:trPr>
        <w:tc>
          <w:tcPr>
            <w:tcW w:w="52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(in thousands)</w:t>
            </w:r>
          </w:p>
        </w:tc>
        <w:tc>
          <w:tcPr>
            <w:tcW w:w="4380" w:type="dxa"/>
            <w:vAlign w:val="bottom"/>
            <w:tcBorders>
              <w:bottom w:val="single" w:sz="8" w:color="auto"/>
            </w:tcBorders>
          </w:tcPr>
          <w:p>
            <w:pPr>
              <w:jc w:val="right"/>
              <w:ind w:right="1190"/>
              <w:spacing w:after="0"/>
              <w:rPr>
                <w:sz w:val="20"/>
                <w:szCs w:val="20"/>
                <w:color w:val="auto"/>
              </w:rPr>
            </w:pPr>
            <w:r>
              <w:rPr>
                <w:rFonts w:ascii="Arial" w:cs="Arial" w:eastAsia="Arial" w:hAnsi="Arial"/>
                <w:sz w:val="18"/>
                <w:szCs w:val="18"/>
                <w:b w:val="1"/>
                <w:bCs w:val="1"/>
                <w:color w:val="auto"/>
              </w:rPr>
              <w:t>2018</w:t>
            </w:r>
          </w:p>
        </w:tc>
        <w:tc>
          <w:tcPr>
            <w:tcW w:w="18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2017</w:t>
            </w:r>
          </w:p>
        </w:tc>
      </w:tr>
      <w:tr>
        <w:trPr>
          <w:trHeight w:val="173"/>
        </w:trPr>
        <w:tc>
          <w:tcPr>
            <w:tcW w:w="5240" w:type="dxa"/>
            <w:vAlign w:val="bottom"/>
          </w:tcPr>
          <w:p>
            <w:pPr>
              <w:spacing w:after="0" w:line="173" w:lineRule="exact"/>
              <w:rPr>
                <w:sz w:val="20"/>
                <w:szCs w:val="20"/>
                <w:color w:val="auto"/>
              </w:rPr>
            </w:pPr>
            <w:r>
              <w:rPr>
                <w:rFonts w:ascii="Arial" w:cs="Arial" w:eastAsia="Arial" w:hAnsi="Arial"/>
                <w:sz w:val="18"/>
                <w:szCs w:val="18"/>
                <w:color w:val="auto"/>
              </w:rPr>
              <w:t>Machine Clothing</w:t>
            </w:r>
          </w:p>
        </w:tc>
        <w:tc>
          <w:tcPr>
            <w:tcW w:w="4380" w:type="dxa"/>
            <w:vAlign w:val="bottom"/>
          </w:tcPr>
          <w:p>
            <w:pPr>
              <w:jc w:val="right"/>
              <w:ind w:right="710"/>
              <w:spacing w:after="0" w:line="173" w:lineRule="exact"/>
              <w:rPr>
                <w:sz w:val="20"/>
                <w:szCs w:val="20"/>
                <w:color w:val="auto"/>
              </w:rPr>
            </w:pPr>
            <w:r>
              <w:rPr>
                <w:rFonts w:ascii="Arial" w:cs="Arial" w:eastAsia="Arial" w:hAnsi="Arial"/>
                <w:sz w:val="18"/>
                <w:szCs w:val="18"/>
                <w:b w:val="1"/>
                <w:bCs w:val="1"/>
                <w:color w:val="auto"/>
              </w:rPr>
              <w:t>$8,352</w:t>
            </w:r>
          </w:p>
        </w:tc>
        <w:tc>
          <w:tcPr>
            <w:tcW w:w="1800" w:type="dxa"/>
            <w:vAlign w:val="bottom"/>
          </w:tcPr>
          <w:p>
            <w:pPr>
              <w:jc w:val="right"/>
              <w:ind w:right="10"/>
              <w:spacing w:after="0" w:line="173" w:lineRule="exact"/>
              <w:rPr>
                <w:sz w:val="20"/>
                <w:szCs w:val="20"/>
                <w:color w:val="auto"/>
              </w:rPr>
            </w:pPr>
            <w:r>
              <w:rPr>
                <w:rFonts w:ascii="Arial" w:cs="Arial" w:eastAsia="Arial" w:hAnsi="Arial"/>
                <w:sz w:val="18"/>
                <w:szCs w:val="18"/>
                <w:color w:val="auto"/>
              </w:rPr>
              <w:t>$110</w:t>
            </w:r>
          </w:p>
        </w:tc>
      </w:tr>
      <w:tr>
        <w:trPr>
          <w:trHeight w:val="225"/>
        </w:trPr>
        <w:tc>
          <w:tcPr>
            <w:tcW w:w="5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Albany Engineered Composites</w:t>
            </w:r>
          </w:p>
        </w:tc>
        <w:tc>
          <w:tcPr>
            <w:tcW w:w="4380" w:type="dxa"/>
            <w:vAlign w:val="bottom"/>
            <w:tcBorders>
              <w:bottom w:val="single" w:sz="8" w:color="auto"/>
            </w:tcBorders>
          </w:tcPr>
          <w:p>
            <w:pPr>
              <w:jc w:val="right"/>
              <w:ind w:right="710"/>
              <w:spacing w:after="0"/>
              <w:rPr>
                <w:sz w:val="20"/>
                <w:szCs w:val="20"/>
                <w:color w:val="auto"/>
              </w:rPr>
            </w:pPr>
            <w:r>
              <w:rPr>
                <w:rFonts w:ascii="Arial" w:cs="Arial" w:eastAsia="Arial" w:hAnsi="Arial"/>
                <w:sz w:val="18"/>
                <w:szCs w:val="18"/>
                <w:b w:val="1"/>
                <w:bCs w:val="1"/>
                <w:color w:val="auto"/>
              </w:rPr>
              <w:t>221</w:t>
            </w:r>
          </w:p>
        </w:tc>
        <w:tc>
          <w:tcPr>
            <w:tcW w:w="18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2,571</w:t>
            </w:r>
          </w:p>
        </w:tc>
      </w:tr>
      <w:tr>
        <w:trPr>
          <w:trHeight w:val="196"/>
        </w:trPr>
        <w:tc>
          <w:tcPr>
            <w:tcW w:w="524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Total</w:t>
            </w:r>
          </w:p>
        </w:tc>
        <w:tc>
          <w:tcPr>
            <w:tcW w:w="4380" w:type="dxa"/>
            <w:vAlign w:val="bottom"/>
            <w:tcBorders>
              <w:bottom w:val="single" w:sz="8" w:color="auto"/>
            </w:tcBorders>
          </w:tcPr>
          <w:p>
            <w:pPr>
              <w:jc w:val="right"/>
              <w:ind w:right="710"/>
              <w:spacing w:after="0" w:line="196" w:lineRule="exact"/>
              <w:rPr>
                <w:sz w:val="20"/>
                <w:szCs w:val="20"/>
                <w:color w:val="auto"/>
              </w:rPr>
            </w:pPr>
            <w:r>
              <w:rPr>
                <w:rFonts w:ascii="Arial" w:cs="Arial" w:eastAsia="Arial" w:hAnsi="Arial"/>
                <w:sz w:val="18"/>
                <w:szCs w:val="18"/>
                <w:b w:val="1"/>
                <w:bCs w:val="1"/>
                <w:color w:val="auto"/>
              </w:rPr>
              <w:t>$8,573</w:t>
            </w:r>
          </w:p>
        </w:tc>
        <w:tc>
          <w:tcPr>
            <w:tcW w:w="180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$2,681</w:t>
            </w:r>
          </w:p>
        </w:tc>
      </w:tr>
    </w:tbl>
    <w:p>
      <w:pPr>
        <w:spacing w:after="0" w:line="202" w:lineRule="exact"/>
        <w:rPr>
          <w:sz w:val="20"/>
          <w:szCs w:val="20"/>
          <w:color w:val="auto"/>
        </w:rPr>
      </w:pPr>
    </w:p>
    <w:p>
      <w:pPr>
        <w:ind w:right="20" w:firstLine="648"/>
        <w:spacing w:after="0" w:line="236" w:lineRule="auto"/>
        <w:rPr>
          <w:sz w:val="20"/>
          <w:szCs w:val="20"/>
          <w:color w:val="auto"/>
        </w:rPr>
      </w:pPr>
      <w:r>
        <w:rPr>
          <w:rFonts w:ascii="Arial" w:cs="Arial" w:eastAsia="Arial" w:hAnsi="Arial"/>
          <w:sz w:val="18"/>
          <w:szCs w:val="18"/>
          <w:color w:val="auto"/>
        </w:rPr>
        <w:t>In the first quarter of 2018, the Company’s proposal to close its Machine Clothing production facility in Sélestat, France was approved by the French Labor Ministry. The restructuring program was driven by the Company’s need to balance manufacturing capacity with demand. In the first-quarter of 2018, we recorded restructuring expense of $8.1 million, which includes our estimate of the severance and outplacement costs for the approximately 50 positions that will be terminated under this plan. To date, we have recorded $9.2 million of restructuring charges related to this action. The Company has started to assess property, plant and equipment in that location to determine if equipment will be transferred to other facilities, or if the value of the assets can be recovered through a sale. Depending on the outcome of that assessment, additional restructuring charges could be recorded in future periods. Annual cost savings associated with this action will principally result in lower cost of goods sold in 2018.</w:t>
      </w:r>
    </w:p>
    <w:p>
      <w:pPr>
        <w:spacing w:after="0" w:line="168" w:lineRule="exact"/>
        <w:rPr>
          <w:sz w:val="20"/>
          <w:szCs w:val="20"/>
          <w:color w:val="auto"/>
        </w:rPr>
      </w:pPr>
    </w:p>
    <w:p>
      <w:pPr>
        <w:ind w:right="160" w:firstLine="648"/>
        <w:spacing w:after="0" w:line="246" w:lineRule="auto"/>
        <w:rPr>
          <w:sz w:val="20"/>
          <w:szCs w:val="20"/>
          <w:color w:val="auto"/>
        </w:rPr>
      </w:pPr>
      <w:r>
        <w:rPr>
          <w:rFonts w:ascii="Arial" w:cs="Arial" w:eastAsia="Arial" w:hAnsi="Arial"/>
          <w:sz w:val="18"/>
          <w:szCs w:val="18"/>
          <w:color w:val="auto"/>
        </w:rPr>
        <w:t>AEC restructuring charges in the first quarter of 2017 principally relate to work force reductions in Salt Lake City, Utah and Rochester, New Hampshire. Cost savings associated with this action will result, principally, in lower costs of goods sold in 2018.</w:t>
      </w:r>
    </w:p>
    <w:p>
      <w:pPr>
        <w:spacing w:after="0" w:line="170" w:lineRule="exact"/>
        <w:rPr>
          <w:sz w:val="20"/>
          <w:szCs w:val="20"/>
          <w:color w:val="auto"/>
        </w:rPr>
      </w:pPr>
    </w:p>
    <w:p>
      <w:pPr>
        <w:ind w:right="1000" w:firstLine="648"/>
        <w:spacing w:after="0" w:line="246" w:lineRule="auto"/>
        <w:rPr>
          <w:sz w:val="20"/>
          <w:szCs w:val="20"/>
          <w:color w:val="auto"/>
        </w:rPr>
      </w:pPr>
      <w:r>
        <w:rPr>
          <w:rFonts w:ascii="Arial" w:cs="Arial" w:eastAsia="Arial" w:hAnsi="Arial"/>
          <w:sz w:val="18"/>
          <w:szCs w:val="18"/>
          <w:color w:val="auto"/>
        </w:rPr>
        <w:t>For more information on our restructuring charges, see Note 5 to the Consolidated Financial Statements in Item 1, which is incorporated herein by reference.</w:t>
      </w: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Income</w:t>
      </w:r>
    </w:p>
    <w:p>
      <w:pPr>
        <w:spacing w:after="0" w:line="20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operating income/(loss) by business segment:</w:t>
      </w: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4080" w:type="dxa"/>
            <w:vAlign w:val="bottom"/>
            <w:tcBorders>
              <w:top w:val="single" w:sz="8" w:color="auto"/>
            </w:tcBorders>
          </w:tcPr>
          <w:p>
            <w:pPr>
              <w:spacing w:after="0"/>
              <w:rPr>
                <w:sz w:val="16"/>
                <w:szCs w:val="16"/>
                <w:color w:val="auto"/>
              </w:rPr>
            </w:pPr>
          </w:p>
        </w:tc>
        <w:tc>
          <w:tcPr>
            <w:tcW w:w="7340" w:type="dxa"/>
            <w:vAlign w:val="bottom"/>
            <w:tcBorders>
              <w:top w:val="single" w:sz="8" w:color="auto"/>
            </w:tcBorders>
            <w:gridSpan w:val="2"/>
          </w:tcPr>
          <w:p>
            <w:pPr>
              <w:jc w:val="right"/>
              <w:ind w:right="630"/>
              <w:spacing w:after="0" w:line="194" w:lineRule="exact"/>
              <w:rPr>
                <w:sz w:val="20"/>
                <w:szCs w:val="20"/>
                <w:color w:val="auto"/>
              </w:rPr>
            </w:pPr>
            <w:r>
              <w:rPr>
                <w:rFonts w:ascii="Arial" w:cs="Arial" w:eastAsia="Arial" w:hAnsi="Arial"/>
                <w:sz w:val="18"/>
                <w:szCs w:val="18"/>
                <w:b w:val="1"/>
                <w:bCs w:val="1"/>
                <w:color w:val="auto"/>
              </w:rPr>
              <w:t>Three months ended March 31,</w:t>
            </w:r>
          </w:p>
        </w:tc>
      </w:tr>
      <w:tr>
        <w:trPr>
          <w:trHeight w:val="225"/>
        </w:trPr>
        <w:tc>
          <w:tcPr>
            <w:tcW w:w="40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(in thousands)</w:t>
            </w:r>
          </w:p>
        </w:tc>
        <w:tc>
          <w:tcPr>
            <w:tcW w:w="5580" w:type="dxa"/>
            <w:vAlign w:val="bottom"/>
            <w:tcBorders>
              <w:bottom w:val="single" w:sz="8" w:color="auto"/>
            </w:tcBorders>
          </w:tcPr>
          <w:p>
            <w:pPr>
              <w:jc w:val="right"/>
              <w:ind w:right="1230"/>
              <w:spacing w:after="0"/>
              <w:rPr>
                <w:sz w:val="20"/>
                <w:szCs w:val="20"/>
                <w:color w:val="auto"/>
              </w:rPr>
            </w:pPr>
            <w:r>
              <w:rPr>
                <w:rFonts w:ascii="Arial" w:cs="Arial" w:eastAsia="Arial" w:hAnsi="Arial"/>
                <w:sz w:val="18"/>
                <w:szCs w:val="18"/>
                <w:b w:val="1"/>
                <w:bCs w:val="1"/>
                <w:color w:val="auto"/>
              </w:rPr>
              <w:t>2018</w:t>
            </w:r>
          </w:p>
        </w:tc>
        <w:tc>
          <w:tcPr>
            <w:tcW w:w="17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2017</w:t>
            </w:r>
          </w:p>
        </w:tc>
      </w:tr>
      <w:tr>
        <w:trPr>
          <w:trHeight w:val="173"/>
        </w:trPr>
        <w:tc>
          <w:tcPr>
            <w:tcW w:w="4080" w:type="dxa"/>
            <w:vAlign w:val="bottom"/>
          </w:tcPr>
          <w:p>
            <w:pPr>
              <w:spacing w:after="0" w:line="173" w:lineRule="exact"/>
              <w:rPr>
                <w:sz w:val="20"/>
                <w:szCs w:val="20"/>
                <w:color w:val="auto"/>
              </w:rPr>
            </w:pPr>
            <w:r>
              <w:rPr>
                <w:rFonts w:ascii="Arial" w:cs="Arial" w:eastAsia="Arial" w:hAnsi="Arial"/>
                <w:sz w:val="18"/>
                <w:szCs w:val="18"/>
                <w:color w:val="auto"/>
              </w:rPr>
              <w:t>Machine Clothing</w:t>
            </w:r>
          </w:p>
        </w:tc>
        <w:tc>
          <w:tcPr>
            <w:tcW w:w="5580" w:type="dxa"/>
            <w:vAlign w:val="bottom"/>
          </w:tcPr>
          <w:p>
            <w:pPr>
              <w:jc w:val="right"/>
              <w:ind w:right="750"/>
              <w:spacing w:after="0" w:line="173" w:lineRule="exact"/>
              <w:rPr>
                <w:sz w:val="20"/>
                <w:szCs w:val="20"/>
                <w:color w:val="auto"/>
              </w:rPr>
            </w:pPr>
            <w:r>
              <w:rPr>
                <w:rFonts w:ascii="Arial" w:cs="Arial" w:eastAsia="Arial" w:hAnsi="Arial"/>
                <w:sz w:val="18"/>
                <w:szCs w:val="18"/>
                <w:b w:val="1"/>
                <w:bCs w:val="1"/>
                <w:color w:val="auto"/>
              </w:rPr>
              <w:t>$30,769</w:t>
            </w:r>
          </w:p>
        </w:tc>
        <w:tc>
          <w:tcPr>
            <w:tcW w:w="1760" w:type="dxa"/>
            <w:vAlign w:val="bottom"/>
          </w:tcPr>
          <w:p>
            <w:pPr>
              <w:jc w:val="right"/>
              <w:ind w:right="10"/>
              <w:spacing w:after="0" w:line="173" w:lineRule="exact"/>
              <w:rPr>
                <w:sz w:val="20"/>
                <w:szCs w:val="20"/>
                <w:color w:val="auto"/>
              </w:rPr>
            </w:pPr>
            <w:r>
              <w:rPr>
                <w:rFonts w:ascii="Arial" w:cs="Arial" w:eastAsia="Arial" w:hAnsi="Arial"/>
                <w:sz w:val="18"/>
                <w:szCs w:val="18"/>
                <w:color w:val="auto"/>
              </w:rPr>
              <w:t>$38,263</w:t>
            </w:r>
          </w:p>
        </w:tc>
      </w:tr>
      <w:tr>
        <w:trPr>
          <w:trHeight w:val="203"/>
        </w:trPr>
        <w:tc>
          <w:tcPr>
            <w:tcW w:w="4080" w:type="dxa"/>
            <w:vAlign w:val="bottom"/>
          </w:tcPr>
          <w:p>
            <w:pPr>
              <w:spacing w:after="0" w:line="202" w:lineRule="exact"/>
              <w:rPr>
                <w:sz w:val="20"/>
                <w:szCs w:val="20"/>
                <w:color w:val="auto"/>
              </w:rPr>
            </w:pPr>
            <w:r>
              <w:rPr>
                <w:rFonts w:ascii="Arial" w:cs="Arial" w:eastAsia="Arial" w:hAnsi="Arial"/>
                <w:sz w:val="18"/>
                <w:szCs w:val="18"/>
                <w:color w:val="auto"/>
              </w:rPr>
              <w:t>Albany Engineered Composites</w:t>
            </w:r>
          </w:p>
        </w:tc>
        <w:tc>
          <w:tcPr>
            <w:tcW w:w="5580" w:type="dxa"/>
            <w:vAlign w:val="bottom"/>
          </w:tcPr>
          <w:p>
            <w:pPr>
              <w:jc w:val="right"/>
              <w:ind w:right="750"/>
              <w:spacing w:after="0" w:line="202" w:lineRule="exact"/>
              <w:rPr>
                <w:sz w:val="20"/>
                <w:szCs w:val="20"/>
                <w:color w:val="auto"/>
              </w:rPr>
            </w:pPr>
            <w:r>
              <w:rPr>
                <w:rFonts w:ascii="Arial" w:cs="Arial" w:eastAsia="Arial" w:hAnsi="Arial"/>
                <w:sz w:val="18"/>
                <w:szCs w:val="18"/>
                <w:b w:val="1"/>
                <w:bCs w:val="1"/>
                <w:color w:val="auto"/>
              </w:rPr>
              <w:t>2,275</w:t>
            </w:r>
          </w:p>
        </w:tc>
        <w:tc>
          <w:tcPr>
            <w:tcW w:w="1760" w:type="dxa"/>
            <w:vAlign w:val="bottom"/>
          </w:tcPr>
          <w:p>
            <w:pPr>
              <w:jc w:val="right"/>
              <w:spacing w:after="0" w:line="202" w:lineRule="exact"/>
              <w:rPr>
                <w:sz w:val="20"/>
                <w:szCs w:val="20"/>
                <w:color w:val="auto"/>
              </w:rPr>
            </w:pPr>
            <w:r>
              <w:rPr>
                <w:rFonts w:ascii="Arial" w:cs="Arial" w:eastAsia="Arial" w:hAnsi="Arial"/>
                <w:sz w:val="18"/>
                <w:szCs w:val="18"/>
                <w:color w:val="auto"/>
              </w:rPr>
              <w:t>(5,114)</w:t>
            </w:r>
          </w:p>
        </w:tc>
      </w:tr>
      <w:tr>
        <w:trPr>
          <w:trHeight w:val="225"/>
        </w:trPr>
        <w:tc>
          <w:tcPr>
            <w:tcW w:w="40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Corporate expenses</w:t>
            </w:r>
          </w:p>
        </w:tc>
        <w:tc>
          <w:tcPr>
            <w:tcW w:w="5580" w:type="dxa"/>
            <w:vAlign w:val="bottom"/>
            <w:tcBorders>
              <w:bottom w:val="single" w:sz="8" w:color="auto"/>
            </w:tcBorders>
          </w:tcPr>
          <w:p>
            <w:pPr>
              <w:jc w:val="right"/>
              <w:ind w:right="690"/>
              <w:spacing w:after="0"/>
              <w:rPr>
                <w:sz w:val="20"/>
                <w:szCs w:val="20"/>
                <w:color w:val="auto"/>
              </w:rPr>
            </w:pPr>
            <w:r>
              <w:rPr>
                <w:rFonts w:ascii="Arial" w:cs="Arial" w:eastAsia="Arial" w:hAnsi="Arial"/>
                <w:sz w:val="18"/>
                <w:szCs w:val="18"/>
                <w:b w:val="1"/>
                <w:bCs w:val="1"/>
                <w:color w:val="auto"/>
              </w:rPr>
              <w:t>(12,213)</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(10,471)</w:t>
            </w:r>
          </w:p>
        </w:tc>
      </w:tr>
      <w:tr>
        <w:trPr>
          <w:trHeight w:val="196"/>
        </w:trPr>
        <w:tc>
          <w:tcPr>
            <w:tcW w:w="408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Total</w:t>
            </w:r>
          </w:p>
        </w:tc>
        <w:tc>
          <w:tcPr>
            <w:tcW w:w="5580" w:type="dxa"/>
            <w:vAlign w:val="bottom"/>
            <w:tcBorders>
              <w:bottom w:val="single" w:sz="8" w:color="auto"/>
            </w:tcBorders>
          </w:tcPr>
          <w:p>
            <w:pPr>
              <w:jc w:val="right"/>
              <w:ind w:right="750"/>
              <w:spacing w:after="0" w:line="196" w:lineRule="exact"/>
              <w:rPr>
                <w:sz w:val="20"/>
                <w:szCs w:val="20"/>
                <w:color w:val="auto"/>
              </w:rPr>
            </w:pPr>
            <w:r>
              <w:rPr>
                <w:rFonts w:ascii="Arial" w:cs="Arial" w:eastAsia="Arial" w:hAnsi="Arial"/>
                <w:sz w:val="18"/>
                <w:szCs w:val="18"/>
                <w:b w:val="1"/>
                <w:bCs w:val="1"/>
                <w:color w:val="auto"/>
              </w:rPr>
              <w:t>$20,831</w:t>
            </w:r>
          </w:p>
        </w:tc>
        <w:tc>
          <w:tcPr>
            <w:tcW w:w="176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$22,678</w:t>
            </w:r>
          </w:p>
        </w:tc>
      </w:tr>
      <w:tr>
        <w:trPr>
          <w:trHeight w:val="426"/>
        </w:trPr>
        <w:tc>
          <w:tcPr>
            <w:tcW w:w="4080" w:type="dxa"/>
            <w:vAlign w:val="bottom"/>
          </w:tcPr>
          <w:p>
            <w:pPr>
              <w:spacing w:after="0"/>
              <w:rPr>
                <w:sz w:val="24"/>
                <w:szCs w:val="24"/>
                <w:color w:val="auto"/>
              </w:rPr>
            </w:pPr>
          </w:p>
        </w:tc>
        <w:tc>
          <w:tcPr>
            <w:tcW w:w="5580" w:type="dxa"/>
            <w:vAlign w:val="bottom"/>
          </w:tcPr>
          <w:p>
            <w:pPr>
              <w:jc w:val="right"/>
              <w:ind w:right="3770"/>
              <w:spacing w:after="0"/>
              <w:rPr>
                <w:sz w:val="20"/>
                <w:szCs w:val="20"/>
                <w:color w:val="auto"/>
              </w:rPr>
            </w:pPr>
            <w:r>
              <w:rPr>
                <w:rFonts w:ascii="Arial" w:cs="Arial" w:eastAsia="Arial" w:hAnsi="Arial"/>
                <w:sz w:val="18"/>
                <w:szCs w:val="18"/>
                <w:color w:val="auto"/>
              </w:rPr>
              <w:t>44</w:t>
            </w:r>
          </w:p>
        </w:tc>
        <w:tc>
          <w:tcPr>
            <w:tcW w:w="1760" w:type="dxa"/>
            <w:vAlign w:val="bottom"/>
          </w:tcPr>
          <w:p>
            <w:pPr>
              <w:spacing w:after="0"/>
              <w:rPr>
                <w:sz w:val="24"/>
                <w:szCs w:val="24"/>
                <w:color w:val="auto"/>
              </w:rPr>
            </w:pPr>
          </w:p>
        </w:tc>
      </w:tr>
      <w:tr>
        <w:trPr>
          <w:trHeight w:val="142"/>
        </w:trPr>
        <w:tc>
          <w:tcPr>
            <w:tcW w:w="4080" w:type="dxa"/>
            <w:vAlign w:val="bottom"/>
            <w:tcBorders>
              <w:bottom w:val="single" w:sz="8" w:color="auto"/>
            </w:tcBorders>
          </w:tcPr>
          <w:p>
            <w:pPr>
              <w:spacing w:after="0"/>
              <w:rPr>
                <w:sz w:val="12"/>
                <w:szCs w:val="12"/>
                <w:color w:val="auto"/>
              </w:rPr>
            </w:pPr>
          </w:p>
        </w:tc>
        <w:tc>
          <w:tcPr>
            <w:tcW w:w="5580" w:type="dxa"/>
            <w:vAlign w:val="bottom"/>
            <w:tcBorders>
              <w:bottom w:val="single" w:sz="8" w:color="auto"/>
            </w:tcBorders>
          </w:tcPr>
          <w:p>
            <w:pPr>
              <w:spacing w:after="0"/>
              <w:rPr>
                <w:sz w:val="12"/>
                <w:szCs w:val="12"/>
                <w:color w:val="auto"/>
              </w:rPr>
            </w:pPr>
          </w:p>
        </w:tc>
        <w:tc>
          <w:tcPr>
            <w:tcW w:w="1760" w:type="dxa"/>
            <w:vAlign w:val="bottom"/>
            <w:tcBorders>
              <w:bottom w:val="single" w:sz="8" w:color="auto"/>
            </w:tcBorders>
          </w:tcPr>
          <w:p>
            <w:pPr>
              <w:spacing w:after="0"/>
              <w:rPr>
                <w:sz w:val="12"/>
                <w:szCs w:val="12"/>
                <w:color w:val="auto"/>
              </w:rPr>
            </w:pPr>
          </w:p>
        </w:tc>
      </w:tr>
    </w:tbl>
    <w:p>
      <w:pPr>
        <w:sectPr>
          <w:pgSz w:w="11900" w:h="16838" w:orient="portrait"/>
          <w:cols w:equalWidth="0" w:num="1">
            <w:col w:w="11420"/>
          </w:cols>
          <w:pgMar w:left="240" w:top="778" w:right="23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color w:val="auto"/>
        </w:rPr>
        <w:t>Other Earnings Items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6060" w:type="dxa"/>
            <w:vAlign w:val="bottom"/>
            <w:tcBorders>
              <w:top w:val="single" w:sz="8" w:color="auto"/>
            </w:tcBorders>
          </w:tcPr>
          <w:p>
            <w:pPr>
              <w:spacing w:after="0"/>
              <w:rPr>
                <w:sz w:val="16"/>
                <w:szCs w:val="16"/>
                <w:color w:val="auto"/>
              </w:rPr>
            </w:pPr>
          </w:p>
        </w:tc>
        <w:tc>
          <w:tcPr>
            <w:tcW w:w="5360" w:type="dxa"/>
            <w:vAlign w:val="bottom"/>
            <w:tcBorders>
              <w:top w:val="single" w:sz="8" w:color="auto"/>
            </w:tcBorders>
            <w:gridSpan w:val="2"/>
          </w:tcPr>
          <w:p>
            <w:pPr>
              <w:jc w:val="right"/>
              <w:ind w:right="630"/>
              <w:spacing w:after="0" w:line="194" w:lineRule="exact"/>
              <w:rPr>
                <w:sz w:val="20"/>
                <w:szCs w:val="20"/>
                <w:color w:val="auto"/>
              </w:rPr>
            </w:pPr>
            <w:r>
              <w:rPr>
                <w:rFonts w:ascii="Arial" w:cs="Arial" w:eastAsia="Arial" w:hAnsi="Arial"/>
                <w:sz w:val="18"/>
                <w:szCs w:val="18"/>
                <w:b w:val="1"/>
                <w:bCs w:val="1"/>
                <w:color w:val="auto"/>
              </w:rPr>
              <w:t>Three months ended March 31,</w:t>
            </w:r>
          </w:p>
        </w:tc>
      </w:tr>
      <w:tr>
        <w:trPr>
          <w:trHeight w:val="225"/>
        </w:trPr>
        <w:tc>
          <w:tcPr>
            <w:tcW w:w="60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(in thousands)</w:t>
            </w:r>
          </w:p>
        </w:tc>
        <w:tc>
          <w:tcPr>
            <w:tcW w:w="3560" w:type="dxa"/>
            <w:vAlign w:val="bottom"/>
            <w:tcBorders>
              <w:bottom w:val="single" w:sz="8" w:color="auto"/>
            </w:tcBorders>
          </w:tcPr>
          <w:p>
            <w:pPr>
              <w:jc w:val="right"/>
              <w:ind w:right="1190"/>
              <w:spacing w:after="0"/>
              <w:rPr>
                <w:sz w:val="20"/>
                <w:szCs w:val="20"/>
                <w:color w:val="auto"/>
              </w:rPr>
            </w:pPr>
            <w:r>
              <w:rPr>
                <w:rFonts w:ascii="Arial" w:cs="Arial" w:eastAsia="Arial" w:hAnsi="Arial"/>
                <w:sz w:val="18"/>
                <w:szCs w:val="18"/>
                <w:b w:val="1"/>
                <w:bCs w:val="1"/>
                <w:color w:val="auto"/>
              </w:rPr>
              <w:t>2018</w:t>
            </w:r>
          </w:p>
        </w:tc>
        <w:tc>
          <w:tcPr>
            <w:tcW w:w="18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2017</w:t>
            </w:r>
          </w:p>
        </w:tc>
      </w:tr>
      <w:tr>
        <w:trPr>
          <w:trHeight w:val="173"/>
        </w:trPr>
        <w:tc>
          <w:tcPr>
            <w:tcW w:w="6060" w:type="dxa"/>
            <w:vAlign w:val="bottom"/>
          </w:tcPr>
          <w:p>
            <w:pPr>
              <w:spacing w:after="0" w:line="173" w:lineRule="exact"/>
              <w:rPr>
                <w:sz w:val="20"/>
                <w:szCs w:val="20"/>
                <w:color w:val="auto"/>
              </w:rPr>
            </w:pPr>
            <w:r>
              <w:rPr>
                <w:rFonts w:ascii="Arial" w:cs="Arial" w:eastAsia="Arial" w:hAnsi="Arial"/>
                <w:sz w:val="18"/>
                <w:szCs w:val="18"/>
                <w:color w:val="auto"/>
              </w:rPr>
              <w:t>Interest expense, net</w:t>
            </w:r>
          </w:p>
        </w:tc>
        <w:tc>
          <w:tcPr>
            <w:tcW w:w="3560" w:type="dxa"/>
            <w:vAlign w:val="bottom"/>
          </w:tcPr>
          <w:p>
            <w:pPr>
              <w:jc w:val="right"/>
              <w:ind w:right="710"/>
              <w:spacing w:after="0" w:line="173" w:lineRule="exact"/>
              <w:rPr>
                <w:sz w:val="20"/>
                <w:szCs w:val="20"/>
                <w:color w:val="auto"/>
              </w:rPr>
            </w:pPr>
            <w:r>
              <w:rPr>
                <w:rFonts w:ascii="Arial" w:cs="Arial" w:eastAsia="Arial" w:hAnsi="Arial"/>
                <w:sz w:val="18"/>
                <w:szCs w:val="18"/>
                <w:b w:val="1"/>
                <w:bCs w:val="1"/>
                <w:color w:val="auto"/>
              </w:rPr>
              <w:t>$4,288</w:t>
            </w:r>
          </w:p>
        </w:tc>
        <w:tc>
          <w:tcPr>
            <w:tcW w:w="1800" w:type="dxa"/>
            <w:vAlign w:val="bottom"/>
          </w:tcPr>
          <w:p>
            <w:pPr>
              <w:jc w:val="right"/>
              <w:ind w:right="10"/>
              <w:spacing w:after="0" w:line="173" w:lineRule="exact"/>
              <w:rPr>
                <w:sz w:val="20"/>
                <w:szCs w:val="20"/>
                <w:color w:val="auto"/>
              </w:rPr>
            </w:pPr>
            <w:r>
              <w:rPr>
                <w:rFonts w:ascii="Arial" w:cs="Arial" w:eastAsia="Arial" w:hAnsi="Arial"/>
                <w:sz w:val="18"/>
                <w:szCs w:val="18"/>
                <w:color w:val="auto"/>
              </w:rPr>
              <w:t>$4,328</w:t>
            </w:r>
          </w:p>
        </w:tc>
      </w:tr>
      <w:tr>
        <w:trPr>
          <w:trHeight w:val="203"/>
        </w:trPr>
        <w:tc>
          <w:tcPr>
            <w:tcW w:w="6060" w:type="dxa"/>
            <w:vAlign w:val="bottom"/>
          </w:tcPr>
          <w:p>
            <w:pPr>
              <w:spacing w:after="0" w:line="202" w:lineRule="exact"/>
              <w:rPr>
                <w:sz w:val="20"/>
                <w:szCs w:val="20"/>
                <w:color w:val="auto"/>
              </w:rPr>
            </w:pPr>
            <w:r>
              <w:rPr>
                <w:rFonts w:ascii="Arial" w:cs="Arial" w:eastAsia="Arial" w:hAnsi="Arial"/>
                <w:sz w:val="18"/>
                <w:szCs w:val="18"/>
                <w:color w:val="auto"/>
              </w:rPr>
              <w:t>Other expense, net</w:t>
            </w:r>
          </w:p>
        </w:tc>
        <w:tc>
          <w:tcPr>
            <w:tcW w:w="3560" w:type="dxa"/>
            <w:vAlign w:val="bottom"/>
          </w:tcPr>
          <w:p>
            <w:pPr>
              <w:jc w:val="right"/>
              <w:ind w:right="710"/>
              <w:spacing w:after="0" w:line="202" w:lineRule="exact"/>
              <w:rPr>
                <w:sz w:val="20"/>
                <w:szCs w:val="20"/>
                <w:color w:val="auto"/>
              </w:rPr>
            </w:pPr>
            <w:r>
              <w:rPr>
                <w:rFonts w:ascii="Arial" w:cs="Arial" w:eastAsia="Arial" w:hAnsi="Arial"/>
                <w:sz w:val="18"/>
                <w:szCs w:val="18"/>
                <w:b w:val="1"/>
                <w:bCs w:val="1"/>
                <w:color w:val="auto"/>
              </w:rPr>
              <w:t>1,452</w:t>
            </w:r>
          </w:p>
        </w:tc>
        <w:tc>
          <w:tcPr>
            <w:tcW w:w="18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826</w:t>
            </w:r>
          </w:p>
        </w:tc>
      </w:tr>
      <w:tr>
        <w:trPr>
          <w:trHeight w:val="203"/>
        </w:trPr>
        <w:tc>
          <w:tcPr>
            <w:tcW w:w="6060" w:type="dxa"/>
            <w:vAlign w:val="bottom"/>
          </w:tcPr>
          <w:p>
            <w:pPr>
              <w:spacing w:after="0" w:line="202" w:lineRule="exact"/>
              <w:rPr>
                <w:sz w:val="20"/>
                <w:szCs w:val="20"/>
                <w:color w:val="auto"/>
              </w:rPr>
            </w:pPr>
            <w:r>
              <w:rPr>
                <w:rFonts w:ascii="Arial" w:cs="Arial" w:eastAsia="Arial" w:hAnsi="Arial"/>
                <w:sz w:val="18"/>
                <w:szCs w:val="18"/>
                <w:color w:val="auto"/>
              </w:rPr>
              <w:t>Income tax expense</w:t>
            </w:r>
          </w:p>
        </w:tc>
        <w:tc>
          <w:tcPr>
            <w:tcW w:w="3560" w:type="dxa"/>
            <w:vAlign w:val="bottom"/>
          </w:tcPr>
          <w:p>
            <w:pPr>
              <w:jc w:val="right"/>
              <w:ind w:right="710"/>
              <w:spacing w:after="0" w:line="202" w:lineRule="exact"/>
              <w:rPr>
                <w:sz w:val="20"/>
                <w:szCs w:val="20"/>
                <w:color w:val="auto"/>
              </w:rPr>
            </w:pPr>
            <w:r>
              <w:rPr>
                <w:rFonts w:ascii="Arial" w:cs="Arial" w:eastAsia="Arial" w:hAnsi="Arial"/>
                <w:sz w:val="18"/>
                <w:szCs w:val="18"/>
                <w:b w:val="1"/>
                <w:bCs w:val="1"/>
                <w:color w:val="auto"/>
              </w:rPr>
              <w:t>4,609</w:t>
            </w:r>
          </w:p>
        </w:tc>
        <w:tc>
          <w:tcPr>
            <w:tcW w:w="18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6,550</w:t>
            </w:r>
          </w:p>
        </w:tc>
      </w:tr>
      <w:tr>
        <w:trPr>
          <w:trHeight w:val="225"/>
        </w:trPr>
        <w:tc>
          <w:tcPr>
            <w:tcW w:w="60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Net income attributable to the noncontrolling interest</w:t>
            </w:r>
          </w:p>
        </w:tc>
        <w:tc>
          <w:tcPr>
            <w:tcW w:w="3560" w:type="dxa"/>
            <w:vAlign w:val="bottom"/>
            <w:tcBorders>
              <w:bottom w:val="single" w:sz="8" w:color="auto"/>
            </w:tcBorders>
          </w:tcPr>
          <w:p>
            <w:pPr>
              <w:jc w:val="right"/>
              <w:ind w:right="710"/>
              <w:spacing w:after="0"/>
              <w:rPr>
                <w:sz w:val="20"/>
                <w:szCs w:val="20"/>
                <w:color w:val="auto"/>
              </w:rPr>
            </w:pPr>
            <w:r>
              <w:rPr>
                <w:rFonts w:ascii="Arial" w:cs="Arial" w:eastAsia="Arial" w:hAnsi="Arial"/>
                <w:sz w:val="18"/>
                <w:szCs w:val="18"/>
                <w:b w:val="1"/>
                <w:bCs w:val="1"/>
                <w:color w:val="auto"/>
              </w:rPr>
              <w:t>237</w:t>
            </w:r>
          </w:p>
        </w:tc>
        <w:tc>
          <w:tcPr>
            <w:tcW w:w="18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135</w:t>
            </w:r>
          </w:p>
        </w:tc>
      </w:tr>
    </w:tbl>
    <w:p>
      <w:pPr>
        <w:spacing w:after="0" w:line="3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 net</w:t>
      </w:r>
    </w:p>
    <w:p>
      <w:pPr>
        <w:spacing w:after="0" w:line="220" w:lineRule="exact"/>
        <w:rPr>
          <w:sz w:val="20"/>
          <w:szCs w:val="20"/>
          <w:color w:val="auto"/>
        </w:rPr>
      </w:pPr>
    </w:p>
    <w:p>
      <w:pPr>
        <w:ind w:right="280" w:firstLine="648"/>
        <w:spacing w:after="0" w:line="239" w:lineRule="auto"/>
        <w:rPr>
          <w:sz w:val="20"/>
          <w:szCs w:val="20"/>
          <w:color w:val="auto"/>
        </w:rPr>
      </w:pPr>
      <w:r>
        <w:rPr>
          <w:rFonts w:ascii="Arial" w:cs="Arial" w:eastAsia="Arial" w:hAnsi="Arial"/>
          <w:sz w:val="18"/>
          <w:szCs w:val="18"/>
          <w:color w:val="auto"/>
        </w:rPr>
        <w:t>Interest expense, net, decreased slightly in 2018, as lower average interest rates were nearly offset by an increase in average debt outstanding. The lower average interest rates in 2018 principally resulted from the October 2017 repayment of the remaining $50 million of Prudential notes which carried an interest rate of 6.84%. See the Capital Resources section for further discussion of borrowings and interest rates.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Expense, net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increase in Other expense, net included the following individually significant items: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 comparison</w:t>
      </w:r>
    </w:p>
    <w:p>
      <w:pPr>
        <w:spacing w:after="0" w:line="220" w:lineRule="exact"/>
        <w:rPr>
          <w:sz w:val="20"/>
          <w:szCs w:val="20"/>
          <w:color w:val="auto"/>
        </w:rPr>
      </w:pPr>
    </w:p>
    <w:p>
      <w:pPr>
        <w:ind w:left="980" w:right="540" w:hanging="324"/>
        <w:spacing w:after="0" w:line="246" w:lineRule="auto"/>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For the first quarter of each year, foreign currency revaluations of cash and intercompany balances resulted in losses of $0.7 million in 2018 and $0.1 million in 2017, respectively.</w:t>
      </w: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w:t>
      </w:r>
    </w:p>
    <w:p>
      <w:pPr>
        <w:spacing w:after="0" w:line="220"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8"/>
          <w:szCs w:val="18"/>
          <w:color w:val="auto"/>
        </w:rPr>
        <w:t>The Company has operations which constitute a taxable presence in 18 countries outside of the United States. Countries outside of the United States had income tax rates that were both above and below the United States’ federal tax rate of 21% during the periods reported. The jurisdictional location of earnings is a significant component of our effective tax rate each year. The rate impact of this component is influenced by the specific location of non-U.S. earnings and the level of our total earnings. From period to period, the jurisdictional mix of earnings can vary as a result of operating fluctuations in the normal course of business, as well as the extent and location of other income and expense items, such as pension settlement and restructuring charges.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 comparison</w:t>
      </w:r>
    </w:p>
    <w:p>
      <w:pPr>
        <w:spacing w:after="0" w:line="220"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8"/>
          <w:szCs w:val="18"/>
          <w:color w:val="auto"/>
        </w:rPr>
        <w:t>The Company’s effective tax rates for the first quarter of 2018 and 2017 were 30.5% and 37.4%, respectively. The tax rate is affected by recurring items, such as the income tax rate in the U.S. and in non-U.S. jurisdictions and the mix of income earned in those jurisdictions. The tax rate is also affected by U.S. tax costs on foreign earnings, and by discrete items that may occur in any given year but are not consistent from year to year.</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342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967" w:right="239" w:bottom="1440" w:gutter="0" w:footer="0" w:header="0"/>
        </w:sectPr>
      </w:pPr>
    </w:p>
    <w:bookmarkStart w:id="45" w:name="page46"/>
    <w:bookmarkEnd w:id="45"/>
    <w:p>
      <w:pPr>
        <w:ind w:firstLine="648"/>
        <w:spacing w:after="0" w:line="246" w:lineRule="auto"/>
        <w:rPr>
          <w:sz w:val="20"/>
          <w:szCs w:val="20"/>
          <w:color w:val="auto"/>
        </w:rPr>
      </w:pPr>
      <w:r>
        <w:rPr>
          <w:rFonts w:ascii="Arial" w:cs="Arial" w:eastAsia="Arial" w:hAnsi="Arial"/>
          <w:sz w:val="18"/>
          <w:szCs w:val="18"/>
          <w:color w:val="auto"/>
        </w:rPr>
        <w:t>Significant items that impacted the tax rate in the first quarter of 2018 included the following (percentages reflect the effect of each item as a percentage of Income before income taxes):</w:t>
      </w:r>
    </w:p>
    <w:p>
      <w:pPr>
        <w:spacing w:after="0" w:line="156" w:lineRule="exact"/>
        <w:rPr>
          <w:sz w:val="20"/>
          <w:szCs w:val="20"/>
          <w:color w:val="auto"/>
        </w:rPr>
      </w:pPr>
    </w:p>
    <w:p>
      <w:pPr>
        <w:ind w:left="1620" w:hanging="315"/>
        <w:spacing w:after="0"/>
        <w:tabs>
          <w:tab w:leader="none" w:pos="16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income tax rate on continuing operations, excluding discrete items, was 32.5%.</w:t>
      </w:r>
    </w:p>
    <w:p>
      <w:pPr>
        <w:spacing w:after="0" w:line="9" w:lineRule="exact"/>
        <w:rPr>
          <w:rFonts w:ascii="Arial" w:cs="Arial" w:eastAsia="Arial" w:hAnsi="Arial"/>
          <w:sz w:val="18"/>
          <w:szCs w:val="18"/>
          <w:color w:val="auto"/>
        </w:rPr>
      </w:pPr>
    </w:p>
    <w:p>
      <w:pPr>
        <w:ind w:left="1620" w:hanging="315"/>
        <w:spacing w:after="0"/>
        <w:tabs>
          <w:tab w:leader="none" w:pos="16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$0.1 million [-0.9%] discrete income tax benefit related to the exercise of U.S. stock options.</w:t>
      </w:r>
    </w:p>
    <w:p>
      <w:pPr>
        <w:spacing w:after="0" w:line="9" w:lineRule="exact"/>
        <w:rPr>
          <w:rFonts w:ascii="Arial" w:cs="Arial" w:eastAsia="Arial" w:hAnsi="Arial"/>
          <w:sz w:val="18"/>
          <w:szCs w:val="18"/>
          <w:color w:val="auto"/>
        </w:rPr>
      </w:pPr>
    </w:p>
    <w:p>
      <w:pPr>
        <w:ind w:left="1620" w:hanging="315"/>
        <w:spacing w:after="0"/>
        <w:tabs>
          <w:tab w:leader="none" w:pos="16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$0.2 million [-1.1%] net tax benefit related to other discrete items.</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Significant items that impacted the first quarter of 2017 tax rate included the following:</w:t>
      </w:r>
    </w:p>
    <w:p>
      <w:pPr>
        <w:spacing w:after="0" w:line="171" w:lineRule="exact"/>
        <w:rPr>
          <w:sz w:val="20"/>
          <w:szCs w:val="20"/>
          <w:color w:val="auto"/>
        </w:rPr>
      </w:pPr>
    </w:p>
    <w:p>
      <w:pPr>
        <w:ind w:left="1620" w:hanging="315"/>
        <w:spacing w:after="0"/>
        <w:tabs>
          <w:tab w:leader="none" w:pos="16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income tax rate on continuing operations, excluding discrete items, was 32.6%.</w:t>
      </w:r>
    </w:p>
    <w:p>
      <w:pPr>
        <w:spacing w:after="0" w:line="9" w:lineRule="exact"/>
        <w:rPr>
          <w:rFonts w:ascii="Arial" w:cs="Arial" w:eastAsia="Arial" w:hAnsi="Arial"/>
          <w:sz w:val="18"/>
          <w:szCs w:val="18"/>
          <w:color w:val="auto"/>
        </w:rPr>
      </w:pPr>
    </w:p>
    <w:p>
      <w:pPr>
        <w:ind w:left="1620" w:hanging="315"/>
        <w:spacing w:after="0"/>
        <w:tabs>
          <w:tab w:leader="none" w:pos="16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$0.9 million [4.8%] discrete income tax expense related to provisions for and settlements of income tax audits.</w:t>
      </w: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Results of Operations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Machine Clothing Segment</w:t>
      </w:r>
    </w:p>
    <w:p>
      <w:pPr>
        <w:spacing w:after="0" w:line="220" w:lineRule="exact"/>
        <w:rPr>
          <w:sz w:val="20"/>
          <w:szCs w:val="20"/>
          <w:color w:val="auto"/>
        </w:rPr>
      </w:pPr>
    </w:p>
    <w:p>
      <w:pPr>
        <w:ind w:right="180" w:firstLine="648"/>
        <w:spacing w:after="0" w:line="246" w:lineRule="auto"/>
        <w:rPr>
          <w:sz w:val="20"/>
          <w:szCs w:val="20"/>
          <w:color w:val="auto"/>
        </w:rPr>
      </w:pPr>
      <w:r>
        <w:rPr>
          <w:rFonts w:ascii="Arial" w:cs="Arial" w:eastAsia="Arial" w:hAnsi="Arial"/>
          <w:sz w:val="18"/>
          <w:szCs w:val="18"/>
          <w:color w:val="auto"/>
        </w:rPr>
        <w:t>Machine Clothing is our primary business segment and accounted for 64% of our consolidated revenues during the first three months of 2018. Machine Clothing products are purchased primarily by manufacturers of paper and paperboard.</w:t>
      </w:r>
    </w:p>
    <w:p>
      <w:pPr>
        <w:spacing w:after="0" w:line="183" w:lineRule="exact"/>
        <w:rPr>
          <w:sz w:val="20"/>
          <w:szCs w:val="20"/>
          <w:color w:val="auto"/>
        </w:rPr>
      </w:pPr>
    </w:p>
    <w:p>
      <w:pPr>
        <w:jc w:val="both"/>
        <w:ind w:right="260" w:firstLine="648"/>
        <w:spacing w:after="0"/>
        <w:rPr>
          <w:sz w:val="20"/>
          <w:szCs w:val="20"/>
          <w:color w:val="auto"/>
        </w:rPr>
      </w:pPr>
      <w:r>
        <w:rPr>
          <w:rFonts w:ascii="Arial" w:cs="Arial" w:eastAsia="Arial" w:hAnsi="Arial"/>
          <w:sz w:val="18"/>
          <w:szCs w:val="18"/>
          <w:color w:val="auto"/>
        </w:rPr>
        <w:t>According to RISI, Inc., global production of paper and paperboard is expected to grow at an annual rate of approximately 1 percent over the next five years, driven primarily by global growth in packaging and tissue, which is expected to be greater than expected declines in publication grades.</w:t>
      </w:r>
    </w:p>
    <w:p>
      <w:pPr>
        <w:spacing w:after="0" w:line="189" w:lineRule="exact"/>
        <w:rPr>
          <w:sz w:val="20"/>
          <w:szCs w:val="20"/>
          <w:color w:val="auto"/>
        </w:rPr>
      </w:pPr>
    </w:p>
    <w:p>
      <w:pPr>
        <w:ind w:right="140" w:firstLine="648"/>
        <w:spacing w:after="0" w:line="237" w:lineRule="auto"/>
        <w:rPr>
          <w:sz w:val="20"/>
          <w:szCs w:val="20"/>
          <w:color w:val="auto"/>
        </w:rPr>
      </w:pPr>
      <w:r>
        <w:rPr>
          <w:rFonts w:ascii="Arial" w:cs="Arial" w:eastAsia="Arial" w:hAnsi="Arial"/>
          <w:sz w:val="18"/>
          <w:szCs w:val="18"/>
          <w:color w:val="auto"/>
        </w:rPr>
        <w:t>While the MC business has suffered from well-documented declines in publication grades in the Company’s traditional markets, the paper and paperboard industry is still expected to grow slightly on a global basis, driven by demand for packaging and tissue grades. We feel we are now well-positioned in key markets, with high-quality, low-cost production in growth markets, substantially lower fixed costs in mature markets, and continued strength in new product development, technical product support, and manufacturing technology. Recent technological advances in paper machine clothing, while contributing to the papermaking efficiency of customers, have lengthened the useful life of many of our products and had an adverse impact on overall paper machine clothing demand.</w:t>
      </w:r>
    </w:p>
    <w:p>
      <w:pPr>
        <w:spacing w:after="0" w:line="192" w:lineRule="exact"/>
        <w:rPr>
          <w:sz w:val="20"/>
          <w:szCs w:val="20"/>
          <w:color w:val="auto"/>
        </w:rPr>
      </w:pPr>
    </w:p>
    <w:p>
      <w:pPr>
        <w:ind w:right="60" w:firstLine="648"/>
        <w:spacing w:after="0" w:line="239" w:lineRule="auto"/>
        <w:rPr>
          <w:sz w:val="20"/>
          <w:szCs w:val="20"/>
          <w:color w:val="auto"/>
        </w:rPr>
      </w:pPr>
      <w:r>
        <w:rPr>
          <w:rFonts w:ascii="Arial" w:cs="Arial" w:eastAsia="Arial" w:hAnsi="Arial"/>
          <w:sz w:val="18"/>
          <w:szCs w:val="18"/>
          <w:color w:val="auto"/>
        </w:rPr>
        <w:t>The Company’s manufacturing and product platforms position us well to meet these shifting demands across product grades and geographic regions. Our strategy for meeting these challenges continues to be to grow share in all markets, with new products and technology, and to maintain our manufacturing footprint to align with global demand, while we offset the effects of inflation through continuous productivity improvement.</w:t>
      </w:r>
    </w:p>
    <w:p>
      <w:pPr>
        <w:spacing w:after="0" w:line="188" w:lineRule="exact"/>
        <w:rPr>
          <w:sz w:val="20"/>
          <w:szCs w:val="20"/>
          <w:color w:val="auto"/>
        </w:rPr>
      </w:pPr>
    </w:p>
    <w:p>
      <w:pPr>
        <w:ind w:right="480" w:firstLine="648"/>
        <w:spacing w:after="0" w:line="246" w:lineRule="auto"/>
        <w:rPr>
          <w:sz w:val="20"/>
          <w:szCs w:val="20"/>
          <w:color w:val="auto"/>
        </w:rPr>
      </w:pPr>
      <w:r>
        <w:rPr>
          <w:rFonts w:ascii="Arial" w:cs="Arial" w:eastAsia="Arial" w:hAnsi="Arial"/>
          <w:sz w:val="18"/>
          <w:szCs w:val="18"/>
          <w:color w:val="auto"/>
        </w:rPr>
        <w:t>We have incurred significant restructuring charges in recent periods as we reduced Machine Clothing manufacturing capacity and administrative positions in the United States, Germany and France.</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342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598" w:right="23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color w:val="auto"/>
        </w:rPr>
        <w:t>Review of Operations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5400" w:type="dxa"/>
            <w:vAlign w:val="bottom"/>
            <w:tcBorders>
              <w:top w:val="single" w:sz="8" w:color="auto"/>
            </w:tcBorders>
          </w:tcPr>
          <w:p>
            <w:pPr>
              <w:spacing w:after="0"/>
              <w:rPr>
                <w:sz w:val="16"/>
                <w:szCs w:val="16"/>
                <w:color w:val="auto"/>
              </w:rPr>
            </w:pPr>
          </w:p>
        </w:tc>
        <w:tc>
          <w:tcPr>
            <w:tcW w:w="4400" w:type="dxa"/>
            <w:vAlign w:val="bottom"/>
            <w:tcBorders>
              <w:top w:val="single" w:sz="8" w:color="auto"/>
            </w:tcBorders>
          </w:tcPr>
          <w:p>
            <w:pPr>
              <w:jc w:val="right"/>
              <w:ind w:right="150"/>
              <w:spacing w:after="0" w:line="194" w:lineRule="exact"/>
              <w:rPr>
                <w:sz w:val="20"/>
                <w:szCs w:val="20"/>
                <w:color w:val="auto"/>
              </w:rPr>
            </w:pPr>
            <w:r>
              <w:rPr>
                <w:rFonts w:ascii="Arial" w:cs="Arial" w:eastAsia="Arial" w:hAnsi="Arial"/>
                <w:sz w:val="18"/>
                <w:szCs w:val="18"/>
                <w:b w:val="1"/>
                <w:bCs w:val="1"/>
                <w:color w:val="auto"/>
              </w:rPr>
              <w:t>Three months ended</w:t>
            </w:r>
          </w:p>
        </w:tc>
        <w:tc>
          <w:tcPr>
            <w:tcW w:w="1620" w:type="dxa"/>
            <w:vAlign w:val="bottom"/>
            <w:tcBorders>
              <w:top w:val="single" w:sz="8" w:color="auto"/>
            </w:tcBorders>
          </w:tcPr>
          <w:p>
            <w:pPr>
              <w:jc w:val="right"/>
              <w:ind w:right="450"/>
              <w:spacing w:after="0" w:line="194" w:lineRule="exact"/>
              <w:rPr>
                <w:sz w:val="20"/>
                <w:szCs w:val="20"/>
                <w:color w:val="auto"/>
              </w:rPr>
            </w:pPr>
            <w:r>
              <w:rPr>
                <w:rFonts w:ascii="Arial" w:cs="Arial" w:eastAsia="Arial" w:hAnsi="Arial"/>
                <w:sz w:val="18"/>
                <w:szCs w:val="18"/>
                <w:b w:val="1"/>
                <w:bCs w:val="1"/>
                <w:color w:val="auto"/>
              </w:rPr>
              <w:t>March 31,</w:t>
            </w:r>
          </w:p>
        </w:tc>
      </w:tr>
      <w:tr>
        <w:trPr>
          <w:trHeight w:val="225"/>
        </w:trPr>
        <w:tc>
          <w:tcPr>
            <w:tcW w:w="54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(in thousands, except percentages)</w:t>
            </w:r>
          </w:p>
        </w:tc>
        <w:tc>
          <w:tcPr>
            <w:tcW w:w="4400" w:type="dxa"/>
            <w:vAlign w:val="bottom"/>
            <w:tcBorders>
              <w:bottom w:val="single" w:sz="8" w:color="auto"/>
            </w:tcBorders>
          </w:tcPr>
          <w:p>
            <w:pPr>
              <w:jc w:val="right"/>
              <w:ind w:right="1450"/>
              <w:spacing w:after="0"/>
              <w:rPr>
                <w:sz w:val="20"/>
                <w:szCs w:val="20"/>
                <w:color w:val="auto"/>
              </w:rPr>
            </w:pPr>
            <w:r>
              <w:rPr>
                <w:rFonts w:ascii="Arial" w:cs="Arial" w:eastAsia="Arial" w:hAnsi="Arial"/>
                <w:sz w:val="18"/>
                <w:szCs w:val="18"/>
                <w:b w:val="1"/>
                <w:bCs w:val="1"/>
                <w:color w:val="auto"/>
              </w:rPr>
              <w:t>2018</w:t>
            </w:r>
          </w:p>
        </w:tc>
        <w:tc>
          <w:tcPr>
            <w:tcW w:w="162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2017</w:t>
            </w:r>
          </w:p>
        </w:tc>
      </w:tr>
      <w:tr>
        <w:trPr>
          <w:trHeight w:val="173"/>
        </w:trPr>
        <w:tc>
          <w:tcPr>
            <w:tcW w:w="5400" w:type="dxa"/>
            <w:vAlign w:val="bottom"/>
          </w:tcPr>
          <w:p>
            <w:pPr>
              <w:spacing w:after="0" w:line="173" w:lineRule="exact"/>
              <w:rPr>
                <w:sz w:val="20"/>
                <w:szCs w:val="20"/>
                <w:color w:val="auto"/>
              </w:rPr>
            </w:pPr>
            <w:r>
              <w:rPr>
                <w:rFonts w:ascii="Arial" w:cs="Arial" w:eastAsia="Arial" w:hAnsi="Arial"/>
                <w:sz w:val="18"/>
                <w:szCs w:val="18"/>
                <w:color w:val="auto"/>
              </w:rPr>
              <w:t>Net sales</w:t>
            </w:r>
          </w:p>
        </w:tc>
        <w:tc>
          <w:tcPr>
            <w:tcW w:w="4400" w:type="dxa"/>
            <w:vAlign w:val="bottom"/>
          </w:tcPr>
          <w:p>
            <w:pPr>
              <w:jc w:val="right"/>
              <w:ind w:right="990"/>
              <w:spacing w:after="0" w:line="173" w:lineRule="exact"/>
              <w:rPr>
                <w:sz w:val="20"/>
                <w:szCs w:val="20"/>
                <w:color w:val="auto"/>
              </w:rPr>
            </w:pPr>
            <w:r>
              <w:rPr>
                <w:rFonts w:ascii="Arial" w:cs="Arial" w:eastAsia="Arial" w:hAnsi="Arial"/>
                <w:sz w:val="18"/>
                <w:szCs w:val="18"/>
                <w:b w:val="1"/>
                <w:bCs w:val="1"/>
                <w:color w:val="auto"/>
              </w:rPr>
              <w:t>$148,151</w:t>
            </w:r>
          </w:p>
        </w:tc>
        <w:tc>
          <w:tcPr>
            <w:tcW w:w="1620" w:type="dxa"/>
            <w:vAlign w:val="bottom"/>
          </w:tcPr>
          <w:p>
            <w:pPr>
              <w:jc w:val="right"/>
              <w:ind w:right="70"/>
              <w:spacing w:after="0" w:line="173" w:lineRule="exact"/>
              <w:rPr>
                <w:sz w:val="20"/>
                <w:szCs w:val="20"/>
                <w:color w:val="auto"/>
              </w:rPr>
            </w:pPr>
            <w:r>
              <w:rPr>
                <w:rFonts w:ascii="Arial" w:cs="Arial" w:eastAsia="Arial" w:hAnsi="Arial"/>
                <w:sz w:val="18"/>
                <w:szCs w:val="18"/>
                <w:color w:val="auto"/>
              </w:rPr>
              <w:t>$142,827</w:t>
            </w:r>
          </w:p>
        </w:tc>
      </w:tr>
      <w:tr>
        <w:trPr>
          <w:trHeight w:val="203"/>
        </w:trPr>
        <w:tc>
          <w:tcPr>
            <w:tcW w:w="5400" w:type="dxa"/>
            <w:vAlign w:val="bottom"/>
          </w:tcPr>
          <w:p>
            <w:pPr>
              <w:spacing w:after="0" w:line="202" w:lineRule="exact"/>
              <w:rPr>
                <w:sz w:val="20"/>
                <w:szCs w:val="20"/>
                <w:color w:val="auto"/>
              </w:rPr>
            </w:pPr>
            <w:r>
              <w:rPr>
                <w:rFonts w:ascii="Arial" w:cs="Arial" w:eastAsia="Arial" w:hAnsi="Arial"/>
                <w:sz w:val="18"/>
                <w:szCs w:val="18"/>
                <w:color w:val="auto"/>
              </w:rPr>
              <w:t>Gross profit</w:t>
            </w:r>
          </w:p>
        </w:tc>
        <w:tc>
          <w:tcPr>
            <w:tcW w:w="4400" w:type="dxa"/>
            <w:vAlign w:val="bottom"/>
          </w:tcPr>
          <w:p>
            <w:pPr>
              <w:jc w:val="right"/>
              <w:ind w:right="990"/>
              <w:spacing w:after="0" w:line="202" w:lineRule="exact"/>
              <w:rPr>
                <w:sz w:val="20"/>
                <w:szCs w:val="20"/>
                <w:color w:val="auto"/>
              </w:rPr>
            </w:pPr>
            <w:r>
              <w:rPr>
                <w:rFonts w:ascii="Arial" w:cs="Arial" w:eastAsia="Arial" w:hAnsi="Arial"/>
                <w:sz w:val="18"/>
                <w:szCs w:val="18"/>
                <w:b w:val="1"/>
                <w:bCs w:val="1"/>
                <w:color w:val="auto"/>
              </w:rPr>
              <w:t>70,181</w:t>
            </w:r>
          </w:p>
        </w:tc>
        <w:tc>
          <w:tcPr>
            <w:tcW w:w="1620" w:type="dxa"/>
            <w:vAlign w:val="bottom"/>
          </w:tcPr>
          <w:p>
            <w:pPr>
              <w:jc w:val="right"/>
              <w:ind w:right="70"/>
              <w:spacing w:after="0" w:line="202" w:lineRule="exact"/>
              <w:rPr>
                <w:sz w:val="20"/>
                <w:szCs w:val="20"/>
                <w:color w:val="auto"/>
              </w:rPr>
            </w:pPr>
            <w:r>
              <w:rPr>
                <w:rFonts w:ascii="Arial" w:cs="Arial" w:eastAsia="Arial" w:hAnsi="Arial"/>
                <w:sz w:val="18"/>
                <w:szCs w:val="18"/>
                <w:color w:val="auto"/>
              </w:rPr>
              <w:t>69,218</w:t>
            </w:r>
          </w:p>
        </w:tc>
      </w:tr>
      <w:tr>
        <w:trPr>
          <w:trHeight w:val="203"/>
        </w:trPr>
        <w:tc>
          <w:tcPr>
            <w:tcW w:w="5400" w:type="dxa"/>
            <w:vAlign w:val="bottom"/>
          </w:tcPr>
          <w:p>
            <w:pPr>
              <w:spacing w:after="0" w:line="202" w:lineRule="exact"/>
              <w:rPr>
                <w:sz w:val="20"/>
                <w:szCs w:val="20"/>
                <w:color w:val="auto"/>
              </w:rPr>
            </w:pPr>
            <w:r>
              <w:rPr>
                <w:rFonts w:ascii="Arial" w:cs="Arial" w:eastAsia="Arial" w:hAnsi="Arial"/>
                <w:sz w:val="18"/>
                <w:szCs w:val="18"/>
                <w:color w:val="auto"/>
              </w:rPr>
              <w:t>% of net sales</w:t>
            </w:r>
          </w:p>
        </w:tc>
        <w:tc>
          <w:tcPr>
            <w:tcW w:w="4400" w:type="dxa"/>
            <w:vAlign w:val="bottom"/>
          </w:tcPr>
          <w:p>
            <w:pPr>
              <w:jc w:val="right"/>
              <w:ind w:right="830"/>
              <w:spacing w:after="0" w:line="202" w:lineRule="exact"/>
              <w:rPr>
                <w:sz w:val="20"/>
                <w:szCs w:val="20"/>
                <w:color w:val="auto"/>
              </w:rPr>
            </w:pPr>
            <w:r>
              <w:rPr>
                <w:rFonts w:ascii="Arial" w:cs="Arial" w:eastAsia="Arial" w:hAnsi="Arial"/>
                <w:sz w:val="18"/>
                <w:szCs w:val="18"/>
                <w:b w:val="1"/>
                <w:bCs w:val="1"/>
                <w:color w:val="auto"/>
              </w:rPr>
              <w:t>47.4%</w:t>
            </w:r>
          </w:p>
        </w:tc>
        <w:tc>
          <w:tcPr>
            <w:tcW w:w="1620" w:type="dxa"/>
            <w:vAlign w:val="bottom"/>
          </w:tcPr>
          <w:p>
            <w:pPr>
              <w:jc w:val="right"/>
              <w:spacing w:after="0" w:line="202" w:lineRule="exact"/>
              <w:rPr>
                <w:sz w:val="20"/>
                <w:szCs w:val="20"/>
                <w:color w:val="auto"/>
              </w:rPr>
            </w:pPr>
            <w:r>
              <w:rPr>
                <w:rFonts w:ascii="Arial" w:cs="Arial" w:eastAsia="Arial" w:hAnsi="Arial"/>
                <w:sz w:val="18"/>
                <w:szCs w:val="18"/>
                <w:color w:val="auto"/>
              </w:rPr>
              <w:t>48.5%</w:t>
            </w:r>
          </w:p>
        </w:tc>
      </w:tr>
      <w:tr>
        <w:trPr>
          <w:trHeight w:val="203"/>
        </w:trPr>
        <w:tc>
          <w:tcPr>
            <w:tcW w:w="5400" w:type="dxa"/>
            <w:vAlign w:val="bottom"/>
          </w:tcPr>
          <w:p>
            <w:pPr>
              <w:spacing w:after="0" w:line="202" w:lineRule="exact"/>
              <w:rPr>
                <w:sz w:val="20"/>
                <w:szCs w:val="20"/>
                <w:color w:val="auto"/>
              </w:rPr>
            </w:pPr>
            <w:r>
              <w:rPr>
                <w:rFonts w:ascii="Arial" w:cs="Arial" w:eastAsia="Arial" w:hAnsi="Arial"/>
                <w:sz w:val="18"/>
                <w:szCs w:val="18"/>
                <w:color w:val="auto"/>
              </w:rPr>
              <w:t>STG&amp;R expenses</w:t>
            </w:r>
          </w:p>
        </w:tc>
        <w:tc>
          <w:tcPr>
            <w:tcW w:w="4400" w:type="dxa"/>
            <w:vAlign w:val="bottom"/>
          </w:tcPr>
          <w:p>
            <w:pPr>
              <w:jc w:val="right"/>
              <w:ind w:right="990"/>
              <w:spacing w:after="0" w:line="202" w:lineRule="exact"/>
              <w:rPr>
                <w:sz w:val="20"/>
                <w:szCs w:val="20"/>
                <w:color w:val="auto"/>
              </w:rPr>
            </w:pPr>
            <w:r>
              <w:rPr>
                <w:rFonts w:ascii="Arial" w:cs="Arial" w:eastAsia="Arial" w:hAnsi="Arial"/>
                <w:sz w:val="18"/>
                <w:szCs w:val="18"/>
                <w:b w:val="1"/>
                <w:bCs w:val="1"/>
                <w:color w:val="auto"/>
              </w:rPr>
              <w:t>31,060</w:t>
            </w:r>
          </w:p>
        </w:tc>
        <w:tc>
          <w:tcPr>
            <w:tcW w:w="1620" w:type="dxa"/>
            <w:vAlign w:val="bottom"/>
          </w:tcPr>
          <w:p>
            <w:pPr>
              <w:jc w:val="right"/>
              <w:ind w:right="70"/>
              <w:spacing w:after="0" w:line="202" w:lineRule="exact"/>
              <w:rPr>
                <w:sz w:val="20"/>
                <w:szCs w:val="20"/>
                <w:color w:val="auto"/>
              </w:rPr>
            </w:pPr>
            <w:r>
              <w:rPr>
                <w:rFonts w:ascii="Arial" w:cs="Arial" w:eastAsia="Arial" w:hAnsi="Arial"/>
                <w:sz w:val="18"/>
                <w:szCs w:val="18"/>
                <w:color w:val="auto"/>
              </w:rPr>
              <w:t>30,845</w:t>
            </w:r>
          </w:p>
        </w:tc>
      </w:tr>
      <w:tr>
        <w:trPr>
          <w:trHeight w:val="225"/>
        </w:trPr>
        <w:tc>
          <w:tcPr>
            <w:tcW w:w="54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Operating income</w:t>
            </w:r>
          </w:p>
        </w:tc>
        <w:tc>
          <w:tcPr>
            <w:tcW w:w="4400" w:type="dxa"/>
            <w:vAlign w:val="bottom"/>
            <w:tcBorders>
              <w:bottom w:val="single" w:sz="8" w:color="auto"/>
            </w:tcBorders>
          </w:tcPr>
          <w:p>
            <w:pPr>
              <w:jc w:val="right"/>
              <w:ind w:right="990"/>
              <w:spacing w:after="0"/>
              <w:rPr>
                <w:sz w:val="20"/>
                <w:szCs w:val="20"/>
                <w:color w:val="auto"/>
              </w:rPr>
            </w:pPr>
            <w:r>
              <w:rPr>
                <w:rFonts w:ascii="Arial" w:cs="Arial" w:eastAsia="Arial" w:hAnsi="Arial"/>
                <w:sz w:val="18"/>
                <w:szCs w:val="18"/>
                <w:b w:val="1"/>
                <w:bCs w:val="1"/>
                <w:color w:val="auto"/>
              </w:rPr>
              <w:t>30,769</w:t>
            </w:r>
          </w:p>
        </w:tc>
        <w:tc>
          <w:tcPr>
            <w:tcW w:w="16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38,263</w:t>
            </w:r>
          </w:p>
        </w:tc>
      </w:tr>
    </w:tbl>
    <w:p>
      <w:pPr>
        <w:spacing w:after="0" w:line="3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Sales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 comparison</w:t>
      </w:r>
    </w:p>
    <w:p>
      <w:pPr>
        <w:spacing w:after="0" w:line="18" w:lineRule="exact"/>
        <w:rPr>
          <w:sz w:val="20"/>
          <w:szCs w:val="20"/>
          <w:color w:val="auto"/>
        </w:rPr>
      </w:pPr>
    </w:p>
    <w:p>
      <w:pPr>
        <w:ind w:left="1300" w:hanging="320"/>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Net sales increased by 3.7%.</w:t>
      </w:r>
    </w:p>
    <w:p>
      <w:pPr>
        <w:spacing w:after="0" w:line="9" w:lineRule="exact"/>
        <w:rPr>
          <w:rFonts w:ascii="Arial" w:cs="Arial" w:eastAsia="Arial" w:hAnsi="Arial"/>
          <w:sz w:val="18"/>
          <w:szCs w:val="18"/>
          <w:color w:val="auto"/>
        </w:rPr>
      </w:pPr>
    </w:p>
    <w:p>
      <w:pPr>
        <w:ind w:left="1300" w:right="300" w:hanging="320"/>
        <w:spacing w:after="0" w:line="234" w:lineRule="auto"/>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Changes in currency translation rates had the effect of increasing first-quarter 2018 sales by $6.8 million compared to the same period in 2017. That currency translation effect was principally due to the euro and Chinese renminbi strengthening in 2018.</w:t>
      </w:r>
    </w:p>
    <w:p>
      <w:pPr>
        <w:spacing w:after="0" w:line="2" w:lineRule="exact"/>
        <w:rPr>
          <w:rFonts w:ascii="Arial" w:cs="Arial" w:eastAsia="Arial" w:hAnsi="Arial"/>
          <w:sz w:val="18"/>
          <w:szCs w:val="18"/>
          <w:color w:val="auto"/>
        </w:rPr>
      </w:pPr>
    </w:p>
    <w:p>
      <w:pPr>
        <w:ind w:left="1300" w:right="60" w:hanging="320"/>
        <w:spacing w:after="0" w:line="239" w:lineRule="auto"/>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Excluding the effect of changes in currency translation rates, Net sales in MC decreased $1.4 million or 1.0%. Excluding the additional effect of adopting ASC 606, Net sales decreased 4.0%, principally due to continuing declines in publication grade sales and lower sales in tissue and packaging, primarily in North America as first-quarter 2017 sales were particularly strong in those grades.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Gross Profit</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 comparison</w:t>
      </w:r>
    </w:p>
    <w:p>
      <w:pPr>
        <w:spacing w:after="0" w:line="220" w:lineRule="exact"/>
        <w:rPr>
          <w:sz w:val="20"/>
          <w:szCs w:val="20"/>
          <w:color w:val="auto"/>
        </w:rPr>
      </w:pPr>
    </w:p>
    <w:p>
      <w:pPr>
        <w:ind w:left="1300" w:hanging="320"/>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increase in MC gross profit was principally due to the application of ASC 606, as noted above.</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currency translation rates did not have a significant effect on gross profit for the first three months of 2018.</w:t>
      </w:r>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Income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 comparison</w:t>
      </w:r>
    </w:p>
    <w:p>
      <w:pPr>
        <w:spacing w:after="0" w:line="1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increase in operating income was principally due to the net effect of the following individually significant items:</w:t>
      </w:r>
    </w:p>
    <w:p>
      <w:pPr>
        <w:spacing w:after="0" w:line="198" w:lineRule="exact"/>
        <w:rPr>
          <w:sz w:val="20"/>
          <w:szCs w:val="20"/>
          <w:color w:val="auto"/>
        </w:rPr>
      </w:pPr>
    </w:p>
    <w:p>
      <w:pPr>
        <w:ind w:left="1300" w:hanging="320"/>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Gross profit increased $1.0 million due to the impact of ASC 606, as described above.</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STG&amp;R expenses increased $0.2 million due to:</w:t>
      </w:r>
    </w:p>
    <w:p>
      <w:pPr>
        <w:spacing w:after="0" w:line="9" w:lineRule="exact"/>
        <w:rPr>
          <w:sz w:val="20"/>
          <w:szCs w:val="20"/>
          <w:color w:val="auto"/>
        </w:rPr>
      </w:pPr>
    </w:p>
    <w:p>
      <w:pPr>
        <w:ind w:left="1960" w:right="40" w:hanging="331"/>
        <w:spacing w:after="0" w:line="234" w:lineRule="auto"/>
        <w:tabs>
          <w:tab w:leader="none" w:pos="1960" w:val="left"/>
        </w:tabs>
        <w:numPr>
          <w:ilvl w:val="1"/>
          <w:numId w:val="17"/>
        </w:numPr>
        <w:rPr>
          <w:rFonts w:ascii="Courier New" w:cs="Courier New" w:eastAsia="Courier New" w:hAnsi="Courier New"/>
          <w:sz w:val="18"/>
          <w:szCs w:val="18"/>
          <w:color w:val="auto"/>
        </w:rPr>
      </w:pPr>
      <w:r>
        <w:rPr>
          <w:rFonts w:ascii="Arial" w:cs="Arial" w:eastAsia="Arial" w:hAnsi="Arial"/>
          <w:sz w:val="18"/>
          <w:szCs w:val="18"/>
          <w:color w:val="auto"/>
        </w:rPr>
        <w:t>In MC, revaluation of nonfunctional currency assets and liabilities resulted in first-quarter losses of $1.5 million in 2018, and $1.7 million in 2017.</w:t>
      </w:r>
    </w:p>
    <w:p>
      <w:pPr>
        <w:spacing w:after="0" w:line="188" w:lineRule="exact"/>
        <w:rPr>
          <w:rFonts w:ascii="Courier New" w:cs="Courier New" w:eastAsia="Courier New" w:hAnsi="Courier New"/>
          <w:sz w:val="18"/>
          <w:szCs w:val="18"/>
          <w:color w:val="auto"/>
        </w:rPr>
      </w:pPr>
    </w:p>
    <w:p>
      <w:pPr>
        <w:ind w:left="1300" w:hanging="320"/>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Restructuring charges were $8.4 million in the first-quarter of 2018, compared to $0.1 in the same period in 2017.</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342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778" w:right="23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color w:val="auto"/>
        </w:rPr>
        <w:t>Albany Engineered Composites Segment</w:t>
      </w:r>
    </w:p>
    <w:p>
      <w:pPr>
        <w:spacing w:after="0" w:line="396" w:lineRule="exact"/>
        <w:rPr>
          <w:sz w:val="20"/>
          <w:szCs w:val="20"/>
          <w:color w:val="auto"/>
        </w:rPr>
      </w:pPr>
    </w:p>
    <w:p>
      <w:pPr>
        <w:ind w:firstLine="648"/>
        <w:spacing w:after="0" w:line="238" w:lineRule="auto"/>
        <w:rPr>
          <w:sz w:val="20"/>
          <w:szCs w:val="20"/>
          <w:color w:val="auto"/>
        </w:rPr>
      </w:pPr>
      <w:r>
        <w:rPr>
          <w:rFonts w:ascii="Arial" w:cs="Arial" w:eastAsia="Arial" w:hAnsi="Arial"/>
          <w:sz w:val="18"/>
          <w:szCs w:val="18"/>
          <w:color w:val="auto"/>
        </w:rPr>
        <w:t>The Albany Engineered Composites (AEC) segment, including Albany Safran Composites, LLC (ASC), in which our customer SAFRAN Group owns a 10 percent noncontrolling interest, provides highly engineered advanced composite structures to customers primarily in the aerospace and defense industries. AEC’s largest program relates to CFM International’s LEAP engine. AEC, through ASC, is the exclusive supplier of advanced composite fan blades and cases for this program under a long-term supply contract. Other significant AEC programs include components for the F-35 Joint Strike Fighter, fuselage frame components for the Boeing 787, and the fan case for the GE9X engine.</w:t>
      </w: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5440" w:type="dxa"/>
            <w:vAlign w:val="bottom"/>
          </w:tcPr>
          <w:p>
            <w:pPr>
              <w:spacing w:after="0"/>
              <w:rPr>
                <w:sz w:val="20"/>
                <w:szCs w:val="20"/>
                <w:color w:val="auto"/>
              </w:rPr>
            </w:pPr>
            <w:r>
              <w:rPr>
                <w:rFonts w:ascii="Arial" w:cs="Arial" w:eastAsia="Arial" w:hAnsi="Arial"/>
                <w:sz w:val="18"/>
                <w:szCs w:val="18"/>
                <w:b w:val="1"/>
                <w:bCs w:val="1"/>
                <w:color w:val="auto"/>
              </w:rPr>
              <w:t>Review of Operations</w:t>
            </w:r>
          </w:p>
        </w:tc>
        <w:tc>
          <w:tcPr>
            <w:tcW w:w="4200" w:type="dxa"/>
            <w:vAlign w:val="bottom"/>
          </w:tcPr>
          <w:p>
            <w:pPr>
              <w:spacing w:after="0"/>
              <w:rPr>
                <w:sz w:val="20"/>
                <w:szCs w:val="20"/>
                <w:color w:val="auto"/>
              </w:rPr>
            </w:pPr>
          </w:p>
        </w:tc>
        <w:tc>
          <w:tcPr>
            <w:tcW w:w="1780" w:type="dxa"/>
            <w:vAlign w:val="bottom"/>
          </w:tcPr>
          <w:p>
            <w:pPr>
              <w:spacing w:after="0"/>
              <w:rPr>
                <w:sz w:val="20"/>
                <w:szCs w:val="20"/>
                <w:color w:val="auto"/>
              </w:rPr>
            </w:pPr>
          </w:p>
        </w:tc>
      </w:tr>
      <w:tr>
        <w:trPr>
          <w:trHeight w:val="369"/>
        </w:trPr>
        <w:tc>
          <w:tcPr>
            <w:tcW w:w="5440" w:type="dxa"/>
            <w:vAlign w:val="bottom"/>
          </w:tcPr>
          <w:p>
            <w:pPr>
              <w:spacing w:after="0"/>
              <w:rPr>
                <w:sz w:val="24"/>
                <w:szCs w:val="24"/>
                <w:color w:val="auto"/>
              </w:rPr>
            </w:pPr>
          </w:p>
        </w:tc>
        <w:tc>
          <w:tcPr>
            <w:tcW w:w="5980" w:type="dxa"/>
            <w:vAlign w:val="bottom"/>
            <w:gridSpan w:val="2"/>
          </w:tcPr>
          <w:p>
            <w:pPr>
              <w:jc w:val="right"/>
              <w:ind w:right="670"/>
              <w:spacing w:after="0"/>
              <w:rPr>
                <w:sz w:val="20"/>
                <w:szCs w:val="20"/>
                <w:color w:val="auto"/>
              </w:rPr>
            </w:pPr>
            <w:r>
              <w:rPr>
                <w:rFonts w:ascii="Arial" w:cs="Arial" w:eastAsia="Arial" w:hAnsi="Arial"/>
                <w:sz w:val="18"/>
                <w:szCs w:val="18"/>
                <w:b w:val="1"/>
                <w:bCs w:val="1"/>
                <w:color w:val="auto"/>
              </w:rPr>
              <w:t>Three months ended March 31,</w:t>
            </w:r>
          </w:p>
        </w:tc>
      </w:tr>
      <w:tr>
        <w:trPr>
          <w:trHeight w:val="225"/>
        </w:trPr>
        <w:tc>
          <w:tcPr>
            <w:tcW w:w="54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(in thousands, except percentages)</w:t>
            </w:r>
          </w:p>
        </w:tc>
        <w:tc>
          <w:tcPr>
            <w:tcW w:w="4200" w:type="dxa"/>
            <w:vAlign w:val="bottom"/>
            <w:tcBorders>
              <w:bottom w:val="single" w:sz="8" w:color="auto"/>
            </w:tcBorders>
          </w:tcPr>
          <w:p>
            <w:pPr>
              <w:jc w:val="right"/>
              <w:ind w:right="1290"/>
              <w:spacing w:after="0"/>
              <w:rPr>
                <w:sz w:val="20"/>
                <w:szCs w:val="20"/>
                <w:color w:val="auto"/>
              </w:rPr>
            </w:pPr>
            <w:r>
              <w:rPr>
                <w:rFonts w:ascii="Arial" w:cs="Arial" w:eastAsia="Arial" w:hAnsi="Arial"/>
                <w:sz w:val="18"/>
                <w:szCs w:val="18"/>
                <w:b w:val="1"/>
                <w:bCs w:val="1"/>
                <w:color w:val="auto"/>
              </w:rPr>
              <w:t>2018</w:t>
            </w:r>
          </w:p>
        </w:tc>
        <w:tc>
          <w:tcPr>
            <w:tcW w:w="178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2017</w:t>
            </w:r>
          </w:p>
        </w:tc>
      </w:tr>
      <w:tr>
        <w:trPr>
          <w:trHeight w:val="173"/>
        </w:trPr>
        <w:tc>
          <w:tcPr>
            <w:tcW w:w="5440" w:type="dxa"/>
            <w:vAlign w:val="bottom"/>
          </w:tcPr>
          <w:p>
            <w:pPr>
              <w:spacing w:after="0" w:line="173" w:lineRule="exact"/>
              <w:rPr>
                <w:sz w:val="20"/>
                <w:szCs w:val="20"/>
                <w:color w:val="auto"/>
              </w:rPr>
            </w:pPr>
            <w:r>
              <w:rPr>
                <w:rFonts w:ascii="Arial" w:cs="Arial" w:eastAsia="Arial" w:hAnsi="Arial"/>
                <w:sz w:val="18"/>
                <w:szCs w:val="18"/>
                <w:color w:val="auto"/>
              </w:rPr>
              <w:t>Net sales</w:t>
            </w:r>
          </w:p>
        </w:tc>
        <w:tc>
          <w:tcPr>
            <w:tcW w:w="4200" w:type="dxa"/>
            <w:vAlign w:val="bottom"/>
          </w:tcPr>
          <w:p>
            <w:pPr>
              <w:jc w:val="right"/>
              <w:ind w:right="830"/>
              <w:spacing w:after="0" w:line="173" w:lineRule="exact"/>
              <w:rPr>
                <w:sz w:val="20"/>
                <w:szCs w:val="20"/>
                <w:color w:val="auto"/>
              </w:rPr>
            </w:pPr>
            <w:r>
              <w:rPr>
                <w:rFonts w:ascii="Arial" w:cs="Arial" w:eastAsia="Arial" w:hAnsi="Arial"/>
                <w:sz w:val="18"/>
                <w:szCs w:val="18"/>
                <w:b w:val="1"/>
                <w:bCs w:val="1"/>
                <w:color w:val="auto"/>
              </w:rPr>
              <w:t>$81,830</w:t>
            </w:r>
          </w:p>
        </w:tc>
        <w:tc>
          <w:tcPr>
            <w:tcW w:w="1780" w:type="dxa"/>
            <w:vAlign w:val="bottom"/>
          </w:tcPr>
          <w:p>
            <w:pPr>
              <w:jc w:val="right"/>
              <w:ind w:right="70"/>
              <w:spacing w:after="0" w:line="173" w:lineRule="exact"/>
              <w:rPr>
                <w:sz w:val="20"/>
                <w:szCs w:val="20"/>
                <w:color w:val="auto"/>
              </w:rPr>
            </w:pPr>
            <w:r>
              <w:rPr>
                <w:rFonts w:ascii="Arial" w:cs="Arial" w:eastAsia="Arial" w:hAnsi="Arial"/>
                <w:sz w:val="18"/>
                <w:szCs w:val="18"/>
                <w:color w:val="auto"/>
              </w:rPr>
              <w:t>$56,450</w:t>
            </w:r>
          </w:p>
        </w:tc>
      </w:tr>
      <w:tr>
        <w:trPr>
          <w:trHeight w:val="203"/>
        </w:trPr>
        <w:tc>
          <w:tcPr>
            <w:tcW w:w="5440" w:type="dxa"/>
            <w:vAlign w:val="bottom"/>
          </w:tcPr>
          <w:p>
            <w:pPr>
              <w:spacing w:after="0" w:line="202" w:lineRule="exact"/>
              <w:rPr>
                <w:sz w:val="20"/>
                <w:szCs w:val="20"/>
                <w:color w:val="auto"/>
              </w:rPr>
            </w:pPr>
            <w:r>
              <w:rPr>
                <w:rFonts w:ascii="Arial" w:cs="Arial" w:eastAsia="Arial" w:hAnsi="Arial"/>
                <w:sz w:val="18"/>
                <w:szCs w:val="18"/>
                <w:color w:val="auto"/>
              </w:rPr>
              <w:t>Gross profit</w:t>
            </w:r>
          </w:p>
        </w:tc>
        <w:tc>
          <w:tcPr>
            <w:tcW w:w="4200" w:type="dxa"/>
            <w:vAlign w:val="bottom"/>
          </w:tcPr>
          <w:p>
            <w:pPr>
              <w:jc w:val="right"/>
              <w:ind w:right="830"/>
              <w:spacing w:after="0" w:line="202" w:lineRule="exact"/>
              <w:rPr>
                <w:sz w:val="20"/>
                <w:szCs w:val="20"/>
                <w:color w:val="auto"/>
              </w:rPr>
            </w:pPr>
            <w:r>
              <w:rPr>
                <w:rFonts w:ascii="Arial" w:cs="Arial" w:eastAsia="Arial" w:hAnsi="Arial"/>
                <w:sz w:val="18"/>
                <w:szCs w:val="18"/>
                <w:b w:val="1"/>
                <w:bCs w:val="1"/>
                <w:color w:val="auto"/>
              </w:rPr>
              <w:t>11,524</w:t>
            </w:r>
          </w:p>
        </w:tc>
        <w:tc>
          <w:tcPr>
            <w:tcW w:w="1780" w:type="dxa"/>
            <w:vAlign w:val="bottom"/>
          </w:tcPr>
          <w:p>
            <w:pPr>
              <w:jc w:val="right"/>
              <w:ind w:right="70"/>
              <w:spacing w:after="0" w:line="202" w:lineRule="exact"/>
              <w:rPr>
                <w:sz w:val="20"/>
                <w:szCs w:val="20"/>
                <w:color w:val="auto"/>
              </w:rPr>
            </w:pPr>
            <w:r>
              <w:rPr>
                <w:rFonts w:ascii="Arial" w:cs="Arial" w:eastAsia="Arial" w:hAnsi="Arial"/>
                <w:sz w:val="18"/>
                <w:szCs w:val="18"/>
                <w:color w:val="auto"/>
              </w:rPr>
              <w:t>6,833</w:t>
            </w:r>
          </w:p>
        </w:tc>
      </w:tr>
      <w:tr>
        <w:trPr>
          <w:trHeight w:val="203"/>
        </w:trPr>
        <w:tc>
          <w:tcPr>
            <w:tcW w:w="5440" w:type="dxa"/>
            <w:vAlign w:val="bottom"/>
          </w:tcPr>
          <w:p>
            <w:pPr>
              <w:spacing w:after="0" w:line="202" w:lineRule="exact"/>
              <w:rPr>
                <w:sz w:val="20"/>
                <w:szCs w:val="20"/>
                <w:color w:val="auto"/>
              </w:rPr>
            </w:pPr>
            <w:r>
              <w:rPr>
                <w:rFonts w:ascii="Arial" w:cs="Arial" w:eastAsia="Arial" w:hAnsi="Arial"/>
                <w:sz w:val="18"/>
                <w:szCs w:val="18"/>
                <w:color w:val="auto"/>
              </w:rPr>
              <w:t>% of net sales</w:t>
            </w:r>
          </w:p>
        </w:tc>
        <w:tc>
          <w:tcPr>
            <w:tcW w:w="4200" w:type="dxa"/>
            <w:vAlign w:val="bottom"/>
          </w:tcPr>
          <w:p>
            <w:pPr>
              <w:jc w:val="right"/>
              <w:ind w:right="670"/>
              <w:spacing w:after="0" w:line="202" w:lineRule="exact"/>
              <w:rPr>
                <w:sz w:val="20"/>
                <w:szCs w:val="20"/>
                <w:color w:val="auto"/>
              </w:rPr>
            </w:pPr>
            <w:r>
              <w:rPr>
                <w:rFonts w:ascii="Arial" w:cs="Arial" w:eastAsia="Arial" w:hAnsi="Arial"/>
                <w:sz w:val="18"/>
                <w:szCs w:val="18"/>
                <w:b w:val="1"/>
                <w:bCs w:val="1"/>
                <w:color w:val="auto"/>
              </w:rPr>
              <w:t>14.1%</w:t>
            </w:r>
          </w:p>
        </w:tc>
        <w:tc>
          <w:tcPr>
            <w:tcW w:w="1780" w:type="dxa"/>
            <w:vAlign w:val="bottom"/>
          </w:tcPr>
          <w:p>
            <w:pPr>
              <w:jc w:val="right"/>
              <w:spacing w:after="0" w:line="202" w:lineRule="exact"/>
              <w:rPr>
                <w:sz w:val="20"/>
                <w:szCs w:val="20"/>
                <w:color w:val="auto"/>
              </w:rPr>
            </w:pPr>
            <w:r>
              <w:rPr>
                <w:rFonts w:ascii="Arial" w:cs="Arial" w:eastAsia="Arial" w:hAnsi="Arial"/>
                <w:sz w:val="18"/>
                <w:szCs w:val="18"/>
                <w:color w:val="auto"/>
              </w:rPr>
              <w:t>12.1%</w:t>
            </w:r>
          </w:p>
        </w:tc>
      </w:tr>
      <w:tr>
        <w:trPr>
          <w:trHeight w:val="203"/>
        </w:trPr>
        <w:tc>
          <w:tcPr>
            <w:tcW w:w="5440" w:type="dxa"/>
            <w:vAlign w:val="bottom"/>
          </w:tcPr>
          <w:p>
            <w:pPr>
              <w:spacing w:after="0" w:line="202" w:lineRule="exact"/>
              <w:rPr>
                <w:sz w:val="20"/>
                <w:szCs w:val="20"/>
                <w:color w:val="auto"/>
              </w:rPr>
            </w:pPr>
            <w:r>
              <w:rPr>
                <w:rFonts w:ascii="Arial" w:cs="Arial" w:eastAsia="Arial" w:hAnsi="Arial"/>
                <w:sz w:val="18"/>
                <w:szCs w:val="18"/>
                <w:color w:val="auto"/>
              </w:rPr>
              <w:t>STG&amp;R expenses</w:t>
            </w:r>
          </w:p>
        </w:tc>
        <w:tc>
          <w:tcPr>
            <w:tcW w:w="4200" w:type="dxa"/>
            <w:vAlign w:val="bottom"/>
          </w:tcPr>
          <w:p>
            <w:pPr>
              <w:jc w:val="right"/>
              <w:ind w:right="830"/>
              <w:spacing w:after="0" w:line="202" w:lineRule="exact"/>
              <w:rPr>
                <w:sz w:val="20"/>
                <w:szCs w:val="20"/>
                <w:color w:val="auto"/>
              </w:rPr>
            </w:pPr>
            <w:r>
              <w:rPr>
                <w:rFonts w:ascii="Arial" w:cs="Arial" w:eastAsia="Arial" w:hAnsi="Arial"/>
                <w:sz w:val="18"/>
                <w:szCs w:val="18"/>
                <w:b w:val="1"/>
                <w:bCs w:val="1"/>
                <w:color w:val="auto"/>
              </w:rPr>
              <w:t>9,028</w:t>
            </w:r>
          </w:p>
        </w:tc>
        <w:tc>
          <w:tcPr>
            <w:tcW w:w="1780" w:type="dxa"/>
            <w:vAlign w:val="bottom"/>
          </w:tcPr>
          <w:p>
            <w:pPr>
              <w:jc w:val="right"/>
              <w:ind w:right="70"/>
              <w:spacing w:after="0" w:line="202" w:lineRule="exact"/>
              <w:rPr>
                <w:sz w:val="20"/>
                <w:szCs w:val="20"/>
                <w:color w:val="auto"/>
              </w:rPr>
            </w:pPr>
            <w:r>
              <w:rPr>
                <w:rFonts w:ascii="Arial" w:cs="Arial" w:eastAsia="Arial" w:hAnsi="Arial"/>
                <w:sz w:val="18"/>
                <w:szCs w:val="18"/>
                <w:color w:val="auto"/>
              </w:rPr>
              <w:t>9,376</w:t>
            </w:r>
          </w:p>
        </w:tc>
      </w:tr>
      <w:tr>
        <w:trPr>
          <w:trHeight w:val="225"/>
        </w:trPr>
        <w:tc>
          <w:tcPr>
            <w:tcW w:w="5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Operating income/(loss)</w:t>
            </w:r>
          </w:p>
        </w:tc>
        <w:tc>
          <w:tcPr>
            <w:tcW w:w="4200" w:type="dxa"/>
            <w:vAlign w:val="bottom"/>
            <w:tcBorders>
              <w:bottom w:val="single" w:sz="8" w:color="auto"/>
            </w:tcBorders>
          </w:tcPr>
          <w:p>
            <w:pPr>
              <w:jc w:val="right"/>
              <w:ind w:right="830"/>
              <w:spacing w:after="0"/>
              <w:rPr>
                <w:sz w:val="20"/>
                <w:szCs w:val="20"/>
                <w:color w:val="auto"/>
              </w:rPr>
            </w:pPr>
            <w:r>
              <w:rPr>
                <w:rFonts w:ascii="Arial" w:cs="Arial" w:eastAsia="Arial" w:hAnsi="Arial"/>
                <w:sz w:val="18"/>
                <w:szCs w:val="18"/>
                <w:b w:val="1"/>
                <w:bCs w:val="1"/>
                <w:color w:val="auto"/>
              </w:rPr>
              <w:t>2,275</w:t>
            </w:r>
          </w:p>
        </w:tc>
        <w:tc>
          <w:tcPr>
            <w:tcW w:w="17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(5,114)</w:t>
            </w:r>
          </w:p>
        </w:tc>
      </w:tr>
    </w:tbl>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Sales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 comparison</w:t>
      </w:r>
    </w:p>
    <w:p>
      <w:pPr>
        <w:spacing w:after="0" w:line="22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increase in net sales was principally due to the net effect of the following individually significant items:</w:t>
      </w:r>
    </w:p>
    <w:p>
      <w:pPr>
        <w:spacing w:after="0" w:line="117" w:lineRule="exact"/>
        <w:rPr>
          <w:sz w:val="20"/>
          <w:szCs w:val="20"/>
          <w:color w:val="auto"/>
        </w:rPr>
      </w:pPr>
    </w:p>
    <w:p>
      <w:pPr>
        <w:ind w:left="660" w:right="340" w:hanging="328"/>
        <w:spacing w:after="0" w:line="246"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Excluding the effect of changes in currency translation rates, Net sales increased 40.9%. Excluding the additional effect of adopting ASC 606, Net sales increased 33.4%, primarily driven by growth in the LEAP, Boeing 787, and F-35 programs.</w:t>
      </w:r>
    </w:p>
    <w:p>
      <w:pPr>
        <w:spacing w:after="0" w:line="3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Gross Profit</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 comparison</w:t>
      </w:r>
    </w:p>
    <w:p>
      <w:pPr>
        <w:spacing w:after="0" w:line="22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increase in gross profit was principally due to the net effect of the following individually significant items:</w:t>
      </w:r>
    </w:p>
    <w:p>
      <w:pPr>
        <w:spacing w:after="0" w:line="198" w:lineRule="exact"/>
        <w:rPr>
          <w:sz w:val="20"/>
          <w:szCs w:val="20"/>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AEC gross profit increased $4.7 million due to an increase in Net sales, as described above, and improved labor productivity.</w:t>
      </w: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Long-term contracts</w:t>
      </w:r>
    </w:p>
    <w:p>
      <w:pPr>
        <w:spacing w:after="0" w:line="193" w:lineRule="exact"/>
        <w:rPr>
          <w:sz w:val="20"/>
          <w:szCs w:val="20"/>
          <w:color w:val="auto"/>
        </w:rPr>
      </w:pPr>
    </w:p>
    <w:p>
      <w:pPr>
        <w:ind w:right="20" w:firstLine="648"/>
        <w:spacing w:after="0"/>
        <w:rPr>
          <w:sz w:val="20"/>
          <w:szCs w:val="20"/>
          <w:color w:val="auto"/>
        </w:rPr>
      </w:pPr>
      <w:r>
        <w:rPr>
          <w:rFonts w:ascii="Arial" w:cs="Arial" w:eastAsia="Arial" w:hAnsi="Arial"/>
          <w:sz w:val="18"/>
          <w:szCs w:val="18"/>
          <w:color w:val="auto"/>
        </w:rPr>
        <w:t>AEC has contracts with certain customers, including its contract for the LEAP program, where revenue is determined by a cost-plus fee agreement. Revenue earned under these arrangements accounted for approximately 50 and 45 percent of segment revenue for the first three months of 2018 and 2017, respectively.</w:t>
      </w:r>
    </w:p>
    <w:p>
      <w:pPr>
        <w:spacing w:after="0" w:line="189" w:lineRule="exact"/>
        <w:rPr>
          <w:sz w:val="20"/>
          <w:szCs w:val="20"/>
          <w:color w:val="auto"/>
        </w:rPr>
      </w:pPr>
    </w:p>
    <w:p>
      <w:pPr>
        <w:ind w:right="40" w:firstLine="648"/>
        <w:spacing w:after="0"/>
        <w:rPr>
          <w:sz w:val="20"/>
          <w:szCs w:val="20"/>
          <w:color w:val="auto"/>
        </w:rPr>
      </w:pPr>
      <w:r>
        <w:rPr>
          <w:rFonts w:ascii="Arial" w:cs="Arial" w:eastAsia="Arial" w:hAnsi="Arial"/>
          <w:sz w:val="18"/>
          <w:szCs w:val="18"/>
          <w:color w:val="auto"/>
        </w:rPr>
        <w:t>In addition, AEC has long-term contracts in which the selling price is fixed. In accounting for those contracts, we estimate the profit margin expected at the completion of the contract and recognize a pro-rata share of that profit during the course of the contract using a cost-to-cost</w:t>
      </w: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342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792" w:right="239" w:bottom="1440" w:gutter="0" w:footer="0" w:header="0"/>
        </w:sectPr>
      </w:pPr>
    </w:p>
    <w:bookmarkStart w:id="48" w:name="page49"/>
    <w:bookmarkEnd w:id="48"/>
    <w:p>
      <w:pPr>
        <w:ind w:right="800"/>
        <w:spacing w:after="0" w:line="246" w:lineRule="auto"/>
        <w:rPr>
          <w:sz w:val="20"/>
          <w:szCs w:val="20"/>
          <w:color w:val="auto"/>
        </w:rPr>
      </w:pPr>
      <w:r>
        <w:rPr>
          <w:rFonts w:ascii="Arial" w:cs="Arial" w:eastAsia="Arial" w:hAnsi="Arial"/>
          <w:sz w:val="18"/>
          <w:szCs w:val="18"/>
          <w:color w:val="auto"/>
        </w:rPr>
        <w:t>approach. Changes in estimated contract profitability will affect revenue and gross profit when the change occurs, which could have a significant favorable or unfavorable effect on revenue and gross profit in any reporting period.</w:t>
      </w:r>
    </w:p>
    <w:p>
      <w:pPr>
        <w:spacing w:after="0" w:line="183" w:lineRule="exact"/>
        <w:rPr>
          <w:sz w:val="20"/>
          <w:szCs w:val="20"/>
          <w:color w:val="auto"/>
        </w:rPr>
      </w:pPr>
    </w:p>
    <w:p>
      <w:pPr>
        <w:ind w:right="220" w:firstLine="648"/>
        <w:spacing w:after="0" w:line="246" w:lineRule="auto"/>
        <w:rPr>
          <w:sz w:val="20"/>
          <w:szCs w:val="20"/>
          <w:color w:val="auto"/>
        </w:rPr>
      </w:pPr>
      <w:r>
        <w:rPr>
          <w:rFonts w:ascii="Arial" w:cs="Arial" w:eastAsia="Arial" w:hAnsi="Arial"/>
          <w:sz w:val="18"/>
          <w:szCs w:val="18"/>
          <w:color w:val="auto"/>
        </w:rPr>
        <w:t>Changes in contract estimates had a minor effect on gross profit in the first three months of 2018, and decreased gross profit by $0.7 million for the same period of 2017.</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Income/(Loss)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 comparison</w:t>
      </w:r>
    </w:p>
    <w:p>
      <w:pPr>
        <w:spacing w:after="0" w:line="22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increase in operating income was principally due to the net effect of the following individually significant items:</w:t>
      </w:r>
    </w:p>
    <w:p>
      <w:pPr>
        <w:spacing w:after="0" w:line="198" w:lineRule="exact"/>
        <w:rPr>
          <w:sz w:val="20"/>
          <w:szCs w:val="20"/>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AEC operating income increased $7.4 million principally due to higher sales and strong productivity, as described above.</w:t>
      </w: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 Summary</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20" w:type="dxa"/>
            <w:vAlign w:val="bottom"/>
          </w:tcPr>
          <w:p>
            <w:pPr>
              <w:spacing w:after="0"/>
              <w:rPr>
                <w:sz w:val="16"/>
                <w:szCs w:val="16"/>
                <w:color w:val="auto"/>
              </w:rPr>
            </w:pPr>
          </w:p>
        </w:tc>
        <w:tc>
          <w:tcPr>
            <w:tcW w:w="6440" w:type="dxa"/>
            <w:vAlign w:val="bottom"/>
            <w:tcBorders>
              <w:top w:val="single" w:sz="8" w:color="auto"/>
            </w:tcBorders>
          </w:tcPr>
          <w:p>
            <w:pPr>
              <w:spacing w:after="0"/>
              <w:rPr>
                <w:sz w:val="16"/>
                <w:szCs w:val="16"/>
                <w:color w:val="auto"/>
              </w:rPr>
            </w:pPr>
          </w:p>
        </w:tc>
        <w:tc>
          <w:tcPr>
            <w:tcW w:w="4960" w:type="dxa"/>
            <w:vAlign w:val="bottom"/>
            <w:tcBorders>
              <w:top w:val="single" w:sz="8" w:color="auto"/>
            </w:tcBorders>
            <w:gridSpan w:val="2"/>
          </w:tcPr>
          <w:p>
            <w:pPr>
              <w:jc w:val="right"/>
              <w:ind w:right="630"/>
              <w:spacing w:after="0" w:line="194" w:lineRule="exact"/>
              <w:rPr>
                <w:sz w:val="20"/>
                <w:szCs w:val="20"/>
                <w:color w:val="auto"/>
              </w:rPr>
            </w:pPr>
            <w:r>
              <w:rPr>
                <w:rFonts w:ascii="Arial" w:cs="Arial" w:eastAsia="Arial" w:hAnsi="Arial"/>
                <w:sz w:val="18"/>
                <w:szCs w:val="18"/>
                <w:b w:val="1"/>
                <w:bCs w:val="1"/>
                <w:color w:val="auto"/>
              </w:rPr>
              <w:t>Three months ended March 31,</w:t>
            </w:r>
          </w:p>
        </w:tc>
      </w:tr>
      <w:tr>
        <w:trPr>
          <w:trHeight w:val="225"/>
        </w:trPr>
        <w:tc>
          <w:tcPr>
            <w:tcW w:w="646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(in thousands)</w:t>
            </w:r>
          </w:p>
        </w:tc>
        <w:tc>
          <w:tcPr>
            <w:tcW w:w="3200" w:type="dxa"/>
            <w:vAlign w:val="bottom"/>
            <w:tcBorders>
              <w:bottom w:val="single" w:sz="8" w:color="auto"/>
            </w:tcBorders>
          </w:tcPr>
          <w:p>
            <w:pPr>
              <w:jc w:val="right"/>
              <w:ind w:right="1230"/>
              <w:spacing w:after="0"/>
              <w:rPr>
                <w:sz w:val="20"/>
                <w:szCs w:val="20"/>
                <w:color w:val="auto"/>
              </w:rPr>
            </w:pPr>
            <w:r>
              <w:rPr>
                <w:rFonts w:ascii="Arial" w:cs="Arial" w:eastAsia="Arial" w:hAnsi="Arial"/>
                <w:sz w:val="18"/>
                <w:szCs w:val="18"/>
                <w:b w:val="1"/>
                <w:bCs w:val="1"/>
                <w:color w:val="auto"/>
              </w:rPr>
              <w:t>2018</w:t>
            </w:r>
          </w:p>
        </w:tc>
        <w:tc>
          <w:tcPr>
            <w:tcW w:w="17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2017</w:t>
            </w:r>
          </w:p>
        </w:tc>
      </w:tr>
      <w:tr>
        <w:trPr>
          <w:trHeight w:val="173"/>
        </w:trPr>
        <w:tc>
          <w:tcPr>
            <w:tcW w:w="6460" w:type="dxa"/>
            <w:vAlign w:val="bottom"/>
            <w:gridSpan w:val="2"/>
          </w:tcPr>
          <w:p>
            <w:pPr>
              <w:spacing w:after="0" w:line="173" w:lineRule="exact"/>
              <w:rPr>
                <w:sz w:val="20"/>
                <w:szCs w:val="20"/>
                <w:color w:val="auto"/>
              </w:rPr>
            </w:pPr>
            <w:r>
              <w:rPr>
                <w:rFonts w:ascii="Arial" w:cs="Arial" w:eastAsia="Arial" w:hAnsi="Arial"/>
                <w:sz w:val="18"/>
                <w:szCs w:val="18"/>
                <w:color w:val="auto"/>
              </w:rPr>
              <w:t>Net income</w:t>
            </w:r>
          </w:p>
        </w:tc>
        <w:tc>
          <w:tcPr>
            <w:tcW w:w="3200" w:type="dxa"/>
            <w:vAlign w:val="bottom"/>
          </w:tcPr>
          <w:p>
            <w:pPr>
              <w:jc w:val="right"/>
              <w:ind w:right="750"/>
              <w:spacing w:after="0" w:line="173" w:lineRule="exact"/>
              <w:rPr>
                <w:sz w:val="20"/>
                <w:szCs w:val="20"/>
                <w:color w:val="auto"/>
              </w:rPr>
            </w:pPr>
            <w:r>
              <w:rPr>
                <w:rFonts w:ascii="Arial" w:cs="Arial" w:eastAsia="Arial" w:hAnsi="Arial"/>
                <w:sz w:val="18"/>
                <w:szCs w:val="18"/>
                <w:b w:val="1"/>
                <w:bCs w:val="1"/>
                <w:color w:val="auto"/>
              </w:rPr>
              <w:t>$10,482</w:t>
            </w:r>
          </w:p>
        </w:tc>
        <w:tc>
          <w:tcPr>
            <w:tcW w:w="1760" w:type="dxa"/>
            <w:vAlign w:val="bottom"/>
          </w:tcPr>
          <w:p>
            <w:pPr>
              <w:jc w:val="right"/>
              <w:ind w:right="10"/>
              <w:spacing w:after="0" w:line="173" w:lineRule="exact"/>
              <w:rPr>
                <w:sz w:val="20"/>
                <w:szCs w:val="20"/>
                <w:color w:val="auto"/>
              </w:rPr>
            </w:pPr>
            <w:r>
              <w:rPr>
                <w:rFonts w:ascii="Arial" w:cs="Arial" w:eastAsia="Arial" w:hAnsi="Arial"/>
                <w:sz w:val="18"/>
                <w:szCs w:val="18"/>
                <w:color w:val="auto"/>
              </w:rPr>
              <w:t>$10,974</w:t>
            </w:r>
          </w:p>
        </w:tc>
      </w:tr>
      <w:tr>
        <w:trPr>
          <w:trHeight w:val="203"/>
        </w:trPr>
        <w:tc>
          <w:tcPr>
            <w:tcW w:w="20" w:type="dxa"/>
            <w:vAlign w:val="bottom"/>
          </w:tcPr>
          <w:p>
            <w:pPr>
              <w:spacing w:after="0"/>
              <w:rPr>
                <w:sz w:val="17"/>
                <w:szCs w:val="17"/>
                <w:color w:val="auto"/>
              </w:rPr>
            </w:pPr>
          </w:p>
        </w:tc>
        <w:tc>
          <w:tcPr>
            <w:tcW w:w="6440" w:type="dxa"/>
            <w:vAlign w:val="bottom"/>
          </w:tcPr>
          <w:p>
            <w:pPr>
              <w:ind w:left="160"/>
              <w:spacing w:after="0" w:line="202" w:lineRule="exact"/>
              <w:rPr>
                <w:sz w:val="20"/>
                <w:szCs w:val="20"/>
                <w:color w:val="auto"/>
              </w:rPr>
            </w:pPr>
            <w:r>
              <w:rPr>
                <w:rFonts w:ascii="Arial" w:cs="Arial" w:eastAsia="Arial" w:hAnsi="Arial"/>
                <w:sz w:val="18"/>
                <w:szCs w:val="18"/>
                <w:color w:val="auto"/>
              </w:rPr>
              <w:t>Depreciation and amortization</w:t>
            </w:r>
          </w:p>
        </w:tc>
        <w:tc>
          <w:tcPr>
            <w:tcW w:w="3200" w:type="dxa"/>
            <w:vAlign w:val="bottom"/>
          </w:tcPr>
          <w:p>
            <w:pPr>
              <w:jc w:val="right"/>
              <w:ind w:right="750"/>
              <w:spacing w:after="0" w:line="202" w:lineRule="exact"/>
              <w:rPr>
                <w:sz w:val="20"/>
                <w:szCs w:val="20"/>
                <w:color w:val="auto"/>
              </w:rPr>
            </w:pPr>
            <w:r>
              <w:rPr>
                <w:rFonts w:ascii="Arial" w:cs="Arial" w:eastAsia="Arial" w:hAnsi="Arial"/>
                <w:sz w:val="18"/>
                <w:szCs w:val="18"/>
                <w:b w:val="1"/>
                <w:bCs w:val="1"/>
                <w:color w:val="auto"/>
              </w:rPr>
              <w:t>20,948</w:t>
            </w:r>
          </w:p>
        </w:tc>
        <w:tc>
          <w:tcPr>
            <w:tcW w:w="17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17,293</w:t>
            </w:r>
          </w:p>
        </w:tc>
      </w:tr>
      <w:tr>
        <w:trPr>
          <w:trHeight w:val="203"/>
        </w:trPr>
        <w:tc>
          <w:tcPr>
            <w:tcW w:w="20" w:type="dxa"/>
            <w:vAlign w:val="bottom"/>
          </w:tcPr>
          <w:p>
            <w:pPr>
              <w:spacing w:after="0"/>
              <w:rPr>
                <w:sz w:val="17"/>
                <w:szCs w:val="17"/>
                <w:color w:val="auto"/>
              </w:rPr>
            </w:pPr>
          </w:p>
        </w:tc>
        <w:tc>
          <w:tcPr>
            <w:tcW w:w="6440" w:type="dxa"/>
            <w:vAlign w:val="bottom"/>
          </w:tcPr>
          <w:p>
            <w:pPr>
              <w:ind w:left="160"/>
              <w:spacing w:after="0" w:line="202" w:lineRule="exact"/>
              <w:rPr>
                <w:sz w:val="20"/>
                <w:szCs w:val="20"/>
                <w:color w:val="auto"/>
              </w:rPr>
            </w:pPr>
            <w:r>
              <w:rPr>
                <w:rFonts w:ascii="Arial" w:cs="Arial" w:eastAsia="Arial" w:hAnsi="Arial"/>
                <w:sz w:val="18"/>
                <w:szCs w:val="18"/>
                <w:color w:val="auto"/>
              </w:rPr>
              <w:t>Changes in working capital</w:t>
            </w:r>
          </w:p>
        </w:tc>
        <w:tc>
          <w:tcPr>
            <w:tcW w:w="3200" w:type="dxa"/>
            <w:vAlign w:val="bottom"/>
          </w:tcPr>
          <w:p>
            <w:pPr>
              <w:jc w:val="right"/>
              <w:ind w:right="690"/>
              <w:spacing w:after="0" w:line="202" w:lineRule="exact"/>
              <w:rPr>
                <w:sz w:val="20"/>
                <w:szCs w:val="20"/>
                <w:color w:val="auto"/>
              </w:rPr>
            </w:pPr>
            <w:r>
              <w:rPr>
                <w:rFonts w:ascii="Arial" w:cs="Arial" w:eastAsia="Arial" w:hAnsi="Arial"/>
                <w:sz w:val="18"/>
                <w:szCs w:val="18"/>
                <w:b w:val="1"/>
                <w:bCs w:val="1"/>
                <w:color w:val="auto"/>
              </w:rPr>
              <w:t>(49,813)</w:t>
            </w:r>
          </w:p>
        </w:tc>
        <w:tc>
          <w:tcPr>
            <w:tcW w:w="1760" w:type="dxa"/>
            <w:vAlign w:val="bottom"/>
          </w:tcPr>
          <w:p>
            <w:pPr>
              <w:jc w:val="right"/>
              <w:spacing w:after="0" w:line="202" w:lineRule="exact"/>
              <w:rPr>
                <w:sz w:val="20"/>
                <w:szCs w:val="20"/>
                <w:color w:val="auto"/>
              </w:rPr>
            </w:pPr>
            <w:r>
              <w:rPr>
                <w:rFonts w:ascii="Arial" w:cs="Arial" w:eastAsia="Arial" w:hAnsi="Arial"/>
                <w:sz w:val="18"/>
                <w:szCs w:val="18"/>
                <w:color w:val="auto"/>
              </w:rPr>
              <w:t>(32,181)</w:t>
            </w:r>
          </w:p>
        </w:tc>
      </w:tr>
      <w:tr>
        <w:trPr>
          <w:trHeight w:val="203"/>
        </w:trPr>
        <w:tc>
          <w:tcPr>
            <w:tcW w:w="20" w:type="dxa"/>
            <w:vAlign w:val="bottom"/>
          </w:tcPr>
          <w:p>
            <w:pPr>
              <w:spacing w:after="0"/>
              <w:rPr>
                <w:sz w:val="17"/>
                <w:szCs w:val="17"/>
                <w:color w:val="auto"/>
              </w:rPr>
            </w:pPr>
          </w:p>
        </w:tc>
        <w:tc>
          <w:tcPr>
            <w:tcW w:w="6440" w:type="dxa"/>
            <w:vAlign w:val="bottom"/>
          </w:tcPr>
          <w:p>
            <w:pPr>
              <w:ind w:left="160"/>
              <w:spacing w:after="0" w:line="202" w:lineRule="exact"/>
              <w:rPr>
                <w:sz w:val="20"/>
                <w:szCs w:val="20"/>
                <w:color w:val="auto"/>
              </w:rPr>
            </w:pPr>
            <w:r>
              <w:rPr>
                <w:rFonts w:ascii="Arial" w:cs="Arial" w:eastAsia="Arial" w:hAnsi="Arial"/>
                <w:sz w:val="18"/>
                <w:szCs w:val="18"/>
                <w:color w:val="auto"/>
              </w:rPr>
              <w:t>Changes in other noncurrent liabilities and deferred taxes</w:t>
            </w:r>
          </w:p>
        </w:tc>
        <w:tc>
          <w:tcPr>
            <w:tcW w:w="3200" w:type="dxa"/>
            <w:vAlign w:val="bottom"/>
          </w:tcPr>
          <w:p>
            <w:pPr>
              <w:jc w:val="right"/>
              <w:ind w:right="690"/>
              <w:spacing w:after="0" w:line="202" w:lineRule="exact"/>
              <w:rPr>
                <w:sz w:val="20"/>
                <w:szCs w:val="20"/>
                <w:color w:val="auto"/>
              </w:rPr>
            </w:pPr>
            <w:r>
              <w:rPr>
                <w:rFonts w:ascii="Arial" w:cs="Arial" w:eastAsia="Arial" w:hAnsi="Arial"/>
                <w:sz w:val="18"/>
                <w:szCs w:val="18"/>
                <w:b w:val="1"/>
                <w:bCs w:val="1"/>
                <w:color w:val="auto"/>
              </w:rPr>
              <w:t>(1,161)</w:t>
            </w:r>
          </w:p>
        </w:tc>
        <w:tc>
          <w:tcPr>
            <w:tcW w:w="1760" w:type="dxa"/>
            <w:vAlign w:val="bottom"/>
          </w:tcPr>
          <w:p>
            <w:pPr>
              <w:jc w:val="right"/>
              <w:spacing w:after="0" w:line="202" w:lineRule="exact"/>
              <w:rPr>
                <w:sz w:val="20"/>
                <w:szCs w:val="20"/>
                <w:color w:val="auto"/>
              </w:rPr>
            </w:pPr>
            <w:r>
              <w:rPr>
                <w:rFonts w:ascii="Arial" w:cs="Arial" w:eastAsia="Arial" w:hAnsi="Arial"/>
                <w:sz w:val="18"/>
                <w:szCs w:val="18"/>
                <w:color w:val="auto"/>
              </w:rPr>
              <w:t>(2,208)</w:t>
            </w:r>
          </w:p>
        </w:tc>
      </w:tr>
      <w:tr>
        <w:trPr>
          <w:trHeight w:val="225"/>
        </w:trPr>
        <w:tc>
          <w:tcPr>
            <w:tcW w:w="20" w:type="dxa"/>
            <w:vAlign w:val="bottom"/>
          </w:tcPr>
          <w:p>
            <w:pPr>
              <w:spacing w:after="0"/>
              <w:rPr>
                <w:sz w:val="19"/>
                <w:szCs w:val="19"/>
                <w:color w:val="auto"/>
              </w:rPr>
            </w:pPr>
          </w:p>
        </w:tc>
        <w:tc>
          <w:tcPr>
            <w:tcW w:w="644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Other operating items</w:t>
            </w:r>
          </w:p>
        </w:tc>
        <w:tc>
          <w:tcPr>
            <w:tcW w:w="3200" w:type="dxa"/>
            <w:vAlign w:val="bottom"/>
            <w:tcBorders>
              <w:bottom w:val="single" w:sz="8" w:color="auto"/>
            </w:tcBorders>
          </w:tcPr>
          <w:p>
            <w:pPr>
              <w:jc w:val="right"/>
              <w:ind w:right="750"/>
              <w:spacing w:after="0"/>
              <w:rPr>
                <w:sz w:val="20"/>
                <w:szCs w:val="20"/>
                <w:color w:val="auto"/>
              </w:rPr>
            </w:pPr>
            <w:r>
              <w:rPr>
                <w:rFonts w:ascii="Arial" w:cs="Arial" w:eastAsia="Arial" w:hAnsi="Arial"/>
                <w:sz w:val="18"/>
                <w:szCs w:val="18"/>
                <w:b w:val="1"/>
                <w:bCs w:val="1"/>
                <w:color w:val="auto"/>
              </w:rPr>
              <w:t>597</w:t>
            </w:r>
          </w:p>
        </w:tc>
        <w:tc>
          <w:tcPr>
            <w:tcW w:w="17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1,550</w:t>
            </w:r>
          </w:p>
        </w:tc>
      </w:tr>
      <w:tr>
        <w:trPr>
          <w:trHeight w:val="173"/>
        </w:trPr>
        <w:tc>
          <w:tcPr>
            <w:tcW w:w="20" w:type="dxa"/>
            <w:vAlign w:val="bottom"/>
          </w:tcPr>
          <w:p>
            <w:pPr>
              <w:spacing w:after="0"/>
              <w:rPr>
                <w:sz w:val="15"/>
                <w:szCs w:val="15"/>
                <w:color w:val="auto"/>
              </w:rPr>
            </w:pPr>
          </w:p>
        </w:tc>
        <w:tc>
          <w:tcPr>
            <w:tcW w:w="6440" w:type="dxa"/>
            <w:vAlign w:val="bottom"/>
          </w:tcPr>
          <w:p>
            <w:pPr>
              <w:spacing w:after="0" w:line="173" w:lineRule="exact"/>
              <w:rPr>
                <w:sz w:val="20"/>
                <w:szCs w:val="20"/>
                <w:color w:val="auto"/>
              </w:rPr>
            </w:pPr>
            <w:r>
              <w:rPr>
                <w:rFonts w:ascii="Arial" w:cs="Arial" w:eastAsia="Arial" w:hAnsi="Arial"/>
                <w:sz w:val="18"/>
                <w:szCs w:val="18"/>
                <w:color w:val="auto"/>
              </w:rPr>
              <w:t>Net cash used in operating activities</w:t>
            </w:r>
          </w:p>
        </w:tc>
        <w:tc>
          <w:tcPr>
            <w:tcW w:w="3200" w:type="dxa"/>
            <w:vAlign w:val="bottom"/>
          </w:tcPr>
          <w:p>
            <w:pPr>
              <w:jc w:val="right"/>
              <w:ind w:right="690"/>
              <w:spacing w:after="0" w:line="173" w:lineRule="exact"/>
              <w:rPr>
                <w:sz w:val="20"/>
                <w:szCs w:val="20"/>
                <w:color w:val="auto"/>
              </w:rPr>
            </w:pPr>
            <w:r>
              <w:rPr>
                <w:rFonts w:ascii="Arial" w:cs="Arial" w:eastAsia="Arial" w:hAnsi="Arial"/>
                <w:sz w:val="18"/>
                <w:szCs w:val="18"/>
                <w:b w:val="1"/>
                <w:bCs w:val="1"/>
                <w:color w:val="auto"/>
              </w:rPr>
              <w:t>(18,947)</w:t>
            </w:r>
          </w:p>
        </w:tc>
        <w:tc>
          <w:tcPr>
            <w:tcW w:w="1760" w:type="dxa"/>
            <w:vAlign w:val="bottom"/>
          </w:tcPr>
          <w:p>
            <w:pPr>
              <w:jc w:val="right"/>
              <w:spacing w:after="0" w:line="173" w:lineRule="exact"/>
              <w:rPr>
                <w:sz w:val="20"/>
                <w:szCs w:val="20"/>
                <w:color w:val="auto"/>
              </w:rPr>
            </w:pPr>
            <w:r>
              <w:rPr>
                <w:rFonts w:ascii="Arial" w:cs="Arial" w:eastAsia="Arial" w:hAnsi="Arial"/>
                <w:sz w:val="18"/>
                <w:szCs w:val="18"/>
                <w:color w:val="auto"/>
              </w:rPr>
              <w:t>(4,572)</w:t>
            </w:r>
          </w:p>
        </w:tc>
      </w:tr>
      <w:tr>
        <w:trPr>
          <w:trHeight w:val="203"/>
        </w:trPr>
        <w:tc>
          <w:tcPr>
            <w:tcW w:w="6460" w:type="dxa"/>
            <w:vAlign w:val="bottom"/>
            <w:gridSpan w:val="2"/>
          </w:tcPr>
          <w:p>
            <w:pPr>
              <w:spacing w:after="0" w:line="202" w:lineRule="exact"/>
              <w:rPr>
                <w:sz w:val="20"/>
                <w:szCs w:val="20"/>
                <w:color w:val="auto"/>
              </w:rPr>
            </w:pPr>
            <w:r>
              <w:rPr>
                <w:rFonts w:ascii="Arial" w:cs="Arial" w:eastAsia="Arial" w:hAnsi="Arial"/>
                <w:sz w:val="18"/>
                <w:szCs w:val="18"/>
                <w:color w:val="auto"/>
              </w:rPr>
              <w:t>Net cash used in investing activities</w:t>
            </w:r>
          </w:p>
        </w:tc>
        <w:tc>
          <w:tcPr>
            <w:tcW w:w="3200" w:type="dxa"/>
            <w:vAlign w:val="bottom"/>
          </w:tcPr>
          <w:p>
            <w:pPr>
              <w:jc w:val="right"/>
              <w:ind w:right="690"/>
              <w:spacing w:after="0" w:line="202" w:lineRule="exact"/>
              <w:rPr>
                <w:sz w:val="20"/>
                <w:szCs w:val="20"/>
                <w:color w:val="auto"/>
              </w:rPr>
            </w:pPr>
            <w:r>
              <w:rPr>
                <w:rFonts w:ascii="Arial" w:cs="Arial" w:eastAsia="Arial" w:hAnsi="Arial"/>
                <w:sz w:val="18"/>
                <w:szCs w:val="18"/>
                <w:b w:val="1"/>
                <w:bCs w:val="1"/>
                <w:color w:val="auto"/>
              </w:rPr>
              <w:t>(15,800)</w:t>
            </w:r>
          </w:p>
        </w:tc>
        <w:tc>
          <w:tcPr>
            <w:tcW w:w="1760" w:type="dxa"/>
            <w:vAlign w:val="bottom"/>
          </w:tcPr>
          <w:p>
            <w:pPr>
              <w:jc w:val="right"/>
              <w:spacing w:after="0" w:line="202" w:lineRule="exact"/>
              <w:rPr>
                <w:sz w:val="20"/>
                <w:szCs w:val="20"/>
                <w:color w:val="auto"/>
              </w:rPr>
            </w:pPr>
            <w:r>
              <w:rPr>
                <w:rFonts w:ascii="Arial" w:cs="Arial" w:eastAsia="Arial" w:hAnsi="Arial"/>
                <w:sz w:val="18"/>
                <w:szCs w:val="18"/>
                <w:color w:val="auto"/>
              </w:rPr>
              <w:t>(25,083)</w:t>
            </w:r>
          </w:p>
        </w:tc>
      </w:tr>
      <w:tr>
        <w:trPr>
          <w:trHeight w:val="203"/>
        </w:trPr>
        <w:tc>
          <w:tcPr>
            <w:tcW w:w="6460" w:type="dxa"/>
            <w:vAlign w:val="bottom"/>
            <w:gridSpan w:val="2"/>
          </w:tcPr>
          <w:p>
            <w:pPr>
              <w:spacing w:after="0" w:line="202" w:lineRule="exact"/>
              <w:rPr>
                <w:sz w:val="20"/>
                <w:szCs w:val="20"/>
                <w:color w:val="auto"/>
              </w:rPr>
            </w:pPr>
            <w:r>
              <w:rPr>
                <w:rFonts w:ascii="Arial" w:cs="Arial" w:eastAsia="Arial" w:hAnsi="Arial"/>
                <w:sz w:val="18"/>
                <w:szCs w:val="18"/>
                <w:color w:val="auto"/>
              </w:rPr>
              <w:t>Net cash used in financing activities</w:t>
            </w:r>
          </w:p>
        </w:tc>
        <w:tc>
          <w:tcPr>
            <w:tcW w:w="3200" w:type="dxa"/>
            <w:vAlign w:val="bottom"/>
          </w:tcPr>
          <w:p>
            <w:pPr>
              <w:jc w:val="right"/>
              <w:ind w:right="690"/>
              <w:spacing w:after="0" w:line="202" w:lineRule="exact"/>
              <w:rPr>
                <w:sz w:val="20"/>
                <w:szCs w:val="20"/>
                <w:color w:val="auto"/>
              </w:rPr>
            </w:pPr>
            <w:r>
              <w:rPr>
                <w:rFonts w:ascii="Arial" w:cs="Arial" w:eastAsia="Arial" w:hAnsi="Arial"/>
                <w:sz w:val="18"/>
                <w:szCs w:val="18"/>
                <w:b w:val="1"/>
                <w:bCs w:val="1"/>
                <w:color w:val="auto"/>
              </w:rPr>
              <w:t>(2,458)</w:t>
            </w:r>
          </w:p>
        </w:tc>
        <w:tc>
          <w:tcPr>
            <w:tcW w:w="1760" w:type="dxa"/>
            <w:vAlign w:val="bottom"/>
          </w:tcPr>
          <w:p>
            <w:pPr>
              <w:jc w:val="right"/>
              <w:spacing w:after="0" w:line="202" w:lineRule="exact"/>
              <w:rPr>
                <w:sz w:val="20"/>
                <w:szCs w:val="20"/>
                <w:color w:val="auto"/>
              </w:rPr>
            </w:pPr>
            <w:r>
              <w:rPr>
                <w:rFonts w:ascii="Arial" w:cs="Arial" w:eastAsia="Arial" w:hAnsi="Arial"/>
                <w:sz w:val="18"/>
                <w:szCs w:val="18"/>
                <w:color w:val="auto"/>
              </w:rPr>
              <w:t>(11,205)</w:t>
            </w:r>
          </w:p>
        </w:tc>
      </w:tr>
      <w:tr>
        <w:trPr>
          <w:trHeight w:val="225"/>
        </w:trPr>
        <w:tc>
          <w:tcPr>
            <w:tcW w:w="64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3200" w:type="dxa"/>
            <w:vAlign w:val="bottom"/>
            <w:tcBorders>
              <w:bottom w:val="single" w:sz="8" w:color="auto"/>
            </w:tcBorders>
          </w:tcPr>
          <w:p>
            <w:pPr>
              <w:jc w:val="right"/>
              <w:ind w:right="750"/>
              <w:spacing w:after="0"/>
              <w:rPr>
                <w:sz w:val="20"/>
                <w:szCs w:val="20"/>
                <w:color w:val="auto"/>
              </w:rPr>
            </w:pPr>
            <w:r>
              <w:rPr>
                <w:rFonts w:ascii="Arial" w:cs="Arial" w:eastAsia="Arial" w:hAnsi="Arial"/>
                <w:sz w:val="18"/>
                <w:szCs w:val="18"/>
                <w:b w:val="1"/>
                <w:bCs w:val="1"/>
                <w:color w:val="auto"/>
              </w:rPr>
              <w:t>4,904</w:t>
            </w:r>
          </w:p>
        </w:tc>
        <w:tc>
          <w:tcPr>
            <w:tcW w:w="17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2,451</w:t>
            </w:r>
          </w:p>
        </w:tc>
      </w:tr>
      <w:tr>
        <w:trPr>
          <w:trHeight w:val="173"/>
        </w:trPr>
        <w:tc>
          <w:tcPr>
            <w:tcW w:w="6460" w:type="dxa"/>
            <w:vAlign w:val="bottom"/>
            <w:gridSpan w:val="2"/>
          </w:tcPr>
          <w:p>
            <w:pPr>
              <w:spacing w:after="0" w:line="173" w:lineRule="exact"/>
              <w:rPr>
                <w:sz w:val="20"/>
                <w:szCs w:val="20"/>
                <w:color w:val="auto"/>
              </w:rPr>
            </w:pPr>
            <w:r>
              <w:rPr>
                <w:rFonts w:ascii="Arial" w:cs="Arial" w:eastAsia="Arial" w:hAnsi="Arial"/>
                <w:sz w:val="18"/>
                <w:szCs w:val="18"/>
                <w:color w:val="auto"/>
              </w:rPr>
              <w:t>Decrease in cash and cash equivalents</w:t>
            </w:r>
          </w:p>
        </w:tc>
        <w:tc>
          <w:tcPr>
            <w:tcW w:w="3200" w:type="dxa"/>
            <w:vAlign w:val="bottom"/>
          </w:tcPr>
          <w:p>
            <w:pPr>
              <w:jc w:val="right"/>
              <w:ind w:right="690"/>
              <w:spacing w:after="0" w:line="173" w:lineRule="exact"/>
              <w:rPr>
                <w:sz w:val="20"/>
                <w:szCs w:val="20"/>
                <w:color w:val="auto"/>
              </w:rPr>
            </w:pPr>
            <w:r>
              <w:rPr>
                <w:rFonts w:ascii="Arial" w:cs="Arial" w:eastAsia="Arial" w:hAnsi="Arial"/>
                <w:sz w:val="18"/>
                <w:szCs w:val="18"/>
                <w:b w:val="1"/>
                <w:bCs w:val="1"/>
                <w:color w:val="auto"/>
              </w:rPr>
              <w:t>(32,301)</w:t>
            </w:r>
          </w:p>
        </w:tc>
        <w:tc>
          <w:tcPr>
            <w:tcW w:w="1760" w:type="dxa"/>
            <w:vAlign w:val="bottom"/>
          </w:tcPr>
          <w:p>
            <w:pPr>
              <w:jc w:val="right"/>
              <w:spacing w:after="0" w:line="173" w:lineRule="exact"/>
              <w:rPr>
                <w:sz w:val="20"/>
                <w:szCs w:val="20"/>
                <w:color w:val="auto"/>
              </w:rPr>
            </w:pPr>
            <w:r>
              <w:rPr>
                <w:rFonts w:ascii="Arial" w:cs="Arial" w:eastAsia="Arial" w:hAnsi="Arial"/>
                <w:sz w:val="18"/>
                <w:szCs w:val="18"/>
                <w:color w:val="auto"/>
              </w:rPr>
              <w:t>(38,409)</w:t>
            </w:r>
          </w:p>
        </w:tc>
      </w:tr>
      <w:tr>
        <w:trPr>
          <w:trHeight w:val="225"/>
        </w:trPr>
        <w:tc>
          <w:tcPr>
            <w:tcW w:w="64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Cash and cash equivalents at beginning of year</w:t>
            </w:r>
          </w:p>
        </w:tc>
        <w:tc>
          <w:tcPr>
            <w:tcW w:w="3200" w:type="dxa"/>
            <w:vAlign w:val="bottom"/>
            <w:tcBorders>
              <w:bottom w:val="single" w:sz="8" w:color="auto"/>
            </w:tcBorders>
          </w:tcPr>
          <w:p>
            <w:pPr>
              <w:jc w:val="right"/>
              <w:ind w:right="750"/>
              <w:spacing w:after="0"/>
              <w:rPr>
                <w:sz w:val="20"/>
                <w:szCs w:val="20"/>
                <w:color w:val="auto"/>
              </w:rPr>
            </w:pPr>
            <w:r>
              <w:rPr>
                <w:rFonts w:ascii="Arial" w:cs="Arial" w:eastAsia="Arial" w:hAnsi="Arial"/>
                <w:sz w:val="18"/>
                <w:szCs w:val="18"/>
                <w:b w:val="1"/>
                <w:bCs w:val="1"/>
                <w:color w:val="auto"/>
              </w:rPr>
              <w:t>183,727</w:t>
            </w:r>
          </w:p>
        </w:tc>
        <w:tc>
          <w:tcPr>
            <w:tcW w:w="17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181,742</w:t>
            </w:r>
          </w:p>
        </w:tc>
      </w:tr>
      <w:tr>
        <w:trPr>
          <w:trHeight w:val="196"/>
        </w:trPr>
        <w:tc>
          <w:tcPr>
            <w:tcW w:w="6460" w:type="dxa"/>
            <w:vAlign w:val="bottom"/>
            <w:tcBorders>
              <w:bottom w:val="single" w:sz="8" w:color="auto"/>
            </w:tcBorders>
            <w:gridSpan w:val="2"/>
          </w:tcPr>
          <w:p>
            <w:pPr>
              <w:spacing w:after="0" w:line="196" w:lineRule="exact"/>
              <w:rPr>
                <w:sz w:val="20"/>
                <w:szCs w:val="20"/>
                <w:color w:val="auto"/>
              </w:rPr>
            </w:pPr>
            <w:r>
              <w:rPr>
                <w:rFonts w:ascii="Arial" w:cs="Arial" w:eastAsia="Arial" w:hAnsi="Arial"/>
                <w:sz w:val="18"/>
                <w:szCs w:val="18"/>
                <w:color w:val="auto"/>
              </w:rPr>
              <w:t>Cash and cash equivalents at end of period</w:t>
            </w:r>
          </w:p>
        </w:tc>
        <w:tc>
          <w:tcPr>
            <w:tcW w:w="3200" w:type="dxa"/>
            <w:vAlign w:val="bottom"/>
            <w:tcBorders>
              <w:bottom w:val="single" w:sz="8" w:color="auto"/>
            </w:tcBorders>
          </w:tcPr>
          <w:p>
            <w:pPr>
              <w:jc w:val="right"/>
              <w:ind w:right="750"/>
              <w:spacing w:after="0" w:line="196" w:lineRule="exact"/>
              <w:rPr>
                <w:sz w:val="20"/>
                <w:szCs w:val="20"/>
                <w:color w:val="auto"/>
              </w:rPr>
            </w:pPr>
            <w:r>
              <w:rPr>
                <w:rFonts w:ascii="Arial" w:cs="Arial" w:eastAsia="Arial" w:hAnsi="Arial"/>
                <w:sz w:val="18"/>
                <w:szCs w:val="18"/>
                <w:b w:val="1"/>
                <w:bCs w:val="1"/>
                <w:color w:val="auto"/>
              </w:rPr>
              <w:t>$151,426</w:t>
            </w:r>
          </w:p>
        </w:tc>
        <w:tc>
          <w:tcPr>
            <w:tcW w:w="176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$143,333</w:t>
            </w:r>
          </w:p>
        </w:tc>
      </w:tr>
    </w:tbl>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activities</w:t>
      </w:r>
    </w:p>
    <w:p>
      <w:pPr>
        <w:spacing w:after="0" w:line="220" w:lineRule="exact"/>
        <w:rPr>
          <w:sz w:val="20"/>
          <w:szCs w:val="20"/>
          <w:color w:val="auto"/>
        </w:rPr>
      </w:pPr>
    </w:p>
    <w:p>
      <w:pPr>
        <w:ind w:right="220" w:firstLine="648"/>
        <w:spacing w:after="0" w:line="246" w:lineRule="auto"/>
        <w:rPr>
          <w:sz w:val="20"/>
          <w:szCs w:val="20"/>
          <w:color w:val="auto"/>
        </w:rPr>
      </w:pPr>
      <w:r>
        <w:rPr>
          <w:rFonts w:ascii="Arial" w:cs="Arial" w:eastAsia="Arial" w:hAnsi="Arial"/>
          <w:sz w:val="18"/>
          <w:szCs w:val="18"/>
          <w:color w:val="auto"/>
        </w:rPr>
        <w:t>Cash flow used by operating activities was $18.9 million and $4.6 million for the first three months of 2018 and 2017. The increase in use of cash in 2018 was principally due to working capital increases associated with the ramp of several key programs in AEC.</w:t>
      </w:r>
    </w:p>
    <w:p>
      <w:pPr>
        <w:spacing w:after="0" w:line="1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Cash paid for income taxes was $8.2 million and $9.1 million for the first three months of 2018 and 2017, respectively.</w:t>
      </w:r>
    </w:p>
    <w:p>
      <w:pPr>
        <w:spacing w:after="0" w:line="171" w:lineRule="exact"/>
        <w:rPr>
          <w:sz w:val="20"/>
          <w:szCs w:val="20"/>
          <w:color w:val="auto"/>
        </w:rPr>
      </w:pPr>
    </w:p>
    <w:p>
      <w:pPr>
        <w:ind w:right="20" w:firstLine="648"/>
        <w:spacing w:after="0" w:line="246" w:lineRule="auto"/>
        <w:rPr>
          <w:sz w:val="20"/>
          <w:szCs w:val="20"/>
          <w:color w:val="auto"/>
        </w:rPr>
      </w:pPr>
      <w:r>
        <w:rPr>
          <w:rFonts w:ascii="Arial" w:cs="Arial" w:eastAsia="Arial" w:hAnsi="Arial"/>
          <w:sz w:val="18"/>
          <w:szCs w:val="18"/>
          <w:color w:val="auto"/>
        </w:rPr>
        <w:t>At March 31, 2018, we had $151.4 million of cash and cash equivalents, of which $137.6 million was held by subsidiaries outside of the United States.</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342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49" w:name="page50"/>
    <w:bookmarkEnd w:id="49"/>
    <w:p>
      <w:pPr>
        <w:spacing w:after="0"/>
        <w:rPr>
          <w:sz w:val="20"/>
          <w:szCs w:val="20"/>
          <w:color w:val="auto"/>
        </w:rPr>
      </w:pPr>
      <w:r>
        <w:rPr>
          <w:rFonts w:ascii="Arial" w:cs="Arial" w:eastAsia="Arial" w:hAnsi="Arial"/>
          <w:sz w:val="18"/>
          <w:szCs w:val="18"/>
          <w:b w:val="1"/>
          <w:bCs w:val="1"/>
          <w:color w:val="auto"/>
        </w:rPr>
        <w:t>Investing and Financing Activities</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Capital expenditures for the first three months were $15.8 million in 2018 and $25.1 million in 2017.</w:t>
      </w:r>
    </w:p>
    <w:p>
      <w:pPr>
        <w:spacing w:after="0" w:line="198" w:lineRule="exact"/>
        <w:rPr>
          <w:sz w:val="20"/>
          <w:szCs w:val="20"/>
          <w:color w:val="auto"/>
        </w:rPr>
      </w:pPr>
    </w:p>
    <w:p>
      <w:pPr>
        <w:ind w:firstLine="648"/>
        <w:spacing w:after="0" w:line="239" w:lineRule="auto"/>
        <w:rPr>
          <w:sz w:val="20"/>
          <w:szCs w:val="20"/>
          <w:color w:val="auto"/>
        </w:rPr>
      </w:pPr>
      <w:r>
        <w:rPr>
          <w:rFonts w:ascii="Arial" w:cs="Arial" w:eastAsia="Arial" w:hAnsi="Arial"/>
          <w:sz w:val="18"/>
          <w:szCs w:val="18"/>
          <w:color w:val="auto"/>
        </w:rPr>
        <w:t>Dividends have been declared each quarter since the fourth quarter of 2001. Decisions with respect to whether a dividend will be paid, and the amount of the dividend, are made by the Board of Directors each quarter. To the extent the Board declares cash dividends in the future, we expect to pay such dividends out of operating cash flows. Future cash dividends will also depend on debt covenants and on the Board’s assessment of our ability to generate sufficient cash flows.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Resources</w:t>
      </w:r>
    </w:p>
    <w:p>
      <w:pPr>
        <w:spacing w:after="0" w:line="220" w:lineRule="exact"/>
        <w:rPr>
          <w:sz w:val="20"/>
          <w:szCs w:val="20"/>
          <w:color w:val="auto"/>
        </w:rPr>
      </w:pPr>
    </w:p>
    <w:p>
      <w:pPr>
        <w:ind w:right="220" w:firstLine="648"/>
        <w:spacing w:after="0" w:line="238" w:lineRule="auto"/>
        <w:rPr>
          <w:sz w:val="20"/>
          <w:szCs w:val="20"/>
          <w:color w:val="auto"/>
        </w:rPr>
      </w:pPr>
      <w:r>
        <w:rPr>
          <w:rFonts w:ascii="Arial" w:cs="Arial" w:eastAsia="Arial" w:hAnsi="Arial"/>
          <w:sz w:val="18"/>
          <w:szCs w:val="18"/>
          <w:color w:val="auto"/>
        </w:rPr>
        <w:t>We finance our business activities primarily with cash generated from operations and borrowings, largely through our revolving credit agreement as discussed below. Our subsidiaries outside of the United States may also maintain working capital lines with local banks, but borrowings under such local facilities tend not to be significant. Substantially all of our cash balance at March 31, 2018 was held by non-U.S. subsidiaries. Based on cash on hand and credit facilities, we anticipate that the Company has sufficient capital resources to operate for the foreseeable future. We were in compliance with all debt covenants as of March 31, 2018.</w:t>
      </w:r>
    </w:p>
    <w:p>
      <w:pPr>
        <w:spacing w:after="0" w:line="162" w:lineRule="exact"/>
        <w:rPr>
          <w:sz w:val="20"/>
          <w:szCs w:val="20"/>
          <w:color w:val="auto"/>
        </w:rPr>
      </w:pPr>
    </w:p>
    <w:p>
      <w:pPr>
        <w:ind w:right="240" w:firstLine="648"/>
        <w:spacing w:after="0" w:line="248" w:lineRule="auto"/>
        <w:rPr>
          <w:sz w:val="20"/>
          <w:szCs w:val="20"/>
          <w:color w:val="auto"/>
        </w:rPr>
      </w:pPr>
      <w:r>
        <w:rPr>
          <w:rFonts w:ascii="Arial" w:cs="Arial" w:eastAsia="Arial" w:hAnsi="Arial"/>
          <w:sz w:val="17"/>
          <w:szCs w:val="17"/>
          <w:color w:val="auto"/>
        </w:rPr>
        <w:t>On November 7, 2017, we entered into a $685 million unsecured Five-Year Revolving Credit Facility Agreement (the “Credit Agreement”) which amended and restated the prior $550 million Agreement, entered into on April 8, 2016 (the “Prior Agreement”). Under the Credit Agreement, $506 million of borrowings were outstanding as of March 31, 2018. The applicable interest rate for borrowings was LIBOR plus a spread, based on our leverage ratio at the time of borrowing. At the time of the last borrowing on March 16, 2018, the spread was</w:t>
      </w:r>
    </w:p>
    <w:p>
      <w:pPr>
        <w:spacing w:after="0" w:line="2" w:lineRule="exact"/>
        <w:rPr>
          <w:sz w:val="20"/>
          <w:szCs w:val="20"/>
          <w:color w:val="auto"/>
        </w:rPr>
      </w:pPr>
    </w:p>
    <w:p>
      <w:pPr>
        <w:ind w:right="160"/>
        <w:spacing w:after="0"/>
        <w:rPr>
          <w:sz w:val="20"/>
          <w:szCs w:val="20"/>
          <w:color w:val="auto"/>
        </w:rPr>
      </w:pPr>
      <w:r>
        <w:rPr>
          <w:rFonts w:ascii="Arial" w:cs="Arial" w:eastAsia="Arial" w:hAnsi="Arial"/>
          <w:sz w:val="18"/>
          <w:szCs w:val="18"/>
          <w:color w:val="auto"/>
        </w:rPr>
        <w:t>1.500%. The spread was based on a pricing grid, which ranged from 1.250% to 1.750%, based on our leverage ratio. Based on our maximum leverage ratio and our Consolidated EBITDA, and without modification to any other credit agreements, as of March 31, 2018, we would have been able to borrow an additional $179 million under the Agreement.</w:t>
      </w:r>
    </w:p>
    <w:p>
      <w:pPr>
        <w:spacing w:after="0" w:line="176" w:lineRule="exact"/>
        <w:rPr>
          <w:sz w:val="20"/>
          <w:szCs w:val="20"/>
          <w:color w:val="auto"/>
        </w:rPr>
      </w:pPr>
    </w:p>
    <w:p>
      <w:pPr>
        <w:ind w:right="180" w:firstLine="648"/>
        <w:spacing w:after="0" w:line="239" w:lineRule="auto"/>
        <w:rPr>
          <w:sz w:val="20"/>
          <w:szCs w:val="20"/>
          <w:color w:val="auto"/>
        </w:rPr>
      </w:pPr>
      <w:r>
        <w:rPr>
          <w:rFonts w:ascii="Arial" w:cs="Arial" w:eastAsia="Arial" w:hAnsi="Arial"/>
          <w:sz w:val="18"/>
          <w:szCs w:val="18"/>
          <w:color w:val="auto"/>
        </w:rPr>
        <w:t>On November 27, 2017, we terminated our interest rate swap agreements, originally entered into on May 9, 2016, that had effectively fixed the interest rate on $300 million of revolving credit borrowings, in order to enter into a new interest rate swap with a greater notional amount, and the same maturity as the Credit Agreement. We received cash of $6.3 million to terminate when the swap agreements were terminated and that payment will be amortized into interest expense through March 2021.</w:t>
      </w:r>
    </w:p>
    <w:p>
      <w:pPr>
        <w:spacing w:after="0" w:line="161" w:lineRule="exact"/>
        <w:rPr>
          <w:sz w:val="20"/>
          <w:szCs w:val="20"/>
          <w:color w:val="auto"/>
        </w:rPr>
      </w:pPr>
    </w:p>
    <w:p>
      <w:pPr>
        <w:ind w:right="140" w:firstLine="648"/>
        <w:spacing w:after="0"/>
        <w:rPr>
          <w:sz w:val="20"/>
          <w:szCs w:val="20"/>
          <w:color w:val="auto"/>
        </w:rPr>
      </w:pPr>
      <w:r>
        <w:rPr>
          <w:rFonts w:ascii="Arial" w:cs="Arial" w:eastAsia="Arial" w:hAnsi="Arial"/>
          <w:sz w:val="18"/>
          <w:szCs w:val="18"/>
          <w:color w:val="auto"/>
        </w:rPr>
        <w:t>On May 6, 2016, we terminated other interest rate swap agreements that had effectively fixed the interest rate on $120 million of revolving credit borrowings, in order to enter into a new interest rate swap with a greater notional amount, and the same maturity as the Credit Agreement. We paid $5.2 million to terminate the swap agreements and that cost will be amortized into interest expense through June 2020.</w:t>
      </w:r>
    </w:p>
    <w:p>
      <w:pPr>
        <w:spacing w:after="0" w:line="162" w:lineRule="exact"/>
        <w:rPr>
          <w:sz w:val="20"/>
          <w:szCs w:val="20"/>
          <w:color w:val="auto"/>
        </w:rPr>
      </w:pPr>
    </w:p>
    <w:p>
      <w:pPr>
        <w:ind w:firstLine="648"/>
        <w:spacing w:after="0" w:line="238" w:lineRule="auto"/>
        <w:rPr>
          <w:sz w:val="20"/>
          <w:szCs w:val="20"/>
          <w:color w:val="auto"/>
        </w:rPr>
      </w:pPr>
      <w:r>
        <w:rPr>
          <w:rFonts w:ascii="Arial" w:cs="Arial" w:eastAsia="Arial" w:hAnsi="Arial"/>
          <w:sz w:val="18"/>
          <w:szCs w:val="18"/>
          <w:color w:val="auto"/>
        </w:rPr>
        <w:t>On November 28, 2017, we entered into interest rate swap agreements for the period December 18, 2017 through October 17, 2022. These transactions have the effect of fixing the LIBOR portion of the effective interest rate (before addition of the spread) on $350 million of indebtedness drawn under the Credit Agreement at the rate of 2.11% during the period. Under the terms of these transactions, we pay the fixed rate of 2.11% and the counterparties pay a floating rate based on the one-month LIBOR rate at each monthly calculation date, which on March 16, 2018 was 1.79%, during the swap period. On March 16, 2018, the all-in-rate on the $350 million of debt was 3.61%.</w:t>
      </w:r>
    </w:p>
    <w:p>
      <w:pPr>
        <w:spacing w:after="0" w:line="2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342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778" w:right="239" w:bottom="1440" w:gutter="0" w:footer="0" w:header="0"/>
        </w:sectPr>
      </w:pPr>
    </w:p>
    <w:bookmarkStart w:id="50" w:name="page51"/>
    <w:bookmarkEnd w:id="50"/>
    <w:p>
      <w:pPr>
        <w:ind w:right="460" w:firstLine="648"/>
        <w:spacing w:after="0"/>
        <w:rPr>
          <w:sz w:val="20"/>
          <w:szCs w:val="20"/>
          <w:color w:val="auto"/>
        </w:rPr>
      </w:pPr>
      <w:r>
        <w:rPr>
          <w:rFonts w:ascii="Arial" w:cs="Arial" w:eastAsia="Arial" w:hAnsi="Arial"/>
          <w:sz w:val="18"/>
          <w:szCs w:val="18"/>
          <w:color w:val="auto"/>
        </w:rPr>
        <w:t>As of March 31, 2018, our leverage ratio was 2.55 to 1.00 and our interest coverage ratio was 9.50 to 1.00. We may purchase our Common Stock or pay dividends to the extent our leverage ratio remains at or below 3.50 to 1.00, and may make acquisitions with cash provided our leverage ratio does not exceed the limits noted above.</w:t>
      </w:r>
    </w:p>
    <w:p>
      <w:pPr>
        <w:spacing w:after="0" w:line="20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 more information, see Note 15 to the Consolidated Financial Statements in Item 1, which is incorporated herein by reference.</w:t>
      </w: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As of March 31, 2018, we have no off-balance sheet arrangements required to be disclosed pursuant to Item 303(a)(4) of Regulation S-</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K.</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0" w:lineRule="exact"/>
        <w:rPr>
          <w:sz w:val="20"/>
          <w:szCs w:val="20"/>
          <w:color w:val="auto"/>
        </w:rPr>
      </w:pPr>
    </w:p>
    <w:p>
      <w:pPr>
        <w:ind w:right="540" w:firstLine="648"/>
        <w:spacing w:after="0" w:line="246" w:lineRule="auto"/>
        <w:rPr>
          <w:sz w:val="20"/>
          <w:szCs w:val="20"/>
          <w:color w:val="auto"/>
        </w:rPr>
      </w:pPr>
      <w:r>
        <w:rPr>
          <w:rFonts w:ascii="Arial" w:cs="Arial" w:eastAsia="Arial" w:hAnsi="Arial"/>
          <w:sz w:val="18"/>
          <w:szCs w:val="18"/>
          <w:color w:val="auto"/>
        </w:rPr>
        <w:t>The information set forth under Note 19 contained in Item 1, “Notes to Consolidated Financial Statements”, which is incorporated herein by reference.</w:t>
      </w: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Measures</w:t>
      </w:r>
    </w:p>
    <w:p>
      <w:pPr>
        <w:spacing w:after="0" w:line="220" w:lineRule="exact"/>
        <w:rPr>
          <w:sz w:val="20"/>
          <w:szCs w:val="20"/>
          <w:color w:val="auto"/>
        </w:rPr>
      </w:pPr>
    </w:p>
    <w:p>
      <w:pPr>
        <w:ind w:firstLine="648"/>
        <w:spacing w:after="0" w:line="238" w:lineRule="auto"/>
        <w:rPr>
          <w:sz w:val="20"/>
          <w:szCs w:val="20"/>
          <w:color w:val="auto"/>
        </w:rPr>
      </w:pPr>
      <w:r>
        <w:rPr>
          <w:rFonts w:ascii="Arial" w:cs="Arial" w:eastAsia="Arial" w:hAnsi="Arial"/>
          <w:sz w:val="18"/>
          <w:szCs w:val="18"/>
          <w:color w:val="auto"/>
        </w:rPr>
        <w:t>This Form 10-Q contains certain non-GAAP metrics, including: net sales, and percent change in net sales excluding the impact of ASC 606 and/or currency translation effects (for each segment and the Company as a whole); EBITDA and Adjusted EBITDA (for each segment and the Company as a whole represented in dollars or as a percentage of net sales); net debt; and net income per share attributable to the Company, excluding adjustments. Such items are provided because management believes that, when reconciled from the GAAP items to which they relate, they provide additional useful information to investors regarding the Company’s operational performance.</w:t>
      </w:r>
    </w:p>
    <w:p>
      <w:pPr>
        <w:spacing w:after="0" w:line="189" w:lineRule="exact"/>
        <w:rPr>
          <w:sz w:val="20"/>
          <w:szCs w:val="20"/>
          <w:color w:val="auto"/>
        </w:rPr>
      </w:pPr>
    </w:p>
    <w:p>
      <w:pPr>
        <w:ind w:firstLine="648"/>
        <w:spacing w:after="0" w:line="236" w:lineRule="auto"/>
        <w:rPr>
          <w:sz w:val="20"/>
          <w:szCs w:val="20"/>
          <w:color w:val="auto"/>
        </w:rPr>
      </w:pPr>
      <w:r>
        <w:rPr>
          <w:rFonts w:ascii="Arial" w:cs="Arial" w:eastAsia="Arial" w:hAnsi="Arial"/>
          <w:sz w:val="18"/>
          <w:szCs w:val="18"/>
          <w:color w:val="auto"/>
        </w:rPr>
        <w:t>Presenting sales and increases or decreases in sales, after currency effects and/or ASC 606 impacts are excluded, can give management and investors insight into underlying sales trends. EBITDA, or net income with interest, taxes, depreciation, and amortization added back, is a common indicator of financial performance used, among other things, to analyze and compare core profitability between companies and industries because it eliminates effects due to differences in financing, asset bases and taxes. An understanding of the impact in a particular quarter of specific restructuring costs, currency revaluation, inventory write-offs associated with discontinued businesses, or other gains and losses, on net income (absolute as well as on a per-share basis), operating income or EBITDA can give management and investors additional insight into core financial performance, especially when compared to quarters in which such items had a greater or lesser effect, or no effect. Restructuring expenses in the MC segment, while frequent in recent years, are reflective of significant reductions in manufacturing capacity and associated headcount in response to shifting markets, and not of the profitability of the business going forward as restructured. Net debt is, in the opinion of the Company, helpful to investors wishing to understand what the Company’s debt position would be if all available cash were applied to pay down indebtedness. EBITDA, Adjusted EBITDA and net income per share attributable to the Company, excluding adjustments, are performance measures that relate to the Company’s continuing operations.</w:t>
      </w:r>
    </w:p>
    <w:p>
      <w:pPr>
        <w:spacing w:after="0" w:line="191" w:lineRule="exact"/>
        <w:rPr>
          <w:sz w:val="20"/>
          <w:szCs w:val="20"/>
          <w:color w:val="auto"/>
        </w:rPr>
      </w:pPr>
    </w:p>
    <w:p>
      <w:pPr>
        <w:ind w:right="280" w:firstLine="648"/>
        <w:spacing w:after="0"/>
        <w:rPr>
          <w:sz w:val="20"/>
          <w:szCs w:val="20"/>
          <w:color w:val="auto"/>
        </w:rPr>
      </w:pPr>
      <w:r>
        <w:rPr>
          <w:rFonts w:ascii="Arial" w:cs="Arial" w:eastAsia="Arial" w:hAnsi="Arial"/>
          <w:sz w:val="18"/>
          <w:szCs w:val="18"/>
          <w:color w:val="auto"/>
        </w:rPr>
        <w:t>Net sales, or percent changes in net sales, excluding currency rate effects, are calculated by converting amounts reported in local currencies into U.S. dollars at the exchange rate of a prior period. The impact of ASC 606 is determined by calculating what GAAP net sales could have been under the</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342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706" w:right="239" w:bottom="1440" w:gutter="0" w:footer="0" w:header="0"/>
        </w:sectPr>
      </w:pPr>
    </w:p>
    <w:bookmarkStart w:id="51" w:name="page52"/>
    <w:bookmarkEnd w:id="51"/>
    <w:p>
      <w:pPr>
        <w:spacing w:after="0" w:line="236" w:lineRule="auto"/>
        <w:rPr>
          <w:sz w:val="20"/>
          <w:szCs w:val="20"/>
          <w:color w:val="auto"/>
        </w:rPr>
      </w:pPr>
      <w:r>
        <w:rPr>
          <w:rFonts w:ascii="Arial" w:cs="Arial" w:eastAsia="Arial" w:hAnsi="Arial"/>
          <w:sz w:val="18"/>
          <w:szCs w:val="18"/>
          <w:color w:val="auto"/>
        </w:rPr>
        <w:t>prior ASC 605 standard, and comparing that amount to the amount reported under the new ASC 606 standard. These amounts are then compared to the U.S. dollar amount as reported in the current period. The Company calculates EBITDA by removing the following from Net income: Interest expense net, Income tax expense, Depreciation and amortization. Adjusted EBITDA is calculated by: adding to EBITDA costs associated with restructuring, and inventory write-offs associated with discontinued businesses; adding (or subtracting) revaluation losses (or gains); subtracting (or adding) gains (or losses) from the sale of buildings or investments; subtracting insurance recovery gains in excess of previously recorded losses; and subtracting (or adding) Income (or loss) attributable to the non-controlling interest in Albany Safran Composites (ASC). Adjusted EBITDA may also be presented as a percentage of net sales by dividing it by net sales. Net income per share attributable to the Company, excluding adjustments, is calculated by adding to (or subtracting from) net income attributable to the Company per share, on an after-tax basis: restructuring charges; inventory write-offs associated with discontinued businesses; discrete tax charges (or gains) and the effect of changes in the income tax rate; foreign currency revaluation losses (or gains); acquisition expenses; and losses (or gains) from the sale of investments.</w:t>
      </w:r>
    </w:p>
    <w:p>
      <w:pPr>
        <w:spacing w:after="0" w:line="192" w:lineRule="exact"/>
        <w:rPr>
          <w:sz w:val="20"/>
          <w:szCs w:val="20"/>
          <w:color w:val="auto"/>
        </w:rPr>
      </w:pPr>
    </w:p>
    <w:p>
      <w:pPr>
        <w:ind w:right="20" w:firstLine="648"/>
        <w:spacing w:after="0"/>
        <w:rPr>
          <w:sz w:val="20"/>
          <w:szCs w:val="20"/>
          <w:color w:val="auto"/>
        </w:rPr>
      </w:pPr>
      <w:r>
        <w:rPr>
          <w:rFonts w:ascii="Arial" w:cs="Arial" w:eastAsia="Arial" w:hAnsi="Arial"/>
          <w:sz w:val="18"/>
          <w:szCs w:val="18"/>
          <w:color w:val="auto"/>
        </w:rPr>
        <w:t>EBITDA, Adjusted EBITDA, and net income per share attributable to the Company, excluding adjustments, as defined by the Company, may not be similar to similarly named measures of other companies. Such measures are not considered measurements under GAAP, and should be considered in addition to, but not as substitutes for, the information contained in the Company’s statements of income.</w:t>
      </w:r>
    </w:p>
    <w:p>
      <w:pPr>
        <w:spacing w:after="0" w:line="39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tables show the calculation of EBITDA and Adjusted EBITDA:</w:t>
      </w:r>
    </w:p>
    <w:p>
      <w:pPr>
        <w:spacing w:after="0" w:line="200" w:lineRule="exact"/>
        <w:rPr>
          <w:sz w:val="20"/>
          <w:szCs w:val="20"/>
          <w:color w:val="auto"/>
        </w:rPr>
      </w:pP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484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Three months ended March 31, 2018</w:t>
            </w:r>
          </w:p>
        </w:tc>
        <w:tc>
          <w:tcPr>
            <w:tcW w:w="1680" w:type="dxa"/>
            <w:vAlign w:val="bottom"/>
            <w:tcBorders>
              <w:top w:val="single" w:sz="8" w:color="auto"/>
            </w:tcBorders>
          </w:tcPr>
          <w:p>
            <w:pPr>
              <w:spacing w:after="0"/>
              <w:rPr>
                <w:sz w:val="21"/>
                <w:szCs w:val="21"/>
                <w:color w:val="auto"/>
              </w:rPr>
            </w:pPr>
          </w:p>
        </w:tc>
        <w:tc>
          <w:tcPr>
            <w:tcW w:w="1700" w:type="dxa"/>
            <w:vAlign w:val="bottom"/>
            <w:tcBorders>
              <w:top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9"/>
              </w:rPr>
              <w:t>Albany</w:t>
            </w:r>
          </w:p>
        </w:tc>
        <w:tc>
          <w:tcPr>
            <w:tcW w:w="1680" w:type="dxa"/>
            <w:vAlign w:val="bottom"/>
            <w:tcBorders>
              <w:top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9"/>
              </w:rPr>
              <w:t>Corporate</w:t>
            </w:r>
          </w:p>
        </w:tc>
        <w:tc>
          <w:tcPr>
            <w:tcW w:w="152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43"/>
        </w:trPr>
        <w:tc>
          <w:tcPr>
            <w:tcW w:w="484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700" w:type="dxa"/>
            <w:vAlign w:val="bottom"/>
            <w:vMerge w:val="continue"/>
          </w:tcPr>
          <w:p>
            <w:pPr>
              <w:spacing w:after="0"/>
              <w:rPr>
                <w:sz w:val="12"/>
                <w:szCs w:val="12"/>
                <w:color w:val="auto"/>
              </w:rPr>
            </w:pPr>
          </w:p>
        </w:tc>
        <w:tc>
          <w:tcPr>
            <w:tcW w:w="1680" w:type="dxa"/>
            <w:vAlign w:val="bottom"/>
            <w:vMerge w:val="continue"/>
          </w:tcPr>
          <w:p>
            <w:pPr>
              <w:spacing w:after="0"/>
              <w:rPr>
                <w:sz w:val="12"/>
                <w:szCs w:val="12"/>
                <w:color w:val="auto"/>
              </w:rPr>
            </w:pPr>
          </w:p>
        </w:tc>
        <w:tc>
          <w:tcPr>
            <w:tcW w:w="1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4840" w:type="dxa"/>
            <w:vAlign w:val="bottom"/>
          </w:tcPr>
          <w:p>
            <w:pPr>
              <w:spacing w:after="0"/>
              <w:rPr>
                <w:sz w:val="17"/>
                <w:szCs w:val="17"/>
                <w:color w:val="auto"/>
              </w:rPr>
            </w:pPr>
          </w:p>
        </w:tc>
        <w:tc>
          <w:tcPr>
            <w:tcW w:w="1680" w:type="dxa"/>
            <w:vAlign w:val="bottom"/>
          </w:tcPr>
          <w:p>
            <w:pPr>
              <w:jc w:val="right"/>
              <w:ind w:right="450"/>
              <w:spacing w:after="0" w:line="202" w:lineRule="exact"/>
              <w:rPr>
                <w:sz w:val="20"/>
                <w:szCs w:val="20"/>
                <w:color w:val="auto"/>
              </w:rPr>
            </w:pPr>
            <w:r>
              <w:rPr>
                <w:rFonts w:ascii="Arial" w:cs="Arial" w:eastAsia="Arial" w:hAnsi="Arial"/>
                <w:sz w:val="18"/>
                <w:szCs w:val="18"/>
                <w:b w:val="1"/>
                <w:bCs w:val="1"/>
                <w:color w:val="auto"/>
              </w:rPr>
              <w:t>Machine</w:t>
            </w:r>
          </w:p>
        </w:tc>
        <w:tc>
          <w:tcPr>
            <w:tcW w:w="170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Engineered</w:t>
            </w:r>
          </w:p>
        </w:tc>
        <w:tc>
          <w:tcPr>
            <w:tcW w:w="168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rPr>
              <w:t>expenses and</w:t>
            </w:r>
          </w:p>
        </w:tc>
        <w:tc>
          <w:tcPr>
            <w:tcW w:w="1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48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(in thousands)</w:t>
            </w:r>
          </w:p>
        </w:tc>
        <w:tc>
          <w:tcPr>
            <w:tcW w:w="16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Clothing</w:t>
            </w: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rPr>
              <w:t>Composites</w:t>
            </w: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other</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Total Company</w:t>
            </w:r>
          </w:p>
        </w:tc>
        <w:tc>
          <w:tcPr>
            <w:tcW w:w="0" w:type="dxa"/>
            <w:vAlign w:val="bottom"/>
          </w:tcPr>
          <w:p>
            <w:pPr>
              <w:spacing w:after="0"/>
              <w:rPr>
                <w:sz w:val="1"/>
                <w:szCs w:val="1"/>
                <w:color w:val="auto"/>
              </w:rPr>
            </w:pPr>
          </w:p>
        </w:tc>
      </w:tr>
      <w:tr>
        <w:trPr>
          <w:trHeight w:val="195"/>
        </w:trPr>
        <w:tc>
          <w:tcPr>
            <w:tcW w:w="4840" w:type="dxa"/>
            <w:vAlign w:val="bottom"/>
          </w:tcPr>
          <w:p>
            <w:pPr>
              <w:spacing w:after="0" w:line="195" w:lineRule="exact"/>
              <w:rPr>
                <w:sz w:val="20"/>
                <w:szCs w:val="20"/>
                <w:color w:val="auto"/>
              </w:rPr>
            </w:pPr>
            <w:r>
              <w:rPr>
                <w:rFonts w:ascii="Arial" w:cs="Arial" w:eastAsia="Arial" w:hAnsi="Arial"/>
                <w:sz w:val="18"/>
                <w:szCs w:val="18"/>
                <w:b w:val="1"/>
                <w:bCs w:val="1"/>
                <w:color w:val="auto"/>
              </w:rPr>
              <w:t>Operating income/(loss) (GAAP)</w:t>
            </w:r>
          </w:p>
        </w:tc>
        <w:tc>
          <w:tcPr>
            <w:tcW w:w="1680" w:type="dxa"/>
            <w:vAlign w:val="bottom"/>
          </w:tcPr>
          <w:p>
            <w:pPr>
              <w:jc w:val="right"/>
              <w:ind w:right="230"/>
              <w:spacing w:after="0" w:line="195" w:lineRule="exact"/>
              <w:rPr>
                <w:sz w:val="20"/>
                <w:szCs w:val="20"/>
                <w:color w:val="auto"/>
              </w:rPr>
            </w:pPr>
            <w:r>
              <w:rPr>
                <w:rFonts w:ascii="Arial" w:cs="Arial" w:eastAsia="Arial" w:hAnsi="Arial"/>
                <w:sz w:val="18"/>
                <w:szCs w:val="18"/>
                <w:b w:val="1"/>
                <w:bCs w:val="1"/>
                <w:color w:val="auto"/>
              </w:rPr>
              <w:t>$30,769</w:t>
            </w:r>
          </w:p>
        </w:tc>
        <w:tc>
          <w:tcPr>
            <w:tcW w:w="1700" w:type="dxa"/>
            <w:vAlign w:val="bottom"/>
          </w:tcPr>
          <w:p>
            <w:pPr>
              <w:jc w:val="right"/>
              <w:ind w:right="210"/>
              <w:spacing w:after="0" w:line="195" w:lineRule="exact"/>
              <w:rPr>
                <w:sz w:val="20"/>
                <w:szCs w:val="20"/>
                <w:color w:val="auto"/>
              </w:rPr>
            </w:pPr>
            <w:r>
              <w:rPr>
                <w:rFonts w:ascii="Arial" w:cs="Arial" w:eastAsia="Arial" w:hAnsi="Arial"/>
                <w:sz w:val="18"/>
                <w:szCs w:val="18"/>
                <w:b w:val="1"/>
                <w:bCs w:val="1"/>
                <w:color w:val="auto"/>
              </w:rPr>
              <w:t>$2,275</w:t>
            </w:r>
          </w:p>
        </w:tc>
        <w:tc>
          <w:tcPr>
            <w:tcW w:w="1680" w:type="dxa"/>
            <w:vAlign w:val="bottom"/>
          </w:tcPr>
          <w:p>
            <w:pPr>
              <w:jc w:val="right"/>
              <w:ind w:right="130"/>
              <w:spacing w:after="0" w:line="195" w:lineRule="exact"/>
              <w:rPr>
                <w:sz w:val="20"/>
                <w:szCs w:val="20"/>
                <w:color w:val="auto"/>
              </w:rPr>
            </w:pPr>
            <w:r>
              <w:rPr>
                <w:rFonts w:ascii="Arial" w:cs="Arial" w:eastAsia="Arial" w:hAnsi="Arial"/>
                <w:sz w:val="18"/>
                <w:szCs w:val="18"/>
                <w:b w:val="1"/>
                <w:bCs w:val="1"/>
                <w:color w:val="auto"/>
              </w:rPr>
              <w:t>($12,213)</w:t>
            </w:r>
          </w:p>
        </w:tc>
        <w:tc>
          <w:tcPr>
            <w:tcW w:w="1520" w:type="dxa"/>
            <w:vAlign w:val="bottom"/>
          </w:tcPr>
          <w:p>
            <w:pPr>
              <w:jc w:val="right"/>
              <w:ind w:right="10"/>
              <w:spacing w:after="0" w:line="195" w:lineRule="exact"/>
              <w:rPr>
                <w:sz w:val="20"/>
                <w:szCs w:val="20"/>
                <w:color w:val="auto"/>
              </w:rPr>
            </w:pPr>
            <w:r>
              <w:rPr>
                <w:rFonts w:ascii="Arial" w:cs="Arial" w:eastAsia="Arial" w:hAnsi="Arial"/>
                <w:sz w:val="18"/>
                <w:szCs w:val="18"/>
                <w:b w:val="1"/>
                <w:bCs w:val="1"/>
                <w:color w:val="auto"/>
              </w:rPr>
              <w:t>$20,831</w:t>
            </w:r>
          </w:p>
        </w:tc>
        <w:tc>
          <w:tcPr>
            <w:tcW w:w="0" w:type="dxa"/>
            <w:vAlign w:val="bottom"/>
          </w:tcPr>
          <w:p>
            <w:pPr>
              <w:spacing w:after="0"/>
              <w:rPr>
                <w:sz w:val="1"/>
                <w:szCs w:val="1"/>
                <w:color w:val="auto"/>
              </w:rPr>
            </w:pPr>
          </w:p>
        </w:tc>
      </w:tr>
      <w:tr>
        <w:trPr>
          <w:trHeight w:val="181"/>
        </w:trPr>
        <w:tc>
          <w:tcPr>
            <w:tcW w:w="4840" w:type="dxa"/>
            <w:vAlign w:val="bottom"/>
          </w:tcPr>
          <w:p>
            <w:pPr>
              <w:spacing w:after="0" w:line="181" w:lineRule="exact"/>
              <w:rPr>
                <w:sz w:val="20"/>
                <w:szCs w:val="20"/>
                <w:color w:val="auto"/>
              </w:rPr>
            </w:pPr>
            <w:r>
              <w:rPr>
                <w:rFonts w:ascii="Arial" w:cs="Arial" w:eastAsia="Arial" w:hAnsi="Arial"/>
                <w:sz w:val="18"/>
                <w:szCs w:val="18"/>
                <w:color w:val="auto"/>
              </w:rPr>
              <w:t>Interest, taxes, other income/expense</w:t>
            </w:r>
          </w:p>
        </w:tc>
        <w:tc>
          <w:tcPr>
            <w:tcW w:w="1680" w:type="dxa"/>
            <w:vAlign w:val="bottom"/>
          </w:tcPr>
          <w:p>
            <w:pPr>
              <w:jc w:val="right"/>
              <w:ind w:right="230"/>
              <w:spacing w:after="0" w:line="181" w:lineRule="exact"/>
              <w:rPr>
                <w:sz w:val="20"/>
                <w:szCs w:val="20"/>
                <w:color w:val="auto"/>
              </w:rPr>
            </w:pPr>
            <w:r>
              <w:rPr>
                <w:rFonts w:ascii="Arial" w:cs="Arial" w:eastAsia="Arial" w:hAnsi="Arial"/>
                <w:sz w:val="18"/>
                <w:szCs w:val="18"/>
                <w:color w:val="auto"/>
              </w:rPr>
              <w:t>-</w:t>
            </w:r>
          </w:p>
        </w:tc>
        <w:tc>
          <w:tcPr>
            <w:tcW w:w="1700" w:type="dxa"/>
            <w:vAlign w:val="bottom"/>
          </w:tcPr>
          <w:p>
            <w:pPr>
              <w:jc w:val="right"/>
              <w:ind w:right="210"/>
              <w:spacing w:after="0" w:line="181" w:lineRule="exact"/>
              <w:rPr>
                <w:sz w:val="20"/>
                <w:szCs w:val="20"/>
                <w:color w:val="auto"/>
              </w:rPr>
            </w:pPr>
            <w:r>
              <w:rPr>
                <w:rFonts w:ascii="Arial" w:cs="Arial" w:eastAsia="Arial" w:hAnsi="Arial"/>
                <w:sz w:val="18"/>
                <w:szCs w:val="18"/>
                <w:color w:val="auto"/>
              </w:rPr>
              <w:t>-</w:t>
            </w:r>
          </w:p>
        </w:tc>
        <w:tc>
          <w:tcPr>
            <w:tcW w:w="1680" w:type="dxa"/>
            <w:vAlign w:val="bottom"/>
          </w:tcPr>
          <w:p>
            <w:pPr>
              <w:jc w:val="right"/>
              <w:ind w:right="130"/>
              <w:spacing w:after="0" w:line="181" w:lineRule="exact"/>
              <w:rPr>
                <w:sz w:val="20"/>
                <w:szCs w:val="20"/>
                <w:color w:val="auto"/>
              </w:rPr>
            </w:pPr>
            <w:r>
              <w:rPr>
                <w:rFonts w:ascii="Arial" w:cs="Arial" w:eastAsia="Arial" w:hAnsi="Arial"/>
                <w:sz w:val="18"/>
                <w:szCs w:val="18"/>
                <w:color w:val="auto"/>
              </w:rPr>
              <w:t>(10,349)</w:t>
            </w:r>
          </w:p>
        </w:tc>
        <w:tc>
          <w:tcPr>
            <w:tcW w:w="1520" w:type="dxa"/>
            <w:vAlign w:val="bottom"/>
          </w:tcPr>
          <w:p>
            <w:pPr>
              <w:jc w:val="right"/>
              <w:spacing w:after="0" w:line="181" w:lineRule="exact"/>
              <w:rPr>
                <w:sz w:val="20"/>
                <w:szCs w:val="20"/>
                <w:color w:val="auto"/>
              </w:rPr>
            </w:pPr>
            <w:r>
              <w:rPr>
                <w:rFonts w:ascii="Arial" w:cs="Arial" w:eastAsia="Arial" w:hAnsi="Arial"/>
                <w:sz w:val="18"/>
                <w:szCs w:val="18"/>
                <w:color w:val="auto"/>
              </w:rPr>
              <w:t>(10,349)</w:t>
            </w:r>
          </w:p>
        </w:tc>
        <w:tc>
          <w:tcPr>
            <w:tcW w:w="0" w:type="dxa"/>
            <w:vAlign w:val="bottom"/>
          </w:tcPr>
          <w:p>
            <w:pPr>
              <w:spacing w:after="0"/>
              <w:rPr>
                <w:sz w:val="1"/>
                <w:szCs w:val="1"/>
                <w:color w:val="auto"/>
              </w:rPr>
            </w:pPr>
          </w:p>
        </w:tc>
      </w:tr>
      <w:tr>
        <w:trPr>
          <w:trHeight w:val="225"/>
        </w:trPr>
        <w:tc>
          <w:tcPr>
            <w:tcW w:w="4840" w:type="dxa"/>
            <w:vAlign w:val="bottom"/>
          </w:tcPr>
          <w:p>
            <w:pPr>
              <w:spacing w:after="0"/>
              <w:rPr>
                <w:sz w:val="20"/>
                <w:szCs w:val="20"/>
                <w:color w:val="auto"/>
              </w:rPr>
            </w:pPr>
            <w:r>
              <w:rPr>
                <w:rFonts w:ascii="Arial" w:cs="Arial" w:eastAsia="Arial" w:hAnsi="Arial"/>
                <w:sz w:val="18"/>
                <w:szCs w:val="18"/>
                <w:b w:val="1"/>
                <w:bCs w:val="1"/>
                <w:color w:val="auto"/>
              </w:rPr>
              <w:t>Net income/(loss) (GAAP)</w:t>
            </w:r>
          </w:p>
        </w:tc>
        <w:tc>
          <w:tcPr>
            <w:tcW w:w="1680" w:type="dxa"/>
            <w:vAlign w:val="bottom"/>
          </w:tcPr>
          <w:p>
            <w:pPr>
              <w:jc w:val="right"/>
              <w:ind w:right="230"/>
              <w:spacing w:after="0"/>
              <w:rPr>
                <w:sz w:val="20"/>
                <w:szCs w:val="20"/>
                <w:color w:val="auto"/>
              </w:rPr>
            </w:pPr>
            <w:r>
              <w:rPr>
                <w:rFonts w:ascii="Arial" w:cs="Arial" w:eastAsia="Arial" w:hAnsi="Arial"/>
                <w:sz w:val="18"/>
                <w:szCs w:val="18"/>
                <w:b w:val="1"/>
                <w:bCs w:val="1"/>
                <w:color w:val="auto"/>
              </w:rPr>
              <w:t>30,769</w:t>
            </w:r>
          </w:p>
        </w:tc>
        <w:tc>
          <w:tcPr>
            <w:tcW w:w="1700" w:type="dxa"/>
            <w:vAlign w:val="bottom"/>
          </w:tcPr>
          <w:p>
            <w:pPr>
              <w:jc w:val="right"/>
              <w:ind w:right="210"/>
              <w:spacing w:after="0"/>
              <w:rPr>
                <w:sz w:val="20"/>
                <w:szCs w:val="20"/>
                <w:color w:val="auto"/>
              </w:rPr>
            </w:pPr>
            <w:r>
              <w:rPr>
                <w:rFonts w:ascii="Arial" w:cs="Arial" w:eastAsia="Arial" w:hAnsi="Arial"/>
                <w:sz w:val="18"/>
                <w:szCs w:val="18"/>
                <w:b w:val="1"/>
                <w:bCs w:val="1"/>
                <w:color w:val="auto"/>
              </w:rPr>
              <w:t>2,275</w:t>
            </w:r>
          </w:p>
        </w:tc>
        <w:tc>
          <w:tcPr>
            <w:tcW w:w="1680" w:type="dxa"/>
            <w:vAlign w:val="bottom"/>
          </w:tcPr>
          <w:p>
            <w:pPr>
              <w:jc w:val="right"/>
              <w:ind w:right="130"/>
              <w:spacing w:after="0"/>
              <w:rPr>
                <w:sz w:val="20"/>
                <w:szCs w:val="20"/>
                <w:color w:val="auto"/>
              </w:rPr>
            </w:pPr>
            <w:r>
              <w:rPr>
                <w:rFonts w:ascii="Arial" w:cs="Arial" w:eastAsia="Arial" w:hAnsi="Arial"/>
                <w:sz w:val="18"/>
                <w:szCs w:val="18"/>
                <w:b w:val="1"/>
                <w:bCs w:val="1"/>
                <w:color w:val="auto"/>
              </w:rPr>
              <w:t>(22,562)</w:t>
            </w:r>
          </w:p>
        </w:tc>
        <w:tc>
          <w:tcPr>
            <w:tcW w:w="1520" w:type="dxa"/>
            <w:vAlign w:val="bottom"/>
          </w:tcPr>
          <w:p>
            <w:pPr>
              <w:jc w:val="right"/>
              <w:ind w:right="10"/>
              <w:spacing w:after="0"/>
              <w:rPr>
                <w:sz w:val="20"/>
                <w:szCs w:val="20"/>
                <w:color w:val="auto"/>
              </w:rPr>
            </w:pPr>
            <w:r>
              <w:rPr>
                <w:rFonts w:ascii="Arial" w:cs="Arial" w:eastAsia="Arial" w:hAnsi="Arial"/>
                <w:sz w:val="18"/>
                <w:szCs w:val="18"/>
                <w:b w:val="1"/>
                <w:bCs w:val="1"/>
                <w:color w:val="auto"/>
              </w:rPr>
              <w:t>10,482</w:t>
            </w:r>
          </w:p>
        </w:tc>
        <w:tc>
          <w:tcPr>
            <w:tcW w:w="0" w:type="dxa"/>
            <w:vAlign w:val="bottom"/>
          </w:tcPr>
          <w:p>
            <w:pPr>
              <w:spacing w:after="0"/>
              <w:rPr>
                <w:sz w:val="1"/>
                <w:szCs w:val="1"/>
                <w:color w:val="auto"/>
              </w:rPr>
            </w:pPr>
          </w:p>
        </w:tc>
      </w:tr>
      <w:tr>
        <w:trPr>
          <w:trHeight w:val="203"/>
        </w:trPr>
        <w:tc>
          <w:tcPr>
            <w:tcW w:w="4840" w:type="dxa"/>
            <w:vAlign w:val="bottom"/>
          </w:tcPr>
          <w:p>
            <w:pPr>
              <w:spacing w:after="0" w:line="202" w:lineRule="exact"/>
              <w:rPr>
                <w:sz w:val="20"/>
                <w:szCs w:val="20"/>
                <w:color w:val="auto"/>
              </w:rPr>
            </w:pPr>
            <w:r>
              <w:rPr>
                <w:rFonts w:ascii="Arial" w:cs="Arial" w:eastAsia="Arial" w:hAnsi="Arial"/>
                <w:sz w:val="18"/>
                <w:szCs w:val="18"/>
                <w:color w:val="auto"/>
              </w:rPr>
              <w:t>Interest expense, net</w:t>
            </w:r>
          </w:p>
        </w:tc>
        <w:tc>
          <w:tcPr>
            <w:tcW w:w="1680" w:type="dxa"/>
            <w:vAlign w:val="bottom"/>
          </w:tcPr>
          <w:p>
            <w:pPr>
              <w:jc w:val="right"/>
              <w:ind w:right="230"/>
              <w:spacing w:after="0" w:line="202" w:lineRule="exact"/>
              <w:rPr>
                <w:sz w:val="20"/>
                <w:szCs w:val="20"/>
                <w:color w:val="auto"/>
              </w:rPr>
            </w:pPr>
            <w:r>
              <w:rPr>
                <w:rFonts w:ascii="Arial" w:cs="Arial" w:eastAsia="Arial" w:hAnsi="Arial"/>
                <w:sz w:val="18"/>
                <w:szCs w:val="18"/>
                <w:color w:val="auto"/>
              </w:rPr>
              <w:t>-</w:t>
            </w:r>
          </w:p>
        </w:tc>
        <w:tc>
          <w:tcPr>
            <w:tcW w:w="1700" w:type="dxa"/>
            <w:vAlign w:val="bottom"/>
          </w:tcPr>
          <w:p>
            <w:pPr>
              <w:jc w:val="right"/>
              <w:ind w:right="210"/>
              <w:spacing w:after="0" w:line="202" w:lineRule="exact"/>
              <w:rPr>
                <w:sz w:val="20"/>
                <w:szCs w:val="20"/>
                <w:color w:val="auto"/>
              </w:rPr>
            </w:pPr>
            <w:r>
              <w:rPr>
                <w:rFonts w:ascii="Arial" w:cs="Arial" w:eastAsia="Arial" w:hAnsi="Arial"/>
                <w:sz w:val="18"/>
                <w:szCs w:val="18"/>
                <w:color w:val="auto"/>
              </w:rPr>
              <w:t>-</w:t>
            </w:r>
          </w:p>
        </w:tc>
        <w:tc>
          <w:tcPr>
            <w:tcW w:w="1680" w:type="dxa"/>
            <w:vAlign w:val="bottom"/>
          </w:tcPr>
          <w:p>
            <w:pPr>
              <w:jc w:val="right"/>
              <w:ind w:right="190"/>
              <w:spacing w:after="0" w:line="202" w:lineRule="exact"/>
              <w:rPr>
                <w:sz w:val="20"/>
                <w:szCs w:val="20"/>
                <w:color w:val="auto"/>
              </w:rPr>
            </w:pPr>
            <w:r>
              <w:rPr>
                <w:rFonts w:ascii="Arial" w:cs="Arial" w:eastAsia="Arial" w:hAnsi="Arial"/>
                <w:sz w:val="18"/>
                <w:szCs w:val="18"/>
                <w:color w:val="auto"/>
              </w:rPr>
              <w:t>4,288</w:t>
            </w:r>
          </w:p>
        </w:tc>
        <w:tc>
          <w:tcPr>
            <w:tcW w:w="15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4,288</w:t>
            </w:r>
          </w:p>
        </w:tc>
        <w:tc>
          <w:tcPr>
            <w:tcW w:w="0" w:type="dxa"/>
            <w:vAlign w:val="bottom"/>
          </w:tcPr>
          <w:p>
            <w:pPr>
              <w:spacing w:after="0"/>
              <w:rPr>
                <w:sz w:val="1"/>
                <w:szCs w:val="1"/>
                <w:color w:val="auto"/>
              </w:rPr>
            </w:pPr>
          </w:p>
        </w:tc>
      </w:tr>
      <w:tr>
        <w:trPr>
          <w:trHeight w:val="203"/>
        </w:trPr>
        <w:tc>
          <w:tcPr>
            <w:tcW w:w="4840" w:type="dxa"/>
            <w:vAlign w:val="bottom"/>
          </w:tcPr>
          <w:p>
            <w:pPr>
              <w:spacing w:after="0" w:line="202" w:lineRule="exact"/>
              <w:rPr>
                <w:sz w:val="20"/>
                <w:szCs w:val="20"/>
                <w:color w:val="auto"/>
              </w:rPr>
            </w:pPr>
            <w:r>
              <w:rPr>
                <w:rFonts w:ascii="Arial" w:cs="Arial" w:eastAsia="Arial" w:hAnsi="Arial"/>
                <w:sz w:val="18"/>
                <w:szCs w:val="18"/>
                <w:color w:val="auto"/>
              </w:rPr>
              <w:t>Income tax expense</w:t>
            </w:r>
          </w:p>
        </w:tc>
        <w:tc>
          <w:tcPr>
            <w:tcW w:w="1680" w:type="dxa"/>
            <w:vAlign w:val="bottom"/>
          </w:tcPr>
          <w:p>
            <w:pPr>
              <w:jc w:val="right"/>
              <w:ind w:right="230"/>
              <w:spacing w:after="0" w:line="202" w:lineRule="exact"/>
              <w:rPr>
                <w:sz w:val="20"/>
                <w:szCs w:val="20"/>
                <w:color w:val="auto"/>
              </w:rPr>
            </w:pPr>
            <w:r>
              <w:rPr>
                <w:rFonts w:ascii="Arial" w:cs="Arial" w:eastAsia="Arial" w:hAnsi="Arial"/>
                <w:sz w:val="18"/>
                <w:szCs w:val="18"/>
                <w:color w:val="auto"/>
              </w:rPr>
              <w:t>-</w:t>
            </w:r>
          </w:p>
        </w:tc>
        <w:tc>
          <w:tcPr>
            <w:tcW w:w="1700" w:type="dxa"/>
            <w:vAlign w:val="bottom"/>
          </w:tcPr>
          <w:p>
            <w:pPr>
              <w:jc w:val="right"/>
              <w:ind w:right="210"/>
              <w:spacing w:after="0" w:line="202" w:lineRule="exact"/>
              <w:rPr>
                <w:sz w:val="20"/>
                <w:szCs w:val="20"/>
                <w:color w:val="auto"/>
              </w:rPr>
            </w:pPr>
            <w:r>
              <w:rPr>
                <w:rFonts w:ascii="Arial" w:cs="Arial" w:eastAsia="Arial" w:hAnsi="Arial"/>
                <w:sz w:val="18"/>
                <w:szCs w:val="18"/>
                <w:color w:val="auto"/>
              </w:rPr>
              <w:t>-</w:t>
            </w:r>
          </w:p>
        </w:tc>
        <w:tc>
          <w:tcPr>
            <w:tcW w:w="1680" w:type="dxa"/>
            <w:vAlign w:val="bottom"/>
          </w:tcPr>
          <w:p>
            <w:pPr>
              <w:jc w:val="right"/>
              <w:ind w:right="190"/>
              <w:spacing w:after="0" w:line="202" w:lineRule="exact"/>
              <w:rPr>
                <w:sz w:val="20"/>
                <w:szCs w:val="20"/>
                <w:color w:val="auto"/>
              </w:rPr>
            </w:pPr>
            <w:r>
              <w:rPr>
                <w:rFonts w:ascii="Arial" w:cs="Arial" w:eastAsia="Arial" w:hAnsi="Arial"/>
                <w:sz w:val="18"/>
                <w:szCs w:val="18"/>
                <w:color w:val="auto"/>
              </w:rPr>
              <w:t>4,609</w:t>
            </w:r>
          </w:p>
        </w:tc>
        <w:tc>
          <w:tcPr>
            <w:tcW w:w="15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4,609</w:t>
            </w:r>
          </w:p>
        </w:tc>
        <w:tc>
          <w:tcPr>
            <w:tcW w:w="0" w:type="dxa"/>
            <w:vAlign w:val="bottom"/>
          </w:tcPr>
          <w:p>
            <w:pPr>
              <w:spacing w:after="0"/>
              <w:rPr>
                <w:sz w:val="1"/>
                <w:szCs w:val="1"/>
                <w:color w:val="auto"/>
              </w:rPr>
            </w:pPr>
          </w:p>
        </w:tc>
      </w:tr>
      <w:tr>
        <w:trPr>
          <w:trHeight w:val="203"/>
        </w:trPr>
        <w:tc>
          <w:tcPr>
            <w:tcW w:w="4840" w:type="dxa"/>
            <w:vAlign w:val="bottom"/>
            <w:tcBorders>
              <w:bottom w:val="single" w:sz="8" w:color="auto"/>
            </w:tcBorders>
          </w:tcPr>
          <w:p>
            <w:pPr>
              <w:spacing w:after="0" w:line="203" w:lineRule="exact"/>
              <w:rPr>
                <w:sz w:val="20"/>
                <w:szCs w:val="20"/>
                <w:color w:val="auto"/>
              </w:rPr>
            </w:pPr>
            <w:r>
              <w:rPr>
                <w:rFonts w:ascii="Arial" w:cs="Arial" w:eastAsia="Arial" w:hAnsi="Arial"/>
                <w:sz w:val="18"/>
                <w:szCs w:val="18"/>
                <w:color w:val="auto"/>
              </w:rPr>
              <w:t>Depreciation and amortization</w:t>
            </w:r>
          </w:p>
        </w:tc>
        <w:tc>
          <w:tcPr>
            <w:tcW w:w="1680" w:type="dxa"/>
            <w:vAlign w:val="bottom"/>
            <w:tcBorders>
              <w:bottom w:val="single" w:sz="8" w:color="auto"/>
            </w:tcBorders>
          </w:tcPr>
          <w:p>
            <w:pPr>
              <w:jc w:val="right"/>
              <w:ind w:right="230"/>
              <w:spacing w:after="0" w:line="203" w:lineRule="exact"/>
              <w:rPr>
                <w:sz w:val="20"/>
                <w:szCs w:val="20"/>
                <w:color w:val="auto"/>
              </w:rPr>
            </w:pPr>
            <w:r>
              <w:rPr>
                <w:rFonts w:ascii="Arial" w:cs="Arial" w:eastAsia="Arial" w:hAnsi="Arial"/>
                <w:sz w:val="18"/>
                <w:szCs w:val="18"/>
                <w:color w:val="auto"/>
              </w:rPr>
              <w:t>8,362</w:t>
            </w:r>
          </w:p>
        </w:tc>
        <w:tc>
          <w:tcPr>
            <w:tcW w:w="1700" w:type="dxa"/>
            <w:vAlign w:val="bottom"/>
            <w:tcBorders>
              <w:bottom w:val="single" w:sz="8" w:color="auto"/>
            </w:tcBorders>
          </w:tcPr>
          <w:p>
            <w:pPr>
              <w:jc w:val="right"/>
              <w:ind w:right="210"/>
              <w:spacing w:after="0" w:line="203" w:lineRule="exact"/>
              <w:rPr>
                <w:sz w:val="20"/>
                <w:szCs w:val="20"/>
                <w:color w:val="auto"/>
              </w:rPr>
            </w:pPr>
            <w:r>
              <w:rPr>
                <w:rFonts w:ascii="Arial" w:cs="Arial" w:eastAsia="Arial" w:hAnsi="Arial"/>
                <w:sz w:val="18"/>
                <w:szCs w:val="18"/>
                <w:color w:val="auto"/>
              </w:rPr>
              <w:t>11,156</w:t>
            </w:r>
          </w:p>
        </w:tc>
        <w:tc>
          <w:tcPr>
            <w:tcW w:w="1680" w:type="dxa"/>
            <w:vAlign w:val="bottom"/>
            <w:tcBorders>
              <w:bottom w:val="single" w:sz="8" w:color="auto"/>
            </w:tcBorders>
          </w:tcPr>
          <w:p>
            <w:pPr>
              <w:jc w:val="right"/>
              <w:ind w:right="190"/>
              <w:spacing w:after="0" w:line="203" w:lineRule="exact"/>
              <w:rPr>
                <w:sz w:val="20"/>
                <w:szCs w:val="20"/>
                <w:color w:val="auto"/>
              </w:rPr>
            </w:pPr>
            <w:r>
              <w:rPr>
                <w:rFonts w:ascii="Arial" w:cs="Arial" w:eastAsia="Arial" w:hAnsi="Arial"/>
                <w:sz w:val="18"/>
                <w:szCs w:val="18"/>
                <w:color w:val="auto"/>
              </w:rPr>
              <w:t>1,430</w:t>
            </w:r>
          </w:p>
        </w:tc>
        <w:tc>
          <w:tcPr>
            <w:tcW w:w="1520" w:type="dxa"/>
            <w:vAlign w:val="bottom"/>
            <w:tcBorders>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rPr>
              <w:t>20,948</w:t>
            </w:r>
          </w:p>
        </w:tc>
        <w:tc>
          <w:tcPr>
            <w:tcW w:w="0" w:type="dxa"/>
            <w:vAlign w:val="bottom"/>
          </w:tcPr>
          <w:p>
            <w:pPr>
              <w:spacing w:after="0"/>
              <w:rPr>
                <w:sz w:val="1"/>
                <w:szCs w:val="1"/>
                <w:color w:val="auto"/>
              </w:rPr>
            </w:pPr>
          </w:p>
        </w:tc>
      </w:tr>
      <w:tr>
        <w:trPr>
          <w:trHeight w:val="195"/>
        </w:trPr>
        <w:tc>
          <w:tcPr>
            <w:tcW w:w="4840" w:type="dxa"/>
            <w:vAlign w:val="bottom"/>
          </w:tcPr>
          <w:p>
            <w:pPr>
              <w:spacing w:after="0" w:line="195" w:lineRule="exact"/>
              <w:rPr>
                <w:sz w:val="20"/>
                <w:szCs w:val="20"/>
                <w:color w:val="auto"/>
              </w:rPr>
            </w:pPr>
            <w:r>
              <w:rPr>
                <w:rFonts w:ascii="Arial" w:cs="Arial" w:eastAsia="Arial" w:hAnsi="Arial"/>
                <w:sz w:val="18"/>
                <w:szCs w:val="18"/>
                <w:b w:val="1"/>
                <w:bCs w:val="1"/>
                <w:color w:val="auto"/>
              </w:rPr>
              <w:t>EBITDA (non-GAAP)</w:t>
            </w:r>
          </w:p>
        </w:tc>
        <w:tc>
          <w:tcPr>
            <w:tcW w:w="1680" w:type="dxa"/>
            <w:vAlign w:val="bottom"/>
          </w:tcPr>
          <w:p>
            <w:pPr>
              <w:jc w:val="right"/>
              <w:ind w:right="230"/>
              <w:spacing w:after="0" w:line="195" w:lineRule="exact"/>
              <w:rPr>
                <w:sz w:val="20"/>
                <w:szCs w:val="20"/>
                <w:color w:val="auto"/>
              </w:rPr>
            </w:pPr>
            <w:r>
              <w:rPr>
                <w:rFonts w:ascii="Arial" w:cs="Arial" w:eastAsia="Arial" w:hAnsi="Arial"/>
                <w:sz w:val="18"/>
                <w:szCs w:val="18"/>
                <w:b w:val="1"/>
                <w:bCs w:val="1"/>
                <w:color w:val="auto"/>
              </w:rPr>
              <w:t>39,131</w:t>
            </w:r>
          </w:p>
        </w:tc>
        <w:tc>
          <w:tcPr>
            <w:tcW w:w="1700" w:type="dxa"/>
            <w:vAlign w:val="bottom"/>
          </w:tcPr>
          <w:p>
            <w:pPr>
              <w:jc w:val="right"/>
              <w:ind w:right="210"/>
              <w:spacing w:after="0" w:line="195" w:lineRule="exact"/>
              <w:rPr>
                <w:sz w:val="20"/>
                <w:szCs w:val="20"/>
                <w:color w:val="auto"/>
              </w:rPr>
            </w:pPr>
            <w:r>
              <w:rPr>
                <w:rFonts w:ascii="Arial" w:cs="Arial" w:eastAsia="Arial" w:hAnsi="Arial"/>
                <w:sz w:val="18"/>
                <w:szCs w:val="18"/>
                <w:b w:val="1"/>
                <w:bCs w:val="1"/>
                <w:color w:val="auto"/>
              </w:rPr>
              <w:t>13,431</w:t>
            </w:r>
          </w:p>
        </w:tc>
        <w:tc>
          <w:tcPr>
            <w:tcW w:w="1680" w:type="dxa"/>
            <w:vAlign w:val="bottom"/>
          </w:tcPr>
          <w:p>
            <w:pPr>
              <w:jc w:val="right"/>
              <w:ind w:right="130"/>
              <w:spacing w:after="0" w:line="195" w:lineRule="exact"/>
              <w:rPr>
                <w:sz w:val="20"/>
                <w:szCs w:val="20"/>
                <w:color w:val="auto"/>
              </w:rPr>
            </w:pPr>
            <w:r>
              <w:rPr>
                <w:rFonts w:ascii="Arial" w:cs="Arial" w:eastAsia="Arial" w:hAnsi="Arial"/>
                <w:sz w:val="18"/>
                <w:szCs w:val="18"/>
                <w:b w:val="1"/>
                <w:bCs w:val="1"/>
                <w:color w:val="auto"/>
              </w:rPr>
              <w:t>(12,235)</w:t>
            </w:r>
          </w:p>
        </w:tc>
        <w:tc>
          <w:tcPr>
            <w:tcW w:w="1520" w:type="dxa"/>
            <w:vAlign w:val="bottom"/>
          </w:tcPr>
          <w:p>
            <w:pPr>
              <w:jc w:val="right"/>
              <w:ind w:right="10"/>
              <w:spacing w:after="0" w:line="195" w:lineRule="exact"/>
              <w:rPr>
                <w:sz w:val="20"/>
                <w:szCs w:val="20"/>
                <w:color w:val="auto"/>
              </w:rPr>
            </w:pPr>
            <w:r>
              <w:rPr>
                <w:rFonts w:ascii="Arial" w:cs="Arial" w:eastAsia="Arial" w:hAnsi="Arial"/>
                <w:sz w:val="18"/>
                <w:szCs w:val="18"/>
                <w:b w:val="1"/>
                <w:bCs w:val="1"/>
                <w:color w:val="auto"/>
              </w:rPr>
              <w:t>40,327</w:t>
            </w:r>
          </w:p>
        </w:tc>
        <w:tc>
          <w:tcPr>
            <w:tcW w:w="0" w:type="dxa"/>
            <w:vAlign w:val="bottom"/>
          </w:tcPr>
          <w:p>
            <w:pPr>
              <w:spacing w:after="0"/>
              <w:rPr>
                <w:sz w:val="1"/>
                <w:szCs w:val="1"/>
                <w:color w:val="auto"/>
              </w:rPr>
            </w:pPr>
          </w:p>
        </w:tc>
      </w:tr>
      <w:tr>
        <w:trPr>
          <w:trHeight w:val="203"/>
        </w:trPr>
        <w:tc>
          <w:tcPr>
            <w:tcW w:w="4840" w:type="dxa"/>
            <w:vAlign w:val="bottom"/>
          </w:tcPr>
          <w:p>
            <w:pPr>
              <w:spacing w:after="0" w:line="202" w:lineRule="exact"/>
              <w:rPr>
                <w:sz w:val="20"/>
                <w:szCs w:val="20"/>
                <w:color w:val="auto"/>
              </w:rPr>
            </w:pPr>
            <w:r>
              <w:rPr>
                <w:rFonts w:ascii="Arial" w:cs="Arial" w:eastAsia="Arial" w:hAnsi="Arial"/>
                <w:sz w:val="18"/>
                <w:szCs w:val="18"/>
                <w:color w:val="auto"/>
              </w:rPr>
              <w:t>Restructuring expenses, net</w:t>
            </w:r>
          </w:p>
        </w:tc>
        <w:tc>
          <w:tcPr>
            <w:tcW w:w="1680" w:type="dxa"/>
            <w:vAlign w:val="bottom"/>
          </w:tcPr>
          <w:p>
            <w:pPr>
              <w:jc w:val="right"/>
              <w:ind w:right="230"/>
              <w:spacing w:after="0" w:line="202" w:lineRule="exact"/>
              <w:rPr>
                <w:sz w:val="20"/>
                <w:szCs w:val="20"/>
                <w:color w:val="auto"/>
              </w:rPr>
            </w:pPr>
            <w:r>
              <w:rPr>
                <w:rFonts w:ascii="Arial" w:cs="Arial" w:eastAsia="Arial" w:hAnsi="Arial"/>
                <w:sz w:val="18"/>
                <w:szCs w:val="18"/>
                <w:color w:val="auto"/>
              </w:rPr>
              <w:t>8,352</w:t>
            </w:r>
          </w:p>
        </w:tc>
        <w:tc>
          <w:tcPr>
            <w:tcW w:w="1700" w:type="dxa"/>
            <w:vAlign w:val="bottom"/>
          </w:tcPr>
          <w:p>
            <w:pPr>
              <w:jc w:val="right"/>
              <w:ind w:right="210"/>
              <w:spacing w:after="0" w:line="202" w:lineRule="exact"/>
              <w:rPr>
                <w:sz w:val="20"/>
                <w:szCs w:val="20"/>
                <w:color w:val="auto"/>
              </w:rPr>
            </w:pPr>
            <w:r>
              <w:rPr>
                <w:rFonts w:ascii="Arial" w:cs="Arial" w:eastAsia="Arial" w:hAnsi="Arial"/>
                <w:sz w:val="18"/>
                <w:szCs w:val="18"/>
                <w:color w:val="auto"/>
              </w:rPr>
              <w:t>221</w:t>
            </w:r>
          </w:p>
        </w:tc>
        <w:tc>
          <w:tcPr>
            <w:tcW w:w="1680" w:type="dxa"/>
            <w:vAlign w:val="bottom"/>
          </w:tcPr>
          <w:p>
            <w:pPr>
              <w:jc w:val="right"/>
              <w:ind w:right="190"/>
              <w:spacing w:after="0" w:line="202" w:lineRule="exact"/>
              <w:rPr>
                <w:sz w:val="20"/>
                <w:szCs w:val="20"/>
                <w:color w:val="auto"/>
              </w:rPr>
            </w:pPr>
            <w:r>
              <w:rPr>
                <w:rFonts w:ascii="Arial" w:cs="Arial" w:eastAsia="Arial" w:hAnsi="Arial"/>
                <w:sz w:val="18"/>
                <w:szCs w:val="18"/>
                <w:color w:val="auto"/>
              </w:rPr>
              <w:t>-</w:t>
            </w:r>
          </w:p>
        </w:tc>
        <w:tc>
          <w:tcPr>
            <w:tcW w:w="15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8,573</w:t>
            </w:r>
          </w:p>
        </w:tc>
        <w:tc>
          <w:tcPr>
            <w:tcW w:w="0" w:type="dxa"/>
            <w:vAlign w:val="bottom"/>
          </w:tcPr>
          <w:p>
            <w:pPr>
              <w:spacing w:after="0"/>
              <w:rPr>
                <w:sz w:val="1"/>
                <w:szCs w:val="1"/>
                <w:color w:val="auto"/>
              </w:rPr>
            </w:pPr>
          </w:p>
        </w:tc>
      </w:tr>
      <w:tr>
        <w:trPr>
          <w:trHeight w:val="203"/>
        </w:trPr>
        <w:tc>
          <w:tcPr>
            <w:tcW w:w="4840" w:type="dxa"/>
            <w:vAlign w:val="bottom"/>
          </w:tcPr>
          <w:p>
            <w:pPr>
              <w:spacing w:after="0" w:line="202" w:lineRule="exact"/>
              <w:rPr>
                <w:sz w:val="20"/>
                <w:szCs w:val="20"/>
                <w:color w:val="auto"/>
              </w:rPr>
            </w:pPr>
            <w:r>
              <w:rPr>
                <w:rFonts w:ascii="Arial" w:cs="Arial" w:eastAsia="Arial" w:hAnsi="Arial"/>
                <w:sz w:val="18"/>
                <w:szCs w:val="18"/>
                <w:color w:val="auto"/>
              </w:rPr>
              <w:t>Foreign currency revaluation losses</w:t>
            </w:r>
          </w:p>
        </w:tc>
        <w:tc>
          <w:tcPr>
            <w:tcW w:w="1680" w:type="dxa"/>
            <w:vAlign w:val="bottom"/>
          </w:tcPr>
          <w:p>
            <w:pPr>
              <w:jc w:val="right"/>
              <w:ind w:right="230"/>
              <w:spacing w:after="0" w:line="202" w:lineRule="exact"/>
              <w:rPr>
                <w:sz w:val="20"/>
                <w:szCs w:val="20"/>
                <w:color w:val="auto"/>
              </w:rPr>
            </w:pPr>
            <w:r>
              <w:rPr>
                <w:rFonts w:ascii="Arial" w:cs="Arial" w:eastAsia="Arial" w:hAnsi="Arial"/>
                <w:sz w:val="18"/>
                <w:szCs w:val="18"/>
                <w:color w:val="auto"/>
              </w:rPr>
              <w:t>1,517</w:t>
            </w:r>
          </w:p>
        </w:tc>
        <w:tc>
          <w:tcPr>
            <w:tcW w:w="1700" w:type="dxa"/>
            <w:vAlign w:val="bottom"/>
          </w:tcPr>
          <w:p>
            <w:pPr>
              <w:jc w:val="right"/>
              <w:ind w:right="210"/>
              <w:spacing w:after="0" w:line="202" w:lineRule="exact"/>
              <w:rPr>
                <w:sz w:val="20"/>
                <w:szCs w:val="20"/>
                <w:color w:val="auto"/>
              </w:rPr>
            </w:pPr>
            <w:r>
              <w:rPr>
                <w:rFonts w:ascii="Arial" w:cs="Arial" w:eastAsia="Arial" w:hAnsi="Arial"/>
                <w:sz w:val="18"/>
                <w:szCs w:val="18"/>
                <w:color w:val="auto"/>
              </w:rPr>
              <w:t>186</w:t>
            </w:r>
          </w:p>
        </w:tc>
        <w:tc>
          <w:tcPr>
            <w:tcW w:w="1680" w:type="dxa"/>
            <w:vAlign w:val="bottom"/>
          </w:tcPr>
          <w:p>
            <w:pPr>
              <w:jc w:val="right"/>
              <w:ind w:right="190"/>
              <w:spacing w:after="0" w:line="202" w:lineRule="exact"/>
              <w:rPr>
                <w:sz w:val="20"/>
                <w:szCs w:val="20"/>
                <w:color w:val="auto"/>
              </w:rPr>
            </w:pPr>
            <w:r>
              <w:rPr>
                <w:rFonts w:ascii="Arial" w:cs="Arial" w:eastAsia="Arial" w:hAnsi="Arial"/>
                <w:sz w:val="18"/>
                <w:szCs w:val="18"/>
                <w:color w:val="auto"/>
              </w:rPr>
              <w:t>687</w:t>
            </w:r>
          </w:p>
        </w:tc>
        <w:tc>
          <w:tcPr>
            <w:tcW w:w="15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2,390</w:t>
            </w:r>
          </w:p>
        </w:tc>
        <w:tc>
          <w:tcPr>
            <w:tcW w:w="0" w:type="dxa"/>
            <w:vAlign w:val="bottom"/>
          </w:tcPr>
          <w:p>
            <w:pPr>
              <w:spacing w:after="0"/>
              <w:rPr>
                <w:sz w:val="1"/>
                <w:szCs w:val="1"/>
                <w:color w:val="auto"/>
              </w:rPr>
            </w:pPr>
          </w:p>
        </w:tc>
      </w:tr>
      <w:tr>
        <w:trPr>
          <w:trHeight w:val="203"/>
        </w:trPr>
        <w:tc>
          <w:tcPr>
            <w:tcW w:w="4840" w:type="dxa"/>
            <w:vAlign w:val="bottom"/>
          </w:tcPr>
          <w:p>
            <w:pPr>
              <w:spacing w:after="0" w:line="202" w:lineRule="exact"/>
              <w:rPr>
                <w:sz w:val="20"/>
                <w:szCs w:val="20"/>
                <w:color w:val="auto"/>
              </w:rPr>
            </w:pPr>
            <w:r>
              <w:rPr>
                <w:rFonts w:ascii="Arial" w:cs="Arial" w:eastAsia="Arial" w:hAnsi="Arial"/>
                <w:sz w:val="18"/>
                <w:szCs w:val="18"/>
                <w:color w:val="auto"/>
              </w:rPr>
              <w:t>Pretax income attributable to the noncontrolling interest</w:t>
            </w:r>
          </w:p>
        </w:tc>
        <w:tc>
          <w:tcPr>
            <w:tcW w:w="16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40" w:type="dxa"/>
            <w:vAlign w:val="bottom"/>
            <w:tcBorders>
              <w:bottom w:val="single" w:sz="8" w:color="auto"/>
            </w:tcBorders>
          </w:tcPr>
          <w:p>
            <w:pPr>
              <w:spacing w:after="0" w:line="203" w:lineRule="exact"/>
              <w:rPr>
                <w:sz w:val="20"/>
                <w:szCs w:val="20"/>
                <w:color w:val="auto"/>
              </w:rPr>
            </w:pPr>
            <w:r>
              <w:rPr>
                <w:rFonts w:ascii="Arial" w:cs="Arial" w:eastAsia="Arial" w:hAnsi="Arial"/>
                <w:sz w:val="18"/>
                <w:szCs w:val="18"/>
                <w:color w:val="auto"/>
              </w:rPr>
              <w:t>in ASC</w:t>
            </w:r>
          </w:p>
        </w:tc>
        <w:tc>
          <w:tcPr>
            <w:tcW w:w="1680" w:type="dxa"/>
            <w:vAlign w:val="bottom"/>
            <w:tcBorders>
              <w:bottom w:val="single" w:sz="8" w:color="auto"/>
            </w:tcBorders>
          </w:tcPr>
          <w:p>
            <w:pPr>
              <w:jc w:val="right"/>
              <w:ind w:right="230"/>
              <w:spacing w:after="0" w:line="203" w:lineRule="exact"/>
              <w:rPr>
                <w:sz w:val="20"/>
                <w:szCs w:val="20"/>
                <w:color w:val="auto"/>
              </w:rPr>
            </w:pPr>
            <w:r>
              <w:rPr>
                <w:rFonts w:ascii="Arial" w:cs="Arial" w:eastAsia="Arial" w:hAnsi="Arial"/>
                <w:sz w:val="18"/>
                <w:szCs w:val="18"/>
                <w:color w:val="auto"/>
              </w:rPr>
              <w:t>-</w:t>
            </w:r>
          </w:p>
        </w:tc>
        <w:tc>
          <w:tcPr>
            <w:tcW w:w="1700" w:type="dxa"/>
            <w:vAlign w:val="bottom"/>
            <w:tcBorders>
              <w:bottom w:val="single" w:sz="8" w:color="auto"/>
            </w:tcBorders>
          </w:tcPr>
          <w:p>
            <w:pPr>
              <w:jc w:val="right"/>
              <w:ind w:right="150"/>
              <w:spacing w:after="0" w:line="203" w:lineRule="exact"/>
              <w:rPr>
                <w:sz w:val="20"/>
                <w:szCs w:val="20"/>
                <w:color w:val="auto"/>
              </w:rPr>
            </w:pPr>
            <w:r>
              <w:rPr>
                <w:rFonts w:ascii="Arial" w:cs="Arial" w:eastAsia="Arial" w:hAnsi="Arial"/>
                <w:sz w:val="18"/>
                <w:szCs w:val="18"/>
                <w:color w:val="auto"/>
              </w:rPr>
              <w:t>(343)</w:t>
            </w:r>
          </w:p>
        </w:tc>
        <w:tc>
          <w:tcPr>
            <w:tcW w:w="1680" w:type="dxa"/>
            <w:vAlign w:val="bottom"/>
            <w:tcBorders>
              <w:bottom w:val="single" w:sz="8" w:color="auto"/>
            </w:tcBorders>
          </w:tcPr>
          <w:p>
            <w:pPr>
              <w:jc w:val="right"/>
              <w:ind w:right="190"/>
              <w:spacing w:after="0" w:line="203" w:lineRule="exact"/>
              <w:rPr>
                <w:sz w:val="20"/>
                <w:szCs w:val="20"/>
                <w:color w:val="auto"/>
              </w:rPr>
            </w:pPr>
            <w:r>
              <w:rPr>
                <w:rFonts w:ascii="Arial" w:cs="Arial" w:eastAsia="Arial" w:hAnsi="Arial"/>
                <w:sz w:val="18"/>
                <w:szCs w:val="18"/>
                <w:color w:val="auto"/>
              </w:rPr>
              <w:t>-</w:t>
            </w:r>
          </w:p>
        </w:tc>
        <w:tc>
          <w:tcPr>
            <w:tcW w:w="15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(343)</w:t>
            </w:r>
          </w:p>
        </w:tc>
        <w:tc>
          <w:tcPr>
            <w:tcW w:w="0" w:type="dxa"/>
            <w:vAlign w:val="bottom"/>
          </w:tcPr>
          <w:p>
            <w:pPr>
              <w:spacing w:after="0"/>
              <w:rPr>
                <w:sz w:val="1"/>
                <w:szCs w:val="1"/>
                <w:color w:val="auto"/>
              </w:rPr>
            </w:pPr>
          </w:p>
        </w:tc>
      </w:tr>
      <w:tr>
        <w:trPr>
          <w:trHeight w:val="196"/>
        </w:trPr>
        <w:tc>
          <w:tcPr>
            <w:tcW w:w="484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b w:val="1"/>
                <w:bCs w:val="1"/>
                <w:color w:val="auto"/>
              </w:rPr>
              <w:t>Adjusted EBITDA (non-GAAP)</w:t>
            </w:r>
          </w:p>
        </w:tc>
        <w:tc>
          <w:tcPr>
            <w:tcW w:w="1680" w:type="dxa"/>
            <w:vAlign w:val="bottom"/>
            <w:tcBorders>
              <w:bottom w:val="single" w:sz="8" w:color="auto"/>
            </w:tcBorders>
          </w:tcPr>
          <w:p>
            <w:pPr>
              <w:jc w:val="right"/>
              <w:ind w:right="230"/>
              <w:spacing w:after="0" w:line="196" w:lineRule="exact"/>
              <w:rPr>
                <w:sz w:val="20"/>
                <w:szCs w:val="20"/>
                <w:color w:val="auto"/>
              </w:rPr>
            </w:pPr>
            <w:r>
              <w:rPr>
                <w:rFonts w:ascii="Arial" w:cs="Arial" w:eastAsia="Arial" w:hAnsi="Arial"/>
                <w:sz w:val="18"/>
                <w:szCs w:val="18"/>
                <w:b w:val="1"/>
                <w:bCs w:val="1"/>
                <w:color w:val="auto"/>
              </w:rPr>
              <w:t>$49,000</w:t>
            </w:r>
          </w:p>
        </w:tc>
        <w:tc>
          <w:tcPr>
            <w:tcW w:w="1700" w:type="dxa"/>
            <w:vAlign w:val="bottom"/>
            <w:tcBorders>
              <w:bottom w:val="single" w:sz="8" w:color="auto"/>
            </w:tcBorders>
          </w:tcPr>
          <w:p>
            <w:pPr>
              <w:jc w:val="right"/>
              <w:ind w:right="210"/>
              <w:spacing w:after="0" w:line="196" w:lineRule="exact"/>
              <w:rPr>
                <w:sz w:val="20"/>
                <w:szCs w:val="20"/>
                <w:color w:val="auto"/>
              </w:rPr>
            </w:pPr>
            <w:r>
              <w:rPr>
                <w:rFonts w:ascii="Arial" w:cs="Arial" w:eastAsia="Arial" w:hAnsi="Arial"/>
                <w:sz w:val="18"/>
                <w:szCs w:val="18"/>
                <w:b w:val="1"/>
                <w:bCs w:val="1"/>
                <w:color w:val="auto"/>
              </w:rPr>
              <w:t>$13,495</w:t>
            </w:r>
          </w:p>
        </w:tc>
        <w:tc>
          <w:tcPr>
            <w:tcW w:w="1680" w:type="dxa"/>
            <w:vAlign w:val="bottom"/>
            <w:tcBorders>
              <w:bottom w:val="single" w:sz="8" w:color="auto"/>
            </w:tcBorders>
          </w:tcPr>
          <w:p>
            <w:pPr>
              <w:jc w:val="right"/>
              <w:ind w:right="130"/>
              <w:spacing w:after="0" w:line="196" w:lineRule="exact"/>
              <w:rPr>
                <w:sz w:val="20"/>
                <w:szCs w:val="20"/>
                <w:color w:val="auto"/>
              </w:rPr>
            </w:pPr>
            <w:r>
              <w:rPr>
                <w:rFonts w:ascii="Arial" w:cs="Arial" w:eastAsia="Arial" w:hAnsi="Arial"/>
                <w:sz w:val="18"/>
                <w:szCs w:val="18"/>
                <w:b w:val="1"/>
                <w:bCs w:val="1"/>
                <w:color w:val="auto"/>
              </w:rPr>
              <w:t>($11,548)</w:t>
            </w:r>
          </w:p>
        </w:tc>
        <w:tc>
          <w:tcPr>
            <w:tcW w:w="152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b w:val="1"/>
                <w:bCs w:val="1"/>
                <w:color w:val="auto"/>
              </w:rPr>
              <w:t>$50,947</w:t>
            </w:r>
          </w:p>
        </w:tc>
        <w:tc>
          <w:tcPr>
            <w:tcW w:w="0" w:type="dxa"/>
            <w:vAlign w:val="bottom"/>
          </w:tcPr>
          <w:p>
            <w:pPr>
              <w:spacing w:after="0"/>
              <w:rPr>
                <w:sz w:val="1"/>
                <w:szCs w:val="1"/>
                <w:color w:val="auto"/>
              </w:rPr>
            </w:pPr>
          </w:p>
        </w:tc>
      </w:tr>
      <w:tr>
        <w:trPr>
          <w:trHeight w:val="628"/>
        </w:trPr>
        <w:tc>
          <w:tcPr>
            <w:tcW w:w="4840" w:type="dxa"/>
            <w:vAlign w:val="bottom"/>
          </w:tcPr>
          <w:p>
            <w:pPr>
              <w:spacing w:after="0"/>
              <w:rPr>
                <w:sz w:val="24"/>
                <w:szCs w:val="24"/>
                <w:color w:val="auto"/>
              </w:rPr>
            </w:pPr>
          </w:p>
        </w:tc>
        <w:tc>
          <w:tcPr>
            <w:tcW w:w="1680" w:type="dxa"/>
            <w:vAlign w:val="bottom"/>
          </w:tcPr>
          <w:p>
            <w:pPr>
              <w:jc w:val="right"/>
              <w:ind w:right="630"/>
              <w:spacing w:after="0"/>
              <w:rPr>
                <w:sz w:val="20"/>
                <w:szCs w:val="20"/>
                <w:color w:val="auto"/>
              </w:rPr>
            </w:pPr>
            <w:r>
              <w:rPr>
                <w:rFonts w:ascii="Arial" w:cs="Arial" w:eastAsia="Arial" w:hAnsi="Arial"/>
                <w:sz w:val="18"/>
                <w:szCs w:val="18"/>
                <w:color w:val="auto"/>
              </w:rPr>
              <w:t>52</w:t>
            </w:r>
          </w:p>
        </w:tc>
        <w:tc>
          <w:tcPr>
            <w:tcW w:w="17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4840" w:type="dxa"/>
            <w:vAlign w:val="bottom"/>
            <w:tcBorders>
              <w:bottom w:val="single" w:sz="8" w:color="auto"/>
            </w:tcBorders>
          </w:tcPr>
          <w:p>
            <w:pPr>
              <w:spacing w:after="0"/>
              <w:rPr>
                <w:sz w:val="12"/>
                <w:szCs w:val="12"/>
                <w:color w:val="auto"/>
              </w:rPr>
            </w:pPr>
          </w:p>
        </w:tc>
        <w:tc>
          <w:tcPr>
            <w:tcW w:w="1680" w:type="dxa"/>
            <w:vAlign w:val="bottom"/>
            <w:tcBorders>
              <w:bottom w:val="single" w:sz="8" w:color="auto"/>
            </w:tcBorders>
          </w:tcPr>
          <w:p>
            <w:pPr>
              <w:spacing w:after="0"/>
              <w:rPr>
                <w:sz w:val="12"/>
                <w:szCs w:val="12"/>
                <w:color w:val="auto"/>
              </w:rPr>
            </w:pPr>
          </w:p>
        </w:tc>
        <w:tc>
          <w:tcPr>
            <w:tcW w:w="1700" w:type="dxa"/>
            <w:vAlign w:val="bottom"/>
            <w:tcBorders>
              <w:bottom w:val="single" w:sz="8" w:color="auto"/>
            </w:tcBorders>
          </w:tcPr>
          <w:p>
            <w:pPr>
              <w:spacing w:after="0"/>
              <w:rPr>
                <w:sz w:val="12"/>
                <w:szCs w:val="12"/>
                <w:color w:val="auto"/>
              </w:rPr>
            </w:pPr>
          </w:p>
        </w:tc>
        <w:tc>
          <w:tcPr>
            <w:tcW w:w="1680" w:type="dxa"/>
            <w:vAlign w:val="bottom"/>
            <w:tcBorders>
              <w:bottom w:val="single" w:sz="8" w:color="auto"/>
            </w:tcBorders>
          </w:tcPr>
          <w:p>
            <w:pPr>
              <w:spacing w:after="0"/>
              <w:rPr>
                <w:sz w:val="12"/>
                <w:szCs w:val="12"/>
                <w:color w:val="auto"/>
              </w:rPr>
            </w:pPr>
          </w:p>
        </w:tc>
        <w:tc>
          <w:tcPr>
            <w:tcW w:w="15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00" w:right="239" w:bottom="1440" w:gutter="0" w:footer="0" w:header="0"/>
        </w:sectPr>
      </w:pPr>
    </w:p>
    <w:bookmarkStart w:id="52" w:name="page53"/>
    <w:bookmarkEnd w:id="5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484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Three months ended March 31, 2017</w:t>
            </w:r>
          </w:p>
        </w:tc>
        <w:tc>
          <w:tcPr>
            <w:tcW w:w="1680" w:type="dxa"/>
            <w:vAlign w:val="bottom"/>
            <w:tcBorders>
              <w:top w:val="single" w:sz="8" w:color="auto"/>
            </w:tcBorders>
          </w:tcPr>
          <w:p>
            <w:pPr>
              <w:spacing w:after="0"/>
              <w:rPr>
                <w:sz w:val="21"/>
                <w:szCs w:val="21"/>
                <w:color w:val="auto"/>
              </w:rPr>
            </w:pPr>
          </w:p>
        </w:tc>
        <w:tc>
          <w:tcPr>
            <w:tcW w:w="1700" w:type="dxa"/>
            <w:vAlign w:val="bottom"/>
            <w:tcBorders>
              <w:top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9"/>
              </w:rPr>
              <w:t>Albany</w:t>
            </w:r>
          </w:p>
        </w:tc>
        <w:tc>
          <w:tcPr>
            <w:tcW w:w="1680" w:type="dxa"/>
            <w:vAlign w:val="bottom"/>
            <w:tcBorders>
              <w:top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9"/>
              </w:rPr>
              <w:t>Corporate</w:t>
            </w:r>
          </w:p>
        </w:tc>
        <w:tc>
          <w:tcPr>
            <w:tcW w:w="152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43"/>
        </w:trPr>
        <w:tc>
          <w:tcPr>
            <w:tcW w:w="484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700" w:type="dxa"/>
            <w:vAlign w:val="bottom"/>
            <w:vMerge w:val="continue"/>
          </w:tcPr>
          <w:p>
            <w:pPr>
              <w:spacing w:after="0"/>
              <w:rPr>
                <w:sz w:val="12"/>
                <w:szCs w:val="12"/>
                <w:color w:val="auto"/>
              </w:rPr>
            </w:pPr>
          </w:p>
        </w:tc>
        <w:tc>
          <w:tcPr>
            <w:tcW w:w="1680" w:type="dxa"/>
            <w:vAlign w:val="bottom"/>
            <w:vMerge w:val="continue"/>
          </w:tcPr>
          <w:p>
            <w:pPr>
              <w:spacing w:after="0"/>
              <w:rPr>
                <w:sz w:val="12"/>
                <w:szCs w:val="12"/>
                <w:color w:val="auto"/>
              </w:rPr>
            </w:pPr>
          </w:p>
        </w:tc>
        <w:tc>
          <w:tcPr>
            <w:tcW w:w="1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4840" w:type="dxa"/>
            <w:vAlign w:val="bottom"/>
          </w:tcPr>
          <w:p>
            <w:pPr>
              <w:spacing w:after="0"/>
              <w:rPr>
                <w:sz w:val="17"/>
                <w:szCs w:val="17"/>
                <w:color w:val="auto"/>
              </w:rPr>
            </w:pPr>
          </w:p>
        </w:tc>
        <w:tc>
          <w:tcPr>
            <w:tcW w:w="1680" w:type="dxa"/>
            <w:vAlign w:val="bottom"/>
          </w:tcPr>
          <w:p>
            <w:pPr>
              <w:jc w:val="right"/>
              <w:ind w:right="450"/>
              <w:spacing w:after="0" w:line="202" w:lineRule="exact"/>
              <w:rPr>
                <w:sz w:val="20"/>
                <w:szCs w:val="20"/>
                <w:color w:val="auto"/>
              </w:rPr>
            </w:pPr>
            <w:r>
              <w:rPr>
                <w:rFonts w:ascii="Arial" w:cs="Arial" w:eastAsia="Arial" w:hAnsi="Arial"/>
                <w:sz w:val="18"/>
                <w:szCs w:val="18"/>
                <w:b w:val="1"/>
                <w:bCs w:val="1"/>
                <w:color w:val="auto"/>
              </w:rPr>
              <w:t>Machine</w:t>
            </w:r>
          </w:p>
        </w:tc>
        <w:tc>
          <w:tcPr>
            <w:tcW w:w="170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Engineered</w:t>
            </w:r>
          </w:p>
        </w:tc>
        <w:tc>
          <w:tcPr>
            <w:tcW w:w="168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rPr>
              <w:t>expenses and</w:t>
            </w:r>
          </w:p>
        </w:tc>
        <w:tc>
          <w:tcPr>
            <w:tcW w:w="1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48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(in thousands)</w:t>
            </w:r>
          </w:p>
        </w:tc>
        <w:tc>
          <w:tcPr>
            <w:tcW w:w="16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Clothing</w:t>
            </w: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rPr>
              <w:t>Composites</w:t>
            </w: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other</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Total Company</w:t>
            </w:r>
          </w:p>
        </w:tc>
        <w:tc>
          <w:tcPr>
            <w:tcW w:w="0" w:type="dxa"/>
            <w:vAlign w:val="bottom"/>
          </w:tcPr>
          <w:p>
            <w:pPr>
              <w:spacing w:after="0"/>
              <w:rPr>
                <w:sz w:val="1"/>
                <w:szCs w:val="1"/>
                <w:color w:val="auto"/>
              </w:rPr>
            </w:pPr>
          </w:p>
        </w:tc>
      </w:tr>
      <w:tr>
        <w:trPr>
          <w:trHeight w:val="195"/>
        </w:trPr>
        <w:tc>
          <w:tcPr>
            <w:tcW w:w="4840" w:type="dxa"/>
            <w:vAlign w:val="bottom"/>
          </w:tcPr>
          <w:p>
            <w:pPr>
              <w:spacing w:after="0" w:line="195" w:lineRule="exact"/>
              <w:rPr>
                <w:sz w:val="20"/>
                <w:szCs w:val="20"/>
                <w:color w:val="auto"/>
              </w:rPr>
            </w:pPr>
            <w:r>
              <w:rPr>
                <w:rFonts w:ascii="Arial" w:cs="Arial" w:eastAsia="Arial" w:hAnsi="Arial"/>
                <w:sz w:val="18"/>
                <w:szCs w:val="18"/>
                <w:b w:val="1"/>
                <w:bCs w:val="1"/>
                <w:color w:val="auto"/>
              </w:rPr>
              <w:t>Operating income/(loss) (GAAP)</w:t>
            </w:r>
          </w:p>
        </w:tc>
        <w:tc>
          <w:tcPr>
            <w:tcW w:w="1680" w:type="dxa"/>
            <w:vAlign w:val="bottom"/>
          </w:tcPr>
          <w:p>
            <w:pPr>
              <w:jc w:val="right"/>
              <w:ind w:right="230"/>
              <w:spacing w:after="0" w:line="195" w:lineRule="exact"/>
              <w:rPr>
                <w:sz w:val="20"/>
                <w:szCs w:val="20"/>
                <w:color w:val="auto"/>
              </w:rPr>
            </w:pPr>
            <w:r>
              <w:rPr>
                <w:rFonts w:ascii="Arial" w:cs="Arial" w:eastAsia="Arial" w:hAnsi="Arial"/>
                <w:sz w:val="18"/>
                <w:szCs w:val="18"/>
                <w:b w:val="1"/>
                <w:bCs w:val="1"/>
                <w:color w:val="auto"/>
              </w:rPr>
              <w:t>$38,263</w:t>
            </w:r>
          </w:p>
        </w:tc>
        <w:tc>
          <w:tcPr>
            <w:tcW w:w="1700" w:type="dxa"/>
            <w:vAlign w:val="bottom"/>
          </w:tcPr>
          <w:p>
            <w:pPr>
              <w:jc w:val="right"/>
              <w:ind w:right="150"/>
              <w:spacing w:after="0" w:line="195" w:lineRule="exact"/>
              <w:rPr>
                <w:sz w:val="20"/>
                <w:szCs w:val="20"/>
                <w:color w:val="auto"/>
              </w:rPr>
            </w:pPr>
            <w:r>
              <w:rPr>
                <w:rFonts w:ascii="Arial" w:cs="Arial" w:eastAsia="Arial" w:hAnsi="Arial"/>
                <w:sz w:val="18"/>
                <w:szCs w:val="18"/>
                <w:b w:val="1"/>
                <w:bCs w:val="1"/>
                <w:color w:val="auto"/>
              </w:rPr>
              <w:t>($5,114)</w:t>
            </w:r>
          </w:p>
        </w:tc>
        <w:tc>
          <w:tcPr>
            <w:tcW w:w="1680" w:type="dxa"/>
            <w:vAlign w:val="bottom"/>
          </w:tcPr>
          <w:p>
            <w:pPr>
              <w:jc w:val="right"/>
              <w:ind w:right="130"/>
              <w:spacing w:after="0" w:line="195" w:lineRule="exact"/>
              <w:rPr>
                <w:sz w:val="20"/>
                <w:szCs w:val="20"/>
                <w:color w:val="auto"/>
              </w:rPr>
            </w:pPr>
            <w:r>
              <w:rPr>
                <w:rFonts w:ascii="Arial" w:cs="Arial" w:eastAsia="Arial" w:hAnsi="Arial"/>
                <w:sz w:val="18"/>
                <w:szCs w:val="18"/>
                <w:b w:val="1"/>
                <w:bCs w:val="1"/>
                <w:color w:val="auto"/>
              </w:rPr>
              <w:t>($10,471)</w:t>
            </w:r>
          </w:p>
        </w:tc>
        <w:tc>
          <w:tcPr>
            <w:tcW w:w="1520" w:type="dxa"/>
            <w:vAlign w:val="bottom"/>
          </w:tcPr>
          <w:p>
            <w:pPr>
              <w:jc w:val="right"/>
              <w:ind w:right="10"/>
              <w:spacing w:after="0" w:line="195" w:lineRule="exact"/>
              <w:rPr>
                <w:sz w:val="20"/>
                <w:szCs w:val="20"/>
                <w:color w:val="auto"/>
              </w:rPr>
            </w:pPr>
            <w:r>
              <w:rPr>
                <w:rFonts w:ascii="Arial" w:cs="Arial" w:eastAsia="Arial" w:hAnsi="Arial"/>
                <w:sz w:val="18"/>
                <w:szCs w:val="18"/>
                <w:b w:val="1"/>
                <w:bCs w:val="1"/>
                <w:color w:val="auto"/>
              </w:rPr>
              <w:t>$22,678</w:t>
            </w:r>
          </w:p>
        </w:tc>
        <w:tc>
          <w:tcPr>
            <w:tcW w:w="0" w:type="dxa"/>
            <w:vAlign w:val="bottom"/>
          </w:tcPr>
          <w:p>
            <w:pPr>
              <w:spacing w:after="0"/>
              <w:rPr>
                <w:sz w:val="1"/>
                <w:szCs w:val="1"/>
                <w:color w:val="auto"/>
              </w:rPr>
            </w:pPr>
          </w:p>
        </w:tc>
      </w:tr>
      <w:tr>
        <w:trPr>
          <w:trHeight w:val="181"/>
        </w:trPr>
        <w:tc>
          <w:tcPr>
            <w:tcW w:w="4840" w:type="dxa"/>
            <w:vAlign w:val="bottom"/>
          </w:tcPr>
          <w:p>
            <w:pPr>
              <w:spacing w:after="0" w:line="181" w:lineRule="exact"/>
              <w:rPr>
                <w:sz w:val="20"/>
                <w:szCs w:val="20"/>
                <w:color w:val="auto"/>
              </w:rPr>
            </w:pPr>
            <w:r>
              <w:rPr>
                <w:rFonts w:ascii="Arial" w:cs="Arial" w:eastAsia="Arial" w:hAnsi="Arial"/>
                <w:sz w:val="18"/>
                <w:szCs w:val="18"/>
                <w:color w:val="auto"/>
              </w:rPr>
              <w:t>Interest, taxes, other income/expense</w:t>
            </w:r>
          </w:p>
        </w:tc>
        <w:tc>
          <w:tcPr>
            <w:tcW w:w="1680" w:type="dxa"/>
            <w:vAlign w:val="bottom"/>
          </w:tcPr>
          <w:p>
            <w:pPr>
              <w:jc w:val="right"/>
              <w:ind w:right="230"/>
              <w:spacing w:after="0" w:line="181" w:lineRule="exact"/>
              <w:rPr>
                <w:sz w:val="20"/>
                <w:szCs w:val="20"/>
                <w:color w:val="auto"/>
              </w:rPr>
            </w:pPr>
            <w:r>
              <w:rPr>
                <w:rFonts w:ascii="Arial" w:cs="Arial" w:eastAsia="Arial" w:hAnsi="Arial"/>
                <w:sz w:val="18"/>
                <w:szCs w:val="18"/>
                <w:color w:val="auto"/>
              </w:rPr>
              <w:t>-</w:t>
            </w:r>
          </w:p>
        </w:tc>
        <w:tc>
          <w:tcPr>
            <w:tcW w:w="1700" w:type="dxa"/>
            <w:vAlign w:val="bottom"/>
          </w:tcPr>
          <w:p>
            <w:pPr>
              <w:jc w:val="right"/>
              <w:ind w:right="210"/>
              <w:spacing w:after="0" w:line="181" w:lineRule="exact"/>
              <w:rPr>
                <w:sz w:val="20"/>
                <w:szCs w:val="20"/>
                <w:color w:val="auto"/>
              </w:rPr>
            </w:pPr>
            <w:r>
              <w:rPr>
                <w:rFonts w:ascii="Arial" w:cs="Arial" w:eastAsia="Arial" w:hAnsi="Arial"/>
                <w:sz w:val="18"/>
                <w:szCs w:val="18"/>
                <w:color w:val="auto"/>
              </w:rPr>
              <w:t>-</w:t>
            </w:r>
          </w:p>
        </w:tc>
        <w:tc>
          <w:tcPr>
            <w:tcW w:w="1680" w:type="dxa"/>
            <w:vAlign w:val="bottom"/>
          </w:tcPr>
          <w:p>
            <w:pPr>
              <w:jc w:val="right"/>
              <w:ind w:right="130"/>
              <w:spacing w:after="0" w:line="181" w:lineRule="exact"/>
              <w:rPr>
                <w:sz w:val="20"/>
                <w:szCs w:val="20"/>
                <w:color w:val="auto"/>
              </w:rPr>
            </w:pPr>
            <w:r>
              <w:rPr>
                <w:rFonts w:ascii="Arial" w:cs="Arial" w:eastAsia="Arial" w:hAnsi="Arial"/>
                <w:sz w:val="18"/>
                <w:szCs w:val="18"/>
                <w:color w:val="auto"/>
              </w:rPr>
              <w:t>(11,704)</w:t>
            </w:r>
          </w:p>
        </w:tc>
        <w:tc>
          <w:tcPr>
            <w:tcW w:w="1520" w:type="dxa"/>
            <w:vAlign w:val="bottom"/>
          </w:tcPr>
          <w:p>
            <w:pPr>
              <w:jc w:val="right"/>
              <w:spacing w:after="0" w:line="181" w:lineRule="exact"/>
              <w:rPr>
                <w:sz w:val="20"/>
                <w:szCs w:val="20"/>
                <w:color w:val="auto"/>
              </w:rPr>
            </w:pPr>
            <w:r>
              <w:rPr>
                <w:rFonts w:ascii="Arial" w:cs="Arial" w:eastAsia="Arial" w:hAnsi="Arial"/>
                <w:sz w:val="18"/>
                <w:szCs w:val="18"/>
                <w:color w:val="auto"/>
              </w:rPr>
              <w:t>(11,704)</w:t>
            </w:r>
          </w:p>
        </w:tc>
        <w:tc>
          <w:tcPr>
            <w:tcW w:w="0" w:type="dxa"/>
            <w:vAlign w:val="bottom"/>
          </w:tcPr>
          <w:p>
            <w:pPr>
              <w:spacing w:after="0"/>
              <w:rPr>
                <w:sz w:val="1"/>
                <w:szCs w:val="1"/>
                <w:color w:val="auto"/>
              </w:rPr>
            </w:pPr>
          </w:p>
        </w:tc>
      </w:tr>
      <w:tr>
        <w:trPr>
          <w:trHeight w:val="225"/>
        </w:trPr>
        <w:tc>
          <w:tcPr>
            <w:tcW w:w="4840" w:type="dxa"/>
            <w:vAlign w:val="bottom"/>
          </w:tcPr>
          <w:p>
            <w:pPr>
              <w:spacing w:after="0"/>
              <w:rPr>
                <w:sz w:val="20"/>
                <w:szCs w:val="20"/>
                <w:color w:val="auto"/>
              </w:rPr>
            </w:pPr>
            <w:r>
              <w:rPr>
                <w:rFonts w:ascii="Arial" w:cs="Arial" w:eastAsia="Arial" w:hAnsi="Arial"/>
                <w:sz w:val="18"/>
                <w:szCs w:val="18"/>
                <w:b w:val="1"/>
                <w:bCs w:val="1"/>
                <w:color w:val="auto"/>
              </w:rPr>
              <w:t>Net income/(loss) (GAAP)</w:t>
            </w:r>
          </w:p>
        </w:tc>
        <w:tc>
          <w:tcPr>
            <w:tcW w:w="1680" w:type="dxa"/>
            <w:vAlign w:val="bottom"/>
          </w:tcPr>
          <w:p>
            <w:pPr>
              <w:jc w:val="right"/>
              <w:ind w:right="230"/>
              <w:spacing w:after="0"/>
              <w:rPr>
                <w:sz w:val="20"/>
                <w:szCs w:val="20"/>
                <w:color w:val="auto"/>
              </w:rPr>
            </w:pPr>
            <w:r>
              <w:rPr>
                <w:rFonts w:ascii="Arial" w:cs="Arial" w:eastAsia="Arial" w:hAnsi="Arial"/>
                <w:sz w:val="18"/>
                <w:szCs w:val="18"/>
                <w:b w:val="1"/>
                <w:bCs w:val="1"/>
                <w:color w:val="auto"/>
              </w:rPr>
              <w:t>38,263</w:t>
            </w:r>
          </w:p>
        </w:tc>
        <w:tc>
          <w:tcPr>
            <w:tcW w:w="1700" w:type="dxa"/>
            <w:vAlign w:val="bottom"/>
          </w:tcPr>
          <w:p>
            <w:pPr>
              <w:jc w:val="right"/>
              <w:ind w:right="150"/>
              <w:spacing w:after="0"/>
              <w:rPr>
                <w:sz w:val="20"/>
                <w:szCs w:val="20"/>
                <w:color w:val="auto"/>
              </w:rPr>
            </w:pPr>
            <w:r>
              <w:rPr>
                <w:rFonts w:ascii="Arial" w:cs="Arial" w:eastAsia="Arial" w:hAnsi="Arial"/>
                <w:sz w:val="18"/>
                <w:szCs w:val="18"/>
                <w:b w:val="1"/>
                <w:bCs w:val="1"/>
                <w:color w:val="auto"/>
              </w:rPr>
              <w:t>(5,114)</w:t>
            </w:r>
          </w:p>
        </w:tc>
        <w:tc>
          <w:tcPr>
            <w:tcW w:w="1680" w:type="dxa"/>
            <w:vAlign w:val="bottom"/>
          </w:tcPr>
          <w:p>
            <w:pPr>
              <w:jc w:val="right"/>
              <w:ind w:right="130"/>
              <w:spacing w:after="0"/>
              <w:rPr>
                <w:sz w:val="20"/>
                <w:szCs w:val="20"/>
                <w:color w:val="auto"/>
              </w:rPr>
            </w:pPr>
            <w:r>
              <w:rPr>
                <w:rFonts w:ascii="Arial" w:cs="Arial" w:eastAsia="Arial" w:hAnsi="Arial"/>
                <w:sz w:val="18"/>
                <w:szCs w:val="18"/>
                <w:b w:val="1"/>
                <w:bCs w:val="1"/>
                <w:color w:val="auto"/>
              </w:rPr>
              <w:t>(22,175)</w:t>
            </w:r>
          </w:p>
        </w:tc>
        <w:tc>
          <w:tcPr>
            <w:tcW w:w="1520" w:type="dxa"/>
            <w:vAlign w:val="bottom"/>
          </w:tcPr>
          <w:p>
            <w:pPr>
              <w:jc w:val="right"/>
              <w:ind w:right="10"/>
              <w:spacing w:after="0"/>
              <w:rPr>
                <w:sz w:val="20"/>
                <w:szCs w:val="20"/>
                <w:color w:val="auto"/>
              </w:rPr>
            </w:pPr>
            <w:r>
              <w:rPr>
                <w:rFonts w:ascii="Arial" w:cs="Arial" w:eastAsia="Arial" w:hAnsi="Arial"/>
                <w:sz w:val="18"/>
                <w:szCs w:val="18"/>
                <w:b w:val="1"/>
                <w:bCs w:val="1"/>
                <w:color w:val="auto"/>
              </w:rPr>
              <w:t>10,974</w:t>
            </w:r>
          </w:p>
        </w:tc>
        <w:tc>
          <w:tcPr>
            <w:tcW w:w="0" w:type="dxa"/>
            <w:vAlign w:val="bottom"/>
          </w:tcPr>
          <w:p>
            <w:pPr>
              <w:spacing w:after="0"/>
              <w:rPr>
                <w:sz w:val="1"/>
                <w:szCs w:val="1"/>
                <w:color w:val="auto"/>
              </w:rPr>
            </w:pPr>
          </w:p>
        </w:tc>
      </w:tr>
      <w:tr>
        <w:trPr>
          <w:trHeight w:val="203"/>
        </w:trPr>
        <w:tc>
          <w:tcPr>
            <w:tcW w:w="4840" w:type="dxa"/>
            <w:vAlign w:val="bottom"/>
          </w:tcPr>
          <w:p>
            <w:pPr>
              <w:spacing w:after="0" w:line="202" w:lineRule="exact"/>
              <w:rPr>
                <w:sz w:val="20"/>
                <w:szCs w:val="20"/>
                <w:color w:val="auto"/>
              </w:rPr>
            </w:pPr>
            <w:r>
              <w:rPr>
                <w:rFonts w:ascii="Arial" w:cs="Arial" w:eastAsia="Arial" w:hAnsi="Arial"/>
                <w:sz w:val="18"/>
                <w:szCs w:val="18"/>
                <w:color w:val="auto"/>
              </w:rPr>
              <w:t>Interest expense, net</w:t>
            </w:r>
          </w:p>
        </w:tc>
        <w:tc>
          <w:tcPr>
            <w:tcW w:w="1680" w:type="dxa"/>
            <w:vAlign w:val="bottom"/>
          </w:tcPr>
          <w:p>
            <w:pPr>
              <w:jc w:val="right"/>
              <w:ind w:right="230"/>
              <w:spacing w:after="0" w:line="202" w:lineRule="exact"/>
              <w:rPr>
                <w:sz w:val="20"/>
                <w:szCs w:val="20"/>
                <w:color w:val="auto"/>
              </w:rPr>
            </w:pPr>
            <w:r>
              <w:rPr>
                <w:rFonts w:ascii="Arial" w:cs="Arial" w:eastAsia="Arial" w:hAnsi="Arial"/>
                <w:sz w:val="18"/>
                <w:szCs w:val="18"/>
                <w:color w:val="auto"/>
              </w:rPr>
              <w:t>-</w:t>
            </w:r>
          </w:p>
        </w:tc>
        <w:tc>
          <w:tcPr>
            <w:tcW w:w="1700" w:type="dxa"/>
            <w:vAlign w:val="bottom"/>
          </w:tcPr>
          <w:p>
            <w:pPr>
              <w:jc w:val="right"/>
              <w:ind w:right="210"/>
              <w:spacing w:after="0" w:line="202" w:lineRule="exact"/>
              <w:rPr>
                <w:sz w:val="20"/>
                <w:szCs w:val="20"/>
                <w:color w:val="auto"/>
              </w:rPr>
            </w:pPr>
            <w:r>
              <w:rPr>
                <w:rFonts w:ascii="Arial" w:cs="Arial" w:eastAsia="Arial" w:hAnsi="Arial"/>
                <w:sz w:val="18"/>
                <w:szCs w:val="18"/>
                <w:color w:val="auto"/>
              </w:rPr>
              <w:t>-</w:t>
            </w:r>
          </w:p>
        </w:tc>
        <w:tc>
          <w:tcPr>
            <w:tcW w:w="1680" w:type="dxa"/>
            <w:vAlign w:val="bottom"/>
          </w:tcPr>
          <w:p>
            <w:pPr>
              <w:jc w:val="right"/>
              <w:ind w:right="190"/>
              <w:spacing w:after="0" w:line="202" w:lineRule="exact"/>
              <w:rPr>
                <w:sz w:val="20"/>
                <w:szCs w:val="20"/>
                <w:color w:val="auto"/>
              </w:rPr>
            </w:pPr>
            <w:r>
              <w:rPr>
                <w:rFonts w:ascii="Arial" w:cs="Arial" w:eastAsia="Arial" w:hAnsi="Arial"/>
                <w:sz w:val="18"/>
                <w:szCs w:val="18"/>
                <w:color w:val="auto"/>
              </w:rPr>
              <w:t>4,328</w:t>
            </w:r>
          </w:p>
        </w:tc>
        <w:tc>
          <w:tcPr>
            <w:tcW w:w="15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4,328</w:t>
            </w:r>
          </w:p>
        </w:tc>
        <w:tc>
          <w:tcPr>
            <w:tcW w:w="0" w:type="dxa"/>
            <w:vAlign w:val="bottom"/>
          </w:tcPr>
          <w:p>
            <w:pPr>
              <w:spacing w:after="0"/>
              <w:rPr>
                <w:sz w:val="1"/>
                <w:szCs w:val="1"/>
                <w:color w:val="auto"/>
              </w:rPr>
            </w:pPr>
          </w:p>
        </w:tc>
      </w:tr>
      <w:tr>
        <w:trPr>
          <w:trHeight w:val="203"/>
        </w:trPr>
        <w:tc>
          <w:tcPr>
            <w:tcW w:w="4840" w:type="dxa"/>
            <w:vAlign w:val="bottom"/>
          </w:tcPr>
          <w:p>
            <w:pPr>
              <w:spacing w:after="0" w:line="202" w:lineRule="exact"/>
              <w:rPr>
                <w:sz w:val="20"/>
                <w:szCs w:val="20"/>
                <w:color w:val="auto"/>
              </w:rPr>
            </w:pPr>
            <w:r>
              <w:rPr>
                <w:rFonts w:ascii="Arial" w:cs="Arial" w:eastAsia="Arial" w:hAnsi="Arial"/>
                <w:sz w:val="18"/>
                <w:szCs w:val="18"/>
                <w:color w:val="auto"/>
              </w:rPr>
              <w:t>Income tax expense</w:t>
            </w:r>
          </w:p>
        </w:tc>
        <w:tc>
          <w:tcPr>
            <w:tcW w:w="1680" w:type="dxa"/>
            <w:vAlign w:val="bottom"/>
          </w:tcPr>
          <w:p>
            <w:pPr>
              <w:jc w:val="right"/>
              <w:ind w:right="230"/>
              <w:spacing w:after="0" w:line="202" w:lineRule="exact"/>
              <w:rPr>
                <w:sz w:val="20"/>
                <w:szCs w:val="20"/>
                <w:color w:val="auto"/>
              </w:rPr>
            </w:pPr>
            <w:r>
              <w:rPr>
                <w:rFonts w:ascii="Arial" w:cs="Arial" w:eastAsia="Arial" w:hAnsi="Arial"/>
                <w:sz w:val="18"/>
                <w:szCs w:val="18"/>
                <w:color w:val="auto"/>
              </w:rPr>
              <w:t>-</w:t>
            </w:r>
          </w:p>
        </w:tc>
        <w:tc>
          <w:tcPr>
            <w:tcW w:w="1700" w:type="dxa"/>
            <w:vAlign w:val="bottom"/>
          </w:tcPr>
          <w:p>
            <w:pPr>
              <w:jc w:val="right"/>
              <w:ind w:right="210"/>
              <w:spacing w:after="0" w:line="202" w:lineRule="exact"/>
              <w:rPr>
                <w:sz w:val="20"/>
                <w:szCs w:val="20"/>
                <w:color w:val="auto"/>
              </w:rPr>
            </w:pPr>
            <w:r>
              <w:rPr>
                <w:rFonts w:ascii="Arial" w:cs="Arial" w:eastAsia="Arial" w:hAnsi="Arial"/>
                <w:sz w:val="18"/>
                <w:szCs w:val="18"/>
                <w:color w:val="auto"/>
              </w:rPr>
              <w:t>-</w:t>
            </w:r>
          </w:p>
        </w:tc>
        <w:tc>
          <w:tcPr>
            <w:tcW w:w="1680" w:type="dxa"/>
            <w:vAlign w:val="bottom"/>
          </w:tcPr>
          <w:p>
            <w:pPr>
              <w:jc w:val="right"/>
              <w:ind w:right="190"/>
              <w:spacing w:after="0" w:line="202" w:lineRule="exact"/>
              <w:rPr>
                <w:sz w:val="20"/>
                <w:szCs w:val="20"/>
                <w:color w:val="auto"/>
              </w:rPr>
            </w:pPr>
            <w:r>
              <w:rPr>
                <w:rFonts w:ascii="Arial" w:cs="Arial" w:eastAsia="Arial" w:hAnsi="Arial"/>
                <w:sz w:val="18"/>
                <w:szCs w:val="18"/>
                <w:color w:val="auto"/>
              </w:rPr>
              <w:t>6,550</w:t>
            </w:r>
          </w:p>
        </w:tc>
        <w:tc>
          <w:tcPr>
            <w:tcW w:w="15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6,550</w:t>
            </w:r>
          </w:p>
        </w:tc>
        <w:tc>
          <w:tcPr>
            <w:tcW w:w="0" w:type="dxa"/>
            <w:vAlign w:val="bottom"/>
          </w:tcPr>
          <w:p>
            <w:pPr>
              <w:spacing w:after="0"/>
              <w:rPr>
                <w:sz w:val="1"/>
                <w:szCs w:val="1"/>
                <w:color w:val="auto"/>
              </w:rPr>
            </w:pPr>
          </w:p>
        </w:tc>
      </w:tr>
      <w:tr>
        <w:trPr>
          <w:trHeight w:val="203"/>
        </w:trPr>
        <w:tc>
          <w:tcPr>
            <w:tcW w:w="4840" w:type="dxa"/>
            <w:vAlign w:val="bottom"/>
            <w:tcBorders>
              <w:bottom w:val="single" w:sz="8" w:color="auto"/>
            </w:tcBorders>
          </w:tcPr>
          <w:p>
            <w:pPr>
              <w:spacing w:after="0" w:line="203" w:lineRule="exact"/>
              <w:rPr>
                <w:sz w:val="20"/>
                <w:szCs w:val="20"/>
                <w:color w:val="auto"/>
              </w:rPr>
            </w:pPr>
            <w:r>
              <w:rPr>
                <w:rFonts w:ascii="Arial" w:cs="Arial" w:eastAsia="Arial" w:hAnsi="Arial"/>
                <w:sz w:val="18"/>
                <w:szCs w:val="18"/>
                <w:color w:val="auto"/>
              </w:rPr>
              <w:t>Depreciation and amortization</w:t>
            </w:r>
          </w:p>
        </w:tc>
        <w:tc>
          <w:tcPr>
            <w:tcW w:w="1680" w:type="dxa"/>
            <w:vAlign w:val="bottom"/>
            <w:tcBorders>
              <w:bottom w:val="single" w:sz="8" w:color="auto"/>
            </w:tcBorders>
          </w:tcPr>
          <w:p>
            <w:pPr>
              <w:jc w:val="right"/>
              <w:ind w:right="230"/>
              <w:spacing w:after="0" w:line="203" w:lineRule="exact"/>
              <w:rPr>
                <w:sz w:val="20"/>
                <w:szCs w:val="20"/>
                <w:color w:val="auto"/>
              </w:rPr>
            </w:pPr>
            <w:r>
              <w:rPr>
                <w:rFonts w:ascii="Arial" w:cs="Arial" w:eastAsia="Arial" w:hAnsi="Arial"/>
                <w:sz w:val="18"/>
                <w:szCs w:val="18"/>
                <w:color w:val="auto"/>
              </w:rPr>
              <w:t>8,287</w:t>
            </w:r>
          </w:p>
        </w:tc>
        <w:tc>
          <w:tcPr>
            <w:tcW w:w="1700" w:type="dxa"/>
            <w:vAlign w:val="bottom"/>
            <w:tcBorders>
              <w:bottom w:val="single" w:sz="8" w:color="auto"/>
            </w:tcBorders>
          </w:tcPr>
          <w:p>
            <w:pPr>
              <w:jc w:val="right"/>
              <w:ind w:right="210"/>
              <w:spacing w:after="0" w:line="203" w:lineRule="exact"/>
              <w:rPr>
                <w:sz w:val="20"/>
                <w:szCs w:val="20"/>
                <w:color w:val="auto"/>
              </w:rPr>
            </w:pPr>
            <w:r>
              <w:rPr>
                <w:rFonts w:ascii="Arial" w:cs="Arial" w:eastAsia="Arial" w:hAnsi="Arial"/>
                <w:sz w:val="18"/>
                <w:szCs w:val="18"/>
                <w:color w:val="auto"/>
              </w:rPr>
              <w:t>7,804</w:t>
            </w:r>
          </w:p>
        </w:tc>
        <w:tc>
          <w:tcPr>
            <w:tcW w:w="1680" w:type="dxa"/>
            <w:vAlign w:val="bottom"/>
            <w:tcBorders>
              <w:bottom w:val="single" w:sz="8" w:color="auto"/>
            </w:tcBorders>
          </w:tcPr>
          <w:p>
            <w:pPr>
              <w:jc w:val="right"/>
              <w:ind w:right="190"/>
              <w:spacing w:after="0" w:line="203" w:lineRule="exact"/>
              <w:rPr>
                <w:sz w:val="20"/>
                <w:szCs w:val="20"/>
                <w:color w:val="auto"/>
              </w:rPr>
            </w:pPr>
            <w:r>
              <w:rPr>
                <w:rFonts w:ascii="Arial" w:cs="Arial" w:eastAsia="Arial" w:hAnsi="Arial"/>
                <w:sz w:val="18"/>
                <w:szCs w:val="18"/>
                <w:color w:val="auto"/>
              </w:rPr>
              <w:t>1,202</w:t>
            </w:r>
          </w:p>
        </w:tc>
        <w:tc>
          <w:tcPr>
            <w:tcW w:w="1520" w:type="dxa"/>
            <w:vAlign w:val="bottom"/>
            <w:tcBorders>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rPr>
              <w:t>17,293</w:t>
            </w:r>
          </w:p>
        </w:tc>
        <w:tc>
          <w:tcPr>
            <w:tcW w:w="0" w:type="dxa"/>
            <w:vAlign w:val="bottom"/>
          </w:tcPr>
          <w:p>
            <w:pPr>
              <w:spacing w:after="0"/>
              <w:rPr>
                <w:sz w:val="1"/>
                <w:szCs w:val="1"/>
                <w:color w:val="auto"/>
              </w:rPr>
            </w:pPr>
          </w:p>
        </w:tc>
      </w:tr>
      <w:tr>
        <w:trPr>
          <w:trHeight w:val="195"/>
        </w:trPr>
        <w:tc>
          <w:tcPr>
            <w:tcW w:w="4840" w:type="dxa"/>
            <w:vAlign w:val="bottom"/>
          </w:tcPr>
          <w:p>
            <w:pPr>
              <w:spacing w:after="0" w:line="195" w:lineRule="exact"/>
              <w:rPr>
                <w:sz w:val="20"/>
                <w:szCs w:val="20"/>
                <w:color w:val="auto"/>
              </w:rPr>
            </w:pPr>
            <w:r>
              <w:rPr>
                <w:rFonts w:ascii="Arial" w:cs="Arial" w:eastAsia="Arial" w:hAnsi="Arial"/>
                <w:sz w:val="18"/>
                <w:szCs w:val="18"/>
                <w:b w:val="1"/>
                <w:bCs w:val="1"/>
                <w:color w:val="auto"/>
              </w:rPr>
              <w:t>EBITDA (non-GAAP)</w:t>
            </w:r>
          </w:p>
        </w:tc>
        <w:tc>
          <w:tcPr>
            <w:tcW w:w="1680" w:type="dxa"/>
            <w:vAlign w:val="bottom"/>
          </w:tcPr>
          <w:p>
            <w:pPr>
              <w:jc w:val="right"/>
              <w:ind w:right="230"/>
              <w:spacing w:after="0" w:line="195" w:lineRule="exact"/>
              <w:rPr>
                <w:sz w:val="20"/>
                <w:szCs w:val="20"/>
                <w:color w:val="auto"/>
              </w:rPr>
            </w:pPr>
            <w:r>
              <w:rPr>
                <w:rFonts w:ascii="Arial" w:cs="Arial" w:eastAsia="Arial" w:hAnsi="Arial"/>
                <w:sz w:val="18"/>
                <w:szCs w:val="18"/>
                <w:b w:val="1"/>
                <w:bCs w:val="1"/>
                <w:color w:val="auto"/>
              </w:rPr>
              <w:t>46,550</w:t>
            </w:r>
          </w:p>
        </w:tc>
        <w:tc>
          <w:tcPr>
            <w:tcW w:w="1700" w:type="dxa"/>
            <w:vAlign w:val="bottom"/>
          </w:tcPr>
          <w:p>
            <w:pPr>
              <w:jc w:val="right"/>
              <w:ind w:right="210"/>
              <w:spacing w:after="0" w:line="195" w:lineRule="exact"/>
              <w:rPr>
                <w:sz w:val="20"/>
                <w:szCs w:val="20"/>
                <w:color w:val="auto"/>
              </w:rPr>
            </w:pPr>
            <w:r>
              <w:rPr>
                <w:rFonts w:ascii="Arial" w:cs="Arial" w:eastAsia="Arial" w:hAnsi="Arial"/>
                <w:sz w:val="18"/>
                <w:szCs w:val="18"/>
                <w:b w:val="1"/>
                <w:bCs w:val="1"/>
                <w:color w:val="auto"/>
              </w:rPr>
              <w:t>2,690</w:t>
            </w:r>
          </w:p>
        </w:tc>
        <w:tc>
          <w:tcPr>
            <w:tcW w:w="1680" w:type="dxa"/>
            <w:vAlign w:val="bottom"/>
          </w:tcPr>
          <w:p>
            <w:pPr>
              <w:jc w:val="right"/>
              <w:ind w:right="130"/>
              <w:spacing w:after="0" w:line="195" w:lineRule="exact"/>
              <w:rPr>
                <w:sz w:val="20"/>
                <w:szCs w:val="20"/>
                <w:color w:val="auto"/>
              </w:rPr>
            </w:pPr>
            <w:r>
              <w:rPr>
                <w:rFonts w:ascii="Arial" w:cs="Arial" w:eastAsia="Arial" w:hAnsi="Arial"/>
                <w:sz w:val="18"/>
                <w:szCs w:val="18"/>
                <w:b w:val="1"/>
                <w:bCs w:val="1"/>
                <w:color w:val="auto"/>
              </w:rPr>
              <w:t>(10,095)</w:t>
            </w:r>
          </w:p>
        </w:tc>
        <w:tc>
          <w:tcPr>
            <w:tcW w:w="1520" w:type="dxa"/>
            <w:vAlign w:val="bottom"/>
          </w:tcPr>
          <w:p>
            <w:pPr>
              <w:jc w:val="right"/>
              <w:ind w:right="10"/>
              <w:spacing w:after="0" w:line="195" w:lineRule="exact"/>
              <w:rPr>
                <w:sz w:val="20"/>
                <w:szCs w:val="20"/>
                <w:color w:val="auto"/>
              </w:rPr>
            </w:pPr>
            <w:r>
              <w:rPr>
                <w:rFonts w:ascii="Arial" w:cs="Arial" w:eastAsia="Arial" w:hAnsi="Arial"/>
                <w:sz w:val="18"/>
                <w:szCs w:val="18"/>
                <w:b w:val="1"/>
                <w:bCs w:val="1"/>
                <w:color w:val="auto"/>
              </w:rPr>
              <w:t>39,145</w:t>
            </w:r>
          </w:p>
        </w:tc>
        <w:tc>
          <w:tcPr>
            <w:tcW w:w="0" w:type="dxa"/>
            <w:vAlign w:val="bottom"/>
          </w:tcPr>
          <w:p>
            <w:pPr>
              <w:spacing w:after="0"/>
              <w:rPr>
                <w:sz w:val="1"/>
                <w:szCs w:val="1"/>
                <w:color w:val="auto"/>
              </w:rPr>
            </w:pPr>
          </w:p>
        </w:tc>
      </w:tr>
      <w:tr>
        <w:trPr>
          <w:trHeight w:val="203"/>
        </w:trPr>
        <w:tc>
          <w:tcPr>
            <w:tcW w:w="4840" w:type="dxa"/>
            <w:vAlign w:val="bottom"/>
          </w:tcPr>
          <w:p>
            <w:pPr>
              <w:spacing w:after="0" w:line="202" w:lineRule="exact"/>
              <w:rPr>
                <w:sz w:val="20"/>
                <w:szCs w:val="20"/>
                <w:color w:val="auto"/>
              </w:rPr>
            </w:pPr>
            <w:r>
              <w:rPr>
                <w:rFonts w:ascii="Arial" w:cs="Arial" w:eastAsia="Arial" w:hAnsi="Arial"/>
                <w:sz w:val="18"/>
                <w:szCs w:val="18"/>
                <w:color w:val="auto"/>
              </w:rPr>
              <w:t>Restructuring expenses, net</w:t>
            </w:r>
          </w:p>
        </w:tc>
        <w:tc>
          <w:tcPr>
            <w:tcW w:w="1680" w:type="dxa"/>
            <w:vAlign w:val="bottom"/>
          </w:tcPr>
          <w:p>
            <w:pPr>
              <w:jc w:val="right"/>
              <w:ind w:right="230"/>
              <w:spacing w:after="0" w:line="202" w:lineRule="exact"/>
              <w:rPr>
                <w:sz w:val="20"/>
                <w:szCs w:val="20"/>
                <w:color w:val="auto"/>
              </w:rPr>
            </w:pPr>
            <w:r>
              <w:rPr>
                <w:rFonts w:ascii="Arial" w:cs="Arial" w:eastAsia="Arial" w:hAnsi="Arial"/>
                <w:sz w:val="18"/>
                <w:szCs w:val="18"/>
                <w:color w:val="auto"/>
              </w:rPr>
              <w:t>110</w:t>
            </w:r>
          </w:p>
        </w:tc>
        <w:tc>
          <w:tcPr>
            <w:tcW w:w="1700" w:type="dxa"/>
            <w:vAlign w:val="bottom"/>
          </w:tcPr>
          <w:p>
            <w:pPr>
              <w:jc w:val="right"/>
              <w:ind w:right="210"/>
              <w:spacing w:after="0" w:line="202" w:lineRule="exact"/>
              <w:rPr>
                <w:sz w:val="20"/>
                <w:szCs w:val="20"/>
                <w:color w:val="auto"/>
              </w:rPr>
            </w:pPr>
            <w:r>
              <w:rPr>
                <w:rFonts w:ascii="Arial" w:cs="Arial" w:eastAsia="Arial" w:hAnsi="Arial"/>
                <w:sz w:val="18"/>
                <w:szCs w:val="18"/>
                <w:color w:val="auto"/>
              </w:rPr>
              <w:t>2,571</w:t>
            </w:r>
          </w:p>
        </w:tc>
        <w:tc>
          <w:tcPr>
            <w:tcW w:w="1680" w:type="dxa"/>
            <w:vAlign w:val="bottom"/>
          </w:tcPr>
          <w:p>
            <w:pPr>
              <w:jc w:val="right"/>
              <w:ind w:right="190"/>
              <w:spacing w:after="0" w:line="202" w:lineRule="exact"/>
              <w:rPr>
                <w:sz w:val="20"/>
                <w:szCs w:val="20"/>
                <w:color w:val="auto"/>
              </w:rPr>
            </w:pPr>
            <w:r>
              <w:rPr>
                <w:rFonts w:ascii="Arial" w:cs="Arial" w:eastAsia="Arial" w:hAnsi="Arial"/>
                <w:sz w:val="18"/>
                <w:szCs w:val="18"/>
                <w:color w:val="auto"/>
              </w:rPr>
              <w:t>-</w:t>
            </w:r>
          </w:p>
        </w:tc>
        <w:tc>
          <w:tcPr>
            <w:tcW w:w="15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2,681</w:t>
            </w:r>
          </w:p>
        </w:tc>
        <w:tc>
          <w:tcPr>
            <w:tcW w:w="0" w:type="dxa"/>
            <w:vAlign w:val="bottom"/>
          </w:tcPr>
          <w:p>
            <w:pPr>
              <w:spacing w:after="0"/>
              <w:rPr>
                <w:sz w:val="1"/>
                <w:szCs w:val="1"/>
                <w:color w:val="auto"/>
              </w:rPr>
            </w:pPr>
          </w:p>
        </w:tc>
      </w:tr>
      <w:tr>
        <w:trPr>
          <w:trHeight w:val="203"/>
        </w:trPr>
        <w:tc>
          <w:tcPr>
            <w:tcW w:w="4840" w:type="dxa"/>
            <w:vAlign w:val="bottom"/>
          </w:tcPr>
          <w:p>
            <w:pPr>
              <w:spacing w:after="0" w:line="202" w:lineRule="exact"/>
              <w:rPr>
                <w:sz w:val="20"/>
                <w:szCs w:val="20"/>
                <w:color w:val="auto"/>
              </w:rPr>
            </w:pPr>
            <w:r>
              <w:rPr>
                <w:rFonts w:ascii="Arial" w:cs="Arial" w:eastAsia="Arial" w:hAnsi="Arial"/>
                <w:sz w:val="18"/>
                <w:szCs w:val="18"/>
                <w:color w:val="auto"/>
              </w:rPr>
              <w:t>Foreign currency revaluation losses</w:t>
            </w:r>
          </w:p>
        </w:tc>
        <w:tc>
          <w:tcPr>
            <w:tcW w:w="1680" w:type="dxa"/>
            <w:vAlign w:val="bottom"/>
          </w:tcPr>
          <w:p>
            <w:pPr>
              <w:jc w:val="right"/>
              <w:ind w:right="230"/>
              <w:spacing w:after="0" w:line="202" w:lineRule="exact"/>
              <w:rPr>
                <w:sz w:val="20"/>
                <w:szCs w:val="20"/>
                <w:color w:val="auto"/>
              </w:rPr>
            </w:pPr>
            <w:r>
              <w:rPr>
                <w:rFonts w:ascii="Arial" w:cs="Arial" w:eastAsia="Arial" w:hAnsi="Arial"/>
                <w:sz w:val="18"/>
                <w:szCs w:val="18"/>
                <w:color w:val="auto"/>
              </w:rPr>
              <w:t>1,663</w:t>
            </w:r>
          </w:p>
        </w:tc>
        <w:tc>
          <w:tcPr>
            <w:tcW w:w="1700" w:type="dxa"/>
            <w:vAlign w:val="bottom"/>
          </w:tcPr>
          <w:p>
            <w:pPr>
              <w:jc w:val="right"/>
              <w:ind w:right="210"/>
              <w:spacing w:after="0" w:line="202" w:lineRule="exact"/>
              <w:rPr>
                <w:sz w:val="20"/>
                <w:szCs w:val="20"/>
                <w:color w:val="auto"/>
              </w:rPr>
            </w:pPr>
            <w:r>
              <w:rPr>
                <w:rFonts w:ascii="Arial" w:cs="Arial" w:eastAsia="Arial" w:hAnsi="Arial"/>
                <w:sz w:val="18"/>
                <w:szCs w:val="18"/>
                <w:color w:val="auto"/>
              </w:rPr>
              <w:t>98</w:t>
            </w:r>
          </w:p>
        </w:tc>
        <w:tc>
          <w:tcPr>
            <w:tcW w:w="1680" w:type="dxa"/>
            <w:vAlign w:val="bottom"/>
          </w:tcPr>
          <w:p>
            <w:pPr>
              <w:jc w:val="right"/>
              <w:ind w:right="190"/>
              <w:spacing w:after="0" w:line="202" w:lineRule="exact"/>
              <w:rPr>
                <w:sz w:val="20"/>
                <w:szCs w:val="20"/>
                <w:color w:val="auto"/>
              </w:rPr>
            </w:pPr>
            <w:r>
              <w:rPr>
                <w:rFonts w:ascii="Arial" w:cs="Arial" w:eastAsia="Arial" w:hAnsi="Arial"/>
                <w:sz w:val="18"/>
                <w:szCs w:val="18"/>
                <w:color w:val="auto"/>
              </w:rPr>
              <w:t>102</w:t>
            </w:r>
          </w:p>
        </w:tc>
        <w:tc>
          <w:tcPr>
            <w:tcW w:w="15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1,863</w:t>
            </w:r>
          </w:p>
        </w:tc>
        <w:tc>
          <w:tcPr>
            <w:tcW w:w="0" w:type="dxa"/>
            <w:vAlign w:val="bottom"/>
          </w:tcPr>
          <w:p>
            <w:pPr>
              <w:spacing w:after="0"/>
              <w:rPr>
                <w:sz w:val="1"/>
                <w:szCs w:val="1"/>
                <w:color w:val="auto"/>
              </w:rPr>
            </w:pPr>
          </w:p>
        </w:tc>
      </w:tr>
      <w:tr>
        <w:trPr>
          <w:trHeight w:val="203"/>
        </w:trPr>
        <w:tc>
          <w:tcPr>
            <w:tcW w:w="4840" w:type="dxa"/>
            <w:vAlign w:val="bottom"/>
          </w:tcPr>
          <w:p>
            <w:pPr>
              <w:spacing w:after="0" w:line="202" w:lineRule="exact"/>
              <w:rPr>
                <w:sz w:val="20"/>
                <w:szCs w:val="20"/>
                <w:color w:val="auto"/>
              </w:rPr>
            </w:pPr>
            <w:r>
              <w:rPr>
                <w:rFonts w:ascii="Arial" w:cs="Arial" w:eastAsia="Arial" w:hAnsi="Arial"/>
                <w:sz w:val="18"/>
                <w:szCs w:val="18"/>
                <w:color w:val="auto"/>
              </w:rPr>
              <w:t>Pretax income attributable to the noncontrolling interest</w:t>
            </w:r>
          </w:p>
        </w:tc>
        <w:tc>
          <w:tcPr>
            <w:tcW w:w="16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40" w:type="dxa"/>
            <w:vAlign w:val="bottom"/>
            <w:tcBorders>
              <w:bottom w:val="single" w:sz="8" w:color="auto"/>
            </w:tcBorders>
          </w:tcPr>
          <w:p>
            <w:pPr>
              <w:spacing w:after="0" w:line="203" w:lineRule="exact"/>
              <w:rPr>
                <w:sz w:val="20"/>
                <w:szCs w:val="20"/>
                <w:color w:val="auto"/>
              </w:rPr>
            </w:pPr>
            <w:r>
              <w:rPr>
                <w:rFonts w:ascii="Arial" w:cs="Arial" w:eastAsia="Arial" w:hAnsi="Arial"/>
                <w:sz w:val="18"/>
                <w:szCs w:val="18"/>
                <w:color w:val="auto"/>
              </w:rPr>
              <w:t>in ASC</w:t>
            </w:r>
          </w:p>
        </w:tc>
        <w:tc>
          <w:tcPr>
            <w:tcW w:w="1680" w:type="dxa"/>
            <w:vAlign w:val="bottom"/>
            <w:tcBorders>
              <w:bottom w:val="single" w:sz="8" w:color="auto"/>
            </w:tcBorders>
          </w:tcPr>
          <w:p>
            <w:pPr>
              <w:jc w:val="right"/>
              <w:ind w:right="230"/>
              <w:spacing w:after="0" w:line="203" w:lineRule="exact"/>
              <w:rPr>
                <w:sz w:val="20"/>
                <w:szCs w:val="20"/>
                <w:color w:val="auto"/>
              </w:rPr>
            </w:pPr>
            <w:r>
              <w:rPr>
                <w:rFonts w:ascii="Arial" w:cs="Arial" w:eastAsia="Arial" w:hAnsi="Arial"/>
                <w:sz w:val="18"/>
                <w:szCs w:val="18"/>
                <w:color w:val="auto"/>
              </w:rPr>
              <w:t>-</w:t>
            </w:r>
          </w:p>
        </w:tc>
        <w:tc>
          <w:tcPr>
            <w:tcW w:w="1700" w:type="dxa"/>
            <w:vAlign w:val="bottom"/>
            <w:tcBorders>
              <w:bottom w:val="single" w:sz="8" w:color="auto"/>
            </w:tcBorders>
          </w:tcPr>
          <w:p>
            <w:pPr>
              <w:jc w:val="right"/>
              <w:ind w:right="150"/>
              <w:spacing w:after="0" w:line="203" w:lineRule="exact"/>
              <w:rPr>
                <w:sz w:val="20"/>
                <w:szCs w:val="20"/>
                <w:color w:val="auto"/>
              </w:rPr>
            </w:pPr>
            <w:r>
              <w:rPr>
                <w:rFonts w:ascii="Arial" w:cs="Arial" w:eastAsia="Arial" w:hAnsi="Arial"/>
                <w:sz w:val="18"/>
                <w:szCs w:val="18"/>
                <w:color w:val="auto"/>
              </w:rPr>
              <w:t>(171)</w:t>
            </w:r>
          </w:p>
        </w:tc>
        <w:tc>
          <w:tcPr>
            <w:tcW w:w="1680" w:type="dxa"/>
            <w:vAlign w:val="bottom"/>
            <w:tcBorders>
              <w:bottom w:val="single" w:sz="8" w:color="auto"/>
            </w:tcBorders>
          </w:tcPr>
          <w:p>
            <w:pPr>
              <w:jc w:val="right"/>
              <w:ind w:right="190"/>
              <w:spacing w:after="0" w:line="203" w:lineRule="exact"/>
              <w:rPr>
                <w:sz w:val="20"/>
                <w:szCs w:val="20"/>
                <w:color w:val="auto"/>
              </w:rPr>
            </w:pPr>
            <w:r>
              <w:rPr>
                <w:rFonts w:ascii="Arial" w:cs="Arial" w:eastAsia="Arial" w:hAnsi="Arial"/>
                <w:sz w:val="18"/>
                <w:szCs w:val="18"/>
                <w:color w:val="auto"/>
              </w:rPr>
              <w:t>-</w:t>
            </w:r>
          </w:p>
        </w:tc>
        <w:tc>
          <w:tcPr>
            <w:tcW w:w="15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(171)</w:t>
            </w:r>
          </w:p>
        </w:tc>
        <w:tc>
          <w:tcPr>
            <w:tcW w:w="0" w:type="dxa"/>
            <w:vAlign w:val="bottom"/>
          </w:tcPr>
          <w:p>
            <w:pPr>
              <w:spacing w:after="0"/>
              <w:rPr>
                <w:sz w:val="1"/>
                <w:szCs w:val="1"/>
                <w:color w:val="auto"/>
              </w:rPr>
            </w:pPr>
          </w:p>
        </w:tc>
      </w:tr>
      <w:tr>
        <w:trPr>
          <w:trHeight w:val="196"/>
        </w:trPr>
        <w:tc>
          <w:tcPr>
            <w:tcW w:w="484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b w:val="1"/>
                <w:bCs w:val="1"/>
                <w:color w:val="auto"/>
              </w:rPr>
              <w:t>Adjusted EBITDA (non-GAAP)</w:t>
            </w:r>
          </w:p>
        </w:tc>
        <w:tc>
          <w:tcPr>
            <w:tcW w:w="1680" w:type="dxa"/>
            <w:vAlign w:val="bottom"/>
            <w:tcBorders>
              <w:bottom w:val="single" w:sz="8" w:color="auto"/>
            </w:tcBorders>
          </w:tcPr>
          <w:p>
            <w:pPr>
              <w:jc w:val="right"/>
              <w:ind w:right="230"/>
              <w:spacing w:after="0" w:line="196" w:lineRule="exact"/>
              <w:rPr>
                <w:sz w:val="20"/>
                <w:szCs w:val="20"/>
                <w:color w:val="auto"/>
              </w:rPr>
            </w:pPr>
            <w:r>
              <w:rPr>
                <w:rFonts w:ascii="Arial" w:cs="Arial" w:eastAsia="Arial" w:hAnsi="Arial"/>
                <w:sz w:val="18"/>
                <w:szCs w:val="18"/>
                <w:b w:val="1"/>
                <w:bCs w:val="1"/>
                <w:color w:val="auto"/>
              </w:rPr>
              <w:t>$48,323</w:t>
            </w:r>
          </w:p>
        </w:tc>
        <w:tc>
          <w:tcPr>
            <w:tcW w:w="1700" w:type="dxa"/>
            <w:vAlign w:val="bottom"/>
            <w:tcBorders>
              <w:bottom w:val="single" w:sz="8" w:color="auto"/>
            </w:tcBorders>
          </w:tcPr>
          <w:p>
            <w:pPr>
              <w:jc w:val="right"/>
              <w:ind w:right="210"/>
              <w:spacing w:after="0" w:line="196" w:lineRule="exact"/>
              <w:rPr>
                <w:sz w:val="20"/>
                <w:szCs w:val="20"/>
                <w:color w:val="auto"/>
              </w:rPr>
            </w:pPr>
            <w:r>
              <w:rPr>
                <w:rFonts w:ascii="Arial" w:cs="Arial" w:eastAsia="Arial" w:hAnsi="Arial"/>
                <w:sz w:val="18"/>
                <w:szCs w:val="18"/>
                <w:b w:val="1"/>
                <w:bCs w:val="1"/>
                <w:color w:val="auto"/>
              </w:rPr>
              <w:t>$5,188</w:t>
            </w:r>
          </w:p>
        </w:tc>
        <w:tc>
          <w:tcPr>
            <w:tcW w:w="1680" w:type="dxa"/>
            <w:vAlign w:val="bottom"/>
            <w:tcBorders>
              <w:bottom w:val="single" w:sz="8" w:color="auto"/>
            </w:tcBorders>
          </w:tcPr>
          <w:p>
            <w:pPr>
              <w:jc w:val="right"/>
              <w:ind w:right="130"/>
              <w:spacing w:after="0" w:line="196" w:lineRule="exact"/>
              <w:rPr>
                <w:sz w:val="20"/>
                <w:szCs w:val="20"/>
                <w:color w:val="auto"/>
              </w:rPr>
            </w:pPr>
            <w:r>
              <w:rPr>
                <w:rFonts w:ascii="Arial" w:cs="Arial" w:eastAsia="Arial" w:hAnsi="Arial"/>
                <w:sz w:val="18"/>
                <w:szCs w:val="18"/>
                <w:b w:val="1"/>
                <w:bCs w:val="1"/>
                <w:color w:val="auto"/>
              </w:rPr>
              <w:t>($9,993)</w:t>
            </w:r>
          </w:p>
        </w:tc>
        <w:tc>
          <w:tcPr>
            <w:tcW w:w="152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b w:val="1"/>
                <w:bCs w:val="1"/>
                <w:color w:val="auto"/>
              </w:rPr>
              <w:t>$43,518</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60" w:firstLine="648"/>
        <w:spacing w:after="0" w:line="238" w:lineRule="auto"/>
        <w:rPr>
          <w:sz w:val="20"/>
          <w:szCs w:val="20"/>
          <w:color w:val="auto"/>
        </w:rPr>
      </w:pPr>
      <w:r>
        <w:rPr>
          <w:rFonts w:ascii="Arial" w:cs="Arial" w:eastAsia="Arial" w:hAnsi="Arial"/>
          <w:sz w:val="18"/>
          <w:szCs w:val="18"/>
          <w:color w:val="auto"/>
        </w:rPr>
        <w:t>The Company discloses certain income and expense items on a per-share basis. The Company believes that such disclosures provide important insight into underlying quarterly earnings and are financial performance metrics commonly used by investors. The Company calculates the quarterly per-share amount for items included in continuing operations by using the income tax rate based on income from continuing operations and the weighted-average number of shares outstanding for each period. Year-to-date earnings per-share effects are determined by adding the amounts calculated at each reporting period.</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tables show the earnings per share effect of certain income and expense items: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4540" w:type="dxa"/>
            <w:vAlign w:val="bottom"/>
            <w:tcBorders>
              <w:top w:val="single" w:sz="8" w:color="auto"/>
            </w:tcBorders>
          </w:tcPr>
          <w:p>
            <w:pPr>
              <w:spacing w:after="0" w:line="194" w:lineRule="exact"/>
              <w:rPr>
                <w:sz w:val="20"/>
                <w:szCs w:val="20"/>
                <w:color w:val="auto"/>
              </w:rPr>
            </w:pPr>
            <w:r>
              <w:rPr>
                <w:rFonts w:ascii="Arial" w:cs="Arial" w:eastAsia="Arial" w:hAnsi="Arial"/>
                <w:sz w:val="18"/>
                <w:szCs w:val="18"/>
                <w:b w:val="1"/>
                <w:bCs w:val="1"/>
                <w:color w:val="auto"/>
              </w:rPr>
              <w:t>Three months ended March 31, 2018</w:t>
            </w:r>
          </w:p>
        </w:tc>
        <w:tc>
          <w:tcPr>
            <w:tcW w:w="2100" w:type="dxa"/>
            <w:vAlign w:val="bottom"/>
            <w:tcBorders>
              <w:top w:val="single" w:sz="8" w:color="auto"/>
            </w:tcBorders>
          </w:tcPr>
          <w:p>
            <w:pPr>
              <w:jc w:val="right"/>
              <w:ind w:right="630"/>
              <w:spacing w:after="0" w:line="194" w:lineRule="exact"/>
              <w:rPr>
                <w:sz w:val="20"/>
                <w:szCs w:val="20"/>
                <w:color w:val="auto"/>
              </w:rPr>
            </w:pPr>
            <w:r>
              <w:rPr>
                <w:rFonts w:ascii="Arial" w:cs="Arial" w:eastAsia="Arial" w:hAnsi="Arial"/>
                <w:sz w:val="18"/>
                <w:szCs w:val="18"/>
                <w:b w:val="1"/>
                <w:bCs w:val="1"/>
                <w:color w:val="auto"/>
              </w:rPr>
              <w:t>Pre tax</w:t>
            </w:r>
          </w:p>
        </w:tc>
        <w:tc>
          <w:tcPr>
            <w:tcW w:w="1660" w:type="dxa"/>
            <w:vAlign w:val="bottom"/>
            <w:tcBorders>
              <w:top w:val="single" w:sz="8" w:color="auto"/>
            </w:tcBorders>
          </w:tcPr>
          <w:p>
            <w:pPr>
              <w:jc w:val="right"/>
              <w:ind w:right="710"/>
              <w:spacing w:after="0" w:line="194" w:lineRule="exact"/>
              <w:rPr>
                <w:sz w:val="20"/>
                <w:szCs w:val="20"/>
                <w:color w:val="auto"/>
              </w:rPr>
            </w:pPr>
            <w:r>
              <w:rPr>
                <w:rFonts w:ascii="Arial" w:cs="Arial" w:eastAsia="Arial" w:hAnsi="Arial"/>
                <w:sz w:val="18"/>
                <w:szCs w:val="18"/>
                <w:b w:val="1"/>
                <w:bCs w:val="1"/>
                <w:color w:val="auto"/>
              </w:rPr>
              <w:t>Tax</w:t>
            </w:r>
          </w:p>
        </w:tc>
        <w:tc>
          <w:tcPr>
            <w:tcW w:w="1680" w:type="dxa"/>
            <w:vAlign w:val="bottom"/>
            <w:tcBorders>
              <w:top w:val="single" w:sz="8" w:color="auto"/>
            </w:tcBorders>
          </w:tcPr>
          <w:p>
            <w:pPr>
              <w:jc w:val="right"/>
              <w:ind w:right="470"/>
              <w:spacing w:after="0" w:line="194" w:lineRule="exact"/>
              <w:rPr>
                <w:sz w:val="20"/>
                <w:szCs w:val="20"/>
                <w:color w:val="auto"/>
              </w:rPr>
            </w:pPr>
            <w:r>
              <w:rPr>
                <w:rFonts w:ascii="Arial" w:cs="Arial" w:eastAsia="Arial" w:hAnsi="Arial"/>
                <w:sz w:val="18"/>
                <w:szCs w:val="18"/>
                <w:b w:val="1"/>
                <w:bCs w:val="1"/>
                <w:color w:val="auto"/>
              </w:rPr>
              <w:t>After tax</w:t>
            </w:r>
          </w:p>
        </w:tc>
        <w:tc>
          <w:tcPr>
            <w:tcW w:w="1440" w:type="dxa"/>
            <w:vAlign w:val="bottom"/>
            <w:tcBorders>
              <w:top w:val="single" w:sz="8" w:color="auto"/>
            </w:tcBorders>
          </w:tcPr>
          <w:p>
            <w:pPr>
              <w:jc w:val="right"/>
              <w:ind w:right="170"/>
              <w:spacing w:after="0" w:line="194" w:lineRule="exact"/>
              <w:rPr>
                <w:sz w:val="20"/>
                <w:szCs w:val="20"/>
                <w:color w:val="auto"/>
              </w:rPr>
            </w:pPr>
            <w:r>
              <w:rPr>
                <w:rFonts w:ascii="Arial" w:cs="Arial" w:eastAsia="Arial" w:hAnsi="Arial"/>
                <w:sz w:val="18"/>
                <w:szCs w:val="18"/>
                <w:b w:val="1"/>
                <w:bCs w:val="1"/>
                <w:color w:val="auto"/>
              </w:rPr>
              <w:t>Per Share</w:t>
            </w:r>
          </w:p>
        </w:tc>
      </w:tr>
      <w:tr>
        <w:trPr>
          <w:trHeight w:val="225"/>
        </w:trPr>
        <w:tc>
          <w:tcPr>
            <w:tcW w:w="45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(in thousands, except per share amounts)</w:t>
            </w:r>
          </w:p>
        </w:tc>
        <w:tc>
          <w:tcPr>
            <w:tcW w:w="210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Amounts</w:t>
            </w:r>
          </w:p>
        </w:tc>
        <w:tc>
          <w:tcPr>
            <w:tcW w:w="166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Effect</w:t>
            </w:r>
          </w:p>
        </w:tc>
        <w:tc>
          <w:tcPr>
            <w:tcW w:w="168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Effect</w:t>
            </w:r>
          </w:p>
        </w:tc>
        <w:tc>
          <w:tcPr>
            <w:tcW w:w="14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Effect</w:t>
            </w:r>
          </w:p>
        </w:tc>
      </w:tr>
      <w:tr>
        <w:trPr>
          <w:trHeight w:val="195"/>
        </w:trPr>
        <w:tc>
          <w:tcPr>
            <w:tcW w:w="4540" w:type="dxa"/>
            <w:vAlign w:val="bottom"/>
          </w:tcPr>
          <w:p>
            <w:pPr>
              <w:spacing w:after="0" w:line="195" w:lineRule="exact"/>
              <w:rPr>
                <w:sz w:val="20"/>
                <w:szCs w:val="20"/>
                <w:color w:val="auto"/>
              </w:rPr>
            </w:pPr>
            <w:r>
              <w:rPr>
                <w:rFonts w:ascii="Arial" w:cs="Arial" w:eastAsia="Arial" w:hAnsi="Arial"/>
                <w:sz w:val="18"/>
                <w:szCs w:val="18"/>
                <w:color w:val="auto"/>
              </w:rPr>
              <w:t>Restructuring expenses, net</w:t>
            </w:r>
          </w:p>
        </w:tc>
        <w:tc>
          <w:tcPr>
            <w:tcW w:w="2100" w:type="dxa"/>
            <w:vAlign w:val="bottom"/>
          </w:tcPr>
          <w:p>
            <w:pPr>
              <w:jc w:val="right"/>
              <w:ind w:right="350"/>
              <w:spacing w:after="0" w:line="195" w:lineRule="exact"/>
              <w:rPr>
                <w:sz w:val="20"/>
                <w:szCs w:val="20"/>
                <w:color w:val="auto"/>
              </w:rPr>
            </w:pPr>
            <w:r>
              <w:rPr>
                <w:rFonts w:ascii="Arial" w:cs="Arial" w:eastAsia="Arial" w:hAnsi="Arial"/>
                <w:sz w:val="18"/>
                <w:szCs w:val="18"/>
                <w:color w:val="auto"/>
              </w:rPr>
              <w:t>$8,573</w:t>
            </w:r>
          </w:p>
        </w:tc>
        <w:tc>
          <w:tcPr>
            <w:tcW w:w="1660" w:type="dxa"/>
            <w:vAlign w:val="bottom"/>
          </w:tcPr>
          <w:p>
            <w:pPr>
              <w:jc w:val="right"/>
              <w:ind w:right="290"/>
              <w:spacing w:after="0" w:line="195" w:lineRule="exact"/>
              <w:rPr>
                <w:sz w:val="20"/>
                <w:szCs w:val="20"/>
                <w:color w:val="auto"/>
              </w:rPr>
            </w:pPr>
            <w:r>
              <w:rPr>
                <w:rFonts w:ascii="Arial" w:cs="Arial" w:eastAsia="Arial" w:hAnsi="Arial"/>
                <w:sz w:val="18"/>
                <w:szCs w:val="18"/>
                <w:color w:val="auto"/>
              </w:rPr>
              <w:t>$2,786</w:t>
            </w:r>
          </w:p>
        </w:tc>
        <w:tc>
          <w:tcPr>
            <w:tcW w:w="1680" w:type="dxa"/>
            <w:vAlign w:val="bottom"/>
          </w:tcPr>
          <w:p>
            <w:pPr>
              <w:jc w:val="right"/>
              <w:ind w:right="270"/>
              <w:spacing w:after="0" w:line="195" w:lineRule="exact"/>
              <w:rPr>
                <w:sz w:val="20"/>
                <w:szCs w:val="20"/>
                <w:color w:val="auto"/>
              </w:rPr>
            </w:pPr>
            <w:r>
              <w:rPr>
                <w:rFonts w:ascii="Arial" w:cs="Arial" w:eastAsia="Arial" w:hAnsi="Arial"/>
                <w:sz w:val="18"/>
                <w:szCs w:val="18"/>
                <w:color w:val="auto"/>
              </w:rPr>
              <w:t>$5,787</w:t>
            </w:r>
          </w:p>
        </w:tc>
        <w:tc>
          <w:tcPr>
            <w:tcW w:w="1440" w:type="dxa"/>
            <w:vAlign w:val="bottom"/>
          </w:tcPr>
          <w:p>
            <w:pPr>
              <w:jc w:val="right"/>
              <w:ind w:right="10"/>
              <w:spacing w:after="0" w:line="195" w:lineRule="exact"/>
              <w:rPr>
                <w:sz w:val="20"/>
                <w:szCs w:val="20"/>
                <w:color w:val="auto"/>
              </w:rPr>
            </w:pPr>
            <w:r>
              <w:rPr>
                <w:rFonts w:ascii="Arial" w:cs="Arial" w:eastAsia="Arial" w:hAnsi="Arial"/>
                <w:sz w:val="18"/>
                <w:szCs w:val="18"/>
                <w:color w:val="auto"/>
              </w:rPr>
              <w:t>$0.18</w:t>
            </w:r>
          </w:p>
        </w:tc>
      </w:tr>
      <w:tr>
        <w:trPr>
          <w:trHeight w:val="203"/>
        </w:trPr>
        <w:tc>
          <w:tcPr>
            <w:tcW w:w="4540" w:type="dxa"/>
            <w:vAlign w:val="bottom"/>
          </w:tcPr>
          <w:p>
            <w:pPr>
              <w:spacing w:after="0" w:line="202" w:lineRule="exact"/>
              <w:rPr>
                <w:sz w:val="20"/>
                <w:szCs w:val="20"/>
                <w:color w:val="auto"/>
              </w:rPr>
            </w:pPr>
            <w:r>
              <w:rPr>
                <w:rFonts w:ascii="Arial" w:cs="Arial" w:eastAsia="Arial" w:hAnsi="Arial"/>
                <w:sz w:val="18"/>
                <w:szCs w:val="18"/>
                <w:color w:val="auto"/>
              </w:rPr>
              <w:t>Foreign currency revaluation losses</w:t>
            </w:r>
          </w:p>
        </w:tc>
        <w:tc>
          <w:tcPr>
            <w:tcW w:w="21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2,390</w:t>
            </w:r>
          </w:p>
        </w:tc>
        <w:tc>
          <w:tcPr>
            <w:tcW w:w="1660" w:type="dxa"/>
            <w:vAlign w:val="bottom"/>
          </w:tcPr>
          <w:p>
            <w:pPr>
              <w:jc w:val="right"/>
              <w:ind w:right="290"/>
              <w:spacing w:after="0" w:line="202" w:lineRule="exact"/>
              <w:rPr>
                <w:sz w:val="20"/>
                <w:szCs w:val="20"/>
                <w:color w:val="auto"/>
              </w:rPr>
            </w:pPr>
            <w:r>
              <w:rPr>
                <w:rFonts w:ascii="Arial" w:cs="Arial" w:eastAsia="Arial" w:hAnsi="Arial"/>
                <w:sz w:val="18"/>
                <w:szCs w:val="18"/>
                <w:color w:val="auto"/>
              </w:rPr>
              <w:t>777</w:t>
            </w:r>
          </w:p>
        </w:tc>
        <w:tc>
          <w:tcPr>
            <w:tcW w:w="1680" w:type="dxa"/>
            <w:vAlign w:val="bottom"/>
          </w:tcPr>
          <w:p>
            <w:pPr>
              <w:jc w:val="right"/>
              <w:ind w:right="270"/>
              <w:spacing w:after="0" w:line="202" w:lineRule="exact"/>
              <w:rPr>
                <w:sz w:val="20"/>
                <w:szCs w:val="20"/>
                <w:color w:val="auto"/>
              </w:rPr>
            </w:pPr>
            <w:r>
              <w:rPr>
                <w:rFonts w:ascii="Arial" w:cs="Arial" w:eastAsia="Arial" w:hAnsi="Arial"/>
                <w:sz w:val="18"/>
                <w:szCs w:val="18"/>
                <w:color w:val="auto"/>
              </w:rPr>
              <w:t>1,613</w:t>
            </w:r>
          </w:p>
        </w:tc>
        <w:tc>
          <w:tcPr>
            <w:tcW w:w="14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0.05</w:t>
            </w:r>
          </w:p>
        </w:tc>
      </w:tr>
      <w:tr>
        <w:trPr>
          <w:trHeight w:val="203"/>
        </w:trPr>
        <w:tc>
          <w:tcPr>
            <w:tcW w:w="4540" w:type="dxa"/>
            <w:vAlign w:val="bottom"/>
          </w:tcPr>
          <w:p>
            <w:pPr>
              <w:spacing w:after="0" w:line="202" w:lineRule="exact"/>
              <w:rPr>
                <w:sz w:val="20"/>
                <w:szCs w:val="20"/>
                <w:color w:val="auto"/>
              </w:rPr>
            </w:pPr>
            <w:r>
              <w:rPr>
                <w:rFonts w:ascii="Arial" w:cs="Arial" w:eastAsia="Arial" w:hAnsi="Arial"/>
                <w:sz w:val="18"/>
                <w:szCs w:val="18"/>
                <w:color w:val="auto"/>
              </w:rPr>
              <w:t>Net discrete income tax benefit</w:t>
            </w:r>
          </w:p>
        </w:tc>
        <w:tc>
          <w:tcPr>
            <w:tcW w:w="21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w:t>
            </w:r>
          </w:p>
        </w:tc>
        <w:tc>
          <w:tcPr>
            <w:tcW w:w="1660" w:type="dxa"/>
            <w:vAlign w:val="bottom"/>
          </w:tcPr>
          <w:p>
            <w:pPr>
              <w:jc w:val="right"/>
              <w:ind w:right="290"/>
              <w:spacing w:after="0" w:line="202" w:lineRule="exact"/>
              <w:rPr>
                <w:sz w:val="20"/>
                <w:szCs w:val="20"/>
                <w:color w:val="auto"/>
              </w:rPr>
            </w:pPr>
            <w:r>
              <w:rPr>
                <w:rFonts w:ascii="Arial" w:cs="Arial" w:eastAsia="Arial" w:hAnsi="Arial"/>
                <w:sz w:val="18"/>
                <w:szCs w:val="18"/>
                <w:color w:val="auto"/>
              </w:rPr>
              <w:t>290</w:t>
            </w:r>
          </w:p>
        </w:tc>
        <w:tc>
          <w:tcPr>
            <w:tcW w:w="1680" w:type="dxa"/>
            <w:vAlign w:val="bottom"/>
          </w:tcPr>
          <w:p>
            <w:pPr>
              <w:jc w:val="right"/>
              <w:ind w:right="270"/>
              <w:spacing w:after="0" w:line="202" w:lineRule="exact"/>
              <w:rPr>
                <w:sz w:val="20"/>
                <w:szCs w:val="20"/>
                <w:color w:val="auto"/>
              </w:rPr>
            </w:pPr>
            <w:r>
              <w:rPr>
                <w:rFonts w:ascii="Arial" w:cs="Arial" w:eastAsia="Arial" w:hAnsi="Arial"/>
                <w:sz w:val="18"/>
                <w:szCs w:val="18"/>
                <w:color w:val="auto"/>
              </w:rPr>
              <w:t>290</w:t>
            </w:r>
          </w:p>
        </w:tc>
        <w:tc>
          <w:tcPr>
            <w:tcW w:w="14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0.01</w:t>
            </w:r>
          </w:p>
        </w:tc>
      </w:tr>
      <w:tr>
        <w:trPr>
          <w:trHeight w:val="203"/>
        </w:trPr>
        <w:tc>
          <w:tcPr>
            <w:tcW w:w="4540" w:type="dxa"/>
            <w:vAlign w:val="bottom"/>
            <w:tcBorders>
              <w:bottom w:val="single" w:sz="8" w:color="auto"/>
            </w:tcBorders>
          </w:tcPr>
          <w:p>
            <w:pPr>
              <w:spacing w:after="0" w:line="203" w:lineRule="exact"/>
              <w:rPr>
                <w:sz w:val="20"/>
                <w:szCs w:val="20"/>
                <w:color w:val="auto"/>
              </w:rPr>
            </w:pPr>
            <w:r>
              <w:rPr>
                <w:rFonts w:ascii="Arial" w:cs="Arial" w:eastAsia="Arial" w:hAnsi="Arial"/>
                <w:sz w:val="18"/>
                <w:szCs w:val="18"/>
                <w:color w:val="auto"/>
              </w:rPr>
              <w:t>Favorable effect of applying ASC 606</w:t>
            </w:r>
          </w:p>
        </w:tc>
        <w:tc>
          <w:tcPr>
            <w:tcW w:w="2100" w:type="dxa"/>
            <w:vAlign w:val="bottom"/>
            <w:tcBorders>
              <w:bottom w:val="single" w:sz="8" w:color="auto"/>
            </w:tcBorders>
          </w:tcPr>
          <w:p>
            <w:pPr>
              <w:jc w:val="right"/>
              <w:ind w:right="350"/>
              <w:spacing w:after="0" w:line="203" w:lineRule="exact"/>
              <w:rPr>
                <w:sz w:val="20"/>
                <w:szCs w:val="20"/>
                <w:color w:val="auto"/>
              </w:rPr>
            </w:pPr>
            <w:r>
              <w:rPr>
                <w:rFonts w:ascii="Arial" w:cs="Arial" w:eastAsia="Arial" w:hAnsi="Arial"/>
                <w:sz w:val="18"/>
                <w:szCs w:val="18"/>
                <w:color w:val="auto"/>
              </w:rPr>
              <w:t>1,848</w:t>
            </w:r>
          </w:p>
        </w:tc>
        <w:tc>
          <w:tcPr>
            <w:tcW w:w="1660" w:type="dxa"/>
            <w:vAlign w:val="bottom"/>
            <w:tcBorders>
              <w:bottom w:val="single" w:sz="8" w:color="auto"/>
            </w:tcBorders>
          </w:tcPr>
          <w:p>
            <w:pPr>
              <w:jc w:val="right"/>
              <w:ind w:right="290"/>
              <w:spacing w:after="0" w:line="203" w:lineRule="exact"/>
              <w:rPr>
                <w:sz w:val="20"/>
                <w:szCs w:val="20"/>
                <w:color w:val="auto"/>
              </w:rPr>
            </w:pPr>
            <w:r>
              <w:rPr>
                <w:rFonts w:ascii="Arial" w:cs="Arial" w:eastAsia="Arial" w:hAnsi="Arial"/>
                <w:sz w:val="18"/>
                <w:szCs w:val="18"/>
                <w:color w:val="auto"/>
              </w:rPr>
              <w:t>658</w:t>
            </w:r>
          </w:p>
        </w:tc>
        <w:tc>
          <w:tcPr>
            <w:tcW w:w="1680" w:type="dxa"/>
            <w:vAlign w:val="bottom"/>
            <w:tcBorders>
              <w:bottom w:val="single" w:sz="8" w:color="auto"/>
            </w:tcBorders>
          </w:tcPr>
          <w:p>
            <w:pPr>
              <w:jc w:val="right"/>
              <w:ind w:right="270"/>
              <w:spacing w:after="0" w:line="203" w:lineRule="exact"/>
              <w:rPr>
                <w:sz w:val="20"/>
                <w:szCs w:val="20"/>
                <w:color w:val="auto"/>
              </w:rPr>
            </w:pPr>
            <w:r>
              <w:rPr>
                <w:rFonts w:ascii="Arial" w:cs="Arial" w:eastAsia="Arial" w:hAnsi="Arial"/>
                <w:sz w:val="18"/>
                <w:szCs w:val="18"/>
                <w:color w:val="auto"/>
              </w:rPr>
              <w:t>1,190</w:t>
            </w:r>
          </w:p>
        </w:tc>
        <w:tc>
          <w:tcPr>
            <w:tcW w:w="1440" w:type="dxa"/>
            <w:vAlign w:val="bottom"/>
            <w:tcBorders>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rPr>
              <w:t>0.04</w:t>
            </w:r>
          </w:p>
        </w:tc>
      </w:tr>
      <w:tr>
        <w:trPr>
          <w:trHeight w:val="210"/>
        </w:trPr>
        <w:tc>
          <w:tcPr>
            <w:tcW w:w="4540" w:type="dxa"/>
            <w:vAlign w:val="bottom"/>
          </w:tcPr>
          <w:p>
            <w:pPr>
              <w:spacing w:after="0"/>
              <w:rPr>
                <w:sz w:val="20"/>
                <w:szCs w:val="20"/>
                <w:color w:val="auto"/>
              </w:rPr>
            </w:pPr>
            <w:r>
              <w:rPr>
                <w:rFonts w:ascii="Arial" w:cs="Arial" w:eastAsia="Arial" w:hAnsi="Arial"/>
                <w:sz w:val="18"/>
                <w:szCs w:val="18"/>
                <w:color w:val="auto"/>
              </w:rPr>
              <w:t>* Includes tax and noncontrolling interest effects</w:t>
            </w:r>
          </w:p>
        </w:tc>
        <w:tc>
          <w:tcPr>
            <w:tcW w:w="21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440" w:type="dxa"/>
            <w:vAlign w:val="bottom"/>
          </w:tcPr>
          <w:p>
            <w:pPr>
              <w:spacing w:after="0"/>
              <w:rPr>
                <w:sz w:val="18"/>
                <w:szCs w:val="18"/>
                <w:color w:val="auto"/>
              </w:rPr>
            </w:pPr>
          </w:p>
        </w:tc>
      </w:tr>
    </w:tbl>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4400" w:type="dxa"/>
            <w:vAlign w:val="bottom"/>
            <w:tcBorders>
              <w:top w:val="single" w:sz="8" w:color="auto"/>
            </w:tcBorders>
          </w:tcPr>
          <w:p>
            <w:pPr>
              <w:spacing w:after="0" w:line="194" w:lineRule="exact"/>
              <w:rPr>
                <w:sz w:val="20"/>
                <w:szCs w:val="20"/>
                <w:color w:val="auto"/>
              </w:rPr>
            </w:pPr>
            <w:r>
              <w:rPr>
                <w:rFonts w:ascii="Arial" w:cs="Arial" w:eastAsia="Arial" w:hAnsi="Arial"/>
                <w:sz w:val="18"/>
                <w:szCs w:val="18"/>
                <w:b w:val="1"/>
                <w:bCs w:val="1"/>
                <w:color w:val="auto"/>
              </w:rPr>
              <w:t>Three months ended March 31, 2017</w:t>
            </w:r>
          </w:p>
        </w:tc>
        <w:tc>
          <w:tcPr>
            <w:tcW w:w="2240" w:type="dxa"/>
            <w:vAlign w:val="bottom"/>
            <w:tcBorders>
              <w:top w:val="single" w:sz="8" w:color="auto"/>
            </w:tcBorders>
          </w:tcPr>
          <w:p>
            <w:pPr>
              <w:jc w:val="right"/>
              <w:ind w:right="630"/>
              <w:spacing w:after="0" w:line="194" w:lineRule="exact"/>
              <w:rPr>
                <w:sz w:val="20"/>
                <w:szCs w:val="20"/>
                <w:color w:val="auto"/>
              </w:rPr>
            </w:pPr>
            <w:r>
              <w:rPr>
                <w:rFonts w:ascii="Arial" w:cs="Arial" w:eastAsia="Arial" w:hAnsi="Arial"/>
                <w:sz w:val="18"/>
                <w:szCs w:val="18"/>
                <w:b w:val="1"/>
                <w:bCs w:val="1"/>
                <w:color w:val="auto"/>
              </w:rPr>
              <w:t>Pre tax</w:t>
            </w:r>
          </w:p>
        </w:tc>
        <w:tc>
          <w:tcPr>
            <w:tcW w:w="1660" w:type="dxa"/>
            <w:vAlign w:val="bottom"/>
            <w:tcBorders>
              <w:top w:val="single" w:sz="8" w:color="auto"/>
            </w:tcBorders>
          </w:tcPr>
          <w:p>
            <w:pPr>
              <w:jc w:val="right"/>
              <w:ind w:right="710"/>
              <w:spacing w:after="0" w:line="194" w:lineRule="exact"/>
              <w:rPr>
                <w:sz w:val="20"/>
                <w:szCs w:val="20"/>
                <w:color w:val="auto"/>
              </w:rPr>
            </w:pPr>
            <w:r>
              <w:rPr>
                <w:rFonts w:ascii="Arial" w:cs="Arial" w:eastAsia="Arial" w:hAnsi="Arial"/>
                <w:sz w:val="18"/>
                <w:szCs w:val="18"/>
                <w:b w:val="1"/>
                <w:bCs w:val="1"/>
                <w:color w:val="auto"/>
              </w:rPr>
              <w:t>Tax</w:t>
            </w:r>
          </w:p>
        </w:tc>
        <w:tc>
          <w:tcPr>
            <w:tcW w:w="1680" w:type="dxa"/>
            <w:vAlign w:val="bottom"/>
            <w:tcBorders>
              <w:top w:val="single" w:sz="8" w:color="auto"/>
            </w:tcBorders>
          </w:tcPr>
          <w:p>
            <w:pPr>
              <w:jc w:val="right"/>
              <w:ind w:right="470"/>
              <w:spacing w:after="0" w:line="194" w:lineRule="exact"/>
              <w:rPr>
                <w:sz w:val="20"/>
                <w:szCs w:val="20"/>
                <w:color w:val="auto"/>
              </w:rPr>
            </w:pPr>
            <w:r>
              <w:rPr>
                <w:rFonts w:ascii="Arial" w:cs="Arial" w:eastAsia="Arial" w:hAnsi="Arial"/>
                <w:sz w:val="18"/>
                <w:szCs w:val="18"/>
                <w:b w:val="1"/>
                <w:bCs w:val="1"/>
                <w:color w:val="auto"/>
              </w:rPr>
              <w:t>After tax</w:t>
            </w:r>
          </w:p>
        </w:tc>
        <w:tc>
          <w:tcPr>
            <w:tcW w:w="1440" w:type="dxa"/>
            <w:vAlign w:val="bottom"/>
            <w:tcBorders>
              <w:top w:val="single" w:sz="8" w:color="auto"/>
            </w:tcBorders>
          </w:tcPr>
          <w:p>
            <w:pPr>
              <w:jc w:val="right"/>
              <w:ind w:right="170"/>
              <w:spacing w:after="0" w:line="194" w:lineRule="exact"/>
              <w:rPr>
                <w:sz w:val="20"/>
                <w:szCs w:val="20"/>
                <w:color w:val="auto"/>
              </w:rPr>
            </w:pPr>
            <w:r>
              <w:rPr>
                <w:rFonts w:ascii="Arial" w:cs="Arial" w:eastAsia="Arial" w:hAnsi="Arial"/>
                <w:sz w:val="18"/>
                <w:szCs w:val="18"/>
                <w:b w:val="1"/>
                <w:bCs w:val="1"/>
                <w:color w:val="auto"/>
              </w:rPr>
              <w:t>Per Share</w:t>
            </w:r>
          </w:p>
        </w:tc>
      </w:tr>
      <w:tr>
        <w:trPr>
          <w:trHeight w:val="225"/>
        </w:trPr>
        <w:tc>
          <w:tcPr>
            <w:tcW w:w="44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(in thousands, except per share amounts)</w:t>
            </w:r>
          </w:p>
        </w:tc>
        <w:tc>
          <w:tcPr>
            <w:tcW w:w="22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Amounts</w:t>
            </w:r>
          </w:p>
        </w:tc>
        <w:tc>
          <w:tcPr>
            <w:tcW w:w="166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Effect</w:t>
            </w:r>
          </w:p>
        </w:tc>
        <w:tc>
          <w:tcPr>
            <w:tcW w:w="168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Effect</w:t>
            </w:r>
          </w:p>
        </w:tc>
        <w:tc>
          <w:tcPr>
            <w:tcW w:w="14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Effect</w:t>
            </w:r>
          </w:p>
        </w:tc>
      </w:tr>
      <w:tr>
        <w:trPr>
          <w:trHeight w:val="195"/>
        </w:trPr>
        <w:tc>
          <w:tcPr>
            <w:tcW w:w="4400" w:type="dxa"/>
            <w:vAlign w:val="bottom"/>
          </w:tcPr>
          <w:p>
            <w:pPr>
              <w:spacing w:after="0" w:line="195" w:lineRule="exact"/>
              <w:rPr>
                <w:sz w:val="20"/>
                <w:szCs w:val="20"/>
                <w:color w:val="auto"/>
              </w:rPr>
            </w:pPr>
            <w:r>
              <w:rPr>
                <w:rFonts w:ascii="Arial" w:cs="Arial" w:eastAsia="Arial" w:hAnsi="Arial"/>
                <w:sz w:val="18"/>
                <w:szCs w:val="18"/>
                <w:color w:val="auto"/>
              </w:rPr>
              <w:t>Restructuring expenses, net</w:t>
            </w:r>
          </w:p>
        </w:tc>
        <w:tc>
          <w:tcPr>
            <w:tcW w:w="2240" w:type="dxa"/>
            <w:vAlign w:val="bottom"/>
          </w:tcPr>
          <w:p>
            <w:pPr>
              <w:jc w:val="right"/>
              <w:ind w:right="350"/>
              <w:spacing w:after="0" w:line="195" w:lineRule="exact"/>
              <w:rPr>
                <w:sz w:val="20"/>
                <w:szCs w:val="20"/>
                <w:color w:val="auto"/>
              </w:rPr>
            </w:pPr>
            <w:r>
              <w:rPr>
                <w:rFonts w:ascii="Arial" w:cs="Arial" w:eastAsia="Arial" w:hAnsi="Arial"/>
                <w:sz w:val="18"/>
                <w:szCs w:val="18"/>
                <w:color w:val="auto"/>
              </w:rPr>
              <w:t>$2,681</w:t>
            </w:r>
          </w:p>
        </w:tc>
        <w:tc>
          <w:tcPr>
            <w:tcW w:w="1660" w:type="dxa"/>
            <w:vAlign w:val="bottom"/>
          </w:tcPr>
          <w:p>
            <w:pPr>
              <w:jc w:val="right"/>
              <w:ind w:right="290"/>
              <w:spacing w:after="0" w:line="195" w:lineRule="exact"/>
              <w:rPr>
                <w:sz w:val="20"/>
                <w:szCs w:val="20"/>
                <w:color w:val="auto"/>
              </w:rPr>
            </w:pPr>
            <w:r>
              <w:rPr>
                <w:rFonts w:ascii="Arial" w:cs="Arial" w:eastAsia="Arial" w:hAnsi="Arial"/>
                <w:sz w:val="18"/>
                <w:szCs w:val="18"/>
                <w:color w:val="auto"/>
              </w:rPr>
              <w:t>$979</w:t>
            </w:r>
          </w:p>
        </w:tc>
        <w:tc>
          <w:tcPr>
            <w:tcW w:w="1680" w:type="dxa"/>
            <w:vAlign w:val="bottom"/>
          </w:tcPr>
          <w:p>
            <w:pPr>
              <w:jc w:val="right"/>
              <w:ind w:right="270"/>
              <w:spacing w:after="0" w:line="195" w:lineRule="exact"/>
              <w:rPr>
                <w:sz w:val="20"/>
                <w:szCs w:val="20"/>
                <w:color w:val="auto"/>
              </w:rPr>
            </w:pPr>
            <w:r>
              <w:rPr>
                <w:rFonts w:ascii="Arial" w:cs="Arial" w:eastAsia="Arial" w:hAnsi="Arial"/>
                <w:sz w:val="18"/>
                <w:szCs w:val="18"/>
                <w:color w:val="auto"/>
              </w:rPr>
              <w:t>$1,702</w:t>
            </w:r>
          </w:p>
        </w:tc>
        <w:tc>
          <w:tcPr>
            <w:tcW w:w="1440" w:type="dxa"/>
            <w:vAlign w:val="bottom"/>
          </w:tcPr>
          <w:p>
            <w:pPr>
              <w:jc w:val="right"/>
              <w:ind w:right="10"/>
              <w:spacing w:after="0" w:line="195" w:lineRule="exact"/>
              <w:rPr>
                <w:sz w:val="20"/>
                <w:szCs w:val="20"/>
                <w:color w:val="auto"/>
              </w:rPr>
            </w:pPr>
            <w:r>
              <w:rPr>
                <w:rFonts w:ascii="Arial" w:cs="Arial" w:eastAsia="Arial" w:hAnsi="Arial"/>
                <w:sz w:val="18"/>
                <w:szCs w:val="18"/>
                <w:color w:val="auto"/>
              </w:rPr>
              <w:t>$0.05</w:t>
            </w:r>
          </w:p>
        </w:tc>
      </w:tr>
      <w:tr>
        <w:trPr>
          <w:trHeight w:val="203"/>
        </w:trPr>
        <w:tc>
          <w:tcPr>
            <w:tcW w:w="4400" w:type="dxa"/>
            <w:vAlign w:val="bottom"/>
          </w:tcPr>
          <w:p>
            <w:pPr>
              <w:spacing w:after="0" w:line="202" w:lineRule="exact"/>
              <w:rPr>
                <w:sz w:val="20"/>
                <w:szCs w:val="20"/>
                <w:color w:val="auto"/>
              </w:rPr>
            </w:pPr>
            <w:r>
              <w:rPr>
                <w:rFonts w:ascii="Arial" w:cs="Arial" w:eastAsia="Arial" w:hAnsi="Arial"/>
                <w:sz w:val="18"/>
                <w:szCs w:val="18"/>
                <w:color w:val="auto"/>
              </w:rPr>
              <w:t>Foreign currency revaluation losses</w:t>
            </w:r>
          </w:p>
        </w:tc>
        <w:tc>
          <w:tcPr>
            <w:tcW w:w="224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1,863</w:t>
            </w:r>
          </w:p>
        </w:tc>
        <w:tc>
          <w:tcPr>
            <w:tcW w:w="1660" w:type="dxa"/>
            <w:vAlign w:val="bottom"/>
          </w:tcPr>
          <w:p>
            <w:pPr>
              <w:jc w:val="right"/>
              <w:ind w:right="290"/>
              <w:spacing w:after="0" w:line="202" w:lineRule="exact"/>
              <w:rPr>
                <w:sz w:val="20"/>
                <w:szCs w:val="20"/>
                <w:color w:val="auto"/>
              </w:rPr>
            </w:pPr>
            <w:r>
              <w:rPr>
                <w:rFonts w:ascii="Arial" w:cs="Arial" w:eastAsia="Arial" w:hAnsi="Arial"/>
                <w:sz w:val="18"/>
                <w:szCs w:val="18"/>
                <w:color w:val="auto"/>
              </w:rPr>
              <w:t>680</w:t>
            </w:r>
          </w:p>
        </w:tc>
        <w:tc>
          <w:tcPr>
            <w:tcW w:w="1680" w:type="dxa"/>
            <w:vAlign w:val="bottom"/>
          </w:tcPr>
          <w:p>
            <w:pPr>
              <w:jc w:val="right"/>
              <w:ind w:right="270"/>
              <w:spacing w:after="0" w:line="202" w:lineRule="exact"/>
              <w:rPr>
                <w:sz w:val="20"/>
                <w:szCs w:val="20"/>
                <w:color w:val="auto"/>
              </w:rPr>
            </w:pPr>
            <w:r>
              <w:rPr>
                <w:rFonts w:ascii="Arial" w:cs="Arial" w:eastAsia="Arial" w:hAnsi="Arial"/>
                <w:sz w:val="18"/>
                <w:szCs w:val="18"/>
                <w:color w:val="auto"/>
              </w:rPr>
              <w:t>1,183</w:t>
            </w:r>
          </w:p>
        </w:tc>
        <w:tc>
          <w:tcPr>
            <w:tcW w:w="14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0.04</w:t>
            </w:r>
          </w:p>
        </w:tc>
      </w:tr>
      <w:tr>
        <w:trPr>
          <w:trHeight w:val="203"/>
        </w:trPr>
        <w:tc>
          <w:tcPr>
            <w:tcW w:w="4400" w:type="dxa"/>
            <w:vAlign w:val="bottom"/>
            <w:tcBorders>
              <w:bottom w:val="single" w:sz="8" w:color="auto"/>
            </w:tcBorders>
          </w:tcPr>
          <w:p>
            <w:pPr>
              <w:spacing w:after="0" w:line="203" w:lineRule="exact"/>
              <w:rPr>
                <w:sz w:val="20"/>
                <w:szCs w:val="20"/>
                <w:color w:val="auto"/>
              </w:rPr>
            </w:pPr>
            <w:r>
              <w:rPr>
                <w:rFonts w:ascii="Arial" w:cs="Arial" w:eastAsia="Arial" w:hAnsi="Arial"/>
                <w:sz w:val="18"/>
                <w:szCs w:val="18"/>
                <w:color w:val="auto"/>
              </w:rPr>
              <w:t>Net discrete income tax charge</w:t>
            </w:r>
          </w:p>
        </w:tc>
        <w:tc>
          <w:tcPr>
            <w:tcW w:w="2240" w:type="dxa"/>
            <w:vAlign w:val="bottom"/>
            <w:tcBorders>
              <w:bottom w:val="single" w:sz="8" w:color="auto"/>
            </w:tcBorders>
          </w:tcPr>
          <w:p>
            <w:pPr>
              <w:jc w:val="right"/>
              <w:ind w:right="350"/>
              <w:spacing w:after="0" w:line="203" w:lineRule="exact"/>
              <w:rPr>
                <w:sz w:val="20"/>
                <w:szCs w:val="20"/>
                <w:color w:val="auto"/>
              </w:rPr>
            </w:pPr>
            <w:r>
              <w:rPr>
                <w:rFonts w:ascii="Arial" w:cs="Arial" w:eastAsia="Arial" w:hAnsi="Arial"/>
                <w:sz w:val="18"/>
                <w:szCs w:val="18"/>
                <w:color w:val="auto"/>
              </w:rPr>
              <w:t>-</w:t>
            </w:r>
          </w:p>
        </w:tc>
        <w:tc>
          <w:tcPr>
            <w:tcW w:w="1660" w:type="dxa"/>
            <w:vAlign w:val="bottom"/>
            <w:tcBorders>
              <w:bottom w:val="single" w:sz="8" w:color="auto"/>
            </w:tcBorders>
          </w:tcPr>
          <w:p>
            <w:pPr>
              <w:jc w:val="right"/>
              <w:ind w:right="290"/>
              <w:spacing w:after="0" w:line="203" w:lineRule="exact"/>
              <w:rPr>
                <w:sz w:val="20"/>
                <w:szCs w:val="20"/>
                <w:color w:val="auto"/>
              </w:rPr>
            </w:pPr>
            <w:r>
              <w:rPr>
                <w:rFonts w:ascii="Arial" w:cs="Arial" w:eastAsia="Arial" w:hAnsi="Arial"/>
                <w:sz w:val="18"/>
                <w:szCs w:val="18"/>
                <w:color w:val="auto"/>
              </w:rPr>
              <w:t>831</w:t>
            </w:r>
          </w:p>
        </w:tc>
        <w:tc>
          <w:tcPr>
            <w:tcW w:w="1680" w:type="dxa"/>
            <w:vAlign w:val="bottom"/>
            <w:tcBorders>
              <w:bottom w:val="single" w:sz="8" w:color="auto"/>
            </w:tcBorders>
          </w:tcPr>
          <w:p>
            <w:pPr>
              <w:jc w:val="right"/>
              <w:ind w:right="270"/>
              <w:spacing w:after="0" w:line="203" w:lineRule="exact"/>
              <w:rPr>
                <w:sz w:val="20"/>
                <w:szCs w:val="20"/>
                <w:color w:val="auto"/>
              </w:rPr>
            </w:pPr>
            <w:r>
              <w:rPr>
                <w:rFonts w:ascii="Arial" w:cs="Arial" w:eastAsia="Arial" w:hAnsi="Arial"/>
                <w:sz w:val="18"/>
                <w:szCs w:val="18"/>
                <w:color w:val="auto"/>
              </w:rPr>
              <w:t>831</w:t>
            </w:r>
          </w:p>
        </w:tc>
        <w:tc>
          <w:tcPr>
            <w:tcW w:w="1440" w:type="dxa"/>
            <w:vAlign w:val="bottom"/>
            <w:tcBorders>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rPr>
              <w:t>0.03</w:t>
            </w:r>
          </w:p>
        </w:tc>
      </w:tr>
      <w:tr>
        <w:trPr>
          <w:trHeight w:val="628"/>
        </w:trPr>
        <w:tc>
          <w:tcPr>
            <w:tcW w:w="4400" w:type="dxa"/>
            <w:vAlign w:val="bottom"/>
          </w:tcPr>
          <w:p>
            <w:pPr>
              <w:spacing w:after="0"/>
              <w:rPr>
                <w:sz w:val="24"/>
                <w:szCs w:val="24"/>
                <w:color w:val="auto"/>
              </w:rPr>
            </w:pPr>
          </w:p>
        </w:tc>
        <w:tc>
          <w:tcPr>
            <w:tcW w:w="2240" w:type="dxa"/>
            <w:vAlign w:val="bottom"/>
          </w:tcPr>
          <w:p>
            <w:pPr>
              <w:jc w:val="right"/>
              <w:ind w:right="750"/>
              <w:spacing w:after="0"/>
              <w:rPr>
                <w:sz w:val="20"/>
                <w:szCs w:val="20"/>
                <w:color w:val="auto"/>
              </w:rPr>
            </w:pPr>
            <w:r>
              <w:rPr>
                <w:rFonts w:ascii="Arial" w:cs="Arial" w:eastAsia="Arial" w:hAnsi="Arial"/>
                <w:sz w:val="18"/>
                <w:szCs w:val="18"/>
                <w:color w:val="auto"/>
              </w:rPr>
              <w:t>53</w:t>
            </w:r>
          </w:p>
        </w:tc>
        <w:tc>
          <w:tcPr>
            <w:tcW w:w="16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142"/>
        </w:trPr>
        <w:tc>
          <w:tcPr>
            <w:tcW w:w="4400" w:type="dxa"/>
            <w:vAlign w:val="bottom"/>
            <w:tcBorders>
              <w:bottom w:val="single" w:sz="8" w:color="auto"/>
            </w:tcBorders>
          </w:tcPr>
          <w:p>
            <w:pPr>
              <w:spacing w:after="0"/>
              <w:rPr>
                <w:sz w:val="12"/>
                <w:szCs w:val="12"/>
                <w:color w:val="auto"/>
              </w:rPr>
            </w:pPr>
          </w:p>
        </w:tc>
        <w:tc>
          <w:tcPr>
            <w:tcW w:w="2240" w:type="dxa"/>
            <w:vAlign w:val="bottom"/>
            <w:tcBorders>
              <w:bottom w:val="single" w:sz="8" w:color="auto"/>
            </w:tcBorders>
          </w:tcPr>
          <w:p>
            <w:pPr>
              <w:spacing w:after="0"/>
              <w:rPr>
                <w:sz w:val="12"/>
                <w:szCs w:val="12"/>
                <w:color w:val="auto"/>
              </w:rPr>
            </w:pPr>
          </w:p>
        </w:tc>
        <w:tc>
          <w:tcPr>
            <w:tcW w:w="1660" w:type="dxa"/>
            <w:vAlign w:val="bottom"/>
            <w:tcBorders>
              <w:bottom w:val="single" w:sz="8" w:color="auto"/>
            </w:tcBorders>
          </w:tcPr>
          <w:p>
            <w:pPr>
              <w:spacing w:after="0"/>
              <w:rPr>
                <w:sz w:val="12"/>
                <w:szCs w:val="12"/>
                <w:color w:val="auto"/>
              </w:rPr>
            </w:pPr>
          </w:p>
        </w:tc>
        <w:tc>
          <w:tcPr>
            <w:tcW w:w="1680" w:type="dxa"/>
            <w:vAlign w:val="bottom"/>
            <w:tcBorders>
              <w:bottom w:val="single" w:sz="8" w:color="auto"/>
            </w:tcBorders>
          </w:tcPr>
          <w:p>
            <w:pPr>
              <w:spacing w:after="0"/>
              <w:rPr>
                <w:sz w:val="12"/>
                <w:szCs w:val="12"/>
                <w:color w:val="auto"/>
              </w:rPr>
            </w:pPr>
          </w:p>
        </w:tc>
        <w:tc>
          <w:tcPr>
            <w:tcW w:w="1440" w:type="dxa"/>
            <w:vAlign w:val="bottom"/>
            <w:tcBorders>
              <w:bottom w:val="single" w:sz="8" w:color="auto"/>
            </w:tcBorders>
          </w:tcPr>
          <w:p>
            <w:pPr>
              <w:spacing w:after="0"/>
              <w:rPr>
                <w:sz w:val="12"/>
                <w:szCs w:val="12"/>
                <w:color w:val="auto"/>
              </w:rPr>
            </w:pPr>
          </w:p>
        </w:tc>
      </w:tr>
    </w:tbl>
    <w:p>
      <w:pPr>
        <w:sectPr>
          <w:pgSz w:w="11900" w:h="16838" w:orient="portrait"/>
          <w:cols w:equalWidth="0" w:num="1">
            <w:col w:w="11420"/>
          </w:cols>
          <w:pgMar w:left="240" w:top="997" w:right="239" w:bottom="1440" w:gutter="0" w:footer="0" w:header="0"/>
        </w:sectPr>
      </w:pPr>
    </w:p>
    <w:bookmarkStart w:id="53" w:name="page54"/>
    <w:bookmarkEnd w:id="53"/>
    <w:p>
      <w:pPr>
        <w:ind w:left="660"/>
        <w:spacing w:after="0"/>
        <w:rPr>
          <w:sz w:val="20"/>
          <w:szCs w:val="20"/>
          <w:color w:val="auto"/>
        </w:rPr>
      </w:pPr>
      <w:r>
        <w:rPr>
          <w:rFonts w:ascii="Arial" w:cs="Arial" w:eastAsia="Arial" w:hAnsi="Arial"/>
          <w:sz w:val="18"/>
          <w:szCs w:val="18"/>
          <w:color w:val="auto"/>
        </w:rPr>
        <w:t>The following table contains the calculation of net income per share attributable to the Company, excluding adjustments: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7020" w:type="dxa"/>
            <w:vAlign w:val="bottom"/>
            <w:tcBorders>
              <w:top w:val="single" w:sz="8" w:color="auto"/>
            </w:tcBorders>
          </w:tcPr>
          <w:p>
            <w:pPr>
              <w:spacing w:after="0"/>
              <w:rPr>
                <w:sz w:val="16"/>
                <w:szCs w:val="16"/>
                <w:color w:val="auto"/>
              </w:rPr>
            </w:pPr>
          </w:p>
        </w:tc>
        <w:tc>
          <w:tcPr>
            <w:tcW w:w="4400" w:type="dxa"/>
            <w:vAlign w:val="bottom"/>
            <w:tcBorders>
              <w:top w:val="single" w:sz="8" w:color="auto"/>
            </w:tcBorders>
            <w:gridSpan w:val="2"/>
          </w:tcPr>
          <w:p>
            <w:pPr>
              <w:jc w:val="right"/>
              <w:ind w:right="630"/>
              <w:spacing w:after="0" w:line="194" w:lineRule="exact"/>
              <w:rPr>
                <w:sz w:val="20"/>
                <w:szCs w:val="20"/>
                <w:color w:val="auto"/>
              </w:rPr>
            </w:pPr>
            <w:r>
              <w:rPr>
                <w:rFonts w:ascii="Arial" w:cs="Arial" w:eastAsia="Arial" w:hAnsi="Arial"/>
                <w:sz w:val="18"/>
                <w:szCs w:val="18"/>
                <w:b w:val="1"/>
                <w:bCs w:val="1"/>
                <w:color w:val="auto"/>
              </w:rPr>
              <w:t>Three months ended March 31,</w:t>
            </w:r>
          </w:p>
        </w:tc>
        <w:tc>
          <w:tcPr>
            <w:tcW w:w="0" w:type="dxa"/>
            <w:vAlign w:val="bottom"/>
          </w:tcPr>
          <w:p>
            <w:pPr>
              <w:spacing w:after="0"/>
              <w:rPr>
                <w:sz w:val="1"/>
                <w:szCs w:val="1"/>
                <w:color w:val="auto"/>
              </w:rPr>
            </w:pPr>
          </w:p>
        </w:tc>
      </w:tr>
      <w:tr>
        <w:trPr>
          <w:trHeight w:val="225"/>
        </w:trPr>
        <w:tc>
          <w:tcPr>
            <w:tcW w:w="70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Per share amounts (Basic)</w:t>
            </w:r>
          </w:p>
        </w:tc>
        <w:tc>
          <w:tcPr>
            <w:tcW w:w="2640" w:type="dxa"/>
            <w:vAlign w:val="bottom"/>
            <w:tcBorders>
              <w:bottom w:val="single" w:sz="8" w:color="auto"/>
            </w:tcBorders>
          </w:tcPr>
          <w:p>
            <w:pPr>
              <w:jc w:val="right"/>
              <w:ind w:right="1230"/>
              <w:spacing w:after="0"/>
              <w:rPr>
                <w:sz w:val="20"/>
                <w:szCs w:val="20"/>
                <w:color w:val="auto"/>
              </w:rPr>
            </w:pPr>
            <w:r>
              <w:rPr>
                <w:rFonts w:ascii="Arial" w:cs="Arial" w:eastAsia="Arial" w:hAnsi="Arial"/>
                <w:sz w:val="18"/>
                <w:szCs w:val="18"/>
                <w:b w:val="1"/>
                <w:bCs w:val="1"/>
                <w:color w:val="auto"/>
              </w:rPr>
              <w:t>2018</w:t>
            </w:r>
          </w:p>
        </w:tc>
        <w:tc>
          <w:tcPr>
            <w:tcW w:w="17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2017</w:t>
            </w:r>
          </w:p>
        </w:tc>
        <w:tc>
          <w:tcPr>
            <w:tcW w:w="0" w:type="dxa"/>
            <w:vAlign w:val="bottom"/>
          </w:tcPr>
          <w:p>
            <w:pPr>
              <w:spacing w:after="0"/>
              <w:rPr>
                <w:sz w:val="1"/>
                <w:szCs w:val="1"/>
                <w:color w:val="auto"/>
              </w:rPr>
            </w:pPr>
          </w:p>
        </w:tc>
      </w:tr>
      <w:tr>
        <w:trPr>
          <w:trHeight w:val="195"/>
        </w:trPr>
        <w:tc>
          <w:tcPr>
            <w:tcW w:w="7020" w:type="dxa"/>
            <w:vAlign w:val="bottom"/>
          </w:tcPr>
          <w:p>
            <w:pPr>
              <w:spacing w:after="0" w:line="195" w:lineRule="exact"/>
              <w:rPr>
                <w:sz w:val="20"/>
                <w:szCs w:val="20"/>
                <w:color w:val="auto"/>
              </w:rPr>
            </w:pPr>
            <w:r>
              <w:rPr>
                <w:rFonts w:ascii="Arial" w:cs="Arial" w:eastAsia="Arial" w:hAnsi="Arial"/>
                <w:sz w:val="18"/>
                <w:szCs w:val="18"/>
                <w:color w:val="auto"/>
              </w:rPr>
              <w:t>Net income attributable to the Company (GAAP)</w:t>
            </w:r>
          </w:p>
        </w:tc>
        <w:tc>
          <w:tcPr>
            <w:tcW w:w="2640" w:type="dxa"/>
            <w:vAlign w:val="bottom"/>
          </w:tcPr>
          <w:p>
            <w:pPr>
              <w:jc w:val="right"/>
              <w:ind w:right="750"/>
              <w:spacing w:after="0" w:line="195" w:lineRule="exact"/>
              <w:rPr>
                <w:sz w:val="20"/>
                <w:szCs w:val="20"/>
                <w:color w:val="auto"/>
              </w:rPr>
            </w:pPr>
            <w:r>
              <w:rPr>
                <w:rFonts w:ascii="Arial" w:cs="Arial" w:eastAsia="Arial" w:hAnsi="Arial"/>
                <w:sz w:val="18"/>
                <w:szCs w:val="18"/>
                <w:b w:val="1"/>
                <w:bCs w:val="1"/>
                <w:color w:val="auto"/>
              </w:rPr>
              <w:t>$0.32</w:t>
            </w:r>
          </w:p>
        </w:tc>
        <w:tc>
          <w:tcPr>
            <w:tcW w:w="1760" w:type="dxa"/>
            <w:vAlign w:val="bottom"/>
          </w:tcPr>
          <w:p>
            <w:pPr>
              <w:jc w:val="right"/>
              <w:ind w:right="10"/>
              <w:spacing w:after="0" w:line="195" w:lineRule="exact"/>
              <w:rPr>
                <w:sz w:val="20"/>
                <w:szCs w:val="20"/>
                <w:color w:val="auto"/>
              </w:rPr>
            </w:pPr>
            <w:r>
              <w:rPr>
                <w:rFonts w:ascii="Arial" w:cs="Arial" w:eastAsia="Arial" w:hAnsi="Arial"/>
                <w:sz w:val="18"/>
                <w:szCs w:val="18"/>
                <w:color w:val="auto"/>
              </w:rPr>
              <w:t>$0.34</w:t>
            </w:r>
          </w:p>
        </w:tc>
        <w:tc>
          <w:tcPr>
            <w:tcW w:w="0" w:type="dxa"/>
            <w:vAlign w:val="bottom"/>
          </w:tcPr>
          <w:p>
            <w:pPr>
              <w:spacing w:after="0"/>
              <w:rPr>
                <w:sz w:val="1"/>
                <w:szCs w:val="1"/>
                <w:color w:val="auto"/>
              </w:rPr>
            </w:pPr>
          </w:p>
        </w:tc>
      </w:tr>
      <w:tr>
        <w:trPr>
          <w:trHeight w:val="203"/>
        </w:trPr>
        <w:tc>
          <w:tcPr>
            <w:tcW w:w="7020" w:type="dxa"/>
            <w:vAlign w:val="bottom"/>
          </w:tcPr>
          <w:p>
            <w:pPr>
              <w:spacing w:after="0" w:line="202" w:lineRule="exact"/>
              <w:rPr>
                <w:sz w:val="20"/>
                <w:szCs w:val="20"/>
                <w:color w:val="auto"/>
              </w:rPr>
            </w:pPr>
            <w:r>
              <w:rPr>
                <w:rFonts w:ascii="Arial" w:cs="Arial" w:eastAsia="Arial" w:hAnsi="Arial"/>
                <w:sz w:val="18"/>
                <w:szCs w:val="18"/>
                <w:color w:val="auto"/>
              </w:rPr>
              <w:t>Adjustments:</w:t>
            </w:r>
          </w:p>
        </w:tc>
        <w:tc>
          <w:tcPr>
            <w:tcW w:w="2640" w:type="dxa"/>
            <w:vAlign w:val="bottom"/>
            <w:vMerge w:val="restart"/>
          </w:tcPr>
          <w:p>
            <w:pPr>
              <w:jc w:val="right"/>
              <w:ind w:right="750"/>
              <w:spacing w:after="0"/>
              <w:rPr>
                <w:sz w:val="20"/>
                <w:szCs w:val="20"/>
                <w:color w:val="auto"/>
              </w:rPr>
            </w:pPr>
            <w:r>
              <w:rPr>
                <w:rFonts w:ascii="Arial" w:cs="Arial" w:eastAsia="Arial" w:hAnsi="Arial"/>
                <w:sz w:val="18"/>
                <w:szCs w:val="18"/>
                <w:b w:val="1"/>
                <w:bCs w:val="1"/>
                <w:color w:val="auto"/>
              </w:rPr>
              <w:t>0.18</w:t>
            </w:r>
          </w:p>
        </w:tc>
        <w:tc>
          <w:tcPr>
            <w:tcW w:w="1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7020" w:type="dxa"/>
            <w:vAlign w:val="bottom"/>
          </w:tcPr>
          <w:p>
            <w:pPr>
              <w:spacing w:after="0" w:line="181" w:lineRule="exact"/>
              <w:rPr>
                <w:sz w:val="20"/>
                <w:szCs w:val="20"/>
                <w:color w:val="auto"/>
              </w:rPr>
            </w:pPr>
            <w:r>
              <w:rPr>
                <w:rFonts w:ascii="Arial" w:cs="Arial" w:eastAsia="Arial" w:hAnsi="Arial"/>
                <w:sz w:val="18"/>
                <w:szCs w:val="18"/>
                <w:color w:val="auto"/>
              </w:rPr>
              <w:t>Restructuring expenses, net</w:t>
            </w:r>
          </w:p>
        </w:tc>
        <w:tc>
          <w:tcPr>
            <w:tcW w:w="2640" w:type="dxa"/>
            <w:vAlign w:val="bottom"/>
            <w:vMerge w:val="continue"/>
          </w:tcPr>
          <w:p>
            <w:pPr>
              <w:spacing w:after="0"/>
              <w:rPr>
                <w:sz w:val="15"/>
                <w:szCs w:val="15"/>
                <w:color w:val="auto"/>
              </w:rPr>
            </w:pPr>
          </w:p>
        </w:tc>
        <w:tc>
          <w:tcPr>
            <w:tcW w:w="1760" w:type="dxa"/>
            <w:vAlign w:val="bottom"/>
          </w:tcPr>
          <w:p>
            <w:pPr>
              <w:jc w:val="right"/>
              <w:ind w:right="10"/>
              <w:spacing w:after="0" w:line="181" w:lineRule="exact"/>
              <w:rPr>
                <w:sz w:val="20"/>
                <w:szCs w:val="20"/>
                <w:color w:val="auto"/>
              </w:rPr>
            </w:pPr>
            <w:r>
              <w:rPr>
                <w:rFonts w:ascii="Arial" w:cs="Arial" w:eastAsia="Arial" w:hAnsi="Arial"/>
                <w:sz w:val="18"/>
                <w:szCs w:val="18"/>
                <w:color w:val="auto"/>
              </w:rPr>
              <w:t>0.05</w:t>
            </w:r>
          </w:p>
        </w:tc>
        <w:tc>
          <w:tcPr>
            <w:tcW w:w="0" w:type="dxa"/>
            <w:vAlign w:val="bottom"/>
          </w:tcPr>
          <w:p>
            <w:pPr>
              <w:spacing w:after="0"/>
              <w:rPr>
                <w:sz w:val="1"/>
                <w:szCs w:val="1"/>
                <w:color w:val="auto"/>
              </w:rPr>
            </w:pPr>
          </w:p>
        </w:tc>
      </w:tr>
      <w:tr>
        <w:trPr>
          <w:trHeight w:val="203"/>
        </w:trPr>
        <w:tc>
          <w:tcPr>
            <w:tcW w:w="7020" w:type="dxa"/>
            <w:vAlign w:val="bottom"/>
          </w:tcPr>
          <w:p>
            <w:pPr>
              <w:spacing w:after="0" w:line="202" w:lineRule="exact"/>
              <w:rPr>
                <w:sz w:val="20"/>
                <w:szCs w:val="20"/>
                <w:color w:val="auto"/>
              </w:rPr>
            </w:pPr>
            <w:r>
              <w:rPr>
                <w:rFonts w:ascii="Arial" w:cs="Arial" w:eastAsia="Arial" w:hAnsi="Arial"/>
                <w:sz w:val="18"/>
                <w:szCs w:val="18"/>
                <w:color w:val="auto"/>
              </w:rPr>
              <w:t>Discrete tax adjustments</w:t>
            </w:r>
          </w:p>
        </w:tc>
        <w:tc>
          <w:tcPr>
            <w:tcW w:w="2640" w:type="dxa"/>
            <w:vAlign w:val="bottom"/>
          </w:tcPr>
          <w:p>
            <w:pPr>
              <w:jc w:val="right"/>
              <w:ind w:right="690"/>
              <w:spacing w:after="0" w:line="202" w:lineRule="exact"/>
              <w:rPr>
                <w:sz w:val="20"/>
                <w:szCs w:val="20"/>
                <w:color w:val="auto"/>
              </w:rPr>
            </w:pPr>
            <w:r>
              <w:rPr>
                <w:rFonts w:ascii="Arial" w:cs="Arial" w:eastAsia="Arial" w:hAnsi="Arial"/>
                <w:sz w:val="18"/>
                <w:szCs w:val="18"/>
                <w:b w:val="1"/>
                <w:bCs w:val="1"/>
                <w:color w:val="auto"/>
              </w:rPr>
              <w:t>(0.01)</w:t>
            </w:r>
          </w:p>
        </w:tc>
        <w:tc>
          <w:tcPr>
            <w:tcW w:w="17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r>
        <w:trPr>
          <w:trHeight w:val="225"/>
        </w:trPr>
        <w:tc>
          <w:tcPr>
            <w:tcW w:w="7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Foreign currency revaluation losses</w:t>
            </w:r>
          </w:p>
        </w:tc>
        <w:tc>
          <w:tcPr>
            <w:tcW w:w="2640" w:type="dxa"/>
            <w:vAlign w:val="bottom"/>
            <w:tcBorders>
              <w:bottom w:val="single" w:sz="8" w:color="auto"/>
            </w:tcBorders>
          </w:tcPr>
          <w:p>
            <w:pPr>
              <w:jc w:val="right"/>
              <w:ind w:right="750"/>
              <w:spacing w:after="0"/>
              <w:rPr>
                <w:sz w:val="20"/>
                <w:szCs w:val="20"/>
                <w:color w:val="auto"/>
              </w:rPr>
            </w:pPr>
            <w:r>
              <w:rPr>
                <w:rFonts w:ascii="Arial" w:cs="Arial" w:eastAsia="Arial" w:hAnsi="Arial"/>
                <w:sz w:val="18"/>
                <w:szCs w:val="18"/>
                <w:b w:val="1"/>
                <w:bCs w:val="1"/>
                <w:color w:val="auto"/>
              </w:rPr>
              <w:t>0.05</w:t>
            </w:r>
          </w:p>
        </w:tc>
        <w:tc>
          <w:tcPr>
            <w:tcW w:w="17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0.04</w:t>
            </w:r>
          </w:p>
        </w:tc>
        <w:tc>
          <w:tcPr>
            <w:tcW w:w="0" w:type="dxa"/>
            <w:vAlign w:val="bottom"/>
          </w:tcPr>
          <w:p>
            <w:pPr>
              <w:spacing w:after="0"/>
              <w:rPr>
                <w:sz w:val="1"/>
                <w:szCs w:val="1"/>
                <w:color w:val="auto"/>
              </w:rPr>
            </w:pPr>
          </w:p>
        </w:tc>
      </w:tr>
      <w:tr>
        <w:trPr>
          <w:trHeight w:val="196"/>
        </w:trPr>
        <w:tc>
          <w:tcPr>
            <w:tcW w:w="702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Net income attributable to the Company, excluding adjustments (non-GAAP)</w:t>
            </w:r>
          </w:p>
        </w:tc>
        <w:tc>
          <w:tcPr>
            <w:tcW w:w="2640" w:type="dxa"/>
            <w:vAlign w:val="bottom"/>
            <w:tcBorders>
              <w:bottom w:val="single" w:sz="8" w:color="auto"/>
            </w:tcBorders>
          </w:tcPr>
          <w:p>
            <w:pPr>
              <w:jc w:val="right"/>
              <w:ind w:right="750"/>
              <w:spacing w:after="0" w:line="196" w:lineRule="exact"/>
              <w:rPr>
                <w:sz w:val="20"/>
                <w:szCs w:val="20"/>
                <w:color w:val="auto"/>
              </w:rPr>
            </w:pPr>
            <w:r>
              <w:rPr>
                <w:rFonts w:ascii="Arial" w:cs="Arial" w:eastAsia="Arial" w:hAnsi="Arial"/>
                <w:sz w:val="18"/>
                <w:szCs w:val="18"/>
                <w:b w:val="1"/>
                <w:bCs w:val="1"/>
                <w:color w:val="auto"/>
              </w:rPr>
              <w:t>$0.54</w:t>
            </w:r>
          </w:p>
        </w:tc>
        <w:tc>
          <w:tcPr>
            <w:tcW w:w="176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$0.46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contains the calculation of AEC Adjusted EBITDA as a percentage of sales: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4920" w:type="dxa"/>
            <w:vAlign w:val="bottom"/>
            <w:tcBorders>
              <w:top w:val="single" w:sz="8" w:color="auto"/>
            </w:tcBorders>
          </w:tcPr>
          <w:p>
            <w:pPr>
              <w:spacing w:after="0"/>
              <w:rPr>
                <w:sz w:val="16"/>
                <w:szCs w:val="16"/>
                <w:color w:val="auto"/>
              </w:rPr>
            </w:pPr>
          </w:p>
        </w:tc>
        <w:tc>
          <w:tcPr>
            <w:tcW w:w="1600" w:type="dxa"/>
            <w:vAlign w:val="bottom"/>
            <w:tcBorders>
              <w:top w:val="single" w:sz="8" w:color="auto"/>
            </w:tcBorders>
          </w:tcPr>
          <w:p>
            <w:pPr>
              <w:spacing w:after="0"/>
              <w:rPr>
                <w:sz w:val="16"/>
                <w:szCs w:val="16"/>
                <w:color w:val="auto"/>
              </w:rPr>
            </w:pPr>
          </w:p>
        </w:tc>
        <w:tc>
          <w:tcPr>
            <w:tcW w:w="4900" w:type="dxa"/>
            <w:vAlign w:val="bottom"/>
            <w:tcBorders>
              <w:top w:val="single" w:sz="8" w:color="auto"/>
            </w:tcBorders>
            <w:gridSpan w:val="3"/>
          </w:tcPr>
          <w:p>
            <w:pPr>
              <w:jc w:val="right"/>
              <w:ind w:right="470"/>
              <w:spacing w:after="0" w:line="194" w:lineRule="exact"/>
              <w:rPr>
                <w:sz w:val="20"/>
                <w:szCs w:val="20"/>
                <w:color w:val="auto"/>
              </w:rPr>
            </w:pPr>
            <w:r>
              <w:rPr>
                <w:rFonts w:ascii="Arial" w:cs="Arial" w:eastAsia="Arial" w:hAnsi="Arial"/>
                <w:sz w:val="18"/>
                <w:szCs w:val="18"/>
                <w:b w:val="1"/>
                <w:bCs w:val="1"/>
                <w:color w:val="auto"/>
              </w:rPr>
              <w:t>For the three month periods ended:</w:t>
            </w:r>
          </w:p>
        </w:tc>
      </w:tr>
      <w:tr>
        <w:trPr>
          <w:trHeight w:val="225"/>
        </w:trPr>
        <w:tc>
          <w:tcPr>
            <w:tcW w:w="49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(in thousands, except percentages)</w:t>
            </w:r>
          </w:p>
        </w:tc>
        <w:tc>
          <w:tcPr>
            <w:tcW w:w="1600" w:type="dxa"/>
            <w:vAlign w:val="bottom"/>
            <w:tcBorders>
              <w:bottom w:val="single" w:sz="8" w:color="auto"/>
            </w:tcBorders>
          </w:tcPr>
          <w:p>
            <w:pPr>
              <w:spacing w:after="0"/>
              <w:rPr>
                <w:sz w:val="19"/>
                <w:szCs w:val="19"/>
                <w:color w:val="auto"/>
              </w:rPr>
            </w:pPr>
          </w:p>
        </w:tc>
        <w:tc>
          <w:tcPr>
            <w:tcW w:w="3300" w:type="dxa"/>
            <w:vAlign w:val="bottom"/>
            <w:tcBorders>
              <w:bottom w:val="single" w:sz="8" w:color="auto"/>
            </w:tcBorders>
            <w:gridSpan w:val="2"/>
          </w:tcPr>
          <w:p>
            <w:pPr>
              <w:jc w:val="right"/>
              <w:ind w:right="1030"/>
              <w:spacing w:after="0"/>
              <w:rPr>
                <w:sz w:val="20"/>
                <w:szCs w:val="20"/>
                <w:color w:val="auto"/>
              </w:rPr>
            </w:pPr>
            <w:r>
              <w:rPr>
                <w:rFonts w:ascii="Arial" w:cs="Arial" w:eastAsia="Arial" w:hAnsi="Arial"/>
                <w:sz w:val="18"/>
                <w:szCs w:val="18"/>
                <w:b w:val="1"/>
                <w:bCs w:val="1"/>
                <w:color w:val="auto"/>
              </w:rPr>
              <w:t>March 31, 2018</w:t>
            </w:r>
          </w:p>
        </w:tc>
        <w:tc>
          <w:tcPr>
            <w:tcW w:w="16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March 31, 2017</w:t>
            </w:r>
          </w:p>
        </w:tc>
      </w:tr>
      <w:tr>
        <w:trPr>
          <w:trHeight w:val="173"/>
        </w:trPr>
        <w:tc>
          <w:tcPr>
            <w:tcW w:w="4920" w:type="dxa"/>
            <w:vAlign w:val="bottom"/>
          </w:tcPr>
          <w:p>
            <w:pPr>
              <w:spacing w:after="0" w:line="173" w:lineRule="exact"/>
              <w:rPr>
                <w:sz w:val="20"/>
                <w:szCs w:val="20"/>
                <w:color w:val="auto"/>
              </w:rPr>
            </w:pPr>
            <w:r>
              <w:rPr>
                <w:rFonts w:ascii="Arial" w:cs="Arial" w:eastAsia="Arial" w:hAnsi="Arial"/>
                <w:sz w:val="18"/>
                <w:szCs w:val="18"/>
                <w:color w:val="auto"/>
              </w:rPr>
              <w:t>AEC Adjusted EBITDA (non-GAAP)</w:t>
            </w:r>
          </w:p>
        </w:tc>
        <w:tc>
          <w:tcPr>
            <w:tcW w:w="160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820" w:type="dxa"/>
            <w:vAlign w:val="bottom"/>
          </w:tcPr>
          <w:p>
            <w:pPr>
              <w:jc w:val="right"/>
              <w:ind w:right="1010"/>
              <w:spacing w:after="0" w:line="173" w:lineRule="exact"/>
              <w:rPr>
                <w:sz w:val="20"/>
                <w:szCs w:val="20"/>
                <w:color w:val="auto"/>
              </w:rPr>
            </w:pPr>
            <w:r>
              <w:rPr>
                <w:rFonts w:ascii="Arial" w:cs="Arial" w:eastAsia="Arial" w:hAnsi="Arial"/>
                <w:sz w:val="18"/>
                <w:szCs w:val="18"/>
                <w:b w:val="1"/>
                <w:bCs w:val="1"/>
                <w:color w:val="auto"/>
              </w:rPr>
              <w:t>$13,495</w:t>
            </w:r>
          </w:p>
        </w:tc>
        <w:tc>
          <w:tcPr>
            <w:tcW w:w="1600" w:type="dxa"/>
            <w:vAlign w:val="bottom"/>
          </w:tcPr>
          <w:p>
            <w:pPr>
              <w:jc w:val="right"/>
              <w:ind w:right="70"/>
              <w:spacing w:after="0" w:line="173" w:lineRule="exact"/>
              <w:rPr>
                <w:sz w:val="20"/>
                <w:szCs w:val="20"/>
                <w:color w:val="auto"/>
              </w:rPr>
            </w:pPr>
            <w:r>
              <w:rPr>
                <w:rFonts w:ascii="Arial" w:cs="Arial" w:eastAsia="Arial" w:hAnsi="Arial"/>
                <w:sz w:val="18"/>
                <w:szCs w:val="18"/>
                <w:color w:val="auto"/>
              </w:rPr>
              <w:t>$5,188</w:t>
            </w:r>
          </w:p>
        </w:tc>
      </w:tr>
      <w:tr>
        <w:trPr>
          <w:trHeight w:val="225"/>
        </w:trPr>
        <w:tc>
          <w:tcPr>
            <w:tcW w:w="4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AEC Net sales (GAAP)</w:t>
            </w:r>
          </w:p>
        </w:tc>
        <w:tc>
          <w:tcPr>
            <w:tcW w:w="16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ind w:right="1010"/>
              <w:spacing w:after="0"/>
              <w:rPr>
                <w:sz w:val="20"/>
                <w:szCs w:val="20"/>
                <w:color w:val="auto"/>
              </w:rPr>
            </w:pPr>
            <w:r>
              <w:rPr>
                <w:rFonts w:ascii="Arial" w:cs="Arial" w:eastAsia="Arial" w:hAnsi="Arial"/>
                <w:sz w:val="18"/>
                <w:szCs w:val="18"/>
                <w:b w:val="1"/>
                <w:bCs w:val="1"/>
                <w:color w:val="auto"/>
              </w:rPr>
              <w:t>81,830</w:t>
            </w:r>
          </w:p>
        </w:tc>
        <w:tc>
          <w:tcPr>
            <w:tcW w:w="16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56,450</w:t>
            </w:r>
          </w:p>
        </w:tc>
      </w:tr>
      <w:tr>
        <w:trPr>
          <w:trHeight w:val="196"/>
        </w:trPr>
        <w:tc>
          <w:tcPr>
            <w:tcW w:w="492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AEC Adjusted EBITDA as a percentage of sales (non-GAAP)</w:t>
            </w:r>
          </w:p>
        </w:tc>
        <w:tc>
          <w:tcPr>
            <w:tcW w:w="160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spacing w:after="0"/>
              <w:rPr>
                <w:sz w:val="17"/>
                <w:szCs w:val="17"/>
                <w:color w:val="auto"/>
              </w:rPr>
            </w:pPr>
          </w:p>
        </w:tc>
        <w:tc>
          <w:tcPr>
            <w:tcW w:w="1820" w:type="dxa"/>
            <w:vAlign w:val="bottom"/>
            <w:tcBorders>
              <w:bottom w:val="single" w:sz="8" w:color="auto"/>
            </w:tcBorders>
          </w:tcPr>
          <w:p>
            <w:pPr>
              <w:jc w:val="right"/>
              <w:ind w:right="850"/>
              <w:spacing w:after="0" w:line="196" w:lineRule="exact"/>
              <w:rPr>
                <w:sz w:val="20"/>
                <w:szCs w:val="20"/>
                <w:color w:val="auto"/>
              </w:rPr>
            </w:pPr>
            <w:r>
              <w:rPr>
                <w:rFonts w:ascii="Arial" w:cs="Arial" w:eastAsia="Arial" w:hAnsi="Arial"/>
                <w:sz w:val="18"/>
                <w:szCs w:val="18"/>
                <w:b w:val="1"/>
                <w:bCs w:val="1"/>
                <w:color w:val="auto"/>
              </w:rPr>
              <w:t>16.5%</w:t>
            </w:r>
          </w:p>
        </w:tc>
        <w:tc>
          <w:tcPr>
            <w:tcW w:w="16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9.2%</w:t>
            </w:r>
          </w:p>
        </w:tc>
      </w:tr>
      <w:tr>
        <w:trPr>
          <w:trHeight w:val="426"/>
        </w:trPr>
        <w:tc>
          <w:tcPr>
            <w:tcW w:w="6520" w:type="dxa"/>
            <w:vAlign w:val="bottom"/>
            <w:gridSpan w:val="2"/>
          </w:tcPr>
          <w:p>
            <w:pPr>
              <w:ind w:left="660"/>
              <w:spacing w:after="0"/>
              <w:rPr>
                <w:sz w:val="20"/>
                <w:szCs w:val="20"/>
                <w:color w:val="auto"/>
              </w:rPr>
            </w:pPr>
            <w:r>
              <w:rPr>
                <w:rFonts w:ascii="Arial" w:cs="Arial" w:eastAsia="Arial" w:hAnsi="Arial"/>
                <w:sz w:val="18"/>
                <w:szCs w:val="18"/>
                <w:color w:val="auto"/>
              </w:rPr>
              <w:t>The following table contains the calculation of net debt:</w:t>
            </w:r>
          </w:p>
        </w:tc>
        <w:tc>
          <w:tcPr>
            <w:tcW w:w="14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189"/>
        </w:trPr>
        <w:tc>
          <w:tcPr>
            <w:tcW w:w="492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spacing w:after="0"/>
              <w:rPr>
                <w:sz w:val="16"/>
                <w:szCs w:val="16"/>
                <w:color w:val="auto"/>
              </w:rPr>
            </w:pPr>
          </w:p>
        </w:tc>
      </w:tr>
      <w:tr>
        <w:trPr>
          <w:trHeight w:val="173"/>
        </w:trPr>
        <w:tc>
          <w:tcPr>
            <w:tcW w:w="492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480" w:type="dxa"/>
            <w:vAlign w:val="bottom"/>
          </w:tcPr>
          <w:p>
            <w:pPr>
              <w:jc w:val="right"/>
              <w:spacing w:after="0" w:line="173" w:lineRule="exact"/>
              <w:rPr>
                <w:sz w:val="20"/>
                <w:szCs w:val="20"/>
                <w:color w:val="auto"/>
              </w:rPr>
            </w:pPr>
            <w:r>
              <w:rPr>
                <w:rFonts w:ascii="Arial" w:cs="Arial" w:eastAsia="Arial" w:hAnsi="Arial"/>
                <w:sz w:val="18"/>
                <w:szCs w:val="18"/>
                <w:b w:val="1"/>
                <w:bCs w:val="1"/>
                <w:color w:val="auto"/>
              </w:rPr>
              <w:t>December 31,</w:t>
            </w:r>
          </w:p>
        </w:tc>
        <w:tc>
          <w:tcPr>
            <w:tcW w:w="1820" w:type="dxa"/>
            <w:vAlign w:val="bottom"/>
          </w:tcPr>
          <w:p>
            <w:pPr>
              <w:spacing w:after="0"/>
              <w:rPr>
                <w:sz w:val="15"/>
                <w:szCs w:val="15"/>
                <w:color w:val="auto"/>
              </w:rPr>
            </w:pPr>
          </w:p>
        </w:tc>
        <w:tc>
          <w:tcPr>
            <w:tcW w:w="1600" w:type="dxa"/>
            <w:vAlign w:val="bottom"/>
          </w:tcPr>
          <w:p>
            <w:pPr>
              <w:jc w:val="right"/>
              <w:spacing w:after="0" w:line="173" w:lineRule="exact"/>
              <w:rPr>
                <w:sz w:val="20"/>
                <w:szCs w:val="20"/>
                <w:color w:val="auto"/>
              </w:rPr>
            </w:pPr>
            <w:r>
              <w:rPr>
                <w:rFonts w:ascii="Arial" w:cs="Arial" w:eastAsia="Arial" w:hAnsi="Arial"/>
                <w:sz w:val="18"/>
                <w:szCs w:val="18"/>
                <w:b w:val="1"/>
                <w:bCs w:val="1"/>
                <w:color w:val="auto"/>
              </w:rPr>
              <w:t>December 31,</w:t>
            </w:r>
          </w:p>
        </w:tc>
      </w:tr>
      <w:tr>
        <w:trPr>
          <w:trHeight w:val="225"/>
        </w:trPr>
        <w:tc>
          <w:tcPr>
            <w:tcW w:w="49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(in thousands)</w:t>
            </w:r>
          </w:p>
        </w:tc>
        <w:tc>
          <w:tcPr>
            <w:tcW w:w="16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March 31, 2018</w:t>
            </w:r>
          </w:p>
        </w:tc>
        <w:tc>
          <w:tcPr>
            <w:tcW w:w="14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2017</w:t>
            </w:r>
          </w:p>
        </w:tc>
        <w:tc>
          <w:tcPr>
            <w:tcW w:w="18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March 31, 2017</w:t>
            </w:r>
          </w:p>
        </w:tc>
        <w:tc>
          <w:tcPr>
            <w:tcW w:w="16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2016</w:t>
            </w:r>
          </w:p>
        </w:tc>
      </w:tr>
      <w:tr>
        <w:trPr>
          <w:trHeight w:val="195"/>
        </w:trPr>
        <w:tc>
          <w:tcPr>
            <w:tcW w:w="4920" w:type="dxa"/>
            <w:vAlign w:val="bottom"/>
          </w:tcPr>
          <w:p>
            <w:pPr>
              <w:spacing w:after="0" w:line="195" w:lineRule="exact"/>
              <w:rPr>
                <w:sz w:val="20"/>
                <w:szCs w:val="20"/>
                <w:color w:val="auto"/>
              </w:rPr>
            </w:pPr>
            <w:r>
              <w:rPr>
                <w:rFonts w:ascii="Arial" w:cs="Arial" w:eastAsia="Arial" w:hAnsi="Arial"/>
                <w:sz w:val="18"/>
                <w:szCs w:val="18"/>
                <w:color w:val="auto"/>
              </w:rPr>
              <w:t>Notes and loans payable</w:t>
            </w:r>
          </w:p>
        </w:tc>
        <w:tc>
          <w:tcPr>
            <w:tcW w:w="1600" w:type="dxa"/>
            <w:vAlign w:val="bottom"/>
          </w:tcPr>
          <w:p>
            <w:pPr>
              <w:jc w:val="right"/>
              <w:ind w:right="230"/>
              <w:spacing w:after="0" w:line="195" w:lineRule="exact"/>
              <w:rPr>
                <w:sz w:val="20"/>
                <w:szCs w:val="20"/>
                <w:color w:val="auto"/>
              </w:rPr>
            </w:pPr>
            <w:r>
              <w:rPr>
                <w:rFonts w:ascii="Arial" w:cs="Arial" w:eastAsia="Arial" w:hAnsi="Arial"/>
                <w:sz w:val="18"/>
                <w:szCs w:val="18"/>
                <w:color w:val="auto"/>
              </w:rPr>
              <w:t>$226</w:t>
            </w:r>
          </w:p>
        </w:tc>
        <w:tc>
          <w:tcPr>
            <w:tcW w:w="1480" w:type="dxa"/>
            <w:vAlign w:val="bottom"/>
          </w:tcPr>
          <w:p>
            <w:pPr>
              <w:jc w:val="right"/>
              <w:spacing w:after="0" w:line="195" w:lineRule="exact"/>
              <w:rPr>
                <w:sz w:val="20"/>
                <w:szCs w:val="20"/>
                <w:color w:val="auto"/>
              </w:rPr>
            </w:pPr>
            <w:r>
              <w:rPr>
                <w:rFonts w:ascii="Arial" w:cs="Arial" w:eastAsia="Arial" w:hAnsi="Arial"/>
                <w:sz w:val="18"/>
                <w:szCs w:val="18"/>
                <w:color w:val="auto"/>
              </w:rPr>
              <w:t>$262</w:t>
            </w:r>
          </w:p>
        </w:tc>
        <w:tc>
          <w:tcPr>
            <w:tcW w:w="1820" w:type="dxa"/>
            <w:vAlign w:val="bottom"/>
          </w:tcPr>
          <w:p>
            <w:pPr>
              <w:jc w:val="right"/>
              <w:ind w:right="110"/>
              <w:spacing w:after="0" w:line="195" w:lineRule="exact"/>
              <w:rPr>
                <w:sz w:val="20"/>
                <w:szCs w:val="20"/>
                <w:color w:val="auto"/>
              </w:rPr>
            </w:pPr>
            <w:r>
              <w:rPr>
                <w:rFonts w:ascii="Arial" w:cs="Arial" w:eastAsia="Arial" w:hAnsi="Arial"/>
                <w:sz w:val="18"/>
                <w:szCs w:val="18"/>
                <w:color w:val="auto"/>
              </w:rPr>
              <w:t>$274</w:t>
            </w:r>
          </w:p>
        </w:tc>
        <w:tc>
          <w:tcPr>
            <w:tcW w:w="1600" w:type="dxa"/>
            <w:vAlign w:val="bottom"/>
          </w:tcPr>
          <w:p>
            <w:pPr>
              <w:jc w:val="right"/>
              <w:ind w:right="10"/>
              <w:spacing w:after="0" w:line="195" w:lineRule="exact"/>
              <w:rPr>
                <w:sz w:val="20"/>
                <w:szCs w:val="20"/>
                <w:color w:val="auto"/>
              </w:rPr>
            </w:pPr>
            <w:r>
              <w:rPr>
                <w:rFonts w:ascii="Arial" w:cs="Arial" w:eastAsia="Arial" w:hAnsi="Arial"/>
                <w:sz w:val="18"/>
                <w:szCs w:val="18"/>
                <w:color w:val="auto"/>
              </w:rPr>
              <w:t>$312</w:t>
            </w:r>
          </w:p>
        </w:tc>
      </w:tr>
      <w:tr>
        <w:trPr>
          <w:trHeight w:val="203"/>
        </w:trPr>
        <w:tc>
          <w:tcPr>
            <w:tcW w:w="4920" w:type="dxa"/>
            <w:vAlign w:val="bottom"/>
          </w:tcPr>
          <w:p>
            <w:pPr>
              <w:spacing w:after="0" w:line="202" w:lineRule="exact"/>
              <w:rPr>
                <w:sz w:val="20"/>
                <w:szCs w:val="20"/>
                <w:color w:val="auto"/>
              </w:rPr>
            </w:pPr>
            <w:r>
              <w:rPr>
                <w:rFonts w:ascii="Arial" w:cs="Arial" w:eastAsia="Arial" w:hAnsi="Arial"/>
                <w:sz w:val="18"/>
                <w:szCs w:val="18"/>
                <w:color w:val="auto"/>
              </w:rPr>
              <w:t>Current maturities of long-term debt</w:t>
            </w:r>
          </w:p>
        </w:tc>
        <w:tc>
          <w:tcPr>
            <w:tcW w:w="1600" w:type="dxa"/>
            <w:vAlign w:val="bottom"/>
          </w:tcPr>
          <w:p>
            <w:pPr>
              <w:jc w:val="right"/>
              <w:ind w:right="230"/>
              <w:spacing w:after="0" w:line="202" w:lineRule="exact"/>
              <w:rPr>
                <w:sz w:val="20"/>
                <w:szCs w:val="20"/>
                <w:color w:val="auto"/>
              </w:rPr>
            </w:pPr>
            <w:r>
              <w:rPr>
                <w:rFonts w:ascii="Arial" w:cs="Arial" w:eastAsia="Arial" w:hAnsi="Arial"/>
                <w:sz w:val="18"/>
                <w:szCs w:val="18"/>
                <w:color w:val="auto"/>
              </w:rPr>
              <w:t>1,821</w:t>
            </w:r>
          </w:p>
        </w:tc>
        <w:tc>
          <w:tcPr>
            <w:tcW w:w="1480" w:type="dxa"/>
            <w:vAlign w:val="bottom"/>
          </w:tcPr>
          <w:p>
            <w:pPr>
              <w:jc w:val="right"/>
              <w:spacing w:after="0" w:line="202" w:lineRule="exact"/>
              <w:rPr>
                <w:sz w:val="20"/>
                <w:szCs w:val="20"/>
                <w:color w:val="auto"/>
              </w:rPr>
            </w:pPr>
            <w:r>
              <w:rPr>
                <w:rFonts w:ascii="Arial" w:cs="Arial" w:eastAsia="Arial" w:hAnsi="Arial"/>
                <w:sz w:val="18"/>
                <w:szCs w:val="18"/>
                <w:color w:val="auto"/>
              </w:rPr>
              <w:t>1,799</w:t>
            </w:r>
          </w:p>
        </w:tc>
        <w:tc>
          <w:tcPr>
            <w:tcW w:w="182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51,699</w:t>
            </w:r>
          </w:p>
        </w:tc>
        <w:tc>
          <w:tcPr>
            <w:tcW w:w="16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51,666</w:t>
            </w:r>
          </w:p>
        </w:tc>
      </w:tr>
      <w:tr>
        <w:trPr>
          <w:trHeight w:val="203"/>
        </w:trPr>
        <w:tc>
          <w:tcPr>
            <w:tcW w:w="4920" w:type="dxa"/>
            <w:vAlign w:val="bottom"/>
            <w:tcBorders>
              <w:bottom w:val="single" w:sz="8" w:color="auto"/>
            </w:tcBorders>
          </w:tcPr>
          <w:p>
            <w:pPr>
              <w:spacing w:after="0" w:line="203" w:lineRule="exact"/>
              <w:rPr>
                <w:sz w:val="20"/>
                <w:szCs w:val="20"/>
                <w:color w:val="auto"/>
              </w:rPr>
            </w:pPr>
            <w:r>
              <w:rPr>
                <w:rFonts w:ascii="Arial" w:cs="Arial" w:eastAsia="Arial" w:hAnsi="Arial"/>
                <w:sz w:val="18"/>
                <w:szCs w:val="18"/>
                <w:color w:val="auto"/>
              </w:rPr>
              <w:t>Long-term debt</w:t>
            </w:r>
          </w:p>
        </w:tc>
        <w:tc>
          <w:tcPr>
            <w:tcW w:w="1600" w:type="dxa"/>
            <w:vAlign w:val="bottom"/>
            <w:tcBorders>
              <w:bottom w:val="single" w:sz="8" w:color="auto"/>
            </w:tcBorders>
          </w:tcPr>
          <w:p>
            <w:pPr>
              <w:jc w:val="right"/>
              <w:ind w:right="230"/>
              <w:spacing w:after="0" w:line="203" w:lineRule="exact"/>
              <w:rPr>
                <w:sz w:val="20"/>
                <w:szCs w:val="20"/>
                <w:color w:val="auto"/>
              </w:rPr>
            </w:pPr>
            <w:r>
              <w:rPr>
                <w:rFonts w:ascii="Arial" w:cs="Arial" w:eastAsia="Arial" w:hAnsi="Arial"/>
                <w:sz w:val="18"/>
                <w:szCs w:val="18"/>
                <w:color w:val="auto"/>
              </w:rPr>
              <w:t>518,656</w:t>
            </w:r>
          </w:p>
        </w:tc>
        <w:tc>
          <w:tcPr>
            <w:tcW w:w="14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514,120</w:t>
            </w:r>
          </w:p>
        </w:tc>
        <w:tc>
          <w:tcPr>
            <w:tcW w:w="1820" w:type="dxa"/>
            <w:vAlign w:val="bottom"/>
            <w:tcBorders>
              <w:bottom w:val="single" w:sz="8" w:color="auto"/>
            </w:tcBorders>
          </w:tcPr>
          <w:p>
            <w:pPr>
              <w:jc w:val="right"/>
              <w:ind w:right="110"/>
              <w:spacing w:after="0" w:line="203" w:lineRule="exact"/>
              <w:rPr>
                <w:sz w:val="20"/>
                <w:szCs w:val="20"/>
                <w:color w:val="auto"/>
              </w:rPr>
            </w:pPr>
            <w:r>
              <w:rPr>
                <w:rFonts w:ascii="Arial" w:cs="Arial" w:eastAsia="Arial" w:hAnsi="Arial"/>
                <w:sz w:val="18"/>
                <w:szCs w:val="18"/>
                <w:color w:val="auto"/>
              </w:rPr>
              <w:t>428,477</w:t>
            </w:r>
          </w:p>
        </w:tc>
        <w:tc>
          <w:tcPr>
            <w:tcW w:w="1600" w:type="dxa"/>
            <w:vAlign w:val="bottom"/>
            <w:tcBorders>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rPr>
              <w:t>432,918</w:t>
            </w:r>
          </w:p>
        </w:tc>
      </w:tr>
      <w:tr>
        <w:trPr>
          <w:trHeight w:val="196"/>
        </w:trPr>
        <w:tc>
          <w:tcPr>
            <w:tcW w:w="492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b w:val="1"/>
                <w:bCs w:val="1"/>
                <w:color w:val="auto"/>
              </w:rPr>
              <w:t>Total debt</w:t>
            </w:r>
          </w:p>
        </w:tc>
        <w:tc>
          <w:tcPr>
            <w:tcW w:w="1600" w:type="dxa"/>
            <w:vAlign w:val="bottom"/>
            <w:tcBorders>
              <w:bottom w:val="single" w:sz="8" w:color="auto"/>
            </w:tcBorders>
          </w:tcPr>
          <w:p>
            <w:pPr>
              <w:jc w:val="right"/>
              <w:ind w:right="230"/>
              <w:spacing w:after="0" w:line="196" w:lineRule="exact"/>
              <w:rPr>
                <w:sz w:val="20"/>
                <w:szCs w:val="20"/>
                <w:color w:val="auto"/>
              </w:rPr>
            </w:pPr>
            <w:r>
              <w:rPr>
                <w:rFonts w:ascii="Arial" w:cs="Arial" w:eastAsia="Arial" w:hAnsi="Arial"/>
                <w:sz w:val="18"/>
                <w:szCs w:val="18"/>
                <w:b w:val="1"/>
                <w:bCs w:val="1"/>
                <w:color w:val="auto"/>
              </w:rPr>
              <w:t>520,703</w:t>
            </w:r>
          </w:p>
        </w:tc>
        <w:tc>
          <w:tcPr>
            <w:tcW w:w="14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516,181</w:t>
            </w:r>
          </w:p>
        </w:tc>
        <w:tc>
          <w:tcPr>
            <w:tcW w:w="1820" w:type="dxa"/>
            <w:vAlign w:val="bottom"/>
            <w:tcBorders>
              <w:bottom w:val="single" w:sz="8" w:color="auto"/>
            </w:tcBorders>
          </w:tcPr>
          <w:p>
            <w:pPr>
              <w:jc w:val="right"/>
              <w:ind w:right="110"/>
              <w:spacing w:after="0" w:line="196" w:lineRule="exact"/>
              <w:rPr>
                <w:sz w:val="20"/>
                <w:szCs w:val="20"/>
                <w:color w:val="auto"/>
              </w:rPr>
            </w:pPr>
            <w:r>
              <w:rPr>
                <w:rFonts w:ascii="Arial" w:cs="Arial" w:eastAsia="Arial" w:hAnsi="Arial"/>
                <w:sz w:val="18"/>
                <w:szCs w:val="18"/>
                <w:b w:val="1"/>
                <w:bCs w:val="1"/>
                <w:color w:val="auto"/>
              </w:rPr>
              <w:t>480,450</w:t>
            </w:r>
          </w:p>
        </w:tc>
        <w:tc>
          <w:tcPr>
            <w:tcW w:w="160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b w:val="1"/>
                <w:bCs w:val="1"/>
                <w:color w:val="auto"/>
              </w:rPr>
              <w:t>484,896</w:t>
            </w:r>
          </w:p>
        </w:tc>
      </w:tr>
      <w:tr>
        <w:trPr>
          <w:trHeight w:val="196"/>
        </w:trPr>
        <w:tc>
          <w:tcPr>
            <w:tcW w:w="492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Cash and cash equivalents</w:t>
            </w:r>
          </w:p>
        </w:tc>
        <w:tc>
          <w:tcPr>
            <w:tcW w:w="1600" w:type="dxa"/>
            <w:vAlign w:val="bottom"/>
            <w:tcBorders>
              <w:bottom w:val="single" w:sz="8" w:color="auto"/>
            </w:tcBorders>
          </w:tcPr>
          <w:p>
            <w:pPr>
              <w:jc w:val="right"/>
              <w:ind w:right="230"/>
              <w:spacing w:after="0" w:line="196" w:lineRule="exact"/>
              <w:rPr>
                <w:sz w:val="20"/>
                <w:szCs w:val="20"/>
                <w:color w:val="auto"/>
              </w:rPr>
            </w:pPr>
            <w:r>
              <w:rPr>
                <w:rFonts w:ascii="Arial" w:cs="Arial" w:eastAsia="Arial" w:hAnsi="Arial"/>
                <w:sz w:val="18"/>
                <w:szCs w:val="18"/>
                <w:color w:val="auto"/>
              </w:rPr>
              <w:t>151,426</w:t>
            </w:r>
          </w:p>
        </w:tc>
        <w:tc>
          <w:tcPr>
            <w:tcW w:w="14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183,727</w:t>
            </w:r>
          </w:p>
        </w:tc>
        <w:tc>
          <w:tcPr>
            <w:tcW w:w="1820" w:type="dxa"/>
            <w:vAlign w:val="bottom"/>
            <w:tcBorders>
              <w:bottom w:val="single" w:sz="8" w:color="auto"/>
            </w:tcBorders>
          </w:tcPr>
          <w:p>
            <w:pPr>
              <w:jc w:val="right"/>
              <w:ind w:right="110"/>
              <w:spacing w:after="0" w:line="196" w:lineRule="exact"/>
              <w:rPr>
                <w:sz w:val="20"/>
                <w:szCs w:val="20"/>
                <w:color w:val="auto"/>
              </w:rPr>
            </w:pPr>
            <w:r>
              <w:rPr>
                <w:rFonts w:ascii="Arial" w:cs="Arial" w:eastAsia="Arial" w:hAnsi="Arial"/>
                <w:sz w:val="18"/>
                <w:szCs w:val="18"/>
                <w:color w:val="auto"/>
              </w:rPr>
              <w:t>143,333</w:t>
            </w:r>
          </w:p>
        </w:tc>
        <w:tc>
          <w:tcPr>
            <w:tcW w:w="160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181,742</w:t>
            </w:r>
          </w:p>
        </w:tc>
      </w:tr>
      <w:tr>
        <w:trPr>
          <w:trHeight w:val="196"/>
        </w:trPr>
        <w:tc>
          <w:tcPr>
            <w:tcW w:w="492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b w:val="1"/>
                <w:bCs w:val="1"/>
                <w:color w:val="auto"/>
              </w:rPr>
              <w:t>Net debt</w:t>
            </w:r>
          </w:p>
        </w:tc>
        <w:tc>
          <w:tcPr>
            <w:tcW w:w="1600" w:type="dxa"/>
            <w:vAlign w:val="bottom"/>
            <w:tcBorders>
              <w:bottom w:val="single" w:sz="8" w:color="auto"/>
            </w:tcBorders>
          </w:tcPr>
          <w:p>
            <w:pPr>
              <w:jc w:val="right"/>
              <w:ind w:right="230"/>
              <w:spacing w:after="0" w:line="196" w:lineRule="exact"/>
              <w:rPr>
                <w:sz w:val="20"/>
                <w:szCs w:val="20"/>
                <w:color w:val="auto"/>
              </w:rPr>
            </w:pPr>
            <w:r>
              <w:rPr>
                <w:rFonts w:ascii="Arial" w:cs="Arial" w:eastAsia="Arial" w:hAnsi="Arial"/>
                <w:sz w:val="18"/>
                <w:szCs w:val="18"/>
                <w:b w:val="1"/>
                <w:bCs w:val="1"/>
                <w:color w:val="auto"/>
              </w:rPr>
              <w:t>$369,277</w:t>
            </w:r>
          </w:p>
        </w:tc>
        <w:tc>
          <w:tcPr>
            <w:tcW w:w="14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$332,454</w:t>
            </w:r>
          </w:p>
        </w:tc>
        <w:tc>
          <w:tcPr>
            <w:tcW w:w="1820" w:type="dxa"/>
            <w:vAlign w:val="bottom"/>
            <w:tcBorders>
              <w:bottom w:val="single" w:sz="8" w:color="auto"/>
            </w:tcBorders>
          </w:tcPr>
          <w:p>
            <w:pPr>
              <w:jc w:val="right"/>
              <w:ind w:right="110"/>
              <w:spacing w:after="0" w:line="196" w:lineRule="exact"/>
              <w:rPr>
                <w:sz w:val="20"/>
                <w:szCs w:val="20"/>
                <w:color w:val="auto"/>
              </w:rPr>
            </w:pPr>
            <w:r>
              <w:rPr>
                <w:rFonts w:ascii="Arial" w:cs="Arial" w:eastAsia="Arial" w:hAnsi="Arial"/>
                <w:sz w:val="18"/>
                <w:szCs w:val="18"/>
                <w:b w:val="1"/>
                <w:bCs w:val="1"/>
                <w:color w:val="auto"/>
              </w:rPr>
              <w:t>$337,117</w:t>
            </w:r>
          </w:p>
        </w:tc>
        <w:tc>
          <w:tcPr>
            <w:tcW w:w="160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b w:val="1"/>
                <w:bCs w:val="1"/>
                <w:color w:val="auto"/>
              </w:rPr>
              <w:t>$303,154</w:t>
            </w:r>
          </w:p>
        </w:tc>
      </w:tr>
      <w:tr>
        <w:trPr>
          <w:trHeight w:val="628"/>
        </w:trPr>
        <w:tc>
          <w:tcPr>
            <w:tcW w:w="4920" w:type="dxa"/>
            <w:vAlign w:val="bottom"/>
          </w:tcPr>
          <w:p>
            <w:pPr>
              <w:spacing w:after="0"/>
              <w:rPr>
                <w:sz w:val="24"/>
                <w:szCs w:val="24"/>
                <w:color w:val="auto"/>
              </w:rPr>
            </w:pPr>
          </w:p>
        </w:tc>
        <w:tc>
          <w:tcPr>
            <w:tcW w:w="1600" w:type="dxa"/>
            <w:vAlign w:val="bottom"/>
          </w:tcPr>
          <w:p>
            <w:pPr>
              <w:jc w:val="right"/>
              <w:ind w:right="630"/>
              <w:spacing w:after="0"/>
              <w:rPr>
                <w:sz w:val="20"/>
                <w:szCs w:val="20"/>
                <w:color w:val="auto"/>
              </w:rPr>
            </w:pPr>
            <w:r>
              <w:rPr>
                <w:rFonts w:ascii="Arial" w:cs="Arial" w:eastAsia="Arial" w:hAnsi="Arial"/>
                <w:sz w:val="18"/>
                <w:szCs w:val="18"/>
                <w:color w:val="auto"/>
              </w:rPr>
              <w:t>54</w:t>
            </w:r>
          </w:p>
        </w:tc>
        <w:tc>
          <w:tcPr>
            <w:tcW w:w="14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142"/>
        </w:trPr>
        <w:tc>
          <w:tcPr>
            <w:tcW w:w="4920" w:type="dxa"/>
            <w:vAlign w:val="bottom"/>
            <w:tcBorders>
              <w:bottom w:val="single" w:sz="8" w:color="auto"/>
            </w:tcBorders>
          </w:tcPr>
          <w:p>
            <w:pPr>
              <w:spacing w:after="0"/>
              <w:rPr>
                <w:sz w:val="12"/>
                <w:szCs w:val="12"/>
                <w:color w:val="auto"/>
              </w:rPr>
            </w:pPr>
          </w:p>
        </w:tc>
        <w:tc>
          <w:tcPr>
            <w:tcW w:w="1600" w:type="dxa"/>
            <w:vAlign w:val="bottom"/>
            <w:tcBorders>
              <w:bottom w:val="single" w:sz="8" w:color="auto"/>
            </w:tcBorders>
          </w:tcPr>
          <w:p>
            <w:pPr>
              <w:spacing w:after="0"/>
              <w:rPr>
                <w:sz w:val="12"/>
                <w:szCs w:val="12"/>
                <w:color w:val="auto"/>
              </w:rPr>
            </w:pPr>
          </w:p>
        </w:tc>
        <w:tc>
          <w:tcPr>
            <w:tcW w:w="1480" w:type="dxa"/>
            <w:vAlign w:val="bottom"/>
            <w:tcBorders>
              <w:bottom w:val="single" w:sz="8" w:color="auto"/>
            </w:tcBorders>
          </w:tcPr>
          <w:p>
            <w:pPr>
              <w:spacing w:after="0"/>
              <w:rPr>
                <w:sz w:val="12"/>
                <w:szCs w:val="12"/>
                <w:color w:val="auto"/>
              </w:rPr>
            </w:pPr>
          </w:p>
        </w:tc>
        <w:tc>
          <w:tcPr>
            <w:tcW w:w="1820" w:type="dxa"/>
            <w:vAlign w:val="bottom"/>
            <w:tcBorders>
              <w:bottom w:val="single" w:sz="8" w:color="auto"/>
            </w:tcBorders>
          </w:tcPr>
          <w:p>
            <w:pPr>
              <w:spacing w:after="0"/>
              <w:rPr>
                <w:sz w:val="12"/>
                <w:szCs w:val="12"/>
                <w:color w:val="auto"/>
              </w:rPr>
            </w:pPr>
          </w:p>
        </w:tc>
        <w:tc>
          <w:tcPr>
            <w:tcW w:w="1600" w:type="dxa"/>
            <w:vAlign w:val="bottom"/>
            <w:tcBorders>
              <w:bottom w:val="single" w:sz="8" w:color="auto"/>
            </w:tcBorders>
          </w:tcPr>
          <w:p>
            <w:pPr>
              <w:spacing w:after="0"/>
              <w:rPr>
                <w:sz w:val="12"/>
                <w:szCs w:val="12"/>
                <w:color w:val="auto"/>
              </w:rPr>
            </w:pPr>
          </w:p>
        </w:tc>
      </w:tr>
    </w:tbl>
    <w:p>
      <w:pPr>
        <w:sectPr>
          <w:pgSz w:w="11900" w:h="16838" w:orient="portrait"/>
          <w:cols w:equalWidth="0" w:num="1">
            <w:col w:w="11420"/>
          </w:cols>
          <w:pgMar w:left="240" w:top="800" w:right="239" w:bottom="1440" w:gutter="0" w:footer="0" w:header="0"/>
        </w:sectPr>
      </w:pPr>
    </w:p>
    <w:bookmarkStart w:id="54" w:name="page55"/>
    <w:bookmarkEnd w:id="54"/>
    <w:p>
      <w:pPr>
        <w:ind w:left="660"/>
        <w:spacing w:after="0"/>
        <w:rPr>
          <w:sz w:val="20"/>
          <w:szCs w:val="20"/>
          <w:color w:val="auto"/>
        </w:rPr>
      </w:pPr>
      <w:r>
        <w:rPr>
          <w:rFonts w:ascii="Arial" w:cs="Arial" w:eastAsia="Arial" w:hAnsi="Arial"/>
          <w:sz w:val="18"/>
          <w:szCs w:val="18"/>
          <w:color w:val="auto"/>
        </w:rPr>
        <w:t>The following table contains the reconciliation of MC 2018 projected Adjusted EBITDA to MC 2018 projected net income:</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4240" w:type="dxa"/>
            <w:vAlign w:val="bottom"/>
            <w:tcBorders>
              <w:top w:val="single" w:sz="8" w:color="auto"/>
            </w:tcBorders>
          </w:tcPr>
          <w:p>
            <w:pPr>
              <w:spacing w:after="0"/>
              <w:rPr>
                <w:sz w:val="16"/>
                <w:szCs w:val="16"/>
                <w:color w:val="auto"/>
              </w:rPr>
            </w:pPr>
          </w:p>
        </w:tc>
        <w:tc>
          <w:tcPr>
            <w:tcW w:w="2240" w:type="dxa"/>
            <w:vAlign w:val="bottom"/>
            <w:tcBorders>
              <w:top w:val="single" w:sz="8" w:color="auto"/>
            </w:tcBorders>
          </w:tcPr>
          <w:p>
            <w:pPr>
              <w:spacing w:after="0"/>
              <w:rPr>
                <w:sz w:val="16"/>
                <w:szCs w:val="16"/>
                <w:color w:val="auto"/>
              </w:rPr>
            </w:pPr>
          </w:p>
        </w:tc>
        <w:tc>
          <w:tcPr>
            <w:tcW w:w="1720" w:type="dxa"/>
            <w:vAlign w:val="bottom"/>
            <w:tcBorders>
              <w:top w:val="single" w:sz="8" w:color="auto"/>
            </w:tcBorders>
          </w:tcPr>
          <w:p>
            <w:pPr>
              <w:jc w:val="center"/>
              <w:spacing w:after="0" w:line="194" w:lineRule="exact"/>
              <w:rPr>
                <w:sz w:val="20"/>
                <w:szCs w:val="20"/>
                <w:color w:val="auto"/>
              </w:rPr>
            </w:pPr>
            <w:r>
              <w:rPr>
                <w:rFonts w:ascii="Arial" w:cs="Arial" w:eastAsia="Arial" w:hAnsi="Arial"/>
                <w:sz w:val="18"/>
                <w:szCs w:val="18"/>
                <w:b w:val="1"/>
                <w:bCs w:val="1"/>
                <w:color w:val="auto"/>
                <w:w w:val="99"/>
              </w:rPr>
              <w:t>Results for last</w:t>
            </w:r>
          </w:p>
        </w:tc>
        <w:tc>
          <w:tcPr>
            <w:tcW w:w="1740" w:type="dxa"/>
            <w:vAlign w:val="bottom"/>
            <w:tcBorders>
              <w:top w:val="single" w:sz="8" w:color="auto"/>
            </w:tcBorders>
          </w:tcPr>
          <w:p>
            <w:pPr>
              <w:jc w:val="center"/>
              <w:spacing w:after="0" w:line="194" w:lineRule="exact"/>
              <w:rPr>
                <w:sz w:val="20"/>
                <w:szCs w:val="20"/>
                <w:color w:val="auto"/>
              </w:rPr>
            </w:pPr>
            <w:r>
              <w:rPr>
                <w:rFonts w:ascii="Arial" w:cs="Arial" w:eastAsia="Arial" w:hAnsi="Arial"/>
                <w:sz w:val="18"/>
                <w:szCs w:val="18"/>
                <w:b w:val="1"/>
                <w:bCs w:val="1"/>
                <w:color w:val="auto"/>
                <w:w w:val="99"/>
              </w:rPr>
              <w:t>Results for last</w:t>
            </w:r>
          </w:p>
        </w:tc>
        <w:tc>
          <w:tcPr>
            <w:tcW w:w="1480" w:type="dxa"/>
            <w:vAlign w:val="bottom"/>
            <w:tcBorders>
              <w:top w:val="single" w:sz="8" w:color="auto"/>
            </w:tcBorders>
          </w:tcPr>
          <w:p>
            <w:pPr>
              <w:spacing w:after="0"/>
              <w:rPr>
                <w:sz w:val="16"/>
                <w:szCs w:val="16"/>
                <w:color w:val="auto"/>
              </w:rPr>
            </w:pPr>
          </w:p>
        </w:tc>
      </w:tr>
      <w:tr>
        <w:trPr>
          <w:trHeight w:val="203"/>
        </w:trPr>
        <w:tc>
          <w:tcPr>
            <w:tcW w:w="424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172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rPr>
              <w:t>three quarters</w:t>
            </w:r>
          </w:p>
        </w:tc>
        <w:tc>
          <w:tcPr>
            <w:tcW w:w="174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three quarters</w:t>
            </w:r>
          </w:p>
        </w:tc>
        <w:tc>
          <w:tcPr>
            <w:tcW w:w="1480" w:type="dxa"/>
            <w:vAlign w:val="bottom"/>
          </w:tcPr>
          <w:p>
            <w:pPr>
              <w:spacing w:after="0"/>
              <w:rPr>
                <w:sz w:val="17"/>
                <w:szCs w:val="17"/>
                <w:color w:val="auto"/>
              </w:rPr>
            </w:pPr>
          </w:p>
        </w:tc>
      </w:tr>
      <w:tr>
        <w:trPr>
          <w:trHeight w:val="203"/>
        </w:trPr>
        <w:tc>
          <w:tcPr>
            <w:tcW w:w="4240" w:type="dxa"/>
            <w:vAlign w:val="bottom"/>
          </w:tcPr>
          <w:p>
            <w:pPr>
              <w:spacing w:after="0"/>
              <w:rPr>
                <w:sz w:val="17"/>
                <w:szCs w:val="17"/>
                <w:color w:val="auto"/>
              </w:rPr>
            </w:pPr>
          </w:p>
        </w:tc>
        <w:tc>
          <w:tcPr>
            <w:tcW w:w="2240" w:type="dxa"/>
            <w:vAlign w:val="bottom"/>
          </w:tcPr>
          <w:p>
            <w:pPr>
              <w:jc w:val="center"/>
              <w:ind w:left="450"/>
              <w:spacing w:after="0" w:line="202" w:lineRule="exact"/>
              <w:rPr>
                <w:sz w:val="20"/>
                <w:szCs w:val="20"/>
                <w:color w:val="auto"/>
              </w:rPr>
            </w:pPr>
            <w:r>
              <w:rPr>
                <w:rFonts w:ascii="Arial" w:cs="Arial" w:eastAsia="Arial" w:hAnsi="Arial"/>
                <w:sz w:val="18"/>
                <w:szCs w:val="18"/>
                <w:b w:val="1"/>
                <w:bCs w:val="1"/>
                <w:color w:val="auto"/>
                <w:w w:val="99"/>
              </w:rPr>
              <w:t>Actual, Three</w:t>
            </w:r>
          </w:p>
        </w:tc>
        <w:tc>
          <w:tcPr>
            <w:tcW w:w="172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of year to meet</w:t>
            </w:r>
          </w:p>
        </w:tc>
        <w:tc>
          <w:tcPr>
            <w:tcW w:w="174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of year to meet</w:t>
            </w:r>
          </w:p>
        </w:tc>
        <w:tc>
          <w:tcPr>
            <w:tcW w:w="1480" w:type="dxa"/>
            <w:vAlign w:val="bottom"/>
          </w:tcPr>
          <w:p>
            <w:pPr>
              <w:jc w:val="center"/>
              <w:ind w:left="50"/>
              <w:spacing w:after="0" w:line="202" w:lineRule="exact"/>
              <w:rPr>
                <w:sz w:val="20"/>
                <w:szCs w:val="20"/>
                <w:color w:val="auto"/>
              </w:rPr>
            </w:pPr>
            <w:r>
              <w:rPr>
                <w:rFonts w:ascii="Arial" w:cs="Arial" w:eastAsia="Arial" w:hAnsi="Arial"/>
                <w:sz w:val="18"/>
                <w:szCs w:val="18"/>
                <w:b w:val="1"/>
                <w:bCs w:val="1"/>
                <w:color w:val="auto"/>
                <w:w w:val="99"/>
              </w:rPr>
              <w:t>Estimated</w:t>
            </w:r>
          </w:p>
        </w:tc>
      </w:tr>
      <w:tr>
        <w:trPr>
          <w:trHeight w:val="203"/>
        </w:trPr>
        <w:tc>
          <w:tcPr>
            <w:tcW w:w="4240" w:type="dxa"/>
            <w:vAlign w:val="bottom"/>
          </w:tcPr>
          <w:p>
            <w:pPr>
              <w:spacing w:after="0" w:line="202" w:lineRule="exact"/>
              <w:rPr>
                <w:sz w:val="20"/>
                <w:szCs w:val="20"/>
                <w:color w:val="auto"/>
              </w:rPr>
            </w:pPr>
            <w:r>
              <w:rPr>
                <w:rFonts w:ascii="Arial" w:cs="Arial" w:eastAsia="Arial" w:hAnsi="Arial"/>
                <w:sz w:val="18"/>
                <w:szCs w:val="18"/>
                <w:b w:val="1"/>
                <w:bCs w:val="1"/>
                <w:color w:val="auto"/>
              </w:rPr>
              <w:t>Machine Clothing Full-Year 2018 Outlook</w:t>
            </w:r>
          </w:p>
        </w:tc>
        <w:tc>
          <w:tcPr>
            <w:tcW w:w="2240" w:type="dxa"/>
            <w:vAlign w:val="bottom"/>
          </w:tcPr>
          <w:p>
            <w:pPr>
              <w:jc w:val="center"/>
              <w:ind w:left="450"/>
              <w:spacing w:after="0" w:line="202" w:lineRule="exact"/>
              <w:rPr>
                <w:sz w:val="20"/>
                <w:szCs w:val="20"/>
                <w:color w:val="auto"/>
              </w:rPr>
            </w:pPr>
            <w:r>
              <w:rPr>
                <w:rFonts w:ascii="Arial" w:cs="Arial" w:eastAsia="Arial" w:hAnsi="Arial"/>
                <w:sz w:val="18"/>
                <w:szCs w:val="18"/>
                <w:b w:val="1"/>
                <w:bCs w:val="1"/>
                <w:color w:val="auto"/>
                <w:w w:val="99"/>
              </w:rPr>
              <w:t>months ended</w:t>
            </w:r>
          </w:p>
        </w:tc>
        <w:tc>
          <w:tcPr>
            <w:tcW w:w="172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rPr>
              <w:t>low end of</w:t>
            </w:r>
          </w:p>
        </w:tc>
        <w:tc>
          <w:tcPr>
            <w:tcW w:w="174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8"/>
              </w:rPr>
              <w:t>high end of</w:t>
            </w:r>
          </w:p>
        </w:tc>
        <w:tc>
          <w:tcPr>
            <w:tcW w:w="1480" w:type="dxa"/>
            <w:vAlign w:val="bottom"/>
          </w:tcPr>
          <w:p>
            <w:pPr>
              <w:jc w:val="center"/>
              <w:ind w:left="30"/>
              <w:spacing w:after="0" w:line="202" w:lineRule="exact"/>
              <w:rPr>
                <w:sz w:val="20"/>
                <w:szCs w:val="20"/>
                <w:color w:val="auto"/>
              </w:rPr>
            </w:pPr>
            <w:r>
              <w:rPr>
                <w:rFonts w:ascii="Arial" w:cs="Arial" w:eastAsia="Arial" w:hAnsi="Arial"/>
                <w:sz w:val="18"/>
                <w:szCs w:val="18"/>
                <w:b w:val="1"/>
                <w:bCs w:val="1"/>
                <w:color w:val="auto"/>
                <w:w w:val="99"/>
              </w:rPr>
              <w:t>range for full-</w:t>
            </w:r>
          </w:p>
        </w:tc>
      </w:tr>
      <w:tr>
        <w:trPr>
          <w:trHeight w:val="225"/>
        </w:trPr>
        <w:tc>
          <w:tcPr>
            <w:tcW w:w="42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(in millions)</w:t>
            </w:r>
          </w:p>
        </w:tc>
        <w:tc>
          <w:tcPr>
            <w:tcW w:w="2240" w:type="dxa"/>
            <w:vAlign w:val="bottom"/>
            <w:tcBorders>
              <w:bottom w:val="single" w:sz="8" w:color="auto"/>
            </w:tcBorders>
          </w:tcPr>
          <w:p>
            <w:pPr>
              <w:jc w:val="center"/>
              <w:ind w:left="430"/>
              <w:spacing w:after="0"/>
              <w:rPr>
                <w:sz w:val="20"/>
                <w:szCs w:val="20"/>
                <w:color w:val="auto"/>
              </w:rPr>
            </w:pPr>
            <w:r>
              <w:rPr>
                <w:rFonts w:ascii="Arial" w:cs="Arial" w:eastAsia="Arial" w:hAnsi="Arial"/>
                <w:sz w:val="18"/>
                <w:szCs w:val="18"/>
                <w:b w:val="1"/>
                <w:bCs w:val="1"/>
                <w:color w:val="auto"/>
                <w:w w:val="99"/>
              </w:rPr>
              <w:t>March 31, 2018</w:t>
            </w: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rPr>
              <w:t>range</w:t>
            </w:r>
          </w:p>
        </w:tc>
        <w:tc>
          <w:tcPr>
            <w:tcW w:w="17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range</w:t>
            </w:r>
          </w:p>
        </w:tc>
        <w:tc>
          <w:tcPr>
            <w:tcW w:w="1480" w:type="dxa"/>
            <w:vAlign w:val="bottom"/>
            <w:tcBorders>
              <w:bottom w:val="single" w:sz="8" w:color="auto"/>
            </w:tcBorders>
          </w:tcPr>
          <w:p>
            <w:pPr>
              <w:jc w:val="center"/>
              <w:ind w:left="30"/>
              <w:spacing w:after="0"/>
              <w:rPr>
                <w:sz w:val="20"/>
                <w:szCs w:val="20"/>
                <w:color w:val="auto"/>
              </w:rPr>
            </w:pPr>
            <w:r>
              <w:rPr>
                <w:rFonts w:ascii="Arial" w:cs="Arial" w:eastAsia="Arial" w:hAnsi="Arial"/>
                <w:sz w:val="18"/>
                <w:szCs w:val="18"/>
                <w:b w:val="1"/>
                <w:bCs w:val="1"/>
                <w:color w:val="auto"/>
                <w:w w:val="97"/>
              </w:rPr>
              <w:t>year</w:t>
            </w:r>
          </w:p>
        </w:tc>
      </w:tr>
      <w:tr>
        <w:trPr>
          <w:trHeight w:val="195"/>
        </w:trPr>
        <w:tc>
          <w:tcPr>
            <w:tcW w:w="4240" w:type="dxa"/>
            <w:vAlign w:val="bottom"/>
          </w:tcPr>
          <w:p>
            <w:pPr>
              <w:spacing w:after="0" w:line="195" w:lineRule="exact"/>
              <w:rPr>
                <w:sz w:val="20"/>
                <w:szCs w:val="20"/>
                <w:color w:val="auto"/>
              </w:rPr>
            </w:pPr>
            <w:r>
              <w:rPr>
                <w:rFonts w:ascii="Arial" w:cs="Arial" w:eastAsia="Arial" w:hAnsi="Arial"/>
                <w:sz w:val="18"/>
                <w:szCs w:val="18"/>
                <w:b w:val="1"/>
                <w:bCs w:val="1"/>
                <w:color w:val="auto"/>
              </w:rPr>
              <w:t>Net income/(loss) (GAAP)</w:t>
            </w:r>
          </w:p>
        </w:tc>
        <w:tc>
          <w:tcPr>
            <w:tcW w:w="2240" w:type="dxa"/>
            <w:vAlign w:val="bottom"/>
          </w:tcPr>
          <w:p>
            <w:pPr>
              <w:jc w:val="right"/>
              <w:ind w:right="190"/>
              <w:spacing w:after="0" w:line="195" w:lineRule="exact"/>
              <w:rPr>
                <w:sz w:val="20"/>
                <w:szCs w:val="20"/>
                <w:color w:val="auto"/>
              </w:rPr>
            </w:pPr>
            <w:r>
              <w:rPr>
                <w:rFonts w:ascii="Arial" w:cs="Arial" w:eastAsia="Arial" w:hAnsi="Arial"/>
                <w:sz w:val="18"/>
                <w:szCs w:val="18"/>
                <w:b w:val="1"/>
                <w:bCs w:val="1"/>
                <w:color w:val="auto"/>
              </w:rPr>
              <w:t>$31</w:t>
            </w:r>
          </w:p>
        </w:tc>
        <w:tc>
          <w:tcPr>
            <w:tcW w:w="1720" w:type="dxa"/>
            <w:vAlign w:val="bottom"/>
          </w:tcPr>
          <w:p>
            <w:pPr>
              <w:jc w:val="right"/>
              <w:ind w:right="190"/>
              <w:spacing w:after="0" w:line="195" w:lineRule="exact"/>
              <w:rPr>
                <w:sz w:val="20"/>
                <w:szCs w:val="20"/>
                <w:color w:val="auto"/>
              </w:rPr>
            </w:pPr>
            <w:r>
              <w:rPr>
                <w:rFonts w:ascii="Arial" w:cs="Arial" w:eastAsia="Arial" w:hAnsi="Arial"/>
                <w:sz w:val="18"/>
                <w:szCs w:val="18"/>
                <w:b w:val="1"/>
                <w:bCs w:val="1"/>
                <w:color w:val="auto"/>
              </w:rPr>
              <w:t>$107</w:t>
            </w:r>
          </w:p>
        </w:tc>
        <w:tc>
          <w:tcPr>
            <w:tcW w:w="1740" w:type="dxa"/>
            <w:vAlign w:val="bottom"/>
          </w:tcPr>
          <w:p>
            <w:pPr>
              <w:jc w:val="right"/>
              <w:ind w:right="230"/>
              <w:spacing w:after="0" w:line="195" w:lineRule="exact"/>
              <w:rPr>
                <w:sz w:val="20"/>
                <w:szCs w:val="20"/>
                <w:color w:val="auto"/>
              </w:rPr>
            </w:pPr>
            <w:r>
              <w:rPr>
                <w:rFonts w:ascii="Arial" w:cs="Arial" w:eastAsia="Arial" w:hAnsi="Arial"/>
                <w:sz w:val="18"/>
                <w:szCs w:val="18"/>
                <w:b w:val="1"/>
                <w:bCs w:val="1"/>
                <w:color w:val="auto"/>
              </w:rPr>
              <w:t>$122</w:t>
            </w:r>
          </w:p>
        </w:tc>
        <w:tc>
          <w:tcPr>
            <w:tcW w:w="1480" w:type="dxa"/>
            <w:vAlign w:val="bottom"/>
          </w:tcPr>
          <w:p>
            <w:pPr>
              <w:jc w:val="right"/>
              <w:ind w:right="10"/>
              <w:spacing w:after="0" w:line="195" w:lineRule="exact"/>
              <w:rPr>
                <w:sz w:val="20"/>
                <w:szCs w:val="20"/>
                <w:color w:val="auto"/>
              </w:rPr>
            </w:pPr>
            <w:r>
              <w:rPr>
                <w:rFonts w:ascii="Arial" w:cs="Arial" w:eastAsia="Arial" w:hAnsi="Arial"/>
                <w:sz w:val="18"/>
                <w:szCs w:val="18"/>
                <w:b w:val="1"/>
                <w:bCs w:val="1"/>
                <w:color w:val="auto"/>
              </w:rPr>
              <w:t>$138-$153</w:t>
            </w:r>
          </w:p>
        </w:tc>
      </w:tr>
      <w:tr>
        <w:trPr>
          <w:trHeight w:val="203"/>
        </w:trPr>
        <w:tc>
          <w:tcPr>
            <w:tcW w:w="4240" w:type="dxa"/>
            <w:vAlign w:val="bottom"/>
            <w:tcBorders>
              <w:bottom w:val="single" w:sz="8" w:color="auto"/>
            </w:tcBorders>
          </w:tcPr>
          <w:p>
            <w:pPr>
              <w:spacing w:after="0" w:line="203" w:lineRule="exact"/>
              <w:rPr>
                <w:sz w:val="20"/>
                <w:szCs w:val="20"/>
                <w:color w:val="auto"/>
              </w:rPr>
            </w:pPr>
            <w:r>
              <w:rPr>
                <w:rFonts w:ascii="Arial" w:cs="Arial" w:eastAsia="Arial" w:hAnsi="Arial"/>
                <w:sz w:val="18"/>
                <w:szCs w:val="18"/>
                <w:color w:val="auto"/>
              </w:rPr>
              <w:t>Depreciation and amortization</w:t>
            </w:r>
          </w:p>
        </w:tc>
        <w:tc>
          <w:tcPr>
            <w:tcW w:w="2240" w:type="dxa"/>
            <w:vAlign w:val="bottom"/>
            <w:tcBorders>
              <w:bottom w:val="single" w:sz="8" w:color="auto"/>
            </w:tcBorders>
          </w:tcPr>
          <w:p>
            <w:pPr>
              <w:jc w:val="right"/>
              <w:ind w:right="190"/>
              <w:spacing w:after="0" w:line="203" w:lineRule="exact"/>
              <w:rPr>
                <w:sz w:val="20"/>
                <w:szCs w:val="20"/>
                <w:color w:val="auto"/>
              </w:rPr>
            </w:pPr>
            <w:r>
              <w:rPr>
                <w:rFonts w:ascii="Arial" w:cs="Arial" w:eastAsia="Arial" w:hAnsi="Arial"/>
                <w:sz w:val="18"/>
                <w:szCs w:val="18"/>
                <w:color w:val="auto"/>
              </w:rPr>
              <w:t>8</w:t>
            </w:r>
          </w:p>
        </w:tc>
        <w:tc>
          <w:tcPr>
            <w:tcW w:w="1720" w:type="dxa"/>
            <w:vAlign w:val="bottom"/>
            <w:tcBorders>
              <w:bottom w:val="single" w:sz="8" w:color="auto"/>
            </w:tcBorders>
          </w:tcPr>
          <w:p>
            <w:pPr>
              <w:jc w:val="right"/>
              <w:ind w:right="190"/>
              <w:spacing w:after="0" w:line="203" w:lineRule="exact"/>
              <w:rPr>
                <w:sz w:val="20"/>
                <w:szCs w:val="20"/>
                <w:color w:val="auto"/>
              </w:rPr>
            </w:pPr>
            <w:r>
              <w:rPr>
                <w:rFonts w:ascii="Arial" w:cs="Arial" w:eastAsia="Arial" w:hAnsi="Arial"/>
                <w:sz w:val="18"/>
                <w:szCs w:val="18"/>
                <w:color w:val="auto"/>
              </w:rPr>
              <w:t>24</w:t>
            </w:r>
          </w:p>
        </w:tc>
        <w:tc>
          <w:tcPr>
            <w:tcW w:w="1740" w:type="dxa"/>
            <w:vAlign w:val="bottom"/>
            <w:tcBorders>
              <w:bottom w:val="single" w:sz="8" w:color="auto"/>
            </w:tcBorders>
          </w:tcPr>
          <w:p>
            <w:pPr>
              <w:jc w:val="right"/>
              <w:ind w:right="230"/>
              <w:spacing w:after="0" w:line="203" w:lineRule="exact"/>
              <w:rPr>
                <w:sz w:val="20"/>
                <w:szCs w:val="20"/>
                <w:color w:val="auto"/>
              </w:rPr>
            </w:pPr>
            <w:r>
              <w:rPr>
                <w:rFonts w:ascii="Arial" w:cs="Arial" w:eastAsia="Arial" w:hAnsi="Arial"/>
                <w:sz w:val="18"/>
                <w:szCs w:val="18"/>
                <w:color w:val="auto"/>
              </w:rPr>
              <w:t>24</w:t>
            </w:r>
          </w:p>
        </w:tc>
        <w:tc>
          <w:tcPr>
            <w:tcW w:w="1480" w:type="dxa"/>
            <w:vAlign w:val="bottom"/>
            <w:tcBorders>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rPr>
              <w:t>32</w:t>
            </w:r>
          </w:p>
        </w:tc>
      </w:tr>
      <w:tr>
        <w:trPr>
          <w:trHeight w:val="195"/>
        </w:trPr>
        <w:tc>
          <w:tcPr>
            <w:tcW w:w="4240" w:type="dxa"/>
            <w:vAlign w:val="bottom"/>
          </w:tcPr>
          <w:p>
            <w:pPr>
              <w:spacing w:after="0" w:line="195" w:lineRule="exact"/>
              <w:rPr>
                <w:sz w:val="20"/>
                <w:szCs w:val="20"/>
                <w:color w:val="auto"/>
              </w:rPr>
            </w:pPr>
            <w:r>
              <w:rPr>
                <w:rFonts w:ascii="Arial" w:cs="Arial" w:eastAsia="Arial" w:hAnsi="Arial"/>
                <w:sz w:val="18"/>
                <w:szCs w:val="18"/>
                <w:b w:val="1"/>
                <w:bCs w:val="1"/>
                <w:color w:val="auto"/>
              </w:rPr>
              <w:t>EBITDA (non-GAAP)</w:t>
            </w:r>
          </w:p>
        </w:tc>
        <w:tc>
          <w:tcPr>
            <w:tcW w:w="2240" w:type="dxa"/>
            <w:vAlign w:val="bottom"/>
          </w:tcPr>
          <w:p>
            <w:pPr>
              <w:jc w:val="right"/>
              <w:ind w:right="190"/>
              <w:spacing w:after="0" w:line="195" w:lineRule="exact"/>
              <w:rPr>
                <w:sz w:val="20"/>
                <w:szCs w:val="20"/>
                <w:color w:val="auto"/>
              </w:rPr>
            </w:pPr>
            <w:r>
              <w:rPr>
                <w:rFonts w:ascii="Arial" w:cs="Arial" w:eastAsia="Arial" w:hAnsi="Arial"/>
                <w:sz w:val="18"/>
                <w:szCs w:val="18"/>
                <w:b w:val="1"/>
                <w:bCs w:val="1"/>
                <w:color w:val="auto"/>
              </w:rPr>
              <w:t>$39</w:t>
            </w:r>
          </w:p>
        </w:tc>
        <w:tc>
          <w:tcPr>
            <w:tcW w:w="1720" w:type="dxa"/>
            <w:vAlign w:val="bottom"/>
          </w:tcPr>
          <w:p>
            <w:pPr>
              <w:jc w:val="right"/>
              <w:ind w:right="190"/>
              <w:spacing w:after="0" w:line="195" w:lineRule="exact"/>
              <w:rPr>
                <w:sz w:val="20"/>
                <w:szCs w:val="20"/>
                <w:color w:val="auto"/>
              </w:rPr>
            </w:pPr>
            <w:r>
              <w:rPr>
                <w:rFonts w:ascii="Arial" w:cs="Arial" w:eastAsia="Arial" w:hAnsi="Arial"/>
                <w:sz w:val="18"/>
                <w:szCs w:val="18"/>
                <w:b w:val="1"/>
                <w:bCs w:val="1"/>
                <w:color w:val="auto"/>
              </w:rPr>
              <w:t>$131</w:t>
            </w:r>
          </w:p>
        </w:tc>
        <w:tc>
          <w:tcPr>
            <w:tcW w:w="1740" w:type="dxa"/>
            <w:vAlign w:val="bottom"/>
          </w:tcPr>
          <w:p>
            <w:pPr>
              <w:jc w:val="right"/>
              <w:ind w:right="230"/>
              <w:spacing w:after="0" w:line="195" w:lineRule="exact"/>
              <w:rPr>
                <w:sz w:val="20"/>
                <w:szCs w:val="20"/>
                <w:color w:val="auto"/>
              </w:rPr>
            </w:pPr>
            <w:r>
              <w:rPr>
                <w:rFonts w:ascii="Arial" w:cs="Arial" w:eastAsia="Arial" w:hAnsi="Arial"/>
                <w:sz w:val="18"/>
                <w:szCs w:val="18"/>
                <w:b w:val="1"/>
                <w:bCs w:val="1"/>
                <w:color w:val="auto"/>
              </w:rPr>
              <w:t>$146</w:t>
            </w:r>
          </w:p>
        </w:tc>
        <w:tc>
          <w:tcPr>
            <w:tcW w:w="1480" w:type="dxa"/>
            <w:vAlign w:val="bottom"/>
          </w:tcPr>
          <w:p>
            <w:pPr>
              <w:jc w:val="right"/>
              <w:ind w:right="10"/>
              <w:spacing w:after="0" w:line="195" w:lineRule="exact"/>
              <w:rPr>
                <w:sz w:val="20"/>
                <w:szCs w:val="20"/>
                <w:color w:val="auto"/>
              </w:rPr>
            </w:pPr>
            <w:r>
              <w:rPr>
                <w:rFonts w:ascii="Arial" w:cs="Arial" w:eastAsia="Arial" w:hAnsi="Arial"/>
                <w:sz w:val="18"/>
                <w:szCs w:val="18"/>
                <w:b w:val="1"/>
                <w:bCs w:val="1"/>
                <w:color w:val="auto"/>
              </w:rPr>
              <w:t>$170-$185</w:t>
            </w:r>
          </w:p>
        </w:tc>
      </w:tr>
      <w:tr>
        <w:trPr>
          <w:trHeight w:val="203"/>
        </w:trPr>
        <w:tc>
          <w:tcPr>
            <w:tcW w:w="4240" w:type="dxa"/>
            <w:vAlign w:val="bottom"/>
          </w:tcPr>
          <w:p>
            <w:pPr>
              <w:spacing w:after="0" w:line="202" w:lineRule="exact"/>
              <w:rPr>
                <w:sz w:val="20"/>
                <w:szCs w:val="20"/>
                <w:color w:val="auto"/>
              </w:rPr>
            </w:pPr>
            <w:r>
              <w:rPr>
                <w:rFonts w:ascii="Arial" w:cs="Arial" w:eastAsia="Arial" w:hAnsi="Arial"/>
                <w:sz w:val="18"/>
                <w:szCs w:val="18"/>
                <w:color w:val="auto"/>
              </w:rPr>
              <w:t>Restructuring expenses, net</w:t>
            </w:r>
          </w:p>
        </w:tc>
        <w:tc>
          <w:tcPr>
            <w:tcW w:w="2240" w:type="dxa"/>
            <w:vAlign w:val="bottom"/>
          </w:tcPr>
          <w:p>
            <w:pPr>
              <w:jc w:val="right"/>
              <w:ind w:right="190"/>
              <w:spacing w:after="0" w:line="202" w:lineRule="exact"/>
              <w:rPr>
                <w:sz w:val="20"/>
                <w:szCs w:val="20"/>
                <w:color w:val="auto"/>
              </w:rPr>
            </w:pPr>
            <w:r>
              <w:rPr>
                <w:rFonts w:ascii="Arial" w:cs="Arial" w:eastAsia="Arial" w:hAnsi="Arial"/>
                <w:sz w:val="18"/>
                <w:szCs w:val="18"/>
                <w:color w:val="auto"/>
              </w:rPr>
              <w:t>8</w:t>
            </w:r>
          </w:p>
        </w:tc>
        <w:tc>
          <w:tcPr>
            <w:tcW w:w="1720" w:type="dxa"/>
            <w:vAlign w:val="bottom"/>
          </w:tcPr>
          <w:p>
            <w:pPr>
              <w:jc w:val="right"/>
              <w:ind w:right="190"/>
              <w:spacing w:after="0" w:line="202" w:lineRule="exact"/>
              <w:rPr>
                <w:sz w:val="20"/>
                <w:szCs w:val="20"/>
                <w:color w:val="auto"/>
              </w:rPr>
            </w:pPr>
            <w:r>
              <w:rPr>
                <w:rFonts w:ascii="Arial" w:cs="Arial" w:eastAsia="Arial" w:hAnsi="Arial"/>
                <w:sz w:val="18"/>
                <w:szCs w:val="18"/>
                <w:color w:val="auto"/>
              </w:rPr>
              <w:t>*</w:t>
            </w:r>
          </w:p>
        </w:tc>
        <w:tc>
          <w:tcPr>
            <w:tcW w:w="1740" w:type="dxa"/>
            <w:vAlign w:val="bottom"/>
          </w:tcPr>
          <w:p>
            <w:pPr>
              <w:jc w:val="right"/>
              <w:ind w:right="230"/>
              <w:spacing w:after="0" w:line="202" w:lineRule="exact"/>
              <w:rPr>
                <w:sz w:val="20"/>
                <w:szCs w:val="20"/>
                <w:color w:val="auto"/>
              </w:rPr>
            </w:pPr>
            <w:r>
              <w:rPr>
                <w:rFonts w:ascii="Arial" w:cs="Arial" w:eastAsia="Arial" w:hAnsi="Arial"/>
                <w:sz w:val="18"/>
                <w:szCs w:val="18"/>
                <w:color w:val="auto"/>
              </w:rPr>
              <w:t>*</w:t>
            </w:r>
          </w:p>
        </w:tc>
        <w:tc>
          <w:tcPr>
            <w:tcW w:w="14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r>
      <w:tr>
        <w:trPr>
          <w:trHeight w:val="203"/>
        </w:trPr>
        <w:tc>
          <w:tcPr>
            <w:tcW w:w="4240" w:type="dxa"/>
            <w:vAlign w:val="bottom"/>
            <w:tcBorders>
              <w:bottom w:val="single" w:sz="8" w:color="auto"/>
            </w:tcBorders>
          </w:tcPr>
          <w:p>
            <w:pPr>
              <w:spacing w:after="0" w:line="203" w:lineRule="exact"/>
              <w:rPr>
                <w:sz w:val="20"/>
                <w:szCs w:val="20"/>
                <w:color w:val="auto"/>
              </w:rPr>
            </w:pPr>
            <w:r>
              <w:rPr>
                <w:rFonts w:ascii="Arial" w:cs="Arial" w:eastAsia="Arial" w:hAnsi="Arial"/>
                <w:sz w:val="18"/>
                <w:szCs w:val="18"/>
                <w:color w:val="auto"/>
              </w:rPr>
              <w:t>Foreign currency revaluation losses</w:t>
            </w:r>
          </w:p>
        </w:tc>
        <w:tc>
          <w:tcPr>
            <w:tcW w:w="2240" w:type="dxa"/>
            <w:vAlign w:val="bottom"/>
            <w:tcBorders>
              <w:bottom w:val="single" w:sz="8" w:color="auto"/>
            </w:tcBorders>
          </w:tcPr>
          <w:p>
            <w:pPr>
              <w:jc w:val="right"/>
              <w:ind w:right="190"/>
              <w:spacing w:after="0" w:line="203" w:lineRule="exact"/>
              <w:rPr>
                <w:sz w:val="20"/>
                <w:szCs w:val="20"/>
                <w:color w:val="auto"/>
              </w:rPr>
            </w:pPr>
            <w:r>
              <w:rPr>
                <w:rFonts w:ascii="Arial" w:cs="Arial" w:eastAsia="Arial" w:hAnsi="Arial"/>
                <w:sz w:val="18"/>
                <w:szCs w:val="18"/>
                <w:color w:val="auto"/>
              </w:rPr>
              <w:t>2</w:t>
            </w:r>
          </w:p>
        </w:tc>
        <w:tc>
          <w:tcPr>
            <w:tcW w:w="1720" w:type="dxa"/>
            <w:vAlign w:val="bottom"/>
            <w:tcBorders>
              <w:bottom w:val="single" w:sz="8" w:color="auto"/>
            </w:tcBorders>
          </w:tcPr>
          <w:p>
            <w:pPr>
              <w:jc w:val="right"/>
              <w:ind w:right="190"/>
              <w:spacing w:after="0" w:line="203" w:lineRule="exact"/>
              <w:rPr>
                <w:sz w:val="20"/>
                <w:szCs w:val="20"/>
                <w:color w:val="auto"/>
              </w:rPr>
            </w:pPr>
            <w:r>
              <w:rPr>
                <w:rFonts w:ascii="Arial" w:cs="Arial" w:eastAsia="Arial" w:hAnsi="Arial"/>
                <w:sz w:val="18"/>
                <w:szCs w:val="18"/>
                <w:color w:val="auto"/>
              </w:rPr>
              <w:t>*</w:t>
            </w:r>
          </w:p>
        </w:tc>
        <w:tc>
          <w:tcPr>
            <w:tcW w:w="1740" w:type="dxa"/>
            <w:vAlign w:val="bottom"/>
            <w:tcBorders>
              <w:bottom w:val="single" w:sz="8" w:color="auto"/>
            </w:tcBorders>
          </w:tcPr>
          <w:p>
            <w:pPr>
              <w:jc w:val="right"/>
              <w:ind w:right="230"/>
              <w:spacing w:after="0" w:line="203" w:lineRule="exact"/>
              <w:rPr>
                <w:sz w:val="20"/>
                <w:szCs w:val="20"/>
                <w:color w:val="auto"/>
              </w:rPr>
            </w:pPr>
            <w:r>
              <w:rPr>
                <w:rFonts w:ascii="Arial" w:cs="Arial" w:eastAsia="Arial" w:hAnsi="Arial"/>
                <w:sz w:val="18"/>
                <w:szCs w:val="18"/>
                <w:color w:val="auto"/>
              </w:rPr>
              <w:t>*</w:t>
            </w:r>
          </w:p>
        </w:tc>
        <w:tc>
          <w:tcPr>
            <w:tcW w:w="1480" w:type="dxa"/>
            <w:vAlign w:val="bottom"/>
            <w:tcBorders>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rPr>
              <w:t>*</w:t>
            </w:r>
          </w:p>
        </w:tc>
      </w:tr>
      <w:tr>
        <w:trPr>
          <w:trHeight w:val="209"/>
        </w:trPr>
        <w:tc>
          <w:tcPr>
            <w:tcW w:w="4240" w:type="dxa"/>
            <w:vAlign w:val="bottom"/>
          </w:tcPr>
          <w:p>
            <w:pPr>
              <w:spacing w:after="0"/>
              <w:rPr>
                <w:sz w:val="20"/>
                <w:szCs w:val="20"/>
                <w:color w:val="auto"/>
              </w:rPr>
            </w:pPr>
            <w:r>
              <w:rPr>
                <w:rFonts w:ascii="Arial" w:cs="Arial" w:eastAsia="Arial" w:hAnsi="Arial"/>
                <w:sz w:val="18"/>
                <w:szCs w:val="18"/>
                <w:b w:val="1"/>
                <w:bCs w:val="1"/>
                <w:color w:val="auto"/>
              </w:rPr>
              <w:t>Adjusted EBITDA (non-GAAP)</w:t>
            </w:r>
          </w:p>
        </w:tc>
        <w:tc>
          <w:tcPr>
            <w:tcW w:w="2240" w:type="dxa"/>
            <w:vAlign w:val="bottom"/>
          </w:tcPr>
          <w:p>
            <w:pPr>
              <w:jc w:val="right"/>
              <w:ind w:right="190"/>
              <w:spacing w:after="0"/>
              <w:rPr>
                <w:sz w:val="20"/>
                <w:szCs w:val="20"/>
                <w:color w:val="auto"/>
              </w:rPr>
            </w:pPr>
            <w:r>
              <w:rPr>
                <w:rFonts w:ascii="Arial" w:cs="Arial" w:eastAsia="Arial" w:hAnsi="Arial"/>
                <w:sz w:val="18"/>
                <w:szCs w:val="18"/>
                <w:b w:val="1"/>
                <w:bCs w:val="1"/>
                <w:color w:val="auto"/>
              </w:rPr>
              <w:t>$49</w:t>
            </w:r>
          </w:p>
        </w:tc>
        <w:tc>
          <w:tcPr>
            <w:tcW w:w="1720" w:type="dxa"/>
            <w:vAlign w:val="bottom"/>
          </w:tcPr>
          <w:p>
            <w:pPr>
              <w:jc w:val="right"/>
              <w:ind w:right="190"/>
              <w:spacing w:after="0"/>
              <w:rPr>
                <w:sz w:val="20"/>
                <w:szCs w:val="20"/>
                <w:color w:val="auto"/>
              </w:rPr>
            </w:pPr>
            <w:r>
              <w:rPr>
                <w:rFonts w:ascii="Arial" w:cs="Arial" w:eastAsia="Arial" w:hAnsi="Arial"/>
                <w:sz w:val="18"/>
                <w:szCs w:val="18"/>
                <w:b w:val="1"/>
                <w:bCs w:val="1"/>
                <w:color w:val="auto"/>
              </w:rPr>
              <w:t>$131</w:t>
            </w:r>
          </w:p>
        </w:tc>
        <w:tc>
          <w:tcPr>
            <w:tcW w:w="1740" w:type="dxa"/>
            <w:vAlign w:val="bottom"/>
          </w:tcPr>
          <w:p>
            <w:pPr>
              <w:jc w:val="right"/>
              <w:ind w:right="230"/>
              <w:spacing w:after="0"/>
              <w:rPr>
                <w:sz w:val="20"/>
                <w:szCs w:val="20"/>
                <w:color w:val="auto"/>
              </w:rPr>
            </w:pPr>
            <w:r>
              <w:rPr>
                <w:rFonts w:ascii="Arial" w:cs="Arial" w:eastAsia="Arial" w:hAnsi="Arial"/>
                <w:sz w:val="18"/>
                <w:szCs w:val="18"/>
                <w:b w:val="1"/>
                <w:bCs w:val="1"/>
                <w:color w:val="auto"/>
              </w:rPr>
              <w:t>$146</w:t>
            </w:r>
          </w:p>
        </w:tc>
        <w:tc>
          <w:tcPr>
            <w:tcW w:w="1480" w:type="dxa"/>
            <w:vAlign w:val="bottom"/>
          </w:tcPr>
          <w:p>
            <w:pPr>
              <w:jc w:val="right"/>
              <w:ind w:right="10"/>
              <w:spacing w:after="0"/>
              <w:rPr>
                <w:sz w:val="20"/>
                <w:szCs w:val="20"/>
                <w:color w:val="auto"/>
              </w:rPr>
            </w:pPr>
            <w:r>
              <w:rPr>
                <w:rFonts w:ascii="Arial" w:cs="Arial" w:eastAsia="Arial" w:hAnsi="Arial"/>
                <w:sz w:val="18"/>
                <w:szCs w:val="18"/>
                <w:b w:val="1"/>
                <w:bCs w:val="1"/>
                <w:color w:val="auto"/>
              </w:rPr>
              <w:t>$180-$195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ind w:right="460"/>
        <w:spacing w:after="0" w:line="246" w:lineRule="auto"/>
        <w:rPr>
          <w:sz w:val="20"/>
          <w:szCs w:val="20"/>
          <w:color w:val="auto"/>
        </w:rPr>
      </w:pPr>
      <w:r>
        <w:rPr>
          <w:rFonts w:ascii="Arial" w:cs="Arial" w:eastAsia="Arial" w:hAnsi="Arial"/>
          <w:sz w:val="18"/>
          <w:szCs w:val="18"/>
          <w:color w:val="auto"/>
        </w:rPr>
        <w:t>*Due to the uncertainty of these items, management is currently unable to project restructuring expenses and foreign currency revaluation gains/losses for 2018</w:t>
      </w: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34" w:lineRule="exact"/>
        <w:rPr>
          <w:sz w:val="20"/>
          <w:szCs w:val="20"/>
          <w:color w:val="auto"/>
        </w:rPr>
      </w:pPr>
    </w:p>
    <w:p>
      <w:pPr>
        <w:ind w:right="180" w:firstLine="648"/>
        <w:spacing w:after="0" w:line="246" w:lineRule="auto"/>
        <w:rPr>
          <w:sz w:val="20"/>
          <w:szCs w:val="20"/>
          <w:color w:val="auto"/>
        </w:rPr>
      </w:pPr>
      <w:r>
        <w:rPr>
          <w:rFonts w:ascii="Arial" w:cs="Arial" w:eastAsia="Arial" w:hAnsi="Arial"/>
          <w:sz w:val="18"/>
          <w:szCs w:val="18"/>
          <w:color w:val="auto"/>
        </w:rPr>
        <w:t>For discussion of our exposure to market risk, refer to “Quantitative and Qualitative Disclosures about Market Risk”, which is included as an exhibit to this Form 10-Q.</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16" w:lineRule="exact"/>
        <w:rPr>
          <w:sz w:val="20"/>
          <w:szCs w:val="20"/>
          <w:color w:val="auto"/>
        </w:rPr>
      </w:pPr>
    </w:p>
    <w:p>
      <w:pPr>
        <w:ind w:left="680" w:hanging="672"/>
        <w:spacing w:after="0"/>
        <w:tabs>
          <w:tab w:leader="none" w:pos="6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Disclosure controls and procedures.</w:t>
      </w:r>
    </w:p>
    <w:p>
      <w:pPr>
        <w:ind w:right="100" w:firstLine="648"/>
        <w:spacing w:after="0" w:line="236" w:lineRule="auto"/>
        <w:rPr>
          <w:sz w:val="20"/>
          <w:szCs w:val="20"/>
          <w:color w:val="auto"/>
        </w:rPr>
      </w:pPr>
      <w:r>
        <w:rPr>
          <w:rFonts w:ascii="Arial" w:cs="Arial" w:eastAsia="Arial" w:hAnsi="Arial"/>
          <w:sz w:val="18"/>
          <w:szCs w:val="18"/>
          <w:color w:val="auto"/>
        </w:rPr>
        <w:t>The principal executive officer and principal financial officer, based on their evaluation of disclosure controls and procedures (as defined in Exchange Act Rules 13a-15(e) and 15d -15(e)) as of the end of the period covered by this Quarterly Report on Form 10-Q, have concluded that the Company’s disclosure controls and procedures are effective for ensuring that information required to be disclosed in the reports that it files or submits under the Securities Exchange Act of 1934 is recorded, processed, summarized and reported within the time periods specified in the Commission’s rules and forms. Disclosure controls and procedures include, without limitation, controls and procedures designed to ensure that information required to be disclosed in filed or submitted reports is accumulated and communicated to the Company’s management, including its principal executive officer and principal financial officer as appropriate, to allow timely decisions regarding required disclosure.</w:t>
      </w:r>
    </w:p>
    <w:p>
      <w:pPr>
        <w:spacing w:after="0" w:line="168" w:lineRule="exact"/>
        <w:rPr>
          <w:sz w:val="20"/>
          <w:szCs w:val="20"/>
          <w:color w:val="auto"/>
        </w:rPr>
      </w:pPr>
    </w:p>
    <w:p>
      <w:pPr>
        <w:ind w:left="680" w:hanging="672"/>
        <w:spacing w:after="0"/>
        <w:tabs>
          <w:tab w:leader="none" w:pos="6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Changes in internal control over financial reporting.</w:t>
      </w:r>
    </w:p>
    <w:p>
      <w:pPr>
        <w:spacing w:after="0" w:line="239" w:lineRule="exact"/>
        <w:rPr>
          <w:sz w:val="20"/>
          <w:szCs w:val="20"/>
          <w:color w:val="auto"/>
        </w:rPr>
      </w:pPr>
    </w:p>
    <w:p>
      <w:pPr>
        <w:ind w:right="240" w:firstLine="648"/>
        <w:spacing w:after="0" w:line="239" w:lineRule="auto"/>
        <w:rPr>
          <w:sz w:val="20"/>
          <w:szCs w:val="20"/>
          <w:color w:val="auto"/>
        </w:rPr>
      </w:pPr>
      <w:r>
        <w:rPr>
          <w:rFonts w:ascii="Arial" w:cs="Arial" w:eastAsia="Arial" w:hAnsi="Arial"/>
          <w:sz w:val="18"/>
          <w:szCs w:val="18"/>
          <w:color w:val="auto"/>
        </w:rPr>
        <w:t>During the first quarter of 2018, the Company implemented additional controls and modified other controls related to revenue recognition and the Company’s adoption of ASC 606. There were no other changes in the Company’s internal control over financial reporting (as defined in Rule 13a-15(f) and 15d-15(f) under the Securities Exchange Act of 1934, as amended) during the last fiscal quarter that have materially affected, or are reasonably likely to materially affect, the Company’s internal control over financial reporting.</w:t>
      </w: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342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598" w:right="239" w:bottom="1440" w:gutter="0" w:footer="0" w:header="0"/>
        </w:sectPr>
      </w:pPr>
    </w:p>
    <w:bookmarkStart w:id="55" w:name="page56"/>
    <w:bookmarkEnd w:id="55"/>
    <w:p>
      <w:pPr>
        <w:ind w:left="4660"/>
        <w:spacing w:after="0"/>
        <w:rPr>
          <w:sz w:val="20"/>
          <w:szCs w:val="20"/>
          <w:color w:val="auto"/>
        </w:rPr>
      </w:pPr>
      <w:r>
        <w:rPr>
          <w:rFonts w:ascii="Arial" w:cs="Arial" w:eastAsia="Arial" w:hAnsi="Arial"/>
          <w:sz w:val="18"/>
          <w:szCs w:val="18"/>
          <w:b w:val="1"/>
          <w:bCs w:val="1"/>
          <w:color w:val="auto"/>
        </w:rPr>
        <w:t>PART II – OTHER INFORMATION</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34" w:lineRule="exact"/>
        <w:rPr>
          <w:sz w:val="20"/>
          <w:szCs w:val="20"/>
          <w:color w:val="auto"/>
        </w:rPr>
      </w:pPr>
    </w:p>
    <w:p>
      <w:pPr>
        <w:ind w:right="600" w:firstLine="648"/>
        <w:spacing w:after="0" w:line="246" w:lineRule="auto"/>
        <w:rPr>
          <w:sz w:val="20"/>
          <w:szCs w:val="20"/>
          <w:color w:val="auto"/>
        </w:rPr>
      </w:pPr>
      <w:r>
        <w:rPr>
          <w:rFonts w:ascii="Arial" w:cs="Arial" w:eastAsia="Arial" w:hAnsi="Arial"/>
          <w:sz w:val="18"/>
          <w:szCs w:val="18"/>
          <w:color w:val="auto"/>
        </w:rPr>
        <w:t>The information set forth above under Note 17 in Item 1, “Notes to Consolidated Financial Statements” is incorporated herein by reference.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34" w:lineRule="exact"/>
        <w:rPr>
          <w:sz w:val="20"/>
          <w:szCs w:val="20"/>
          <w:color w:val="auto"/>
        </w:rPr>
      </w:pPr>
    </w:p>
    <w:p>
      <w:pPr>
        <w:ind w:right="180" w:firstLine="648"/>
        <w:spacing w:after="0" w:line="246" w:lineRule="auto"/>
        <w:rPr>
          <w:sz w:val="20"/>
          <w:szCs w:val="20"/>
          <w:color w:val="auto"/>
        </w:rPr>
      </w:pPr>
      <w:r>
        <w:rPr>
          <w:rFonts w:ascii="Arial" w:cs="Arial" w:eastAsia="Arial" w:hAnsi="Arial"/>
          <w:sz w:val="18"/>
          <w:szCs w:val="18"/>
          <w:color w:val="auto"/>
        </w:rPr>
        <w:t>There have been no material changes in risks since December 31, 2017. For discussion of risk factors, refer to Item 1A of our Annual Report on Form 10-K for the year ended December 31, 2017.</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34" w:lineRule="exact"/>
        <w:rPr>
          <w:sz w:val="20"/>
          <w:szCs w:val="20"/>
          <w:color w:val="auto"/>
        </w:rPr>
      </w:pPr>
    </w:p>
    <w:p>
      <w:pPr>
        <w:ind w:right="420" w:firstLine="648"/>
        <w:spacing w:after="0" w:line="246" w:lineRule="auto"/>
        <w:rPr>
          <w:sz w:val="20"/>
          <w:szCs w:val="20"/>
          <w:color w:val="auto"/>
        </w:rPr>
      </w:pPr>
      <w:r>
        <w:rPr>
          <w:rFonts w:ascii="Arial" w:cs="Arial" w:eastAsia="Arial" w:hAnsi="Arial"/>
          <w:sz w:val="18"/>
          <w:szCs w:val="18"/>
          <w:color w:val="auto"/>
        </w:rPr>
        <w:t>We made no share purchases during the first quarter of 2018. We remain authorized by the Board of Directors to purchase up to 2 million shares of our Class A Common Stock.</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3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3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3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1260" w:type="dxa"/>
            <w:vAlign w:val="bottom"/>
          </w:tcPr>
          <w:p>
            <w:pPr>
              <w:spacing w:after="0"/>
              <w:rPr>
                <w:sz w:val="20"/>
                <w:szCs w:val="20"/>
                <w:color w:val="auto"/>
              </w:rPr>
            </w:pPr>
            <w:r>
              <w:rPr>
                <w:rFonts w:ascii="Arial" w:cs="Arial" w:eastAsia="Arial" w:hAnsi="Arial"/>
                <w:sz w:val="18"/>
                <w:szCs w:val="18"/>
                <w:color w:val="auto"/>
              </w:rPr>
              <w:t>Exhibit No.</w:t>
            </w:r>
          </w:p>
        </w:tc>
        <w:tc>
          <w:tcPr>
            <w:tcW w:w="10160" w:type="dxa"/>
            <w:vAlign w:val="bottom"/>
            <w:gridSpan w:val="7"/>
          </w:tcPr>
          <w:p>
            <w:pPr>
              <w:ind w:left="240"/>
              <w:spacing w:after="0"/>
              <w:rPr>
                <w:sz w:val="20"/>
                <w:szCs w:val="20"/>
                <w:color w:val="auto"/>
              </w:rPr>
            </w:pPr>
            <w:r>
              <w:rPr>
                <w:rFonts w:ascii="Arial" w:cs="Arial" w:eastAsia="Arial" w:hAnsi="Arial"/>
                <w:sz w:val="18"/>
                <w:szCs w:val="18"/>
                <w:color w:val="auto"/>
              </w:rPr>
              <w:t>Description</w:t>
            </w:r>
          </w:p>
        </w:tc>
      </w:tr>
      <w:tr>
        <w:trPr>
          <w:trHeight w:val="405"/>
        </w:trPr>
        <w:tc>
          <w:tcPr>
            <w:tcW w:w="1260" w:type="dxa"/>
            <w:vAlign w:val="bottom"/>
          </w:tcPr>
          <w:p>
            <w:pPr>
              <w:spacing w:after="0"/>
              <w:rPr>
                <w:sz w:val="20"/>
                <w:szCs w:val="20"/>
                <w:color w:val="auto"/>
              </w:rPr>
            </w:pPr>
            <w:r>
              <w:rPr>
                <w:rFonts w:ascii="Arial" w:cs="Arial" w:eastAsia="Arial" w:hAnsi="Arial"/>
                <w:sz w:val="18"/>
                <w:szCs w:val="18"/>
                <w:color w:val="auto"/>
              </w:rPr>
              <w:t>10(u)</w:t>
            </w:r>
          </w:p>
        </w:tc>
        <w:tc>
          <w:tcPr>
            <w:tcW w:w="1940" w:type="dxa"/>
            <w:vAlign w:val="bottom"/>
            <w:tcBorders>
              <w:bottom w:val="single" w:sz="8" w:color="0000EE"/>
            </w:tcBorders>
          </w:tcPr>
          <w:p>
            <w:pPr>
              <w:spacing w:after="0"/>
              <w:rPr>
                <w:rFonts w:ascii="Arial" w:cs="Arial" w:eastAsia="Arial" w:hAnsi="Arial"/>
                <w:sz w:val="18"/>
                <w:szCs w:val="18"/>
                <w:color w:val="0000EE"/>
                <w:w w:val="99"/>
              </w:rPr>
            </w:pPr>
            <w:hyperlink w:anchor="page59">
              <w:r>
                <w:rPr>
                  <w:rFonts w:ascii="Arial" w:cs="Arial" w:eastAsia="Arial" w:hAnsi="Arial"/>
                  <w:sz w:val="18"/>
                  <w:szCs w:val="18"/>
                  <w:color w:val="0000EE"/>
                  <w:w w:val="99"/>
                </w:rPr>
                <w:t>Employment Agreement</w:t>
              </w:r>
            </w:hyperlink>
          </w:p>
        </w:tc>
        <w:tc>
          <w:tcPr>
            <w:tcW w:w="8220" w:type="dxa"/>
            <w:vAlign w:val="bottom"/>
            <w:gridSpan w:val="6"/>
          </w:tcPr>
          <w:p>
            <w:pPr>
              <w:spacing w:after="0"/>
              <w:rPr>
                <w:sz w:val="24"/>
                <w:szCs w:val="24"/>
                <w:color w:val="auto"/>
              </w:rPr>
            </w:pPr>
          </w:p>
        </w:tc>
      </w:tr>
      <w:tr>
        <w:trPr>
          <w:trHeight w:val="466"/>
        </w:trPr>
        <w:tc>
          <w:tcPr>
            <w:tcW w:w="1260" w:type="dxa"/>
            <w:vAlign w:val="bottom"/>
          </w:tcPr>
          <w:p>
            <w:pPr>
              <w:spacing w:after="0"/>
              <w:rPr>
                <w:sz w:val="20"/>
                <w:szCs w:val="20"/>
                <w:color w:val="auto"/>
              </w:rPr>
            </w:pPr>
            <w:r>
              <w:rPr>
                <w:rFonts w:ascii="Arial" w:cs="Arial" w:eastAsia="Arial" w:hAnsi="Arial"/>
                <w:sz w:val="18"/>
                <w:szCs w:val="18"/>
                <w:color w:val="auto"/>
              </w:rPr>
              <w:t>31.1</w:t>
            </w:r>
          </w:p>
        </w:tc>
        <w:tc>
          <w:tcPr>
            <w:tcW w:w="8080" w:type="dxa"/>
            <w:vAlign w:val="bottom"/>
            <w:tcBorders>
              <w:bottom w:val="single" w:sz="8" w:color="0000EE"/>
            </w:tcBorders>
            <w:gridSpan w:val="6"/>
          </w:tcPr>
          <w:p>
            <w:pPr>
              <w:spacing w:after="0"/>
              <w:rPr>
                <w:rFonts w:ascii="Arial" w:cs="Arial" w:eastAsia="Arial" w:hAnsi="Arial"/>
                <w:sz w:val="18"/>
                <w:szCs w:val="18"/>
                <w:color w:val="0000EE"/>
                <w:w w:val="99"/>
              </w:rPr>
            </w:pPr>
            <w:hyperlink w:anchor="page74">
              <w:r>
                <w:rPr>
                  <w:rFonts w:ascii="Arial" w:cs="Arial" w:eastAsia="Arial" w:hAnsi="Arial"/>
                  <w:sz w:val="18"/>
                  <w:szCs w:val="18"/>
                  <w:color w:val="0000EE"/>
                  <w:w w:val="99"/>
                </w:rPr>
                <w:t>Certification of the Chief Executive Officer pursuant to Rule 13a-14(a)/15d-14(a) of the Exchange Act.</w:t>
              </w:r>
            </w:hyperlink>
          </w:p>
        </w:tc>
        <w:tc>
          <w:tcPr>
            <w:tcW w:w="2080" w:type="dxa"/>
            <w:vAlign w:val="bottom"/>
          </w:tcPr>
          <w:p>
            <w:pPr>
              <w:spacing w:after="0"/>
              <w:rPr>
                <w:sz w:val="24"/>
                <w:szCs w:val="24"/>
                <w:color w:val="auto"/>
              </w:rPr>
            </w:pPr>
          </w:p>
        </w:tc>
      </w:tr>
      <w:tr>
        <w:trPr>
          <w:trHeight w:val="466"/>
        </w:trPr>
        <w:tc>
          <w:tcPr>
            <w:tcW w:w="1260" w:type="dxa"/>
            <w:vAlign w:val="bottom"/>
          </w:tcPr>
          <w:p>
            <w:pPr>
              <w:spacing w:after="0"/>
              <w:rPr>
                <w:sz w:val="20"/>
                <w:szCs w:val="20"/>
                <w:color w:val="auto"/>
              </w:rPr>
            </w:pPr>
            <w:r>
              <w:rPr>
                <w:rFonts w:ascii="Arial" w:cs="Arial" w:eastAsia="Arial" w:hAnsi="Arial"/>
                <w:sz w:val="18"/>
                <w:szCs w:val="18"/>
                <w:color w:val="auto"/>
              </w:rPr>
              <w:t>31.2</w:t>
            </w:r>
          </w:p>
        </w:tc>
        <w:tc>
          <w:tcPr>
            <w:tcW w:w="8020" w:type="dxa"/>
            <w:vAlign w:val="bottom"/>
            <w:tcBorders>
              <w:bottom w:val="single" w:sz="8" w:color="0000EE"/>
            </w:tcBorders>
            <w:gridSpan w:val="5"/>
          </w:tcPr>
          <w:p>
            <w:pPr>
              <w:spacing w:after="0"/>
              <w:rPr>
                <w:rFonts w:ascii="Arial" w:cs="Arial" w:eastAsia="Arial" w:hAnsi="Arial"/>
                <w:sz w:val="18"/>
                <w:szCs w:val="18"/>
                <w:color w:val="0000EE"/>
                <w:w w:val="99"/>
              </w:rPr>
            </w:pPr>
            <w:hyperlink w:anchor="page75">
              <w:r>
                <w:rPr>
                  <w:rFonts w:ascii="Arial" w:cs="Arial" w:eastAsia="Arial" w:hAnsi="Arial"/>
                  <w:sz w:val="18"/>
                  <w:szCs w:val="18"/>
                  <w:color w:val="0000EE"/>
                  <w:w w:val="99"/>
                </w:rPr>
                <w:t>Certification of the Chief Financial Officer pursuant to Rule 13a-14(a)/15d-14(a) of the Exchange Act.</w:t>
              </w:r>
            </w:hyperlink>
          </w:p>
        </w:tc>
        <w:tc>
          <w:tcPr>
            <w:tcW w:w="2140" w:type="dxa"/>
            <w:vAlign w:val="bottom"/>
            <w:gridSpan w:val="2"/>
          </w:tcPr>
          <w:p>
            <w:pPr>
              <w:spacing w:after="0"/>
              <w:rPr>
                <w:sz w:val="24"/>
                <w:szCs w:val="24"/>
                <w:color w:val="auto"/>
              </w:rPr>
            </w:pPr>
          </w:p>
        </w:tc>
      </w:tr>
      <w:tr>
        <w:trPr>
          <w:trHeight w:val="466"/>
        </w:trPr>
        <w:tc>
          <w:tcPr>
            <w:tcW w:w="1260" w:type="dxa"/>
            <w:vAlign w:val="bottom"/>
          </w:tcPr>
          <w:p>
            <w:pPr>
              <w:spacing w:after="0"/>
              <w:rPr>
                <w:sz w:val="20"/>
                <w:szCs w:val="20"/>
                <w:color w:val="auto"/>
              </w:rPr>
            </w:pPr>
            <w:r>
              <w:rPr>
                <w:rFonts w:ascii="Arial" w:cs="Arial" w:eastAsia="Arial" w:hAnsi="Arial"/>
                <w:sz w:val="18"/>
                <w:szCs w:val="18"/>
                <w:color w:val="auto"/>
              </w:rPr>
              <w:t>32.1</w:t>
            </w:r>
          </w:p>
        </w:tc>
        <w:tc>
          <w:tcPr>
            <w:tcW w:w="10160" w:type="dxa"/>
            <w:vAlign w:val="bottom"/>
            <w:gridSpan w:val="7"/>
          </w:tcPr>
          <w:p>
            <w:pPr>
              <w:spacing w:after="0"/>
              <w:rPr>
                <w:rFonts w:ascii="Arial" w:cs="Arial" w:eastAsia="Arial" w:hAnsi="Arial"/>
                <w:sz w:val="18"/>
                <w:szCs w:val="18"/>
                <w:color w:val="0000EE"/>
              </w:rPr>
            </w:pPr>
            <w:hyperlink w:anchor="page76">
              <w:r>
                <w:rPr>
                  <w:rFonts w:ascii="Arial" w:cs="Arial" w:eastAsia="Arial" w:hAnsi="Arial"/>
                  <w:sz w:val="18"/>
                  <w:szCs w:val="18"/>
                  <w:color w:val="0000EE"/>
                </w:rPr>
                <w:t>Certification pursuant to Section 906 of the Sarbanes-Oxley Act of 2002 (Subsections (a) and (b) of</w:t>
              </w:r>
            </w:hyperlink>
          </w:p>
        </w:tc>
      </w:tr>
      <w:tr>
        <w:trPr>
          <w:trHeight w:val="183"/>
        </w:trPr>
        <w:tc>
          <w:tcPr>
            <w:tcW w:w="1260" w:type="dxa"/>
            <w:vAlign w:val="bottom"/>
          </w:tcPr>
          <w:p>
            <w:pPr>
              <w:spacing w:after="0"/>
              <w:rPr>
                <w:sz w:val="15"/>
                <w:szCs w:val="15"/>
                <w:color w:val="auto"/>
              </w:rPr>
            </w:pPr>
          </w:p>
        </w:tc>
        <w:tc>
          <w:tcPr>
            <w:tcW w:w="4660" w:type="dxa"/>
            <w:vAlign w:val="bottom"/>
            <w:tcBorders>
              <w:top w:val="single" w:sz="8" w:color="0000EE"/>
              <w:bottom w:val="single" w:sz="8" w:color="0000EE"/>
            </w:tcBorders>
            <w:gridSpan w:val="2"/>
          </w:tcPr>
          <w:p>
            <w:pPr>
              <w:spacing w:after="0" w:line="182" w:lineRule="exact"/>
              <w:rPr>
                <w:rFonts w:ascii="Arial" w:cs="Arial" w:eastAsia="Arial" w:hAnsi="Arial"/>
                <w:sz w:val="18"/>
                <w:szCs w:val="18"/>
                <w:color w:val="0000EE"/>
                <w:w w:val="99"/>
              </w:rPr>
            </w:pPr>
            <w:hyperlink w:anchor="page76">
              <w:r>
                <w:rPr>
                  <w:rFonts w:ascii="Arial" w:cs="Arial" w:eastAsia="Arial" w:hAnsi="Arial"/>
                  <w:sz w:val="18"/>
                  <w:szCs w:val="18"/>
                  <w:color w:val="0000EE"/>
                  <w:w w:val="99"/>
                </w:rPr>
                <w:t>Section 1350, Chapter 63 of Title 18, United States Code).</w:t>
              </w:r>
            </w:hyperlink>
          </w:p>
        </w:tc>
        <w:tc>
          <w:tcPr>
            <w:tcW w:w="3220" w:type="dxa"/>
            <w:vAlign w:val="bottom"/>
            <w:tcBorders>
              <w:top w:val="single" w:sz="8" w:color="0000EE"/>
            </w:tcBorders>
            <w:gridSpan w:val="2"/>
          </w:tcPr>
          <w:p>
            <w:pPr>
              <w:spacing w:after="0"/>
              <w:rPr>
                <w:sz w:val="15"/>
                <w:szCs w:val="15"/>
                <w:color w:val="auto"/>
              </w:rPr>
            </w:pPr>
          </w:p>
        </w:tc>
        <w:tc>
          <w:tcPr>
            <w:tcW w:w="2280" w:type="dxa"/>
            <w:vAlign w:val="bottom"/>
            <w:gridSpan w:val="3"/>
          </w:tcPr>
          <w:p>
            <w:pPr>
              <w:spacing w:after="0"/>
              <w:rPr>
                <w:sz w:val="15"/>
                <w:szCs w:val="15"/>
                <w:color w:val="auto"/>
              </w:rPr>
            </w:pPr>
          </w:p>
        </w:tc>
      </w:tr>
      <w:tr>
        <w:trPr>
          <w:trHeight w:val="426"/>
        </w:trPr>
        <w:tc>
          <w:tcPr>
            <w:tcW w:w="1260" w:type="dxa"/>
            <w:vAlign w:val="bottom"/>
          </w:tcPr>
          <w:p>
            <w:pPr>
              <w:spacing w:after="0"/>
              <w:rPr>
                <w:sz w:val="20"/>
                <w:szCs w:val="20"/>
                <w:color w:val="auto"/>
              </w:rPr>
            </w:pPr>
            <w:r>
              <w:rPr>
                <w:rFonts w:ascii="Arial" w:cs="Arial" w:eastAsia="Arial" w:hAnsi="Arial"/>
                <w:sz w:val="18"/>
                <w:szCs w:val="18"/>
                <w:color w:val="auto"/>
              </w:rPr>
              <w:t>99.1</w:t>
            </w:r>
          </w:p>
        </w:tc>
        <w:tc>
          <w:tcPr>
            <w:tcW w:w="10160" w:type="dxa"/>
            <w:vAlign w:val="bottom"/>
            <w:gridSpan w:val="7"/>
          </w:tcPr>
          <w:p>
            <w:pPr>
              <w:spacing w:after="0"/>
              <w:rPr>
                <w:rFonts w:ascii="Arial" w:cs="Arial" w:eastAsia="Arial" w:hAnsi="Arial"/>
                <w:sz w:val="18"/>
                <w:szCs w:val="18"/>
                <w:color w:val="0000EE"/>
              </w:rPr>
            </w:pPr>
            <w:hyperlink w:anchor="page77">
              <w:r>
                <w:rPr>
                  <w:rFonts w:ascii="Arial" w:cs="Arial" w:eastAsia="Arial" w:hAnsi="Arial"/>
                  <w:sz w:val="18"/>
                  <w:szCs w:val="18"/>
                  <w:color w:val="0000EE"/>
                </w:rPr>
                <w:t>Quantitative and qualitative disclosures about market risks as reported at March 31, 2018.</w:t>
              </w:r>
            </w:hyperlink>
          </w:p>
        </w:tc>
      </w:tr>
      <w:tr>
        <w:trPr>
          <w:trHeight w:val="723"/>
        </w:trPr>
        <w:tc>
          <w:tcPr>
            <w:tcW w:w="1260" w:type="dxa"/>
            <w:vAlign w:val="bottom"/>
          </w:tcPr>
          <w:p>
            <w:pPr>
              <w:spacing w:after="0"/>
              <w:rPr>
                <w:sz w:val="24"/>
                <w:szCs w:val="24"/>
                <w:color w:val="auto"/>
              </w:rPr>
            </w:pPr>
          </w:p>
        </w:tc>
        <w:tc>
          <w:tcPr>
            <w:tcW w:w="4660" w:type="dxa"/>
            <w:vAlign w:val="bottom"/>
            <w:tcBorders>
              <w:top w:val="single" w:sz="8" w:color="0000EE"/>
            </w:tcBorders>
            <w:gridSpan w:val="2"/>
          </w:tcPr>
          <w:p>
            <w:pPr>
              <w:ind w:left="4360"/>
              <w:spacing w:after="0"/>
              <w:rPr>
                <w:sz w:val="20"/>
                <w:szCs w:val="20"/>
                <w:color w:val="auto"/>
              </w:rPr>
            </w:pPr>
            <w:r>
              <w:rPr>
                <w:rFonts w:ascii="Arial" w:cs="Arial" w:eastAsia="Arial" w:hAnsi="Arial"/>
                <w:sz w:val="18"/>
                <w:szCs w:val="18"/>
                <w:color w:val="auto"/>
              </w:rPr>
              <w:t>56</w:t>
            </w:r>
          </w:p>
        </w:tc>
        <w:tc>
          <w:tcPr>
            <w:tcW w:w="2500" w:type="dxa"/>
            <w:vAlign w:val="bottom"/>
            <w:tcBorders>
              <w:top w:val="single" w:sz="8" w:color="0000EE"/>
            </w:tcBorders>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80" w:type="dxa"/>
            <w:vAlign w:val="bottom"/>
          </w:tcPr>
          <w:p>
            <w:pPr>
              <w:spacing w:after="0"/>
              <w:rPr>
                <w:sz w:val="24"/>
                <w:szCs w:val="24"/>
                <w:color w:val="auto"/>
              </w:rPr>
            </w:pPr>
          </w:p>
        </w:tc>
      </w:tr>
      <w:tr>
        <w:trPr>
          <w:trHeight w:val="142"/>
        </w:trPr>
        <w:tc>
          <w:tcPr>
            <w:tcW w:w="1260" w:type="dxa"/>
            <w:vAlign w:val="bottom"/>
            <w:tcBorders>
              <w:bottom w:val="single" w:sz="8" w:color="auto"/>
            </w:tcBorders>
          </w:tcPr>
          <w:p>
            <w:pPr>
              <w:spacing w:after="0"/>
              <w:rPr>
                <w:sz w:val="12"/>
                <w:szCs w:val="12"/>
                <w:color w:val="auto"/>
              </w:rPr>
            </w:pPr>
          </w:p>
        </w:tc>
        <w:tc>
          <w:tcPr>
            <w:tcW w:w="1940" w:type="dxa"/>
            <w:vAlign w:val="bottom"/>
            <w:tcBorders>
              <w:bottom w:val="single" w:sz="8" w:color="auto"/>
            </w:tcBorders>
          </w:tcPr>
          <w:p>
            <w:pPr>
              <w:spacing w:after="0"/>
              <w:rPr>
                <w:sz w:val="12"/>
                <w:szCs w:val="12"/>
                <w:color w:val="auto"/>
              </w:rPr>
            </w:pPr>
          </w:p>
        </w:tc>
        <w:tc>
          <w:tcPr>
            <w:tcW w:w="2720" w:type="dxa"/>
            <w:vAlign w:val="bottom"/>
            <w:tcBorders>
              <w:bottom w:val="single" w:sz="8" w:color="auto"/>
            </w:tcBorders>
          </w:tcPr>
          <w:p>
            <w:pPr>
              <w:spacing w:after="0"/>
              <w:rPr>
                <w:sz w:val="12"/>
                <w:szCs w:val="12"/>
                <w:color w:val="auto"/>
              </w:rPr>
            </w:pPr>
          </w:p>
        </w:tc>
        <w:tc>
          <w:tcPr>
            <w:tcW w:w="25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2080" w:type="dxa"/>
            <w:vAlign w:val="bottom"/>
            <w:tcBorders>
              <w:bottom w:val="single" w:sz="8" w:color="auto"/>
            </w:tcBorders>
          </w:tcPr>
          <w:p>
            <w:pPr>
              <w:spacing w:after="0"/>
              <w:rPr>
                <w:sz w:val="12"/>
                <w:szCs w:val="12"/>
                <w:color w:val="auto"/>
              </w:rPr>
            </w:pPr>
          </w:p>
        </w:tc>
      </w:tr>
    </w:tbl>
    <w:p>
      <w:pPr>
        <w:sectPr>
          <w:pgSz w:w="11900" w:h="16838" w:orient="portrait"/>
          <w:cols w:equalWidth="0" w:num="1">
            <w:col w:w="11420"/>
          </w:cols>
          <w:pgMar w:left="240" w:top="967" w:right="239" w:bottom="1440" w:gutter="0" w:footer="0" w:header="0"/>
        </w:sectPr>
      </w:pPr>
    </w:p>
    <w:bookmarkStart w:id="56" w:name="page57"/>
    <w:bookmarkEnd w:id="56"/>
    <w:p>
      <w:pPr>
        <w:ind w:left="1140" w:right="1640" w:hanging="1132"/>
        <w:spacing w:after="0" w:line="246" w:lineRule="auto"/>
        <w:tabs>
          <w:tab w:leader="none" w:pos="11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following financial information from the Registrant’s Quarterly Report on Form 10-Q for the quarter ended March 31, 2018, formatted in extensible Business Reporting Language (XBRL), filed herewith:</w:t>
      </w:r>
    </w:p>
    <w:p>
      <w:pPr>
        <w:spacing w:after="0" w:line="223" w:lineRule="exact"/>
        <w:rPr>
          <w:rFonts w:ascii="Arial" w:cs="Arial" w:eastAsia="Arial" w:hAnsi="Arial"/>
          <w:sz w:val="18"/>
          <w:szCs w:val="18"/>
          <w:color w:val="auto"/>
        </w:rPr>
      </w:pPr>
    </w:p>
    <w:p>
      <w:pPr>
        <w:ind w:left="1300" w:hanging="320"/>
        <w:spacing w:after="0"/>
        <w:tabs>
          <w:tab w:leader="none" w:pos="1300" w:val="left"/>
        </w:tabs>
        <w:numPr>
          <w:ilvl w:val="1"/>
          <w:numId w:val="23"/>
        </w:numPr>
        <w:rPr>
          <w:rFonts w:ascii="Arial" w:cs="Arial" w:eastAsia="Arial" w:hAnsi="Arial"/>
          <w:sz w:val="18"/>
          <w:szCs w:val="18"/>
          <w:color w:val="auto"/>
        </w:rPr>
      </w:pPr>
      <w:r>
        <w:rPr>
          <w:rFonts w:ascii="Arial" w:cs="Arial" w:eastAsia="Arial" w:hAnsi="Arial"/>
          <w:sz w:val="18"/>
          <w:szCs w:val="18"/>
          <w:color w:val="auto"/>
        </w:rPr>
        <w:t>Consolidated Statements of Income for the three months ended March 31, 2018 and 2017.</w:t>
      </w:r>
    </w:p>
    <w:p>
      <w:pPr>
        <w:spacing w:after="0" w:line="200" w:lineRule="exact"/>
        <w:rPr>
          <w:rFonts w:ascii="Arial" w:cs="Arial" w:eastAsia="Arial" w:hAnsi="Arial"/>
          <w:sz w:val="18"/>
          <w:szCs w:val="18"/>
          <w:color w:val="auto"/>
        </w:rPr>
      </w:pPr>
    </w:p>
    <w:p>
      <w:pPr>
        <w:spacing w:after="0" w:line="362" w:lineRule="exact"/>
        <w:rPr>
          <w:rFonts w:ascii="Arial" w:cs="Arial" w:eastAsia="Arial" w:hAnsi="Arial"/>
          <w:sz w:val="18"/>
          <w:szCs w:val="18"/>
          <w:color w:val="auto"/>
        </w:rPr>
      </w:pPr>
    </w:p>
    <w:p>
      <w:pPr>
        <w:ind w:left="1300" w:hanging="320"/>
        <w:spacing w:after="0"/>
        <w:tabs>
          <w:tab w:leader="none" w:pos="1300" w:val="left"/>
        </w:tabs>
        <w:numPr>
          <w:ilvl w:val="1"/>
          <w:numId w:val="23"/>
        </w:numPr>
        <w:rPr>
          <w:rFonts w:ascii="Arial" w:cs="Arial" w:eastAsia="Arial" w:hAnsi="Arial"/>
          <w:sz w:val="18"/>
          <w:szCs w:val="18"/>
          <w:color w:val="auto"/>
        </w:rPr>
      </w:pPr>
      <w:r>
        <w:rPr>
          <w:rFonts w:ascii="Arial" w:cs="Arial" w:eastAsia="Arial" w:hAnsi="Arial"/>
          <w:sz w:val="18"/>
          <w:szCs w:val="18"/>
          <w:color w:val="auto"/>
        </w:rPr>
        <w:t>Consolidated Statements of Comprehensive Income/(Loss) for the three months ended March 31, 2018 and 2017.</w:t>
      </w:r>
    </w:p>
    <w:p>
      <w:pPr>
        <w:spacing w:after="0" w:line="200" w:lineRule="exact"/>
        <w:rPr>
          <w:rFonts w:ascii="Arial" w:cs="Arial" w:eastAsia="Arial" w:hAnsi="Arial"/>
          <w:sz w:val="18"/>
          <w:szCs w:val="18"/>
          <w:color w:val="auto"/>
        </w:rPr>
      </w:pPr>
    </w:p>
    <w:p>
      <w:pPr>
        <w:spacing w:after="0" w:line="349" w:lineRule="exact"/>
        <w:rPr>
          <w:rFonts w:ascii="Arial" w:cs="Arial" w:eastAsia="Arial" w:hAnsi="Arial"/>
          <w:sz w:val="18"/>
          <w:szCs w:val="18"/>
          <w:color w:val="auto"/>
        </w:rPr>
      </w:pPr>
    </w:p>
    <w:p>
      <w:pPr>
        <w:ind w:left="1300" w:hanging="320"/>
        <w:spacing w:after="0"/>
        <w:tabs>
          <w:tab w:leader="none" w:pos="1300" w:val="left"/>
        </w:tabs>
        <w:numPr>
          <w:ilvl w:val="1"/>
          <w:numId w:val="23"/>
        </w:numPr>
        <w:rPr>
          <w:rFonts w:ascii="Arial" w:cs="Arial" w:eastAsia="Arial" w:hAnsi="Arial"/>
          <w:sz w:val="18"/>
          <w:szCs w:val="18"/>
          <w:color w:val="auto"/>
        </w:rPr>
      </w:pPr>
      <w:r>
        <w:rPr>
          <w:rFonts w:ascii="Arial" w:cs="Arial" w:eastAsia="Arial" w:hAnsi="Arial"/>
          <w:sz w:val="18"/>
          <w:szCs w:val="18"/>
          <w:color w:val="auto"/>
        </w:rPr>
        <w:t>Consolidated Balance Sheets at March 31, 2018 and December 31, 2017.</w:t>
      </w:r>
    </w:p>
    <w:p>
      <w:pPr>
        <w:spacing w:after="0" w:line="200" w:lineRule="exact"/>
        <w:rPr>
          <w:rFonts w:ascii="Arial" w:cs="Arial" w:eastAsia="Arial" w:hAnsi="Arial"/>
          <w:sz w:val="18"/>
          <w:szCs w:val="18"/>
          <w:color w:val="auto"/>
        </w:rPr>
      </w:pPr>
    </w:p>
    <w:p>
      <w:pPr>
        <w:spacing w:after="0" w:line="376" w:lineRule="exact"/>
        <w:rPr>
          <w:rFonts w:ascii="Arial" w:cs="Arial" w:eastAsia="Arial" w:hAnsi="Arial"/>
          <w:sz w:val="18"/>
          <w:szCs w:val="18"/>
          <w:color w:val="auto"/>
        </w:rPr>
      </w:pPr>
    </w:p>
    <w:p>
      <w:pPr>
        <w:ind w:left="1300" w:hanging="320"/>
        <w:spacing w:after="0"/>
        <w:tabs>
          <w:tab w:leader="none" w:pos="1300" w:val="left"/>
        </w:tabs>
        <w:numPr>
          <w:ilvl w:val="1"/>
          <w:numId w:val="23"/>
        </w:numPr>
        <w:rPr>
          <w:rFonts w:ascii="Arial" w:cs="Arial" w:eastAsia="Arial" w:hAnsi="Arial"/>
          <w:sz w:val="18"/>
          <w:szCs w:val="18"/>
          <w:color w:val="auto"/>
        </w:rPr>
      </w:pPr>
      <w:r>
        <w:rPr>
          <w:rFonts w:ascii="Arial" w:cs="Arial" w:eastAsia="Arial" w:hAnsi="Arial"/>
          <w:sz w:val="18"/>
          <w:szCs w:val="18"/>
          <w:color w:val="auto"/>
        </w:rPr>
        <w:t>Consolidated Statements of Cash Flows for the three months ended March 31, 2018 and 2017.</w:t>
      </w:r>
    </w:p>
    <w:p>
      <w:pPr>
        <w:spacing w:after="0" w:line="200" w:lineRule="exact"/>
        <w:rPr>
          <w:rFonts w:ascii="Arial" w:cs="Arial" w:eastAsia="Arial" w:hAnsi="Arial"/>
          <w:sz w:val="18"/>
          <w:szCs w:val="18"/>
          <w:color w:val="auto"/>
        </w:rPr>
      </w:pPr>
    </w:p>
    <w:p>
      <w:pPr>
        <w:spacing w:after="0" w:line="376" w:lineRule="exact"/>
        <w:rPr>
          <w:rFonts w:ascii="Arial" w:cs="Arial" w:eastAsia="Arial" w:hAnsi="Arial"/>
          <w:sz w:val="18"/>
          <w:szCs w:val="18"/>
          <w:color w:val="auto"/>
        </w:rPr>
      </w:pPr>
    </w:p>
    <w:p>
      <w:pPr>
        <w:ind w:left="1300" w:hanging="320"/>
        <w:spacing w:after="0"/>
        <w:tabs>
          <w:tab w:leader="none" w:pos="1300" w:val="left"/>
        </w:tabs>
        <w:numPr>
          <w:ilvl w:val="1"/>
          <w:numId w:val="23"/>
        </w:numPr>
        <w:rPr>
          <w:rFonts w:ascii="Arial" w:cs="Arial" w:eastAsia="Arial" w:hAnsi="Arial"/>
          <w:sz w:val="18"/>
          <w:szCs w:val="18"/>
          <w:color w:val="auto"/>
        </w:rPr>
      </w:pPr>
      <w:r>
        <w:rPr>
          <w:rFonts w:ascii="Arial" w:cs="Arial" w:eastAsia="Arial" w:hAnsi="Arial"/>
          <w:sz w:val="18"/>
          <w:szCs w:val="18"/>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firstLine="648"/>
        <w:spacing w:after="0" w:line="246" w:lineRule="auto"/>
        <w:rPr>
          <w:sz w:val="20"/>
          <w:szCs w:val="20"/>
          <w:color w:val="auto"/>
        </w:rPr>
      </w:pPr>
      <w:r>
        <w:rPr>
          <w:rFonts w:ascii="Arial" w:cs="Arial" w:eastAsia="Arial" w:hAnsi="Arial"/>
          <w:sz w:val="18"/>
          <w:szCs w:val="18"/>
          <w:color w:val="auto"/>
        </w:rPr>
        <w:t>As provided in Rule 406T of Regulation S-T, this information shall not be deemed “filed” for purposes of Sections 11 and 12 of the Securities Act and Section 18 of the Securities Exchange Act or otherwise subject to liability under those sections.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47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342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0940"/>
          </w:cols>
          <w:pgMar w:left="240" w:top="1057" w:right="719" w:bottom="1440" w:gutter="0" w:footer="0" w:header="0"/>
        </w:sectPr>
      </w:pPr>
    </w:p>
    <w:bookmarkStart w:id="57" w:name="page58"/>
    <w:bookmarkEnd w:id="57"/>
    <w:p>
      <w:pPr>
        <w:spacing w:after="0" w:line="200" w:lineRule="exact"/>
        <w:rPr>
          <w:sz w:val="20"/>
          <w:szCs w:val="20"/>
          <w:color w:val="auto"/>
        </w:rPr>
      </w:pPr>
    </w:p>
    <w:p>
      <w:pPr>
        <w:spacing w:after="0" w:line="314" w:lineRule="exact"/>
        <w:rPr>
          <w:sz w:val="20"/>
          <w:szCs w:val="20"/>
          <w:color w:val="auto"/>
        </w:rPr>
      </w:pPr>
    </w:p>
    <w:p>
      <w:pPr>
        <w:jc w:val="center"/>
        <w:ind w:left="660"/>
        <w:spacing w:after="0"/>
        <w:rPr>
          <w:sz w:val="20"/>
          <w:szCs w:val="20"/>
          <w:color w:val="auto"/>
        </w:rPr>
      </w:pPr>
      <w:r>
        <w:rPr>
          <w:rFonts w:ascii="Arial" w:cs="Arial" w:eastAsia="Arial" w:hAnsi="Arial"/>
          <w:sz w:val="18"/>
          <w:szCs w:val="18"/>
          <w:b w:val="1"/>
          <w:bCs w:val="1"/>
          <w:color w:val="auto"/>
        </w:rPr>
        <w:t>SIGNATURES</w:t>
      </w:r>
    </w:p>
    <w:p>
      <w:pPr>
        <w:spacing w:after="0" w:line="234" w:lineRule="exact"/>
        <w:rPr>
          <w:sz w:val="20"/>
          <w:szCs w:val="20"/>
          <w:color w:val="auto"/>
        </w:rPr>
      </w:pPr>
    </w:p>
    <w:p>
      <w:pPr>
        <w:ind w:firstLine="648"/>
        <w:spacing w:after="0" w:line="246"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3" w:lineRule="exact"/>
        <w:rPr>
          <w:sz w:val="20"/>
          <w:szCs w:val="20"/>
          <w:color w:val="auto"/>
        </w:rPr>
      </w:pPr>
    </w:p>
    <w:p>
      <w:pPr>
        <w:ind w:left="5820"/>
        <w:spacing w:after="0"/>
        <w:rPr>
          <w:sz w:val="20"/>
          <w:szCs w:val="20"/>
          <w:color w:val="auto"/>
        </w:rPr>
      </w:pPr>
      <w:r>
        <w:rPr>
          <w:rFonts w:ascii="Arial" w:cs="Arial" w:eastAsia="Arial" w:hAnsi="Arial"/>
          <w:sz w:val="18"/>
          <w:szCs w:val="18"/>
          <w:u w:val="single" w:color="auto"/>
          <w:color w:val="auto"/>
        </w:rPr>
        <w:t>ALBANY INTERNATIONAL CORP</w:t>
      </w:r>
      <w:r>
        <w:rPr>
          <w:rFonts w:ascii="Arial" w:cs="Arial" w:eastAsia="Arial" w:hAnsi="Arial"/>
          <w:sz w:val="18"/>
          <w:szCs w:val="18"/>
          <w:color w:val="auto"/>
        </w:rPr>
        <w:t>.</w:t>
      </w:r>
    </w:p>
    <w:p>
      <w:pPr>
        <w:ind w:left="6440"/>
        <w:spacing w:after="0"/>
        <w:rPr>
          <w:sz w:val="20"/>
          <w:szCs w:val="20"/>
          <w:color w:val="auto"/>
        </w:rPr>
      </w:pPr>
      <w:r>
        <w:rPr>
          <w:rFonts w:ascii="Arial" w:cs="Arial" w:eastAsia="Arial" w:hAnsi="Arial"/>
          <w:sz w:val="18"/>
          <w:szCs w:val="18"/>
          <w:color w:val="auto"/>
        </w:rPr>
        <w:t>(Registrant)</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Date: May 8, 2018</w:t>
      </w:r>
    </w:p>
    <w:p>
      <w:pPr>
        <w:spacing w:after="0" w:line="207" w:lineRule="exact"/>
        <w:rPr>
          <w:sz w:val="20"/>
          <w:szCs w:val="20"/>
          <w:color w:val="auto"/>
        </w:rPr>
      </w:pPr>
    </w:p>
    <w:p>
      <w:pPr>
        <w:ind w:left="6280"/>
        <w:spacing w:after="0"/>
        <w:tabs>
          <w:tab w:leader="none" w:pos="67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u w:val="single" w:color="auto"/>
          <w:color w:val="auto"/>
        </w:rPr>
        <w:t>/s/ John B. Cozzolino</w:t>
      </w:r>
    </w:p>
    <w:p>
      <w:pPr>
        <w:ind w:left="6740"/>
        <w:spacing w:after="0" w:line="234" w:lineRule="auto"/>
        <w:rPr>
          <w:sz w:val="20"/>
          <w:szCs w:val="20"/>
          <w:color w:val="auto"/>
        </w:rPr>
      </w:pPr>
      <w:r>
        <w:rPr>
          <w:rFonts w:ascii="Arial" w:cs="Arial" w:eastAsia="Arial" w:hAnsi="Arial"/>
          <w:sz w:val="18"/>
          <w:szCs w:val="18"/>
          <w:color w:val="auto"/>
        </w:rPr>
        <w:t>John B. Cozzolino</w:t>
      </w:r>
    </w:p>
    <w:p>
      <w:pPr>
        <w:ind w:left="6740"/>
        <w:spacing w:after="0" w:line="235" w:lineRule="auto"/>
        <w:rPr>
          <w:sz w:val="20"/>
          <w:szCs w:val="20"/>
          <w:color w:val="auto"/>
        </w:rPr>
      </w:pPr>
      <w:r>
        <w:rPr>
          <w:rFonts w:ascii="Arial" w:cs="Arial" w:eastAsia="Arial" w:hAnsi="Arial"/>
          <w:sz w:val="18"/>
          <w:szCs w:val="18"/>
          <w:color w:val="auto"/>
        </w:rPr>
        <w:t>Chief Financial Officer and Treasurer</w:t>
      </w:r>
    </w:p>
    <w:p>
      <w:pPr>
        <w:spacing w:after="0" w:line="1"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(Principal Financial Officer)</w:t>
      </w:r>
    </w:p>
    <w:p>
      <w:pPr>
        <w:spacing w:after="0" w:line="200" w:lineRule="exact"/>
        <w:rPr>
          <w:sz w:val="20"/>
          <w:szCs w:val="20"/>
          <w:color w:val="auto"/>
        </w:rPr>
      </w:pPr>
    </w:p>
    <w:p>
      <w:pPr>
        <w:spacing w:after="0" w:line="268"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342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000"/>
          </w:cols>
          <w:pgMar w:left="240" w:top="1440" w:right="659" w:bottom="1440" w:gutter="0" w:footer="0" w:header="0"/>
        </w:sectPr>
      </w:pPr>
    </w:p>
    <w:bookmarkStart w:id="58" w:name="page59"/>
    <w:bookmarkEnd w:id="58"/>
    <w:p>
      <w:pPr>
        <w:jc w:val="right"/>
        <w:spacing w:after="0"/>
        <w:rPr>
          <w:sz w:val="20"/>
          <w:szCs w:val="20"/>
          <w:color w:val="auto"/>
        </w:rPr>
      </w:pPr>
      <w:r>
        <w:rPr>
          <w:rFonts w:ascii="Arial" w:cs="Arial" w:eastAsia="Arial" w:hAnsi="Arial"/>
          <w:sz w:val="22"/>
          <w:szCs w:val="22"/>
          <w:color w:val="auto"/>
        </w:rPr>
        <w:t>Exhibit 10 (u)</w:t>
      </w:r>
    </w:p>
    <w:p>
      <w:pPr>
        <w:spacing w:after="0" w:line="9" w:lineRule="exact"/>
        <w:rPr>
          <w:sz w:val="20"/>
          <w:szCs w:val="20"/>
          <w:color w:val="auto"/>
        </w:rPr>
      </w:pPr>
    </w:p>
    <w:p>
      <w:pPr>
        <w:ind w:left="3664"/>
        <w:spacing w:after="0"/>
        <w:rPr>
          <w:sz w:val="20"/>
          <w:szCs w:val="20"/>
          <w:color w:val="auto"/>
        </w:rPr>
      </w:pPr>
      <w:r>
        <w:rPr>
          <w:rFonts w:ascii="Arial" w:cs="Arial" w:eastAsia="Arial" w:hAnsi="Arial"/>
          <w:sz w:val="22"/>
          <w:szCs w:val="22"/>
          <w:color w:val="auto"/>
        </w:rPr>
        <w:t>EMPLOYMENT AGREEMENT</w:t>
      </w:r>
    </w:p>
    <w:p>
      <w:pPr>
        <w:spacing w:after="0" w:line="215" w:lineRule="exact"/>
        <w:rPr>
          <w:sz w:val="20"/>
          <w:szCs w:val="20"/>
          <w:color w:val="auto"/>
        </w:rPr>
      </w:pPr>
    </w:p>
    <w:p>
      <w:pPr>
        <w:ind w:left="4" w:right="1600" w:firstLine="648"/>
        <w:spacing w:after="0" w:line="251" w:lineRule="auto"/>
        <w:rPr>
          <w:sz w:val="20"/>
          <w:szCs w:val="20"/>
          <w:color w:val="auto"/>
        </w:rPr>
      </w:pPr>
      <w:r>
        <w:rPr>
          <w:rFonts w:ascii="Arial" w:cs="Arial" w:eastAsia="Arial" w:hAnsi="Arial"/>
          <w:sz w:val="22"/>
          <w:szCs w:val="22"/>
          <w:color w:val="auto"/>
        </w:rPr>
        <w:t>This Agreement is entered into as of March 2, 2018 (the “Effective Date”) by and between Albany International Corp. (the "Company") and Olivier Jarrault ("Executive").</w:t>
      </w:r>
    </w:p>
    <w:p>
      <w:pPr>
        <w:spacing w:after="0" w:line="200" w:lineRule="exact"/>
        <w:rPr>
          <w:sz w:val="20"/>
          <w:szCs w:val="20"/>
          <w:color w:val="auto"/>
        </w:rPr>
      </w:pPr>
    </w:p>
    <w:p>
      <w:pPr>
        <w:ind w:left="224" w:hanging="224"/>
        <w:spacing w:after="0"/>
        <w:tabs>
          <w:tab w:leader="none" w:pos="224" w:val="left"/>
        </w:tabs>
        <w:numPr>
          <w:ilvl w:val="0"/>
          <w:numId w:val="24"/>
        </w:numPr>
        <w:rPr>
          <w:rFonts w:ascii="Arial" w:cs="Arial" w:eastAsia="Arial" w:hAnsi="Arial"/>
          <w:sz w:val="22"/>
          <w:szCs w:val="22"/>
          <w:color w:val="auto"/>
        </w:rPr>
      </w:pPr>
      <w:r>
        <w:rPr>
          <w:rFonts w:ascii="Arial" w:cs="Arial" w:eastAsia="Arial" w:hAnsi="Arial"/>
          <w:sz w:val="22"/>
          <w:szCs w:val="22"/>
          <w:u w:val="single" w:color="auto"/>
          <w:color w:val="auto"/>
        </w:rPr>
        <w:t>Duties and Scope of Employment</w:t>
      </w:r>
      <w:r>
        <w:rPr>
          <w:rFonts w:ascii="Arial" w:cs="Arial" w:eastAsia="Arial" w:hAnsi="Arial"/>
          <w:sz w:val="22"/>
          <w:szCs w:val="22"/>
          <w:color w:val="auto"/>
        </w:rPr>
        <w:t>.</w:t>
      </w:r>
    </w:p>
    <w:p>
      <w:pPr>
        <w:spacing w:after="0" w:line="233" w:lineRule="exact"/>
        <w:rPr>
          <w:sz w:val="20"/>
          <w:szCs w:val="20"/>
          <w:color w:val="auto"/>
        </w:rPr>
      </w:pPr>
    </w:p>
    <w:p>
      <w:pPr>
        <w:ind w:left="4" w:right="740" w:hanging="4"/>
        <w:spacing w:after="0" w:line="247" w:lineRule="auto"/>
        <w:tabs>
          <w:tab w:leader="none" w:pos="298" w:val="left"/>
        </w:tabs>
        <w:numPr>
          <w:ilvl w:val="0"/>
          <w:numId w:val="25"/>
        </w:numPr>
        <w:rPr>
          <w:rFonts w:ascii="Arial" w:cs="Arial" w:eastAsia="Arial" w:hAnsi="Arial"/>
          <w:sz w:val="21"/>
          <w:szCs w:val="21"/>
          <w:color w:val="auto"/>
        </w:rPr>
      </w:pPr>
      <w:r>
        <w:rPr>
          <w:rFonts w:ascii="Arial" w:cs="Arial" w:eastAsia="Arial" w:hAnsi="Arial"/>
          <w:sz w:val="21"/>
          <w:szCs w:val="21"/>
          <w:color w:val="auto"/>
        </w:rPr>
        <w:t>Positions and Duties. Commencing on the Effective Date, Executive will serve as President and Chief Executive Officer of the Company, reporting to the Company's Board of Directors (the "Board"). The period during which Executive is employed by the Company under this Agreement is referred to herein as the "Employment Term." During the Employment Term, Executive will render such business and professional services in the performance of his duties, consistent with Executive's position within the Company, as may be assigned to him by the Board. Executive shall be based at the Company's headquarters in Rochester, New Hampshire, or such other place, as may be reasonably requested by the Company.</w:t>
      </w:r>
    </w:p>
    <w:p>
      <w:pPr>
        <w:spacing w:after="0" w:line="205" w:lineRule="exact"/>
        <w:rPr>
          <w:sz w:val="20"/>
          <w:szCs w:val="20"/>
          <w:color w:val="auto"/>
        </w:rPr>
      </w:pPr>
    </w:p>
    <w:p>
      <w:pPr>
        <w:ind w:left="4" w:right="620"/>
        <w:spacing w:after="0" w:line="251" w:lineRule="auto"/>
        <w:rPr>
          <w:sz w:val="20"/>
          <w:szCs w:val="20"/>
          <w:color w:val="auto"/>
        </w:rPr>
      </w:pPr>
      <w:r>
        <w:rPr>
          <w:rFonts w:ascii="Arial" w:cs="Arial" w:eastAsia="Arial" w:hAnsi="Arial"/>
          <w:sz w:val="22"/>
          <w:szCs w:val="22"/>
          <w:color w:val="auto"/>
        </w:rPr>
        <w:t>Executive shall be nominated for election to the Board such that his nomination shall be voted on by the shareholders of the Company at the first annual shareholder’s meeting following the Effective Date.</w:t>
      </w:r>
    </w:p>
    <w:p>
      <w:pPr>
        <w:spacing w:after="0" w:line="200" w:lineRule="exact"/>
        <w:rPr>
          <w:sz w:val="20"/>
          <w:szCs w:val="20"/>
          <w:color w:val="auto"/>
        </w:rPr>
      </w:pPr>
    </w:p>
    <w:p>
      <w:pPr>
        <w:ind w:left="4" w:right="620" w:hanging="4"/>
        <w:spacing w:after="0" w:line="277" w:lineRule="auto"/>
        <w:tabs>
          <w:tab w:leader="none" w:pos="310" w:val="left"/>
        </w:tabs>
        <w:numPr>
          <w:ilvl w:val="0"/>
          <w:numId w:val="26"/>
        </w:numPr>
        <w:rPr>
          <w:rFonts w:ascii="Arial" w:cs="Arial" w:eastAsia="Arial" w:hAnsi="Arial"/>
          <w:sz w:val="19"/>
          <w:szCs w:val="19"/>
          <w:color w:val="auto"/>
        </w:rPr>
      </w:pPr>
      <w:r>
        <w:rPr>
          <w:rFonts w:ascii="Arial" w:cs="Arial" w:eastAsia="Arial" w:hAnsi="Arial"/>
          <w:sz w:val="19"/>
          <w:szCs w:val="19"/>
          <w:color w:val="auto"/>
        </w:rPr>
        <w:t>Obligations. During the Employment Term, Executive will devote Executive's full business efforts to the Company and will use good faith efforts to discharge Executive's obligations under this Agreement to the best of Executive's ability. For the duration of the Employment Term, Executive agrees not to serve as a director for any for-profit entity or organization or actively engage in any employment, occupation, or consulting activity, without the prior approval of the Board, in its sole discretion; provided, however, that Executive may, without the approval of the Board, (i) serve in any capacity with any civic, educational, or charitable organization and (ii) manage his personal investments; in each case, provided such services do not interfere with Executive's obligations to the Company.</w:t>
      </w:r>
    </w:p>
    <w:p>
      <w:pPr>
        <w:spacing w:after="0" w:line="180" w:lineRule="exact"/>
        <w:rPr>
          <w:sz w:val="20"/>
          <w:szCs w:val="20"/>
          <w:color w:val="auto"/>
        </w:rPr>
      </w:pPr>
    </w:p>
    <w:p>
      <w:pPr>
        <w:ind w:left="4" w:right="760" w:hanging="4"/>
        <w:spacing w:after="0" w:line="236" w:lineRule="auto"/>
        <w:tabs>
          <w:tab w:leader="none" w:pos="220" w:val="left"/>
        </w:tabs>
        <w:numPr>
          <w:ilvl w:val="0"/>
          <w:numId w:val="27"/>
        </w:numPr>
        <w:rPr>
          <w:rFonts w:ascii="Arial" w:cs="Arial" w:eastAsia="Arial" w:hAnsi="Arial"/>
          <w:sz w:val="22"/>
          <w:szCs w:val="22"/>
          <w:color w:val="auto"/>
        </w:rPr>
      </w:pPr>
      <w:r>
        <w:rPr>
          <w:rFonts w:ascii="Arial" w:cs="Arial" w:eastAsia="Arial" w:hAnsi="Arial"/>
          <w:sz w:val="22"/>
          <w:szCs w:val="22"/>
          <w:u w:val="single" w:color="auto"/>
          <w:color w:val="auto"/>
        </w:rPr>
        <w:t>Term of Agreement; At-Will Employment</w:t>
      </w:r>
      <w:r>
        <w:rPr>
          <w:rFonts w:ascii="Arial" w:cs="Arial" w:eastAsia="Arial" w:hAnsi="Arial"/>
          <w:sz w:val="22"/>
          <w:szCs w:val="22"/>
          <w:color w:val="auto"/>
        </w:rPr>
        <w:t>. Executive and the Company agree that Executive's employment with the Company constitutes "at-will" employment. Executive and the Company acknowledge that, subject to the provisions of Sections 5 and 6 of this Agreement, Executive's employment relationship with the Company may be terminated at any time, upon written notice to the other party, with or without good cause, at the option either of the Company or Executive.</w:t>
      </w:r>
    </w:p>
    <w:p>
      <w:pPr>
        <w:spacing w:after="0" w:line="214" w:lineRule="exact"/>
        <w:rPr>
          <w:rFonts w:ascii="Arial" w:cs="Arial" w:eastAsia="Arial" w:hAnsi="Arial"/>
          <w:sz w:val="22"/>
          <w:szCs w:val="22"/>
          <w:color w:val="auto"/>
        </w:rPr>
      </w:pPr>
    </w:p>
    <w:p>
      <w:pPr>
        <w:ind w:left="224" w:hanging="224"/>
        <w:spacing w:after="0"/>
        <w:tabs>
          <w:tab w:leader="none" w:pos="224" w:val="left"/>
        </w:tabs>
        <w:numPr>
          <w:ilvl w:val="0"/>
          <w:numId w:val="27"/>
        </w:numPr>
        <w:rPr>
          <w:rFonts w:ascii="Arial" w:cs="Arial" w:eastAsia="Arial" w:hAnsi="Arial"/>
          <w:sz w:val="22"/>
          <w:szCs w:val="22"/>
          <w:color w:val="auto"/>
        </w:rPr>
      </w:pPr>
      <w:r>
        <w:rPr>
          <w:rFonts w:ascii="Arial" w:cs="Arial" w:eastAsia="Arial" w:hAnsi="Arial"/>
          <w:sz w:val="22"/>
          <w:szCs w:val="22"/>
          <w:u w:val="single" w:color="auto"/>
          <w:color w:val="auto"/>
        </w:rPr>
        <w:t>Compensation</w:t>
      </w:r>
      <w:r>
        <w:rPr>
          <w:rFonts w:ascii="Arial" w:cs="Arial" w:eastAsia="Arial" w:hAnsi="Arial"/>
          <w:sz w:val="22"/>
          <w:szCs w:val="22"/>
          <w:color w:val="auto"/>
        </w:rPr>
        <w:t>.</w:t>
      </w:r>
    </w:p>
    <w:p>
      <w:pPr>
        <w:spacing w:after="0" w:line="233" w:lineRule="exact"/>
        <w:rPr>
          <w:sz w:val="20"/>
          <w:szCs w:val="20"/>
          <w:color w:val="auto"/>
        </w:rPr>
      </w:pPr>
    </w:p>
    <w:p>
      <w:pPr>
        <w:jc w:val="both"/>
        <w:ind w:left="4" w:right="720" w:hanging="4"/>
        <w:spacing w:after="0" w:line="238" w:lineRule="auto"/>
        <w:tabs>
          <w:tab w:leader="none" w:pos="298" w:val="left"/>
        </w:tabs>
        <w:numPr>
          <w:ilvl w:val="0"/>
          <w:numId w:val="28"/>
        </w:numPr>
        <w:rPr>
          <w:rFonts w:ascii="Arial" w:cs="Arial" w:eastAsia="Arial" w:hAnsi="Arial"/>
          <w:sz w:val="22"/>
          <w:szCs w:val="22"/>
          <w:color w:val="auto"/>
        </w:rPr>
      </w:pPr>
      <w:r>
        <w:rPr>
          <w:rFonts w:ascii="Arial" w:cs="Arial" w:eastAsia="Arial" w:hAnsi="Arial"/>
          <w:sz w:val="22"/>
          <w:szCs w:val="22"/>
          <w:color w:val="auto"/>
        </w:rPr>
        <w:t>Base Salary. Commencing on the Effective Date, the Company will pay Executive an annual salary of $775,000 as compensation for his services (such annual salary, as is then effective, to be referred to herein as "Base Salary"). The Base Salary will be paid periodically in accordance with the Company's normal payroll practices and be subject to standard and customary withholdings.</w:t>
      </w:r>
    </w:p>
    <w:p>
      <w:pPr>
        <w:spacing w:after="0" w:line="206" w:lineRule="exact"/>
        <w:rPr>
          <w:sz w:val="20"/>
          <w:szCs w:val="20"/>
          <w:color w:val="auto"/>
        </w:rPr>
      </w:pPr>
    </w:p>
    <w:p>
      <w:pPr>
        <w:ind w:left="4524"/>
        <w:spacing w:after="0"/>
        <w:rPr>
          <w:sz w:val="20"/>
          <w:szCs w:val="20"/>
          <w:color w:val="auto"/>
        </w:rPr>
      </w:pPr>
      <w:r>
        <w:rPr>
          <w:rFonts w:ascii="Arial" w:cs="Arial" w:eastAsia="Arial" w:hAnsi="Arial"/>
          <w:sz w:val="22"/>
          <w:szCs w:val="22"/>
          <w:color w:val="auto"/>
        </w:rPr>
        <w:t xml:space="preserve">Page </w:t>
      </w:r>
      <w:r>
        <w:rPr>
          <w:rFonts w:ascii="Arial" w:cs="Arial" w:eastAsia="Arial" w:hAnsi="Arial"/>
          <w:sz w:val="22"/>
          <w:szCs w:val="22"/>
          <w:b w:val="1"/>
          <w:bCs w:val="1"/>
          <w:color w:val="auto"/>
        </w:rPr>
        <w:t>1</w:t>
      </w:r>
      <w:r>
        <w:rPr>
          <w:rFonts w:ascii="Arial" w:cs="Arial" w:eastAsia="Arial" w:hAnsi="Arial"/>
          <w:sz w:val="22"/>
          <w:szCs w:val="22"/>
          <w:color w:val="auto"/>
        </w:rPr>
        <w:t xml:space="preserve"> of </w:t>
      </w:r>
      <w:r>
        <w:rPr>
          <w:rFonts w:ascii="Arial" w:cs="Arial" w:eastAsia="Arial" w:hAnsi="Arial"/>
          <w:sz w:val="22"/>
          <w:szCs w:val="22"/>
          <w:b w:val="1"/>
          <w:bCs w:val="1"/>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11430</wp:posOffset>
            </wp:positionV>
            <wp:extent cx="7246620" cy="342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0764"/>
          </w:cols>
          <w:pgMar w:left="896" w:top="118" w:right="239" w:bottom="1440" w:gutter="0" w:footer="0" w:header="0"/>
        </w:sectPr>
      </w:pPr>
    </w:p>
    <w:bookmarkStart w:id="59" w:name="page60"/>
    <w:bookmarkEnd w:id="59"/>
    <w:p>
      <w:pPr>
        <w:ind w:left="4" w:right="240"/>
        <w:spacing w:after="0" w:line="328" w:lineRule="auto"/>
        <w:rPr>
          <w:sz w:val="20"/>
          <w:szCs w:val="20"/>
          <w:color w:val="auto"/>
        </w:rPr>
      </w:pPr>
      <w:r>
        <w:rPr>
          <w:rFonts w:ascii="Arial" w:cs="Arial" w:eastAsia="Arial" w:hAnsi="Arial"/>
          <w:sz w:val="19"/>
          <w:szCs w:val="19"/>
          <w:color w:val="auto"/>
        </w:rPr>
        <w:t>Executive's salary will be subject to review by the Compensation Committee of the Board, or any successor thereto (the "Committee"), at least annually, and adjustments will be made in the discretion of the Committee.</w:t>
      </w:r>
    </w:p>
    <w:p>
      <w:pPr>
        <w:spacing w:after="0" w:line="132" w:lineRule="exact"/>
        <w:rPr>
          <w:sz w:val="20"/>
          <w:szCs w:val="20"/>
          <w:color w:val="auto"/>
        </w:rPr>
      </w:pPr>
    </w:p>
    <w:p>
      <w:pPr>
        <w:ind w:left="4" w:hanging="4"/>
        <w:spacing w:after="0" w:line="271" w:lineRule="auto"/>
        <w:tabs>
          <w:tab w:leader="none" w:pos="310" w:val="left"/>
        </w:tabs>
        <w:numPr>
          <w:ilvl w:val="0"/>
          <w:numId w:val="29"/>
        </w:numPr>
        <w:rPr>
          <w:rFonts w:ascii="Arial" w:cs="Arial" w:eastAsia="Arial" w:hAnsi="Arial"/>
          <w:sz w:val="19"/>
          <w:szCs w:val="19"/>
          <w:color w:val="auto"/>
        </w:rPr>
      </w:pPr>
      <w:r>
        <w:rPr>
          <w:rFonts w:ascii="Arial" w:cs="Arial" w:eastAsia="Arial" w:hAnsi="Arial"/>
          <w:sz w:val="19"/>
          <w:szCs w:val="19"/>
          <w:color w:val="auto"/>
        </w:rPr>
        <w:t>Annual Bonus. Executive will be granted an Annual Performance Period (“APP”) award for service performed in 2018 under the Company's 2017 Incentive Plan, to be determined and paid in cash during early 2019. Under this award, Executive will be entitled to receive between 0% and 200% of his target award, based on performance goal attainment during 2018. Executive’s 2018 APP target award amount will be equal to 100% of his actual 2018 Base Salary, pro-rated for the portion of the year during which he is actually employed. (For example, as the Effective Date is March 1, 2018, the target amount would be $775,000 x 10/12, or $645,833.33). The Compensation Committee of the Company's Board of Directors has determined that the 2018 APP award goal for senior management, including Executive, will be a specified level of Company Adjusted EBITDA (as defined in the award agreements). The Committee retains the right to exercise its discretion, after the end of 2018, as in prior years, to determine to what extent the APP awards Executive and the other executive officers have been earned, and reserves the right to take individual performance factors into account, and to employ subjective and objective criteria. (The other terms of this award shall be as specified in the 2018 Annual Performance Award Agreement). Executive will be eligible in 2019 and thereafter to participate in the 2019 APP award or any other annual executive bonus program, as the same may be adopted, amended, modified or terminated by the Company, in accordance with its terms. Target bonuses in future periods will be at the discretion of the Compensation Committee.</w:t>
      </w:r>
    </w:p>
    <w:p>
      <w:pPr>
        <w:spacing w:after="0" w:line="188" w:lineRule="exact"/>
        <w:rPr>
          <w:rFonts w:ascii="Arial" w:cs="Arial" w:eastAsia="Arial" w:hAnsi="Arial"/>
          <w:sz w:val="19"/>
          <w:szCs w:val="19"/>
          <w:color w:val="auto"/>
        </w:rPr>
      </w:pPr>
    </w:p>
    <w:p>
      <w:pPr>
        <w:ind w:left="4" w:right="40" w:hanging="4"/>
        <w:spacing w:after="0" w:line="271" w:lineRule="auto"/>
        <w:tabs>
          <w:tab w:leader="none" w:pos="298" w:val="left"/>
        </w:tabs>
        <w:numPr>
          <w:ilvl w:val="0"/>
          <w:numId w:val="29"/>
        </w:numPr>
        <w:rPr>
          <w:rFonts w:ascii="Arial" w:cs="Arial" w:eastAsia="Arial" w:hAnsi="Arial"/>
          <w:sz w:val="19"/>
          <w:szCs w:val="19"/>
          <w:color w:val="auto"/>
        </w:rPr>
      </w:pPr>
      <w:r>
        <w:rPr>
          <w:rFonts w:ascii="Arial" w:cs="Arial" w:eastAsia="Arial" w:hAnsi="Arial"/>
          <w:sz w:val="19"/>
          <w:szCs w:val="19"/>
          <w:color w:val="auto"/>
        </w:rPr>
        <w:t>Long Term Incentive. Executive will be granted a Multi-year Performance Period (“MPP”) award for service performed in 2018, 2019 and 2020 under the Company's 2017 Incentive Plan, to be determined and paid in equity during early 2021. Under this award, Executive will be entitled to receive between 0% and 200% of his target award, based on performance goal attainment during the three year performance period. Executive’s 2018 MPP target award will be a share amount with a grant date value equal to 200% of his actual 2018 Base Salary, pro-rated for the portion of the performance period during which he is actually employed. The Compensation Committee of the Company's Board of Directors has determined that the 2018 MPP award goal for senior management, including Executive, will be a specified level of Company Adjusted EBITDA (as defined in the award agreements). The Committee retains the right to exercise its discretion, after the end of 2020, as in prior years, to determine to what extent the MPP awards Executive and the other executive officers have been earned, and reserves the right to take individual performance factors into account, and to employ subjective and objective criteria. (The other terms of this award shall be as specified in the 2018 Multi-year Performance Award Agreement). Executive will be eligible in 2019 thereafter to participate in the 2019 MPP award or any other long term executive bonus program, as the same may be adopted, amended, modified or terminated by the Company, in accordance with its terms. Target bonuses in future periods will be at the discretion of the Compensation Committee.</w:t>
      </w:r>
    </w:p>
    <w:p>
      <w:pPr>
        <w:spacing w:after="0" w:line="188" w:lineRule="exact"/>
        <w:rPr>
          <w:rFonts w:ascii="Arial" w:cs="Arial" w:eastAsia="Arial" w:hAnsi="Arial"/>
          <w:sz w:val="19"/>
          <w:szCs w:val="19"/>
          <w:color w:val="auto"/>
        </w:rPr>
      </w:pPr>
    </w:p>
    <w:p>
      <w:pPr>
        <w:ind w:left="4" w:right="980" w:hanging="4"/>
        <w:spacing w:after="0" w:line="274" w:lineRule="auto"/>
        <w:tabs>
          <w:tab w:leader="none" w:pos="310" w:val="left"/>
        </w:tabs>
        <w:numPr>
          <w:ilvl w:val="0"/>
          <w:numId w:val="29"/>
        </w:numPr>
        <w:rPr>
          <w:rFonts w:ascii="Arial" w:cs="Arial" w:eastAsia="Arial" w:hAnsi="Arial"/>
          <w:sz w:val="21"/>
          <w:szCs w:val="21"/>
          <w:color w:val="auto"/>
        </w:rPr>
      </w:pPr>
      <w:r>
        <w:rPr>
          <w:rFonts w:ascii="Arial" w:cs="Arial" w:eastAsia="Arial" w:hAnsi="Arial"/>
          <w:sz w:val="21"/>
          <w:szCs w:val="21"/>
          <w:color w:val="auto"/>
        </w:rPr>
        <w:t>Restricted Stock Units. Executive will receive, as of the Effective Date, a grant of stock units under the Company's Restricted Stock Unit Plan having a grant date value of $1,500,000,</w:t>
      </w:r>
    </w:p>
    <w:p>
      <w:pPr>
        <w:spacing w:after="0" w:line="172" w:lineRule="exact"/>
        <w:rPr>
          <w:sz w:val="20"/>
          <w:szCs w:val="20"/>
          <w:color w:val="auto"/>
        </w:rPr>
      </w:pPr>
    </w:p>
    <w:p>
      <w:pPr>
        <w:jc w:val="center"/>
        <w:ind w:right="76"/>
        <w:spacing w:after="0"/>
        <w:rPr>
          <w:sz w:val="20"/>
          <w:szCs w:val="20"/>
          <w:color w:val="auto"/>
        </w:rPr>
      </w:pPr>
      <w:r>
        <w:rPr>
          <w:rFonts w:ascii="Arial" w:cs="Arial" w:eastAsia="Arial" w:hAnsi="Arial"/>
          <w:sz w:val="22"/>
          <w:szCs w:val="22"/>
          <w:color w:val="auto"/>
        </w:rPr>
        <w:t xml:space="preserve">Page </w:t>
      </w:r>
      <w:r>
        <w:rPr>
          <w:rFonts w:ascii="Arial" w:cs="Arial" w:eastAsia="Arial" w:hAnsi="Arial"/>
          <w:sz w:val="22"/>
          <w:szCs w:val="22"/>
          <w:b w:val="1"/>
          <w:bCs w:val="1"/>
          <w:color w:val="auto"/>
        </w:rPr>
        <w:t>2</w:t>
      </w:r>
      <w:r>
        <w:rPr>
          <w:rFonts w:ascii="Arial" w:cs="Arial" w:eastAsia="Arial" w:hAnsi="Arial"/>
          <w:sz w:val="22"/>
          <w:szCs w:val="22"/>
          <w:color w:val="auto"/>
        </w:rPr>
        <w:t xml:space="preserve"> of </w:t>
      </w:r>
      <w:r>
        <w:rPr>
          <w:rFonts w:ascii="Arial" w:cs="Arial" w:eastAsia="Arial" w:hAnsi="Arial"/>
          <w:sz w:val="22"/>
          <w:szCs w:val="22"/>
          <w:b w:val="1"/>
          <w:bCs w:val="1"/>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11430</wp:posOffset>
            </wp:positionV>
            <wp:extent cx="7246620" cy="342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0204"/>
          </w:cols>
          <w:pgMar w:left="896" w:top="469" w:right="799" w:bottom="1440" w:gutter="0" w:footer="0" w:header="0"/>
        </w:sectPr>
      </w:pPr>
    </w:p>
    <w:bookmarkStart w:id="60" w:name="page61"/>
    <w:bookmarkEnd w:id="60"/>
    <w:p>
      <w:pPr>
        <w:ind w:left="4"/>
        <w:spacing w:after="0"/>
        <w:rPr>
          <w:sz w:val="20"/>
          <w:szCs w:val="20"/>
          <w:color w:val="auto"/>
        </w:rPr>
      </w:pPr>
      <w:r>
        <w:rPr>
          <w:rFonts w:ascii="Arial" w:cs="Arial" w:eastAsia="Arial" w:hAnsi="Arial"/>
          <w:sz w:val="22"/>
          <w:szCs w:val="22"/>
          <w:color w:val="auto"/>
        </w:rPr>
        <w:t>pursuant to the form of Restricted Stock Unit Award attached to this Agreement as Exhibit A.</w:t>
      </w:r>
    </w:p>
    <w:p>
      <w:pPr>
        <w:spacing w:after="0" w:line="233" w:lineRule="exact"/>
        <w:rPr>
          <w:sz w:val="20"/>
          <w:szCs w:val="20"/>
          <w:color w:val="auto"/>
        </w:rPr>
      </w:pPr>
    </w:p>
    <w:p>
      <w:pPr>
        <w:ind w:left="4" w:hanging="4"/>
        <w:spacing w:after="0" w:line="244" w:lineRule="auto"/>
        <w:tabs>
          <w:tab w:leader="none" w:pos="298" w:val="left"/>
        </w:tabs>
        <w:numPr>
          <w:ilvl w:val="0"/>
          <w:numId w:val="30"/>
        </w:numPr>
        <w:rPr>
          <w:rFonts w:ascii="Arial" w:cs="Arial" w:eastAsia="Arial" w:hAnsi="Arial"/>
          <w:sz w:val="21"/>
          <w:szCs w:val="21"/>
          <w:color w:val="auto"/>
        </w:rPr>
      </w:pPr>
      <w:r>
        <w:rPr>
          <w:rFonts w:ascii="Arial" w:cs="Arial" w:eastAsia="Arial" w:hAnsi="Arial"/>
          <w:sz w:val="21"/>
          <w:szCs w:val="21"/>
          <w:color w:val="auto"/>
        </w:rPr>
        <w:t>Relocation. Executive shall relocate to Rochester, New Hampshire area no later than March 1, 2019. In the interim, Executive shall be reimbursed for temporary housing expenses and shall be entitled to such other relocation benefits as provided for pursuant to the Company's Executive Relocation Policy, a copy of which has been provided to the Executive, with the caveat that neither the one-year policy expiration nor 90-day temporary housing limit shall apply to Executive. Provided such expenses are incurred in compliance with the Company’s travel and expense policy, the Company will pay or reimburse Executive for all flight expenses incurred prior to March 1, 2019 for travel from any Company work location to Los Angeles, California, travel from Los Angeles, California to any Company work location, and travel from any Company work location to any other Company work location through Los Angeles, California. The Company will provide tax assistance (gross-up) to Executive on all such expenses for travel to, from, or through Los Angeles, California that are personal to Executive or will appear as income on Executive's Form W-2.</w:t>
      </w:r>
    </w:p>
    <w:p>
      <w:pPr>
        <w:spacing w:after="0" w:line="216" w:lineRule="exact"/>
        <w:rPr>
          <w:rFonts w:ascii="Arial" w:cs="Arial" w:eastAsia="Arial" w:hAnsi="Arial"/>
          <w:sz w:val="21"/>
          <w:szCs w:val="21"/>
          <w:color w:val="auto"/>
        </w:rPr>
      </w:pPr>
    </w:p>
    <w:p>
      <w:pPr>
        <w:ind w:left="4" w:right="100" w:hanging="4"/>
        <w:spacing w:after="0" w:line="234" w:lineRule="auto"/>
        <w:tabs>
          <w:tab w:leader="none" w:pos="274" w:val="left"/>
        </w:tabs>
        <w:numPr>
          <w:ilvl w:val="0"/>
          <w:numId w:val="30"/>
        </w:numPr>
        <w:rPr>
          <w:rFonts w:ascii="Arial" w:cs="Arial" w:eastAsia="Arial" w:hAnsi="Arial"/>
          <w:sz w:val="22"/>
          <w:szCs w:val="22"/>
          <w:color w:val="auto"/>
        </w:rPr>
      </w:pPr>
      <w:r>
        <w:rPr>
          <w:rFonts w:ascii="Arial" w:cs="Arial" w:eastAsia="Arial" w:hAnsi="Arial"/>
          <w:sz w:val="22"/>
          <w:szCs w:val="22"/>
          <w:color w:val="auto"/>
        </w:rPr>
        <w:t>Reimbursement of Legal Fee. In the event that stock incentive awards or options are canceled or revoked by Executive’s former employer or litigation is commenced during the Employment Term between Executive and his former employer regarding the non-payment of stock incentive awards or options previously granted to Executive by his former employer as a result of his employment with the Company, the Company agrees to reimburse Executive for his reasonable legal fees actually incurred and paid, up to a maximum of $300,000. In the event that such litigation has not been commenced by December 31, 2019, the Company will be relieved of this reimbursement obligation.</w:t>
      </w:r>
    </w:p>
    <w:p>
      <w:pPr>
        <w:spacing w:after="0" w:line="218" w:lineRule="exact"/>
        <w:rPr>
          <w:sz w:val="20"/>
          <w:szCs w:val="20"/>
          <w:color w:val="auto"/>
        </w:rPr>
      </w:pPr>
    </w:p>
    <w:p>
      <w:pPr>
        <w:ind w:left="4" w:right="80" w:hanging="4"/>
        <w:spacing w:after="0" w:line="247" w:lineRule="auto"/>
        <w:tabs>
          <w:tab w:leader="none" w:pos="220" w:val="left"/>
        </w:tabs>
        <w:numPr>
          <w:ilvl w:val="0"/>
          <w:numId w:val="31"/>
        </w:numPr>
        <w:rPr>
          <w:rFonts w:ascii="Arial" w:cs="Arial" w:eastAsia="Arial" w:hAnsi="Arial"/>
          <w:sz w:val="21"/>
          <w:szCs w:val="21"/>
          <w:color w:val="auto"/>
        </w:rPr>
      </w:pPr>
      <w:r>
        <w:rPr>
          <w:rFonts w:ascii="Arial" w:cs="Arial" w:eastAsia="Arial" w:hAnsi="Arial"/>
          <w:sz w:val="21"/>
          <w:szCs w:val="21"/>
          <w:u w:val="single" w:color="auto"/>
          <w:color w:val="auto"/>
        </w:rPr>
        <w:t>Employee Benefits and Policies</w:t>
      </w:r>
      <w:r>
        <w:rPr>
          <w:rFonts w:ascii="Arial" w:cs="Arial" w:eastAsia="Arial" w:hAnsi="Arial"/>
          <w:sz w:val="21"/>
          <w:szCs w:val="21"/>
          <w:color w:val="auto"/>
        </w:rPr>
        <w:t>. Executive will be entitled to four weeks of vacation with pay during the remainder of 2018, and thereafter will be entitled to four weeks of vacation per calendar year, unless the Company's then-current vacation policy applicable to executive officers provides for a greater period. In addition, Executive will be eligible to participate in all of the Company's employee benefit plans, policies, and arrangements that are applicable to other executive officers of the Company (including, without limitation, 401(k), health care, vision, dental, life insurance and disability), subject to eligibility and otherwise on such terms and as such plans, policies, and arrangements may exist from time to time.</w:t>
      </w:r>
    </w:p>
    <w:p>
      <w:pPr>
        <w:spacing w:after="0" w:line="205" w:lineRule="exact"/>
        <w:rPr>
          <w:rFonts w:ascii="Arial" w:cs="Arial" w:eastAsia="Arial" w:hAnsi="Arial"/>
          <w:sz w:val="21"/>
          <w:szCs w:val="21"/>
          <w:color w:val="auto"/>
        </w:rPr>
      </w:pPr>
    </w:p>
    <w:p>
      <w:pPr>
        <w:ind w:left="4" w:right="20" w:hanging="4"/>
        <w:spacing w:after="0" w:line="271" w:lineRule="auto"/>
        <w:tabs>
          <w:tab w:leader="none" w:pos="220" w:val="left"/>
        </w:tabs>
        <w:numPr>
          <w:ilvl w:val="0"/>
          <w:numId w:val="31"/>
        </w:numPr>
        <w:rPr>
          <w:rFonts w:ascii="Arial" w:cs="Arial" w:eastAsia="Arial" w:hAnsi="Arial"/>
          <w:sz w:val="19"/>
          <w:szCs w:val="19"/>
          <w:color w:val="auto"/>
        </w:rPr>
      </w:pPr>
      <w:r>
        <w:rPr>
          <w:rFonts w:ascii="Arial" w:cs="Arial" w:eastAsia="Arial" w:hAnsi="Arial"/>
          <w:sz w:val="19"/>
          <w:szCs w:val="19"/>
          <w:u w:val="single" w:color="auto"/>
          <w:color w:val="auto"/>
        </w:rPr>
        <w:t>Termination of Employment</w:t>
      </w:r>
      <w:r>
        <w:rPr>
          <w:rFonts w:ascii="Arial" w:cs="Arial" w:eastAsia="Arial" w:hAnsi="Arial"/>
          <w:sz w:val="19"/>
          <w:szCs w:val="19"/>
          <w:color w:val="auto"/>
        </w:rPr>
        <w:t>. In the event Executive's employment with the Company terminates for any reason, Executive will be entitled to any (a) all unpaid Base Salary accrued to the effective date of termination, (b) unpaid but earned short-term or long-term cash bonuses, all unpaid but vested performance stock awards, all unpaid but vested portions of restricted stock units grants, subject to the terms of the applicable bonus plan, agreement or arrangement,</w:t>
      </w:r>
    </w:p>
    <w:p>
      <w:pPr>
        <w:spacing w:after="0" w:line="3" w:lineRule="exact"/>
        <w:rPr>
          <w:rFonts w:ascii="Arial" w:cs="Arial" w:eastAsia="Arial" w:hAnsi="Arial"/>
          <w:sz w:val="19"/>
          <w:szCs w:val="19"/>
          <w:color w:val="auto"/>
        </w:rPr>
      </w:pPr>
    </w:p>
    <w:p>
      <w:pPr>
        <w:ind w:left="4" w:right="40"/>
        <w:spacing w:after="0" w:line="233" w:lineRule="auto"/>
        <w:rPr>
          <w:rFonts w:ascii="Arial" w:cs="Arial" w:eastAsia="Arial" w:hAnsi="Arial"/>
          <w:sz w:val="19"/>
          <w:szCs w:val="19"/>
          <w:color w:val="auto"/>
        </w:rPr>
      </w:pPr>
      <w:r>
        <w:rPr>
          <w:rFonts w:ascii="Arial" w:cs="Arial" w:eastAsia="Arial" w:hAnsi="Arial"/>
          <w:sz w:val="22"/>
          <w:szCs w:val="22"/>
          <w:color w:val="auto"/>
        </w:rPr>
        <w:t>(c) all benefits or compensation required to be provided after termination pursuant to, and in accordance with the terms of, any employee benefit plans, policies or arrangements applicable to Executive, (d) all unreimbursed business expenses incurred prior to termination and required to be reimbursed to Executive pursuant to the Company's policy, and (e) all rights to indemnification to which Executive may be entitled under the Company's Articles of Incorporation, Bylaws, or</w:t>
      </w:r>
    </w:p>
    <w:p>
      <w:pPr>
        <w:spacing w:after="0" w:line="207" w:lineRule="exact"/>
        <w:rPr>
          <w:sz w:val="20"/>
          <w:szCs w:val="20"/>
          <w:color w:val="auto"/>
        </w:rPr>
      </w:pPr>
    </w:p>
    <w:p>
      <w:pPr>
        <w:jc w:val="center"/>
        <w:ind w:right="76"/>
        <w:spacing w:after="0"/>
        <w:rPr>
          <w:sz w:val="20"/>
          <w:szCs w:val="20"/>
          <w:color w:val="auto"/>
        </w:rPr>
      </w:pPr>
      <w:r>
        <w:rPr>
          <w:rFonts w:ascii="Arial" w:cs="Arial" w:eastAsia="Arial" w:hAnsi="Arial"/>
          <w:sz w:val="22"/>
          <w:szCs w:val="22"/>
          <w:color w:val="auto"/>
        </w:rPr>
        <w:t xml:space="preserve">Page </w:t>
      </w:r>
      <w:r>
        <w:rPr>
          <w:rFonts w:ascii="Arial" w:cs="Arial" w:eastAsia="Arial" w:hAnsi="Arial"/>
          <w:sz w:val="22"/>
          <w:szCs w:val="22"/>
          <w:b w:val="1"/>
          <w:bCs w:val="1"/>
          <w:color w:val="auto"/>
        </w:rPr>
        <w:t>3</w:t>
      </w:r>
      <w:r>
        <w:rPr>
          <w:rFonts w:ascii="Arial" w:cs="Arial" w:eastAsia="Arial" w:hAnsi="Arial"/>
          <w:sz w:val="22"/>
          <w:szCs w:val="22"/>
          <w:color w:val="auto"/>
        </w:rPr>
        <w:t xml:space="preserve"> of </w:t>
      </w:r>
      <w:r>
        <w:rPr>
          <w:rFonts w:ascii="Arial" w:cs="Arial" w:eastAsia="Arial" w:hAnsi="Arial"/>
          <w:sz w:val="22"/>
          <w:szCs w:val="22"/>
          <w:b w:val="1"/>
          <w:bCs w:val="1"/>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11430</wp:posOffset>
            </wp:positionV>
            <wp:extent cx="7246620" cy="342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0204"/>
          </w:cols>
          <w:pgMar w:left="896" w:top="469" w:right="799" w:bottom="1440" w:gutter="0" w:footer="0" w:header="0"/>
        </w:sectPr>
      </w:pPr>
    </w:p>
    <w:bookmarkStart w:id="61" w:name="page62"/>
    <w:bookmarkEnd w:id="61"/>
    <w:p>
      <w:pPr>
        <w:ind w:left="4" w:right="840"/>
        <w:spacing w:after="0" w:line="328" w:lineRule="auto"/>
        <w:rPr>
          <w:sz w:val="20"/>
          <w:szCs w:val="20"/>
          <w:color w:val="auto"/>
        </w:rPr>
      </w:pPr>
      <w:r>
        <w:rPr>
          <w:rFonts w:ascii="Arial" w:cs="Arial" w:eastAsia="Arial" w:hAnsi="Arial"/>
          <w:sz w:val="19"/>
          <w:szCs w:val="19"/>
          <w:color w:val="auto"/>
        </w:rPr>
        <w:t>separate indemnification agreement, as applicable. In addition, if the termination is a “Qualifying Termination” (as defined in Section 6), Executive will be entitled to the amounts and benefits specified in Section 6.</w:t>
      </w:r>
    </w:p>
    <w:p>
      <w:pPr>
        <w:spacing w:after="0" w:line="132" w:lineRule="exact"/>
        <w:rPr>
          <w:sz w:val="20"/>
          <w:szCs w:val="20"/>
          <w:color w:val="auto"/>
        </w:rPr>
      </w:pPr>
    </w:p>
    <w:p>
      <w:pPr>
        <w:ind w:left="4" w:right="680" w:hanging="4"/>
        <w:spacing w:after="0" w:line="245" w:lineRule="auto"/>
        <w:tabs>
          <w:tab w:leader="none" w:pos="220" w:val="left"/>
        </w:tabs>
        <w:numPr>
          <w:ilvl w:val="0"/>
          <w:numId w:val="32"/>
        </w:numPr>
        <w:rPr>
          <w:rFonts w:ascii="Arial" w:cs="Arial" w:eastAsia="Arial" w:hAnsi="Arial"/>
          <w:sz w:val="21"/>
          <w:szCs w:val="21"/>
          <w:color w:val="auto"/>
        </w:rPr>
      </w:pPr>
      <w:r>
        <w:rPr>
          <w:rFonts w:ascii="Arial" w:cs="Arial" w:eastAsia="Arial" w:hAnsi="Arial"/>
          <w:sz w:val="21"/>
          <w:szCs w:val="21"/>
          <w:u w:val="single" w:color="auto"/>
          <w:color w:val="auto"/>
        </w:rPr>
        <w:t>Severance</w:t>
      </w:r>
      <w:r>
        <w:rPr>
          <w:rFonts w:ascii="Arial" w:cs="Arial" w:eastAsia="Arial" w:hAnsi="Arial"/>
          <w:sz w:val="21"/>
          <w:szCs w:val="21"/>
          <w:color w:val="auto"/>
        </w:rPr>
        <w:t>. If Executive's employment is terminated pursuant to a Qualifying Termination, Executive will receive an amount equal to twice the Base Salary plus twice the APP award target or other annual cash incentive target of Executive at the time of termination, payable in 24 substantially equal monthly installments (the “Severance Amount”). Executive's right to receive the Severance Amount is contingent upon Executive's continuing compliance with the provisions of Sections 8, 9 and 10 of this Agreement and subject to the Executive having executed and delivered to the Company an effective release of any and all claims in such form as is reasonably acceptable to the Company. Executive will not be required to mitigate the amount of payments under this Section 6, nor will any earnings that Executive may receive from any other source reduce any the Severance Amount. For purposes of this Agreement,</w:t>
      </w:r>
    </w:p>
    <w:p>
      <w:pPr>
        <w:spacing w:after="0" w:line="212" w:lineRule="exact"/>
        <w:rPr>
          <w:sz w:val="20"/>
          <w:szCs w:val="20"/>
          <w:color w:val="auto"/>
        </w:rPr>
      </w:pPr>
    </w:p>
    <w:p>
      <w:pPr>
        <w:ind w:left="4" w:hanging="4"/>
        <w:spacing w:after="0" w:line="251" w:lineRule="auto"/>
        <w:tabs>
          <w:tab w:leader="none" w:pos="298" w:val="left"/>
        </w:tabs>
        <w:numPr>
          <w:ilvl w:val="0"/>
          <w:numId w:val="33"/>
        </w:numPr>
        <w:rPr>
          <w:rFonts w:ascii="Arial" w:cs="Arial" w:eastAsia="Arial" w:hAnsi="Arial"/>
          <w:sz w:val="22"/>
          <w:szCs w:val="22"/>
          <w:color w:val="auto"/>
        </w:rPr>
      </w:pPr>
      <w:r>
        <w:rPr>
          <w:rFonts w:ascii="Arial" w:cs="Arial" w:eastAsia="Arial" w:hAnsi="Arial"/>
          <w:sz w:val="22"/>
          <w:szCs w:val="22"/>
          <w:color w:val="auto"/>
        </w:rPr>
        <w:t>“Qualifying Termination” shall mean (i) an involuntary termination of Executive’s employment by the Company without Cause, or (ii) a termination of Executive’s employment by Executive for Good Cause.</w:t>
      </w:r>
    </w:p>
    <w:p>
      <w:pPr>
        <w:spacing w:after="0" w:line="200" w:lineRule="exact"/>
        <w:rPr>
          <w:rFonts w:ascii="Arial" w:cs="Arial" w:eastAsia="Arial" w:hAnsi="Arial"/>
          <w:sz w:val="22"/>
          <w:szCs w:val="22"/>
          <w:color w:val="auto"/>
        </w:rPr>
      </w:pPr>
    </w:p>
    <w:p>
      <w:pPr>
        <w:ind w:left="304" w:hanging="304"/>
        <w:spacing w:after="0"/>
        <w:tabs>
          <w:tab w:leader="none" w:pos="304" w:val="left"/>
        </w:tabs>
        <w:numPr>
          <w:ilvl w:val="0"/>
          <w:numId w:val="33"/>
        </w:numPr>
        <w:rPr>
          <w:rFonts w:ascii="Arial" w:cs="Arial" w:eastAsia="Arial" w:hAnsi="Arial"/>
          <w:sz w:val="22"/>
          <w:szCs w:val="22"/>
          <w:color w:val="auto"/>
        </w:rPr>
      </w:pPr>
      <w:r>
        <w:rPr>
          <w:rFonts w:ascii="Arial" w:cs="Arial" w:eastAsia="Arial" w:hAnsi="Arial"/>
          <w:sz w:val="22"/>
          <w:szCs w:val="22"/>
          <w:color w:val="auto"/>
        </w:rPr>
        <w:t>“involuntary termination of Executive’s employment by the Company without cause" shall not include</w:t>
      </w:r>
    </w:p>
    <w:p>
      <w:pPr>
        <w:spacing w:after="0" w:line="8" w:lineRule="exact"/>
        <w:rPr>
          <w:sz w:val="20"/>
          <w:szCs w:val="20"/>
          <w:color w:val="auto"/>
        </w:rPr>
      </w:pPr>
    </w:p>
    <w:p>
      <w:pPr>
        <w:ind w:left="4"/>
        <w:spacing w:after="0"/>
        <w:rPr>
          <w:sz w:val="20"/>
          <w:szCs w:val="20"/>
          <w:color w:val="auto"/>
        </w:rPr>
      </w:pPr>
      <w:r>
        <w:rPr>
          <w:rFonts w:ascii="Arial" w:cs="Arial" w:eastAsia="Arial" w:hAnsi="Arial"/>
          <w:sz w:val="22"/>
          <w:szCs w:val="22"/>
          <w:color w:val="auto"/>
        </w:rPr>
        <w:t>termination as the result of death or Disability.</w:t>
      </w:r>
    </w:p>
    <w:p>
      <w:pPr>
        <w:spacing w:after="0" w:line="215" w:lineRule="exact"/>
        <w:rPr>
          <w:sz w:val="20"/>
          <w:szCs w:val="20"/>
          <w:color w:val="auto"/>
        </w:rPr>
      </w:pPr>
    </w:p>
    <w:p>
      <w:pPr>
        <w:ind w:left="4" w:right="620" w:hanging="4"/>
        <w:spacing w:after="0" w:line="271" w:lineRule="auto"/>
        <w:tabs>
          <w:tab w:leader="none" w:pos="298" w:val="left"/>
        </w:tabs>
        <w:numPr>
          <w:ilvl w:val="0"/>
          <w:numId w:val="34"/>
        </w:numPr>
        <w:rPr>
          <w:rFonts w:ascii="Arial" w:cs="Arial" w:eastAsia="Arial" w:hAnsi="Arial"/>
          <w:sz w:val="19"/>
          <w:szCs w:val="19"/>
          <w:color w:val="auto"/>
        </w:rPr>
      </w:pPr>
      <w:r>
        <w:rPr>
          <w:rFonts w:ascii="Arial" w:cs="Arial" w:eastAsia="Arial" w:hAnsi="Arial"/>
          <w:sz w:val="19"/>
          <w:szCs w:val="19"/>
          <w:color w:val="auto"/>
        </w:rPr>
        <w:t xml:space="preserve">"Cause" shall be deemed to exist upon any of the following, determined by a majority of the members of the Board in its sole discretion: (i) the indictment of Executive for, or the entry of a plea of guilty or </w:t>
      </w:r>
      <w:r>
        <w:rPr>
          <w:rFonts w:ascii="Arial" w:cs="Arial" w:eastAsia="Arial" w:hAnsi="Arial"/>
          <w:sz w:val="19"/>
          <w:szCs w:val="19"/>
          <w:i w:val="1"/>
          <w:iCs w:val="1"/>
          <w:color w:val="auto"/>
        </w:rPr>
        <w:t>nolo contendere</w:t>
      </w:r>
      <w:r>
        <w:rPr>
          <w:rFonts w:ascii="Arial" w:cs="Arial" w:eastAsia="Arial" w:hAnsi="Arial"/>
          <w:sz w:val="19"/>
          <w:szCs w:val="19"/>
          <w:color w:val="auto"/>
        </w:rPr>
        <w:t xml:space="preserve"> by Executive to, a felony charge or any crime involving moral turpitude; (ii) Unlawful conduct on the part of Executive that may reasonably be considered to reflect negatively on the Company or compromise the effective performance of Executive’s duties as determined by the Board in its sole discretion; (iii) Executive’s willful misconduct in connection with his duties or willful failure to use reasonable effort to perform substantially his responsibilities in the best interest of the Company (including, without limitation, breach by the Executive of this Agreement), except in cases involving Executive’s mental or physical incapacity or disability; (iv) Executive’s willful violation of the Company’s Business Ethics Policy, Code of Ethics or any other Company policy that may reasonably be considered to reflect negatively on the Company or compromise the effective performance of Executive’s duties as determined by the Board in its sole discretion; (v) fraud, material dishonesty, or gross misconduct in connection with the Company perpetrated by Executive; (vi) Executive undertaking a position or any activity in or in furtherance of competition with Company during the Employment Term; (vii) Executive having caused substantial harm to the Company with intent to do so or as a result of gross negligence in the performance of his duties; or (viii) Executive having wrongfully and substantially enriched himself at the expense of the Company.</w:t>
      </w:r>
    </w:p>
    <w:p>
      <w:pPr>
        <w:spacing w:after="0" w:line="188" w:lineRule="exact"/>
        <w:rPr>
          <w:rFonts w:ascii="Arial" w:cs="Arial" w:eastAsia="Arial" w:hAnsi="Arial"/>
          <w:sz w:val="19"/>
          <w:szCs w:val="19"/>
          <w:color w:val="auto"/>
        </w:rPr>
      </w:pPr>
    </w:p>
    <w:p>
      <w:pPr>
        <w:ind w:left="4" w:right="80" w:hanging="4"/>
        <w:spacing w:after="0" w:line="251" w:lineRule="auto"/>
        <w:tabs>
          <w:tab w:leader="none" w:pos="310" w:val="left"/>
        </w:tabs>
        <w:numPr>
          <w:ilvl w:val="0"/>
          <w:numId w:val="34"/>
        </w:numPr>
        <w:rPr>
          <w:rFonts w:ascii="Arial" w:cs="Arial" w:eastAsia="Arial" w:hAnsi="Arial"/>
          <w:sz w:val="22"/>
          <w:szCs w:val="22"/>
          <w:color w:val="auto"/>
        </w:rPr>
      </w:pPr>
      <w:r>
        <w:rPr>
          <w:rFonts w:ascii="Arial" w:cs="Arial" w:eastAsia="Arial" w:hAnsi="Arial"/>
          <w:sz w:val="22"/>
          <w:szCs w:val="22"/>
          <w:color w:val="auto"/>
        </w:rPr>
        <w:t>"Disability" shall be deemed to exist if (i) by reason of mental or physical illness the Executive has not performed his or her duties for a period of six consecutive months; and (ii) the Executive does not</w:t>
      </w:r>
    </w:p>
    <w:p>
      <w:pPr>
        <w:spacing w:after="0" w:line="194" w:lineRule="exact"/>
        <w:rPr>
          <w:sz w:val="20"/>
          <w:szCs w:val="20"/>
          <w:color w:val="auto"/>
        </w:rPr>
      </w:pPr>
    </w:p>
    <w:p>
      <w:pPr>
        <w:ind w:left="4524"/>
        <w:spacing w:after="0"/>
        <w:rPr>
          <w:sz w:val="20"/>
          <w:szCs w:val="20"/>
          <w:color w:val="auto"/>
        </w:rPr>
      </w:pPr>
      <w:r>
        <w:rPr>
          <w:rFonts w:ascii="Arial" w:cs="Arial" w:eastAsia="Arial" w:hAnsi="Arial"/>
          <w:sz w:val="22"/>
          <w:szCs w:val="22"/>
          <w:color w:val="auto"/>
        </w:rPr>
        <w:t xml:space="preserve">Page </w:t>
      </w:r>
      <w:r>
        <w:rPr>
          <w:rFonts w:ascii="Arial" w:cs="Arial" w:eastAsia="Arial" w:hAnsi="Arial"/>
          <w:sz w:val="22"/>
          <w:szCs w:val="22"/>
          <w:b w:val="1"/>
          <w:bCs w:val="1"/>
          <w:color w:val="auto"/>
        </w:rPr>
        <w:t>4</w:t>
      </w:r>
      <w:r>
        <w:rPr>
          <w:rFonts w:ascii="Arial" w:cs="Arial" w:eastAsia="Arial" w:hAnsi="Arial"/>
          <w:sz w:val="22"/>
          <w:szCs w:val="22"/>
          <w:color w:val="auto"/>
        </w:rPr>
        <w:t xml:space="preserve"> of </w:t>
      </w:r>
      <w:r>
        <w:rPr>
          <w:rFonts w:ascii="Arial" w:cs="Arial" w:eastAsia="Arial" w:hAnsi="Arial"/>
          <w:sz w:val="22"/>
          <w:szCs w:val="22"/>
          <w:b w:val="1"/>
          <w:bCs w:val="1"/>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11430</wp:posOffset>
            </wp:positionV>
            <wp:extent cx="7246620" cy="342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0764"/>
          </w:cols>
          <w:pgMar w:left="896" w:top="469" w:right="239" w:bottom="1440" w:gutter="0" w:footer="0" w:header="0"/>
        </w:sectPr>
      </w:pPr>
    </w:p>
    <w:bookmarkStart w:id="62" w:name="page63"/>
    <w:bookmarkEnd w:id="62"/>
    <w:p>
      <w:pPr>
        <w:ind w:left="4" w:right="240"/>
        <w:spacing w:after="0" w:line="328" w:lineRule="auto"/>
        <w:rPr>
          <w:sz w:val="20"/>
          <w:szCs w:val="20"/>
          <w:color w:val="auto"/>
        </w:rPr>
      </w:pPr>
      <w:r>
        <w:rPr>
          <w:rFonts w:ascii="Arial" w:cs="Arial" w:eastAsia="Arial" w:hAnsi="Arial"/>
          <w:sz w:val="19"/>
          <w:szCs w:val="19"/>
          <w:color w:val="auto"/>
        </w:rPr>
        <w:t>return to the performance of his duties within thirty days after written notice is given by Company that the Executive has been determined by the Board of Directors to be "Disabled" under the Company's long term disability policy.</w:t>
      </w:r>
    </w:p>
    <w:p>
      <w:pPr>
        <w:spacing w:after="0" w:line="132" w:lineRule="exact"/>
        <w:rPr>
          <w:sz w:val="20"/>
          <w:szCs w:val="20"/>
          <w:color w:val="auto"/>
        </w:rPr>
      </w:pPr>
    </w:p>
    <w:p>
      <w:pPr>
        <w:ind w:left="304" w:hanging="304"/>
        <w:spacing w:after="0"/>
        <w:tabs>
          <w:tab w:leader="none" w:pos="304" w:val="left"/>
        </w:tabs>
        <w:numPr>
          <w:ilvl w:val="0"/>
          <w:numId w:val="35"/>
        </w:numPr>
        <w:rPr>
          <w:rFonts w:ascii="Arial" w:cs="Arial" w:eastAsia="Arial" w:hAnsi="Arial"/>
          <w:sz w:val="19"/>
          <w:szCs w:val="19"/>
          <w:color w:val="auto"/>
        </w:rPr>
      </w:pPr>
      <w:r>
        <w:rPr>
          <w:rFonts w:ascii="Arial" w:cs="Arial" w:eastAsia="Arial" w:hAnsi="Arial"/>
          <w:sz w:val="19"/>
          <w:szCs w:val="19"/>
          <w:color w:val="auto"/>
        </w:rPr>
        <w:t>“Good Cause” shall mean a termination of Executive’s employment by Executive, as a consequence of , and following:</w:t>
      </w:r>
    </w:p>
    <w:p>
      <w:pPr>
        <w:spacing w:after="0" w:line="42" w:lineRule="exact"/>
        <w:rPr>
          <w:rFonts w:ascii="Arial" w:cs="Arial" w:eastAsia="Arial" w:hAnsi="Arial"/>
          <w:sz w:val="19"/>
          <w:szCs w:val="19"/>
          <w:color w:val="auto"/>
        </w:rPr>
      </w:pPr>
    </w:p>
    <w:p>
      <w:pPr>
        <w:ind w:left="4" w:hanging="4"/>
        <w:spacing w:after="0" w:line="243" w:lineRule="auto"/>
        <w:tabs>
          <w:tab w:leader="none" w:pos="262" w:val="left"/>
        </w:tabs>
        <w:numPr>
          <w:ilvl w:val="0"/>
          <w:numId w:val="36"/>
        </w:numPr>
        <w:rPr>
          <w:rFonts w:ascii="Arial" w:cs="Arial" w:eastAsia="Arial" w:hAnsi="Arial"/>
          <w:sz w:val="21"/>
          <w:szCs w:val="21"/>
          <w:color w:val="auto"/>
        </w:rPr>
      </w:pPr>
      <w:r>
        <w:rPr>
          <w:rFonts w:ascii="Arial" w:cs="Arial" w:eastAsia="Arial" w:hAnsi="Arial"/>
          <w:sz w:val="21"/>
          <w:szCs w:val="21"/>
          <w:color w:val="auto"/>
        </w:rPr>
        <w:t xml:space="preserve">a material adverse change in Executive’s authority and responsibilities without Executive’s consent, (ii) a material reduction in Executive’s compensation, not proportionally and similarly affecting other senior executives, without Executive’s consent, (iii) the failure of the Company or any successor to fully honor the terms of any contractual agreements with Executive, or (iv) a Change in Control;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that</w:t>
      </w:r>
      <w:r>
        <w:rPr>
          <w:rFonts w:ascii="Arial" w:cs="Arial" w:eastAsia="Arial" w:hAnsi="Arial"/>
          <w:sz w:val="21"/>
          <w:szCs w:val="21"/>
          <w:color w:val="auto"/>
        </w:rPr>
        <w:t>, in the case (i), (ii) or (iii) , Executive shall have delivered written notice to the Company of his intention to terminate his employment for Good Cause within 90 days of the event or events constituting Good Cause, which notice specifies in reasonable detail the circumstances claimed to give rise to the Executive’s right to terminate employment for Good Cause, and the Company shall not have cured such circumstances within 30 days following receipt of such notice.</w:t>
      </w:r>
    </w:p>
    <w:p>
      <w:pPr>
        <w:spacing w:after="0" w:line="213" w:lineRule="exact"/>
        <w:rPr>
          <w:rFonts w:ascii="Arial" w:cs="Arial" w:eastAsia="Arial" w:hAnsi="Arial"/>
          <w:sz w:val="21"/>
          <w:szCs w:val="21"/>
          <w:color w:val="auto"/>
        </w:rPr>
      </w:pPr>
    </w:p>
    <w:p>
      <w:pPr>
        <w:ind w:left="4" w:right="80" w:hanging="4"/>
        <w:spacing w:after="0" w:line="270" w:lineRule="auto"/>
        <w:tabs>
          <w:tab w:leader="none" w:pos="274" w:val="left"/>
        </w:tabs>
        <w:numPr>
          <w:ilvl w:val="0"/>
          <w:numId w:val="37"/>
        </w:numPr>
        <w:rPr>
          <w:rFonts w:ascii="Arial" w:cs="Arial" w:eastAsia="Arial" w:hAnsi="Arial"/>
          <w:sz w:val="19"/>
          <w:szCs w:val="19"/>
          <w:color w:val="auto"/>
        </w:rPr>
      </w:pPr>
      <w:r>
        <w:rPr>
          <w:rFonts w:ascii="Arial" w:cs="Arial" w:eastAsia="Arial" w:hAnsi="Arial"/>
          <w:sz w:val="19"/>
          <w:szCs w:val="19"/>
          <w:color w:val="auto"/>
        </w:rPr>
        <w:t>) "Change in Control" shall be deemed to have occurred if (i) there is a change of ownership of the Company as a result of one person, or more than one person acting as a group, acquiring ownership of stock of the Company that, together with stock held by such person or group, constitutes more than 50% of the total fair market value or total voting power of the stock of the Company, provided, however, that the acquisition of additional stock by a person or group who already owns 50% of the total fair market value or total voting power of the stock of the Company shall not be considered a Change in Control; (ii) notwithstanding that the Company has not undergone a change in ownership as described in subsection (i) above, there is a change in the effective control of the Company as a result of either (a) one person, or more than one person, acting as a group, acquiring (or having acquired during the 12 month period ending on the date of the most recent acquisition) ownership of stock of the Company possessing 30% or more of the total voting power of the stock of the Common, or (b) a majority of the members of the Board is replaced during any 12 month period by directors whose appointment or election is not endorsed by a majority of the members of the Board before the date of appointment or election, provided, however, that in either case the acquisition of additional control by a person or group who already is considered to effectively control the Company shall not be considered to a Change in Control; (iii) there is a change in ownership of a substantial portion of the Company's assets as a result of one person, or more than one person acting as a group, acquiring (or having acquired during the 12 month period ending on the date of the most recent acquisition) assets from the Company (A) constituting substantially all the assets of either of the Company’s two business units, or (B) that have a total gross fair market value equal to or more than 40% of the total gross fair market value of all the assets of the Company immediately before such acquisition or acquisitions; or (iv) the sale, spinoff, or other disposition of either of the Company’s two business units, provided, however, that there is no Change in Control if the transfer of assets is to the shareholders of the Company or an entity controlled by the shareholders of the Company.</w:t>
      </w:r>
    </w:p>
    <w:p>
      <w:pPr>
        <w:spacing w:after="0" w:line="189" w:lineRule="exact"/>
        <w:rPr>
          <w:sz w:val="20"/>
          <w:szCs w:val="20"/>
          <w:color w:val="auto"/>
        </w:rPr>
      </w:pPr>
    </w:p>
    <w:p>
      <w:pPr>
        <w:ind w:left="4" w:right="860" w:hanging="4"/>
        <w:spacing w:after="0" w:line="276" w:lineRule="auto"/>
        <w:tabs>
          <w:tab w:leader="none" w:pos="220" w:val="left"/>
        </w:tabs>
        <w:numPr>
          <w:ilvl w:val="0"/>
          <w:numId w:val="38"/>
        </w:numPr>
        <w:rPr>
          <w:rFonts w:ascii="Arial" w:cs="Arial" w:eastAsia="Arial" w:hAnsi="Arial"/>
          <w:sz w:val="19"/>
          <w:szCs w:val="19"/>
          <w:color w:val="auto"/>
        </w:rPr>
      </w:pPr>
      <w:r>
        <w:rPr>
          <w:rFonts w:ascii="Arial" w:cs="Arial" w:eastAsia="Arial" w:hAnsi="Arial"/>
          <w:sz w:val="19"/>
          <w:szCs w:val="19"/>
          <w:u w:val="single" w:color="auto"/>
          <w:color w:val="auto"/>
        </w:rPr>
        <w:t>Internal Revenue Code Section 280G</w:t>
      </w:r>
      <w:r>
        <w:rPr>
          <w:rFonts w:ascii="Arial" w:cs="Arial" w:eastAsia="Arial" w:hAnsi="Arial"/>
          <w:sz w:val="19"/>
          <w:szCs w:val="19"/>
          <w:color w:val="auto"/>
        </w:rPr>
        <w:t>. In the event that the benefits provided for in this Agreement, when aggregated with any other payments or benefits or to be received by Executive (the “Aggregate Benefits”), would</w:t>
      </w:r>
    </w:p>
    <w:p>
      <w:pPr>
        <w:spacing w:after="0" w:line="1" w:lineRule="exact"/>
        <w:rPr>
          <w:rFonts w:ascii="Arial" w:cs="Arial" w:eastAsia="Arial" w:hAnsi="Arial"/>
          <w:sz w:val="19"/>
          <w:szCs w:val="19"/>
          <w:color w:val="auto"/>
        </w:rPr>
      </w:pPr>
    </w:p>
    <w:p>
      <w:pPr>
        <w:ind w:left="4" w:right="600"/>
        <w:spacing w:after="0" w:line="237" w:lineRule="auto"/>
        <w:rPr>
          <w:rFonts w:ascii="Arial" w:cs="Arial" w:eastAsia="Arial" w:hAnsi="Arial"/>
          <w:sz w:val="19"/>
          <w:szCs w:val="19"/>
          <w:color w:val="auto"/>
        </w:rPr>
      </w:pPr>
      <w:r>
        <w:rPr>
          <w:rFonts w:ascii="Arial" w:cs="Arial" w:eastAsia="Arial" w:hAnsi="Arial"/>
          <w:sz w:val="22"/>
          <w:szCs w:val="22"/>
          <w:color w:val="auto"/>
        </w:rPr>
        <w:t>(i) constitute “parachute payments” within the meaning of Section 280G of the Internal Revenue Code (the “Code”), and (ii) would be subject to the excise</w:t>
      </w:r>
    </w:p>
    <w:p>
      <w:pPr>
        <w:spacing w:after="0" w:line="206" w:lineRule="exact"/>
        <w:rPr>
          <w:sz w:val="20"/>
          <w:szCs w:val="20"/>
          <w:color w:val="auto"/>
        </w:rPr>
      </w:pPr>
    </w:p>
    <w:p>
      <w:pPr>
        <w:ind w:left="4524"/>
        <w:spacing w:after="0"/>
        <w:rPr>
          <w:sz w:val="20"/>
          <w:szCs w:val="20"/>
          <w:color w:val="auto"/>
        </w:rPr>
      </w:pPr>
      <w:r>
        <w:rPr>
          <w:rFonts w:ascii="Arial" w:cs="Arial" w:eastAsia="Arial" w:hAnsi="Arial"/>
          <w:sz w:val="22"/>
          <w:szCs w:val="22"/>
          <w:color w:val="auto"/>
        </w:rPr>
        <w:t xml:space="preserve">Page </w:t>
      </w:r>
      <w:r>
        <w:rPr>
          <w:rFonts w:ascii="Arial" w:cs="Arial" w:eastAsia="Arial" w:hAnsi="Arial"/>
          <w:sz w:val="22"/>
          <w:szCs w:val="22"/>
          <w:b w:val="1"/>
          <w:bCs w:val="1"/>
          <w:color w:val="auto"/>
        </w:rPr>
        <w:t>5</w:t>
      </w:r>
      <w:r>
        <w:rPr>
          <w:rFonts w:ascii="Arial" w:cs="Arial" w:eastAsia="Arial" w:hAnsi="Arial"/>
          <w:sz w:val="22"/>
          <w:szCs w:val="22"/>
          <w:color w:val="auto"/>
        </w:rPr>
        <w:t xml:space="preserve"> of </w:t>
      </w:r>
      <w:r>
        <w:rPr>
          <w:rFonts w:ascii="Arial" w:cs="Arial" w:eastAsia="Arial" w:hAnsi="Arial"/>
          <w:sz w:val="22"/>
          <w:szCs w:val="22"/>
          <w:b w:val="1"/>
          <w:bCs w:val="1"/>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11430</wp:posOffset>
            </wp:positionV>
            <wp:extent cx="7246620" cy="342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0684"/>
          </w:cols>
          <w:pgMar w:left="896" w:top="469" w:right="319" w:bottom="1440" w:gutter="0" w:footer="0" w:header="0"/>
        </w:sectPr>
      </w:pPr>
    </w:p>
    <w:bookmarkStart w:id="63" w:name="page64"/>
    <w:bookmarkEnd w:id="63"/>
    <w:p>
      <w:pPr>
        <w:ind w:left="4"/>
        <w:spacing w:after="0"/>
        <w:rPr>
          <w:sz w:val="20"/>
          <w:szCs w:val="20"/>
          <w:color w:val="auto"/>
        </w:rPr>
      </w:pPr>
      <w:r>
        <w:rPr>
          <w:rFonts w:ascii="Arial" w:cs="Arial" w:eastAsia="Arial" w:hAnsi="Arial"/>
          <w:sz w:val="19"/>
          <w:szCs w:val="19"/>
          <w:color w:val="auto"/>
        </w:rPr>
        <w:t>tax imposed by Section 4999 of the Code (the “Excise Tax”), then Executive’s Aggregate Benefits will be either:</w:t>
      </w:r>
    </w:p>
    <w:p>
      <w:pPr>
        <w:spacing w:after="0" w:line="43" w:lineRule="exact"/>
        <w:rPr>
          <w:sz w:val="20"/>
          <w:szCs w:val="20"/>
          <w:color w:val="auto"/>
        </w:rPr>
      </w:pPr>
    </w:p>
    <w:p>
      <w:pPr>
        <w:ind w:left="4" w:right="80" w:hanging="4"/>
        <w:spacing w:after="0" w:line="270" w:lineRule="auto"/>
        <w:tabs>
          <w:tab w:leader="none" w:pos="298" w:val="left"/>
        </w:tabs>
        <w:numPr>
          <w:ilvl w:val="0"/>
          <w:numId w:val="39"/>
        </w:numPr>
        <w:rPr>
          <w:rFonts w:ascii="Arial" w:cs="Arial" w:eastAsia="Arial" w:hAnsi="Arial"/>
          <w:sz w:val="19"/>
          <w:szCs w:val="19"/>
          <w:color w:val="auto"/>
        </w:rPr>
      </w:pPr>
      <w:r>
        <w:rPr>
          <w:rFonts w:ascii="Arial" w:cs="Arial" w:eastAsia="Arial" w:hAnsi="Arial"/>
          <w:sz w:val="19"/>
          <w:szCs w:val="19"/>
          <w:color w:val="auto"/>
        </w:rPr>
        <w:t>delivered in full, or (b) delivered as to such lesser extent as would result in no portion of such Aggregate Benefits being subject to the Excise Tax, whichever of the foregoing amounts, taking into account the applicable federal, state and local income taxes and the Excise Tax, results in the receipt by Executive on an after-tax basis of the greatest amount of Aggregate Benefits, notwithstanding that all or some portion of such Aggregate Benefits may be taxable under Section 4999 of the Code. Unless the Company and Executive otherwise agree in writing, any determination required under this paragraph will be made in writing by an independent certified public accounting firm engaged by the Company (the “Accounting Firm”) whose determination will be conclusive and binding upon Executive and the Company for all purposes. For purposes of making the calculations required by this paragraph, the Accounting Firm may make reasonable assumptions and approximations concerning applicable taxes and may rely on reasonable, good faith interpretations concerning the application of Sections 280G and 4999 of the Code. The Company and Executive will furnish to the Accounting Firm such information and documents as the Accounting Firm may reasonably request in order to make a determination under this paragraph. To the extent any reduction in Aggregate Benefits is required by this paragraph, the Company and Executive shall cooperate so that the reduction results in Executive retaining the maximum amount of the Aggregate Benefits.</w:t>
      </w:r>
    </w:p>
    <w:p>
      <w:pPr>
        <w:spacing w:after="0" w:line="187" w:lineRule="exact"/>
        <w:rPr>
          <w:sz w:val="20"/>
          <w:szCs w:val="20"/>
          <w:color w:val="auto"/>
        </w:rPr>
      </w:pPr>
    </w:p>
    <w:p>
      <w:pPr>
        <w:ind w:left="4" w:right="60" w:hanging="4"/>
        <w:spacing w:after="0" w:line="272" w:lineRule="auto"/>
        <w:tabs>
          <w:tab w:leader="none" w:pos="220" w:val="left"/>
        </w:tabs>
        <w:numPr>
          <w:ilvl w:val="0"/>
          <w:numId w:val="40"/>
        </w:numPr>
        <w:rPr>
          <w:rFonts w:ascii="Arial" w:cs="Arial" w:eastAsia="Arial" w:hAnsi="Arial"/>
          <w:sz w:val="19"/>
          <w:szCs w:val="19"/>
          <w:color w:val="auto"/>
        </w:rPr>
      </w:pPr>
      <w:r>
        <w:rPr>
          <w:rFonts w:ascii="Arial" w:cs="Arial" w:eastAsia="Arial" w:hAnsi="Arial"/>
          <w:sz w:val="19"/>
          <w:szCs w:val="19"/>
          <w:u w:val="single" w:color="auto"/>
          <w:color w:val="auto"/>
        </w:rPr>
        <w:t>Confidential Information</w:t>
      </w:r>
      <w:r>
        <w:rPr>
          <w:rFonts w:ascii="Arial" w:cs="Arial" w:eastAsia="Arial" w:hAnsi="Arial"/>
          <w:sz w:val="19"/>
          <w:szCs w:val="19"/>
          <w:color w:val="auto"/>
        </w:rPr>
        <w:t>. Executive agrees that all aspects of the Company's business, products, prospects, plans and strategies that have not been publicly disclosed, including, but not limited to, the identities, needs and preferences of its customers, internal business operations and pricing information, manufacturing know-how, technical attributes of products, annual or strategic business plans or analyses, and any and all other trade secrets (collectively, "Confidential Information"), are confidential and secret, shall be maintained in confidence and not disclosed to any third party, and shall remain the exclusive property of the Company. Any Confidential Information may be used or disclosed by the Executive solely to discharge his obligations hereunder, and shall not be used or disclosed for any other purpose, including, without limitation, for any purpose whatsoever following termination of Executive's employment. All Confidential Information in tangible form that is provided to the Executive shall be returned by the Executive to the Company within 30 days of any termination of employment, together with a statement certifying: (1) that Executive has returned all Confidential Information in his possession, (2) that Executive has at all times maintained the confidential nature of the Confidential Information, and (3) that Executive confirms his continuing obligations of confidentiality under this Agreement following such termination.</w:t>
      </w:r>
    </w:p>
    <w:p>
      <w:pPr>
        <w:spacing w:after="0" w:line="184" w:lineRule="exact"/>
        <w:rPr>
          <w:rFonts w:ascii="Arial" w:cs="Arial" w:eastAsia="Arial" w:hAnsi="Arial"/>
          <w:sz w:val="19"/>
          <w:szCs w:val="19"/>
          <w:color w:val="auto"/>
        </w:rPr>
      </w:pPr>
    </w:p>
    <w:p>
      <w:pPr>
        <w:jc w:val="both"/>
        <w:ind w:left="4" w:right="320" w:hanging="4"/>
        <w:spacing w:after="0" w:line="238" w:lineRule="auto"/>
        <w:tabs>
          <w:tab w:leader="none" w:pos="220" w:val="left"/>
        </w:tabs>
        <w:numPr>
          <w:ilvl w:val="0"/>
          <w:numId w:val="40"/>
        </w:numPr>
        <w:rPr>
          <w:rFonts w:ascii="Arial" w:cs="Arial" w:eastAsia="Arial" w:hAnsi="Arial"/>
          <w:sz w:val="22"/>
          <w:szCs w:val="22"/>
          <w:color w:val="auto"/>
        </w:rPr>
      </w:pPr>
      <w:r>
        <w:rPr>
          <w:rFonts w:ascii="Arial" w:cs="Arial" w:eastAsia="Arial" w:hAnsi="Arial"/>
          <w:sz w:val="22"/>
          <w:szCs w:val="22"/>
          <w:u w:val="single" w:color="auto"/>
          <w:color w:val="auto"/>
        </w:rPr>
        <w:t>Non-disparagement</w:t>
      </w:r>
      <w:r>
        <w:rPr>
          <w:rFonts w:ascii="Arial" w:cs="Arial" w:eastAsia="Arial" w:hAnsi="Arial"/>
          <w:sz w:val="22"/>
          <w:szCs w:val="22"/>
          <w:color w:val="auto"/>
        </w:rPr>
        <w:t>. During the Employment Term, and thereafter, Executive will not knowingly disparage, criticize or otherwise make any derogatory statements regarding the Company, its shareholders, directors or its officers. The foregoing restriction will not apply to any truthful statements made in response to a valid subpoena or other compulsory legal process.</w:t>
      </w:r>
    </w:p>
    <w:p>
      <w:pPr>
        <w:spacing w:after="0" w:line="212" w:lineRule="exact"/>
        <w:rPr>
          <w:rFonts w:ascii="Arial" w:cs="Arial" w:eastAsia="Arial" w:hAnsi="Arial"/>
          <w:sz w:val="22"/>
          <w:szCs w:val="22"/>
          <w:color w:val="auto"/>
        </w:rPr>
      </w:pPr>
    </w:p>
    <w:p>
      <w:pPr>
        <w:ind w:left="4" w:hanging="4"/>
        <w:spacing w:after="0" w:line="251" w:lineRule="auto"/>
        <w:tabs>
          <w:tab w:leader="none" w:pos="342" w:val="left"/>
        </w:tabs>
        <w:numPr>
          <w:ilvl w:val="0"/>
          <w:numId w:val="40"/>
        </w:numPr>
        <w:rPr>
          <w:rFonts w:ascii="Arial" w:cs="Arial" w:eastAsia="Arial" w:hAnsi="Arial"/>
          <w:sz w:val="22"/>
          <w:szCs w:val="22"/>
          <w:color w:val="auto"/>
        </w:rPr>
      </w:pPr>
      <w:r>
        <w:rPr>
          <w:rFonts w:ascii="Arial" w:cs="Arial" w:eastAsia="Arial" w:hAnsi="Arial"/>
          <w:sz w:val="22"/>
          <w:szCs w:val="22"/>
          <w:u w:val="single" w:color="auto"/>
          <w:color w:val="auto"/>
        </w:rPr>
        <w:t>Restrictive Covenants</w:t>
      </w:r>
      <w:r>
        <w:rPr>
          <w:rFonts w:ascii="Arial" w:cs="Arial" w:eastAsia="Arial" w:hAnsi="Arial"/>
          <w:sz w:val="22"/>
          <w:szCs w:val="22"/>
          <w:color w:val="auto"/>
        </w:rPr>
        <w:t>. Executive acknowledges and recognizes the highly competitive nature of the Company’s business. Accordingly, Executive agrees as follows:</w:t>
      </w:r>
    </w:p>
    <w:p>
      <w:pPr>
        <w:spacing w:after="0" w:line="194" w:lineRule="exact"/>
        <w:rPr>
          <w:sz w:val="20"/>
          <w:szCs w:val="20"/>
          <w:color w:val="auto"/>
        </w:rPr>
      </w:pPr>
    </w:p>
    <w:p>
      <w:pPr>
        <w:jc w:val="center"/>
        <w:ind w:right="136"/>
        <w:spacing w:after="0"/>
        <w:rPr>
          <w:sz w:val="20"/>
          <w:szCs w:val="20"/>
          <w:color w:val="auto"/>
        </w:rPr>
      </w:pPr>
      <w:r>
        <w:rPr>
          <w:rFonts w:ascii="Arial" w:cs="Arial" w:eastAsia="Arial" w:hAnsi="Arial"/>
          <w:sz w:val="22"/>
          <w:szCs w:val="22"/>
          <w:color w:val="auto"/>
        </w:rPr>
        <w:t xml:space="preserve">Page </w:t>
      </w:r>
      <w:r>
        <w:rPr>
          <w:rFonts w:ascii="Arial" w:cs="Arial" w:eastAsia="Arial" w:hAnsi="Arial"/>
          <w:sz w:val="22"/>
          <w:szCs w:val="22"/>
          <w:b w:val="1"/>
          <w:bCs w:val="1"/>
          <w:color w:val="auto"/>
        </w:rPr>
        <w:t>6</w:t>
      </w:r>
      <w:r>
        <w:rPr>
          <w:rFonts w:ascii="Arial" w:cs="Arial" w:eastAsia="Arial" w:hAnsi="Arial"/>
          <w:sz w:val="22"/>
          <w:szCs w:val="22"/>
          <w:color w:val="auto"/>
        </w:rPr>
        <w:t xml:space="preserve"> of </w:t>
      </w:r>
      <w:r>
        <w:rPr>
          <w:rFonts w:ascii="Arial" w:cs="Arial" w:eastAsia="Arial" w:hAnsi="Arial"/>
          <w:sz w:val="22"/>
          <w:szCs w:val="22"/>
          <w:b w:val="1"/>
          <w:bCs w:val="1"/>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11430</wp:posOffset>
            </wp:positionV>
            <wp:extent cx="7246620" cy="342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0264"/>
          </w:cols>
          <w:pgMar w:left="896" w:top="469" w:right="739" w:bottom="1440" w:gutter="0" w:footer="0" w:header="0"/>
        </w:sectPr>
      </w:pPr>
    </w:p>
    <w:bookmarkStart w:id="64" w:name="page65"/>
    <w:bookmarkEnd w:id="64"/>
    <w:p>
      <w:pPr>
        <w:jc w:val="both"/>
        <w:ind w:left="4" w:right="160" w:firstLine="239"/>
        <w:spacing w:after="0" w:line="238" w:lineRule="auto"/>
        <w:tabs>
          <w:tab w:leader="none" w:pos="718" w:val="left"/>
        </w:tabs>
        <w:numPr>
          <w:ilvl w:val="0"/>
          <w:numId w:val="41"/>
        </w:numPr>
        <w:rPr>
          <w:rFonts w:ascii="Arial" w:cs="Arial" w:eastAsia="Arial" w:hAnsi="Arial"/>
          <w:sz w:val="22"/>
          <w:szCs w:val="22"/>
          <w:color w:val="auto"/>
        </w:rPr>
      </w:pPr>
      <w:r>
        <w:rPr>
          <w:rFonts w:ascii="Arial" w:cs="Arial" w:eastAsia="Arial" w:hAnsi="Arial"/>
          <w:sz w:val="22"/>
          <w:szCs w:val="22"/>
          <w:color w:val="auto"/>
        </w:rPr>
        <w:t>That for a period of twenty-four (24) months following the termination of his employment with the Company for any reason, whether on his own behalf or on behalf of or in conjunction with any person, firm, partnership, joint venture, association, corporation or other business, organization, entity or enterprise whatsoever (“Person”), Executive shall not directly or indirectly:</w:t>
      </w:r>
    </w:p>
    <w:p>
      <w:pPr>
        <w:spacing w:after="0" w:line="212" w:lineRule="exact"/>
        <w:rPr>
          <w:rFonts w:ascii="Arial" w:cs="Arial" w:eastAsia="Arial" w:hAnsi="Arial"/>
          <w:sz w:val="22"/>
          <w:szCs w:val="22"/>
          <w:color w:val="auto"/>
        </w:rPr>
      </w:pPr>
    </w:p>
    <w:p>
      <w:pPr>
        <w:ind w:left="904" w:hanging="255"/>
        <w:spacing w:after="0"/>
        <w:tabs>
          <w:tab w:leader="none" w:pos="904" w:val="left"/>
        </w:tabs>
        <w:numPr>
          <w:ilvl w:val="2"/>
          <w:numId w:val="41"/>
        </w:numPr>
        <w:rPr>
          <w:rFonts w:ascii="Arial" w:cs="Arial" w:eastAsia="Arial" w:hAnsi="Arial"/>
          <w:sz w:val="22"/>
          <w:szCs w:val="22"/>
          <w:color w:val="auto"/>
        </w:rPr>
      </w:pPr>
      <w:r>
        <w:rPr>
          <w:rFonts w:ascii="Arial" w:cs="Arial" w:eastAsia="Arial" w:hAnsi="Arial"/>
          <w:sz w:val="22"/>
          <w:szCs w:val="22"/>
          <w:color w:val="auto"/>
        </w:rPr>
        <w:t>operate a Competitive Business;</w:t>
      </w:r>
    </w:p>
    <w:p>
      <w:pPr>
        <w:spacing w:after="0" w:line="8" w:lineRule="exact"/>
        <w:rPr>
          <w:rFonts w:ascii="Arial" w:cs="Arial" w:eastAsia="Arial" w:hAnsi="Arial"/>
          <w:sz w:val="22"/>
          <w:szCs w:val="22"/>
          <w:color w:val="auto"/>
        </w:rPr>
      </w:pPr>
    </w:p>
    <w:p>
      <w:pPr>
        <w:ind w:left="964" w:hanging="315"/>
        <w:spacing w:after="0"/>
        <w:tabs>
          <w:tab w:leader="none" w:pos="964" w:val="left"/>
        </w:tabs>
        <w:numPr>
          <w:ilvl w:val="2"/>
          <w:numId w:val="41"/>
        </w:numPr>
        <w:rPr>
          <w:rFonts w:ascii="Arial" w:cs="Arial" w:eastAsia="Arial" w:hAnsi="Arial"/>
          <w:sz w:val="19"/>
          <w:szCs w:val="19"/>
          <w:color w:val="auto"/>
        </w:rPr>
      </w:pPr>
      <w:r>
        <w:rPr>
          <w:rFonts w:ascii="Arial" w:cs="Arial" w:eastAsia="Arial" w:hAnsi="Arial"/>
          <w:sz w:val="19"/>
          <w:szCs w:val="19"/>
          <w:color w:val="auto"/>
        </w:rPr>
        <w:t>enter into the employ of, or render any services to, any Person in respect of any Competitive Business;</w:t>
      </w:r>
    </w:p>
    <w:p>
      <w:pPr>
        <w:spacing w:after="0" w:line="24" w:lineRule="exact"/>
        <w:rPr>
          <w:rFonts w:ascii="Arial" w:cs="Arial" w:eastAsia="Arial" w:hAnsi="Arial"/>
          <w:sz w:val="19"/>
          <w:szCs w:val="19"/>
          <w:color w:val="auto"/>
        </w:rPr>
      </w:pPr>
    </w:p>
    <w:p>
      <w:pPr>
        <w:jc w:val="both"/>
        <w:ind w:left="644" w:right="140" w:firstLine="5"/>
        <w:spacing w:after="0" w:line="267" w:lineRule="auto"/>
        <w:tabs>
          <w:tab w:leader="none" w:pos="1404" w:val="left"/>
        </w:tabs>
        <w:numPr>
          <w:ilvl w:val="2"/>
          <w:numId w:val="41"/>
        </w:numPr>
        <w:rPr>
          <w:rFonts w:ascii="Arial" w:cs="Arial" w:eastAsia="Arial" w:hAnsi="Arial"/>
          <w:sz w:val="19"/>
          <w:szCs w:val="19"/>
          <w:color w:val="auto"/>
        </w:rPr>
      </w:pPr>
      <w:r>
        <w:rPr>
          <w:rFonts w:ascii="Arial" w:cs="Arial" w:eastAsia="Arial" w:hAnsi="Arial"/>
          <w:sz w:val="19"/>
          <w:szCs w:val="19"/>
          <w:color w:val="auto"/>
        </w:rPr>
        <w:t>acquire a financial interest in, or otherwise become actively involved with, any Competitive Business, directly or indirectly, as an individual, partner, shareholder, officer, director, principal, agent, trustee or consultant; provided, however, that in no event shall ownership of less than 2% of the outstanding capital stock of any corporation, in and of itself, be deemed a violation of this Release if such capital stock is listed on a national securities exchange or regularly traded in an over-the-counter market; or</w:t>
      </w:r>
    </w:p>
    <w:p>
      <w:pPr>
        <w:ind w:left="644" w:right="140" w:firstLine="5"/>
        <w:spacing w:after="0" w:line="237" w:lineRule="auto"/>
        <w:tabs>
          <w:tab w:leader="none" w:pos="1541" w:val="left"/>
        </w:tabs>
        <w:numPr>
          <w:ilvl w:val="2"/>
          <w:numId w:val="41"/>
        </w:numPr>
        <w:rPr>
          <w:rFonts w:ascii="Arial" w:cs="Arial" w:eastAsia="Arial" w:hAnsi="Arial"/>
          <w:sz w:val="22"/>
          <w:szCs w:val="22"/>
          <w:color w:val="auto"/>
        </w:rPr>
      </w:pPr>
      <w:r>
        <w:rPr>
          <w:rFonts w:ascii="Arial" w:cs="Arial" w:eastAsia="Arial" w:hAnsi="Arial"/>
          <w:sz w:val="22"/>
          <w:szCs w:val="22"/>
          <w:color w:val="auto"/>
        </w:rPr>
        <w:t>interfere with, or attempt to interfere with, any business relationships between Albany or any of its subsidiaries or affiliates and their customers, clients, suppliers or investors; and</w:t>
      </w:r>
    </w:p>
    <w:p>
      <w:pPr>
        <w:spacing w:after="0" w:line="211" w:lineRule="exact"/>
        <w:rPr>
          <w:rFonts w:ascii="Arial" w:cs="Arial" w:eastAsia="Arial" w:hAnsi="Arial"/>
          <w:sz w:val="22"/>
          <w:szCs w:val="22"/>
          <w:color w:val="auto"/>
        </w:rPr>
      </w:pPr>
    </w:p>
    <w:p>
      <w:pPr>
        <w:ind w:left="4" w:right="280" w:firstLine="320"/>
        <w:spacing w:after="0" w:line="238" w:lineRule="auto"/>
        <w:tabs>
          <w:tab w:leader="none" w:pos="684" w:val="left"/>
        </w:tabs>
        <w:numPr>
          <w:ilvl w:val="1"/>
          <w:numId w:val="41"/>
        </w:numPr>
        <w:rPr>
          <w:rFonts w:ascii="Arial" w:cs="Arial" w:eastAsia="Arial" w:hAnsi="Arial"/>
          <w:sz w:val="22"/>
          <w:szCs w:val="22"/>
          <w:color w:val="auto"/>
        </w:rPr>
      </w:pPr>
      <w:r>
        <w:rPr>
          <w:rFonts w:ascii="Arial" w:cs="Arial" w:eastAsia="Arial" w:hAnsi="Arial"/>
          <w:sz w:val="22"/>
          <w:szCs w:val="22"/>
          <w:color w:val="auto"/>
        </w:rPr>
        <w:t>That for a period of twenty-four (24) months following the termination of his employment with the Company for any reason, whether on the Executive’s own behalf or on behalf of or in conjunction with any person, firm, partnership, joint venture, association, corporation or other business, organization, entity or enterprise whatsoever, Executive shall not directly or indirectly:</w:t>
      </w:r>
    </w:p>
    <w:p>
      <w:pPr>
        <w:spacing w:after="0" w:line="212" w:lineRule="exact"/>
        <w:rPr>
          <w:rFonts w:ascii="Arial" w:cs="Arial" w:eastAsia="Arial" w:hAnsi="Arial"/>
          <w:sz w:val="22"/>
          <w:szCs w:val="22"/>
          <w:color w:val="auto"/>
        </w:rPr>
      </w:pPr>
    </w:p>
    <w:p>
      <w:pPr>
        <w:ind w:left="644" w:right="860" w:firstLine="5"/>
        <w:spacing w:after="0" w:line="239" w:lineRule="auto"/>
        <w:tabs>
          <w:tab w:leader="none" w:pos="902" w:val="left"/>
        </w:tabs>
        <w:numPr>
          <w:ilvl w:val="2"/>
          <w:numId w:val="41"/>
        </w:numPr>
        <w:rPr>
          <w:rFonts w:ascii="Arial" w:cs="Arial" w:eastAsia="Arial" w:hAnsi="Arial"/>
          <w:sz w:val="22"/>
          <w:szCs w:val="22"/>
          <w:color w:val="auto"/>
        </w:rPr>
      </w:pPr>
      <w:r>
        <w:rPr>
          <w:rFonts w:ascii="Arial" w:cs="Arial" w:eastAsia="Arial" w:hAnsi="Arial"/>
          <w:sz w:val="22"/>
          <w:szCs w:val="22"/>
          <w:color w:val="auto"/>
        </w:rPr>
        <w:t>solicit or encourage any employee of the Company or any of its subsidiaries or affiliates to leave the employment of the Company or any of its subsidiaries or affiliates; or</w:t>
      </w:r>
    </w:p>
    <w:p>
      <w:pPr>
        <w:ind w:left="644" w:right="220" w:firstLine="5"/>
        <w:spacing w:after="0" w:line="308" w:lineRule="auto"/>
        <w:tabs>
          <w:tab w:leader="none" w:pos="962" w:val="left"/>
        </w:tabs>
        <w:numPr>
          <w:ilvl w:val="2"/>
          <w:numId w:val="41"/>
        </w:numPr>
        <w:rPr>
          <w:rFonts w:ascii="Arial" w:cs="Arial" w:eastAsia="Arial" w:hAnsi="Arial"/>
          <w:sz w:val="19"/>
          <w:szCs w:val="19"/>
          <w:color w:val="auto"/>
        </w:rPr>
      </w:pPr>
      <w:r>
        <w:rPr>
          <w:rFonts w:ascii="Arial" w:cs="Arial" w:eastAsia="Arial" w:hAnsi="Arial"/>
          <w:sz w:val="19"/>
          <w:szCs w:val="19"/>
          <w:color w:val="auto"/>
        </w:rPr>
        <w:t>hire any such employee who was employed by the Company or any of its subsidiaries or affiliates as of the date of such termination or, if later, within the six-months before the date the person was hired by Executive.</w:t>
      </w:r>
    </w:p>
    <w:p>
      <w:pPr>
        <w:spacing w:after="0" w:line="150" w:lineRule="exact"/>
        <w:rPr>
          <w:sz w:val="20"/>
          <w:szCs w:val="20"/>
          <w:color w:val="auto"/>
        </w:rPr>
      </w:pPr>
    </w:p>
    <w:p>
      <w:pPr>
        <w:ind w:left="4" w:right="440"/>
        <w:spacing w:after="0"/>
        <w:rPr>
          <w:sz w:val="20"/>
          <w:szCs w:val="20"/>
          <w:color w:val="auto"/>
        </w:rPr>
      </w:pPr>
      <w:r>
        <w:rPr>
          <w:rFonts w:ascii="Arial" w:cs="Arial" w:eastAsia="Arial" w:hAnsi="Arial"/>
          <w:sz w:val="22"/>
          <w:szCs w:val="22"/>
          <w:color w:val="auto"/>
        </w:rPr>
        <w:t>Executive understands that the Company will have the right to seek injunctive relief in the event that Executive violates this paragraph 10 because the harm caused by such violation will be irreparable and difficult to calculate in terms of monetary damages.</w:t>
      </w:r>
    </w:p>
    <w:p>
      <w:pPr>
        <w:spacing w:after="0" w:line="213" w:lineRule="exact"/>
        <w:rPr>
          <w:sz w:val="20"/>
          <w:szCs w:val="20"/>
          <w:color w:val="auto"/>
        </w:rPr>
      </w:pPr>
    </w:p>
    <w:p>
      <w:pPr>
        <w:ind w:left="4"/>
        <w:spacing w:after="0" w:line="297" w:lineRule="auto"/>
        <w:rPr>
          <w:sz w:val="20"/>
          <w:szCs w:val="20"/>
          <w:color w:val="auto"/>
        </w:rPr>
      </w:pPr>
      <w:r>
        <w:rPr>
          <w:rFonts w:ascii="Arial" w:cs="Arial" w:eastAsia="Arial" w:hAnsi="Arial"/>
          <w:sz w:val="19"/>
          <w:szCs w:val="19"/>
          <w:color w:val="auto"/>
        </w:rPr>
        <w:t>For the purposes of this paragraph 10, a Competitive Business is any person or entity that manufactures or sells (a) papermachine clothing or belts used in the manufacture or paper, nonwovens or fiber cement, or (b) advanced composite materials, structures or components for use in defense, aerospace or automotive applications.</w:t>
      </w:r>
    </w:p>
    <w:p>
      <w:pPr>
        <w:spacing w:after="0" w:line="161" w:lineRule="exact"/>
        <w:rPr>
          <w:sz w:val="20"/>
          <w:szCs w:val="20"/>
          <w:color w:val="auto"/>
        </w:rPr>
      </w:pPr>
    </w:p>
    <w:p>
      <w:pPr>
        <w:jc w:val="both"/>
        <w:ind w:left="4" w:right="160" w:hanging="4"/>
        <w:spacing w:after="0" w:line="235" w:lineRule="auto"/>
        <w:tabs>
          <w:tab w:leader="none" w:pos="334" w:val="left"/>
        </w:tabs>
        <w:numPr>
          <w:ilvl w:val="0"/>
          <w:numId w:val="42"/>
        </w:numPr>
        <w:rPr>
          <w:rFonts w:ascii="Arial" w:cs="Arial" w:eastAsia="Arial" w:hAnsi="Arial"/>
          <w:sz w:val="22"/>
          <w:szCs w:val="22"/>
          <w:color w:val="auto"/>
        </w:rPr>
      </w:pPr>
      <w:r>
        <w:rPr>
          <w:rFonts w:ascii="Arial" w:cs="Arial" w:eastAsia="Arial" w:hAnsi="Arial"/>
          <w:sz w:val="22"/>
          <w:szCs w:val="22"/>
          <w:u w:val="single" w:color="auto"/>
          <w:color w:val="auto"/>
        </w:rPr>
        <w:t>Blue Pencil Doctrine</w:t>
      </w:r>
      <w:r>
        <w:rPr>
          <w:rFonts w:ascii="Arial" w:cs="Arial" w:eastAsia="Arial" w:hAnsi="Arial"/>
          <w:sz w:val="22"/>
          <w:szCs w:val="22"/>
          <w:color w:val="auto"/>
        </w:rPr>
        <w:t>. It is expressly understood and agreed by Executive that although Executive considers the restrictions in this Agreement to be reasonable, if a final determination is made by a court of competent jurisdiction or an arbitrator that the time or territory or any other restriction contained in the Agreement is an unenforceable restriction against Executive, the provisions of this Agreement shall not be rendered void but shall be deemed amended to apply as to such maximum time and territory and to such maximum extent as such court or arbitrator may determine or indicate to be enforceable.</w:t>
      </w:r>
    </w:p>
    <w:p>
      <w:pPr>
        <w:spacing w:after="0" w:line="209" w:lineRule="exact"/>
        <w:rPr>
          <w:sz w:val="20"/>
          <w:szCs w:val="20"/>
          <w:color w:val="auto"/>
        </w:rPr>
      </w:pPr>
    </w:p>
    <w:p>
      <w:pPr>
        <w:jc w:val="center"/>
        <w:ind w:right="296"/>
        <w:spacing w:after="0"/>
        <w:rPr>
          <w:sz w:val="20"/>
          <w:szCs w:val="20"/>
          <w:color w:val="auto"/>
        </w:rPr>
      </w:pPr>
      <w:r>
        <w:rPr>
          <w:rFonts w:ascii="Arial" w:cs="Arial" w:eastAsia="Arial" w:hAnsi="Arial"/>
          <w:sz w:val="22"/>
          <w:szCs w:val="22"/>
          <w:color w:val="auto"/>
        </w:rPr>
        <w:t xml:space="preserve">Page </w:t>
      </w:r>
      <w:r>
        <w:rPr>
          <w:rFonts w:ascii="Arial" w:cs="Arial" w:eastAsia="Arial" w:hAnsi="Arial"/>
          <w:sz w:val="22"/>
          <w:szCs w:val="22"/>
          <w:b w:val="1"/>
          <w:bCs w:val="1"/>
          <w:color w:val="auto"/>
        </w:rPr>
        <w:t>7</w:t>
      </w:r>
      <w:r>
        <w:rPr>
          <w:rFonts w:ascii="Arial" w:cs="Arial" w:eastAsia="Arial" w:hAnsi="Arial"/>
          <w:sz w:val="22"/>
          <w:szCs w:val="22"/>
          <w:color w:val="auto"/>
        </w:rPr>
        <w:t xml:space="preserve"> of </w:t>
      </w:r>
      <w:r>
        <w:rPr>
          <w:rFonts w:ascii="Arial" w:cs="Arial" w:eastAsia="Arial" w:hAnsi="Arial"/>
          <w:sz w:val="22"/>
          <w:szCs w:val="22"/>
          <w:b w:val="1"/>
          <w:bCs w:val="1"/>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11430</wp:posOffset>
            </wp:positionV>
            <wp:extent cx="7246620" cy="342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0424"/>
          </w:cols>
          <w:pgMar w:left="896" w:top="469" w:right="579" w:bottom="1440" w:gutter="0" w:footer="0" w:header="0"/>
        </w:sectPr>
      </w:pPr>
    </w:p>
    <w:bookmarkStart w:id="65" w:name="page66"/>
    <w:bookmarkEnd w:id="65"/>
    <w:p>
      <w:pPr>
        <w:ind w:left="4" w:right="60" w:hanging="4"/>
        <w:spacing w:after="0" w:line="287" w:lineRule="auto"/>
        <w:tabs>
          <w:tab w:leader="none" w:pos="328" w:val="left"/>
        </w:tabs>
        <w:numPr>
          <w:ilvl w:val="0"/>
          <w:numId w:val="43"/>
        </w:numPr>
        <w:rPr>
          <w:rFonts w:ascii="Arial" w:cs="Arial" w:eastAsia="Arial" w:hAnsi="Arial"/>
          <w:sz w:val="19"/>
          <w:szCs w:val="19"/>
          <w:color w:val="auto"/>
        </w:rPr>
      </w:pPr>
      <w:r>
        <w:rPr>
          <w:rFonts w:ascii="Arial" w:cs="Arial" w:eastAsia="Arial" w:hAnsi="Arial"/>
          <w:sz w:val="19"/>
          <w:szCs w:val="19"/>
          <w:u w:val="single" w:color="auto"/>
          <w:color w:val="auto"/>
        </w:rPr>
        <w:t>Board Membership</w:t>
      </w:r>
      <w:r>
        <w:rPr>
          <w:rFonts w:ascii="Arial" w:cs="Arial" w:eastAsia="Arial" w:hAnsi="Arial"/>
          <w:sz w:val="19"/>
          <w:szCs w:val="19"/>
          <w:color w:val="auto"/>
        </w:rPr>
        <w:t>. Upon the termination of Executive's employment for any reason, Executive will be deemed to have resigned from any seat on the Board (and from any seats on the boards, and from any offices, of subsidiaries) held at such time, voluntarily, without any further required action by the Executive, as of the end of the Employment Term. Executive, at the Board's request, will execute any documents necessary to reflect his resignation.</w:t>
      </w:r>
    </w:p>
    <w:p>
      <w:pPr>
        <w:spacing w:after="0" w:line="170" w:lineRule="exact"/>
        <w:rPr>
          <w:rFonts w:ascii="Arial" w:cs="Arial" w:eastAsia="Arial" w:hAnsi="Arial"/>
          <w:sz w:val="19"/>
          <w:szCs w:val="19"/>
          <w:color w:val="auto"/>
        </w:rPr>
      </w:pPr>
    </w:p>
    <w:p>
      <w:pPr>
        <w:ind w:left="4" w:right="40" w:hanging="4"/>
        <w:spacing w:after="0" w:line="269" w:lineRule="auto"/>
        <w:tabs>
          <w:tab w:leader="none" w:pos="328" w:val="left"/>
        </w:tabs>
        <w:numPr>
          <w:ilvl w:val="0"/>
          <w:numId w:val="43"/>
        </w:numPr>
        <w:rPr>
          <w:rFonts w:ascii="Arial" w:cs="Arial" w:eastAsia="Arial" w:hAnsi="Arial"/>
          <w:sz w:val="19"/>
          <w:szCs w:val="19"/>
          <w:color w:val="auto"/>
        </w:rPr>
      </w:pPr>
      <w:r>
        <w:rPr>
          <w:rFonts w:ascii="Arial" w:cs="Arial" w:eastAsia="Arial" w:hAnsi="Arial"/>
          <w:sz w:val="19"/>
          <w:szCs w:val="19"/>
          <w:u w:val="single" w:color="auto"/>
          <w:color w:val="auto"/>
        </w:rPr>
        <w:t>Assignment</w:t>
      </w:r>
      <w:r>
        <w:rPr>
          <w:rFonts w:ascii="Arial" w:cs="Arial" w:eastAsia="Arial" w:hAnsi="Arial"/>
          <w:sz w:val="19"/>
          <w:szCs w:val="19"/>
          <w:color w:val="auto"/>
        </w:rPr>
        <w:t>. This Agreement will be binding upon and inure to the benefit of (a) the heirs, executors, and legal representatives of Executive upon Executive's death, and (b) any successor of the Company. Any such successor of the Company will be deemed substituted for the Company under the terms of this Agreement for all purposes. For this purpose, "successor" means any person, firm, corporation, or other business entity which at any time, whether by purchase, merger, or otherwise, directly or indirectly acquires all or substantially all of the assets or business of the Company. None of the rights of Executive to receive any form of compensation payable pursuant to this Agreement may be assigned or transferred except by will or the laws of descent and distribution. Any other attempted assignment, transfer, conveyance, or other disposition of</w:t>
      </w:r>
    </w:p>
    <w:p>
      <w:pPr>
        <w:spacing w:after="0" w:line="3" w:lineRule="exact"/>
        <w:rPr>
          <w:rFonts w:ascii="Arial" w:cs="Arial" w:eastAsia="Arial" w:hAnsi="Arial"/>
          <w:sz w:val="19"/>
          <w:szCs w:val="19"/>
          <w:color w:val="auto"/>
        </w:rPr>
      </w:pPr>
    </w:p>
    <w:p>
      <w:pPr>
        <w:ind w:left="4"/>
        <w:spacing w:after="0"/>
        <w:rPr>
          <w:rFonts w:ascii="Arial" w:cs="Arial" w:eastAsia="Arial" w:hAnsi="Arial"/>
          <w:sz w:val="19"/>
          <w:szCs w:val="19"/>
          <w:color w:val="auto"/>
        </w:rPr>
      </w:pPr>
      <w:r>
        <w:rPr>
          <w:rFonts w:ascii="Arial" w:cs="Arial" w:eastAsia="Arial" w:hAnsi="Arial"/>
          <w:sz w:val="22"/>
          <w:szCs w:val="22"/>
          <w:color w:val="auto"/>
        </w:rPr>
        <w:t>Executive's right to compensation or other benefits will be null and void.</w:t>
      </w:r>
    </w:p>
    <w:p>
      <w:pPr>
        <w:spacing w:after="0" w:line="215" w:lineRule="exact"/>
        <w:rPr>
          <w:rFonts w:ascii="Arial" w:cs="Arial" w:eastAsia="Arial" w:hAnsi="Arial"/>
          <w:sz w:val="19"/>
          <w:szCs w:val="19"/>
          <w:color w:val="auto"/>
        </w:rPr>
      </w:pPr>
    </w:p>
    <w:p>
      <w:pPr>
        <w:ind w:left="4" w:hanging="4"/>
        <w:spacing w:after="0" w:line="249" w:lineRule="auto"/>
        <w:tabs>
          <w:tab w:leader="none" w:pos="328" w:val="left"/>
        </w:tabs>
        <w:numPr>
          <w:ilvl w:val="0"/>
          <w:numId w:val="43"/>
        </w:numPr>
        <w:rPr>
          <w:rFonts w:ascii="Arial" w:cs="Arial" w:eastAsia="Arial" w:hAnsi="Arial"/>
          <w:sz w:val="21"/>
          <w:szCs w:val="21"/>
          <w:color w:val="auto"/>
        </w:rPr>
      </w:pPr>
      <w:r>
        <w:rPr>
          <w:rFonts w:ascii="Arial" w:cs="Arial" w:eastAsia="Arial" w:hAnsi="Arial"/>
          <w:sz w:val="21"/>
          <w:szCs w:val="21"/>
          <w:u w:val="single" w:color="auto"/>
          <w:color w:val="auto"/>
        </w:rPr>
        <w:t>Notices</w:t>
      </w:r>
      <w:r>
        <w:rPr>
          <w:rFonts w:ascii="Arial" w:cs="Arial" w:eastAsia="Arial" w:hAnsi="Arial"/>
          <w:sz w:val="21"/>
          <w:szCs w:val="21"/>
          <w:color w:val="auto"/>
        </w:rPr>
        <w:t>. All notices, requests, demands, and other communications called for hereunder will be in writing and will be deemed given (a) on the date of delivery if delivered personally, (b) one (1) day after being sent overnight by a well-established commercial overnight service, or (c) four (4) days after being mailed by registered or certified mail, return receipt requested, prepaid and addressed to the parties or their successors at the following addresses, or at such other addresses as the parties may later designate in writing:</w:t>
      </w:r>
    </w:p>
    <w:p>
      <w:pPr>
        <w:spacing w:after="0" w:line="206" w:lineRule="exact"/>
        <w:rPr>
          <w:sz w:val="20"/>
          <w:szCs w:val="20"/>
          <w:color w:val="auto"/>
        </w:rPr>
      </w:pPr>
    </w:p>
    <w:p>
      <w:pPr>
        <w:ind w:left="4"/>
        <w:spacing w:after="0"/>
        <w:rPr>
          <w:sz w:val="20"/>
          <w:szCs w:val="20"/>
          <w:color w:val="auto"/>
        </w:rPr>
      </w:pPr>
      <w:r>
        <w:rPr>
          <w:rFonts w:ascii="Arial" w:cs="Arial" w:eastAsia="Arial" w:hAnsi="Arial"/>
          <w:sz w:val="22"/>
          <w:szCs w:val="22"/>
          <w:color w:val="auto"/>
        </w:rPr>
        <w:t>If to the Company:</w:t>
      </w:r>
    </w:p>
    <w:p>
      <w:pPr>
        <w:spacing w:after="0" w:line="233" w:lineRule="exact"/>
        <w:rPr>
          <w:sz w:val="20"/>
          <w:szCs w:val="20"/>
          <w:color w:val="auto"/>
        </w:rPr>
      </w:pPr>
    </w:p>
    <w:p>
      <w:pPr>
        <w:ind w:left="4"/>
        <w:spacing w:after="0"/>
        <w:rPr>
          <w:sz w:val="20"/>
          <w:szCs w:val="20"/>
          <w:color w:val="auto"/>
        </w:rPr>
      </w:pPr>
      <w:r>
        <w:rPr>
          <w:rFonts w:ascii="Arial" w:cs="Arial" w:eastAsia="Arial" w:hAnsi="Arial"/>
          <w:sz w:val="22"/>
          <w:szCs w:val="22"/>
          <w:color w:val="auto"/>
        </w:rPr>
        <w:t>Attn: Chairman of the Board</w:t>
      </w:r>
    </w:p>
    <w:p>
      <w:pPr>
        <w:ind w:left="4"/>
        <w:spacing w:after="0" w:line="238" w:lineRule="auto"/>
        <w:rPr>
          <w:sz w:val="20"/>
          <w:szCs w:val="20"/>
          <w:color w:val="auto"/>
        </w:rPr>
      </w:pPr>
      <w:r>
        <w:rPr>
          <w:rFonts w:ascii="Arial" w:cs="Arial" w:eastAsia="Arial" w:hAnsi="Arial"/>
          <w:sz w:val="22"/>
          <w:szCs w:val="22"/>
          <w:color w:val="auto"/>
        </w:rPr>
        <w:t>Albany International Corp.</w:t>
      </w:r>
    </w:p>
    <w:p>
      <w:pPr>
        <w:ind w:left="4"/>
        <w:spacing w:after="0" w:line="230" w:lineRule="auto"/>
        <w:rPr>
          <w:sz w:val="20"/>
          <w:szCs w:val="20"/>
          <w:color w:val="auto"/>
        </w:rPr>
      </w:pPr>
      <w:r>
        <w:rPr>
          <w:rFonts w:ascii="Arial" w:cs="Arial" w:eastAsia="Arial" w:hAnsi="Arial"/>
          <w:sz w:val="22"/>
          <w:szCs w:val="22"/>
          <w:color w:val="auto"/>
        </w:rPr>
        <w:t>218 Airport Drive</w:t>
      </w:r>
    </w:p>
    <w:p>
      <w:pPr>
        <w:spacing w:after="0" w:line="1" w:lineRule="exact"/>
        <w:rPr>
          <w:sz w:val="20"/>
          <w:szCs w:val="20"/>
          <w:color w:val="auto"/>
        </w:rPr>
      </w:pPr>
    </w:p>
    <w:p>
      <w:pPr>
        <w:ind w:left="4"/>
        <w:spacing w:after="0"/>
        <w:rPr>
          <w:sz w:val="20"/>
          <w:szCs w:val="20"/>
          <w:color w:val="auto"/>
        </w:rPr>
      </w:pPr>
      <w:r>
        <w:rPr>
          <w:rFonts w:ascii="Arial" w:cs="Arial" w:eastAsia="Arial" w:hAnsi="Arial"/>
          <w:sz w:val="22"/>
          <w:szCs w:val="22"/>
          <w:color w:val="auto"/>
        </w:rPr>
        <w:t>Rochester, NH 03867</w:t>
      </w:r>
    </w:p>
    <w:p>
      <w:pPr>
        <w:spacing w:after="0" w:line="215" w:lineRule="exact"/>
        <w:rPr>
          <w:sz w:val="20"/>
          <w:szCs w:val="20"/>
          <w:color w:val="auto"/>
        </w:rPr>
      </w:pPr>
    </w:p>
    <w:p>
      <w:pPr>
        <w:ind w:left="4"/>
        <w:spacing w:after="0"/>
        <w:rPr>
          <w:sz w:val="20"/>
          <w:szCs w:val="20"/>
          <w:color w:val="auto"/>
        </w:rPr>
      </w:pPr>
      <w:r>
        <w:rPr>
          <w:rFonts w:ascii="Arial" w:cs="Arial" w:eastAsia="Arial" w:hAnsi="Arial"/>
          <w:sz w:val="22"/>
          <w:szCs w:val="22"/>
          <w:color w:val="auto"/>
        </w:rPr>
        <w:t>If to the Executive:</w:t>
      </w:r>
    </w:p>
    <w:p>
      <w:pPr>
        <w:spacing w:after="0" w:line="233" w:lineRule="exact"/>
        <w:rPr>
          <w:sz w:val="20"/>
          <w:szCs w:val="20"/>
          <w:color w:val="auto"/>
        </w:rPr>
      </w:pPr>
    </w:p>
    <w:p>
      <w:pPr>
        <w:ind w:left="4" w:right="80"/>
        <w:spacing w:after="0" w:line="258" w:lineRule="auto"/>
        <w:rPr>
          <w:sz w:val="20"/>
          <w:szCs w:val="20"/>
          <w:color w:val="auto"/>
        </w:rPr>
      </w:pPr>
      <w:r>
        <w:rPr>
          <w:rFonts w:ascii="Arial" w:cs="Arial" w:eastAsia="Arial" w:hAnsi="Arial"/>
          <w:sz w:val="21"/>
          <w:szCs w:val="21"/>
          <w:color w:val="auto"/>
        </w:rPr>
        <w:t>at the last residential address known by the Company. In addition, the Company shall make a reasonable effort to fax or e-mail such notice to Executive at his most recent personal fax number or e-mail address, with a copy to Executive's lawyer by the same method, to the extent known to the Company.</w:t>
      </w:r>
    </w:p>
    <w:p>
      <w:pPr>
        <w:spacing w:after="0" w:line="200" w:lineRule="exact"/>
        <w:rPr>
          <w:sz w:val="20"/>
          <w:szCs w:val="20"/>
          <w:color w:val="auto"/>
        </w:rPr>
      </w:pPr>
    </w:p>
    <w:p>
      <w:pPr>
        <w:spacing w:after="0" w:line="210" w:lineRule="exact"/>
        <w:rPr>
          <w:sz w:val="20"/>
          <w:szCs w:val="20"/>
          <w:color w:val="auto"/>
        </w:rPr>
      </w:pPr>
    </w:p>
    <w:p>
      <w:pPr>
        <w:ind w:left="4" w:right="420" w:hanging="4"/>
        <w:spacing w:after="0" w:line="274" w:lineRule="auto"/>
        <w:tabs>
          <w:tab w:leader="none" w:pos="328" w:val="left"/>
        </w:tabs>
        <w:numPr>
          <w:ilvl w:val="0"/>
          <w:numId w:val="44"/>
        </w:numPr>
        <w:rPr>
          <w:rFonts w:ascii="Arial" w:cs="Arial" w:eastAsia="Arial" w:hAnsi="Arial"/>
          <w:sz w:val="21"/>
          <w:szCs w:val="21"/>
          <w:color w:val="auto"/>
        </w:rPr>
      </w:pPr>
      <w:r>
        <w:rPr>
          <w:rFonts w:ascii="Arial" w:cs="Arial" w:eastAsia="Arial" w:hAnsi="Arial"/>
          <w:sz w:val="21"/>
          <w:szCs w:val="21"/>
          <w:u w:val="single" w:color="auto"/>
          <w:color w:val="auto"/>
        </w:rPr>
        <w:t>Severability</w:t>
      </w:r>
      <w:r>
        <w:rPr>
          <w:rFonts w:ascii="Arial" w:cs="Arial" w:eastAsia="Arial" w:hAnsi="Arial"/>
          <w:sz w:val="21"/>
          <w:szCs w:val="21"/>
          <w:color w:val="auto"/>
        </w:rPr>
        <w:t>. If any provision hereof becomes or is declared by a court of competent jurisdiction to be illegal, unenforceable, or void, this Agreement will continue in full force and effect without said provision.</w:t>
      </w:r>
    </w:p>
    <w:p>
      <w:pPr>
        <w:spacing w:after="0" w:line="177" w:lineRule="exact"/>
        <w:rPr>
          <w:rFonts w:ascii="Arial" w:cs="Arial" w:eastAsia="Arial" w:hAnsi="Arial"/>
          <w:sz w:val="21"/>
          <w:szCs w:val="21"/>
          <w:color w:val="auto"/>
        </w:rPr>
      </w:pPr>
    </w:p>
    <w:p>
      <w:pPr>
        <w:ind w:left="324" w:hanging="324"/>
        <w:spacing w:after="0"/>
        <w:tabs>
          <w:tab w:leader="none" w:pos="324" w:val="left"/>
        </w:tabs>
        <w:numPr>
          <w:ilvl w:val="0"/>
          <w:numId w:val="44"/>
        </w:numPr>
        <w:rPr>
          <w:rFonts w:ascii="Arial" w:cs="Arial" w:eastAsia="Arial" w:hAnsi="Arial"/>
          <w:sz w:val="22"/>
          <w:szCs w:val="22"/>
          <w:color w:val="auto"/>
        </w:rPr>
      </w:pPr>
      <w:r>
        <w:rPr>
          <w:rFonts w:ascii="Arial" w:cs="Arial" w:eastAsia="Arial" w:hAnsi="Arial"/>
          <w:sz w:val="22"/>
          <w:szCs w:val="22"/>
          <w:u w:val="single" w:color="auto"/>
          <w:color w:val="auto"/>
        </w:rPr>
        <w:t>Arbitration</w:t>
      </w:r>
      <w:r>
        <w:rPr>
          <w:rFonts w:ascii="Arial" w:cs="Arial" w:eastAsia="Arial" w:hAnsi="Arial"/>
          <w:sz w:val="22"/>
          <w:szCs w:val="22"/>
          <w:color w:val="auto"/>
        </w:rPr>
        <w:t>. The Parties agree that any and all disputes arising out of the terms of this</w:t>
      </w:r>
    </w:p>
    <w:p>
      <w:pPr>
        <w:spacing w:after="0" w:line="200" w:lineRule="exact"/>
        <w:rPr>
          <w:sz w:val="20"/>
          <w:szCs w:val="20"/>
          <w:color w:val="auto"/>
        </w:rPr>
      </w:pPr>
    </w:p>
    <w:p>
      <w:pPr>
        <w:spacing w:after="0" w:line="243" w:lineRule="exact"/>
        <w:rPr>
          <w:sz w:val="20"/>
          <w:szCs w:val="20"/>
          <w:color w:val="auto"/>
        </w:rPr>
      </w:pPr>
    </w:p>
    <w:p>
      <w:pPr>
        <w:jc w:val="center"/>
        <w:ind w:right="56"/>
        <w:spacing w:after="0"/>
        <w:rPr>
          <w:sz w:val="20"/>
          <w:szCs w:val="20"/>
          <w:color w:val="auto"/>
        </w:rPr>
      </w:pPr>
      <w:r>
        <w:rPr>
          <w:rFonts w:ascii="Arial" w:cs="Arial" w:eastAsia="Arial" w:hAnsi="Arial"/>
          <w:sz w:val="22"/>
          <w:szCs w:val="22"/>
          <w:color w:val="auto"/>
        </w:rPr>
        <w:t xml:space="preserve">Page </w:t>
      </w:r>
      <w:r>
        <w:rPr>
          <w:rFonts w:ascii="Arial" w:cs="Arial" w:eastAsia="Arial" w:hAnsi="Arial"/>
          <w:sz w:val="22"/>
          <w:szCs w:val="22"/>
          <w:b w:val="1"/>
          <w:bCs w:val="1"/>
          <w:color w:val="auto"/>
        </w:rPr>
        <w:t>8</w:t>
      </w:r>
      <w:r>
        <w:rPr>
          <w:rFonts w:ascii="Arial" w:cs="Arial" w:eastAsia="Arial" w:hAnsi="Arial"/>
          <w:sz w:val="22"/>
          <w:szCs w:val="22"/>
          <w:color w:val="auto"/>
        </w:rPr>
        <w:t xml:space="preserve"> of </w:t>
      </w:r>
      <w:r>
        <w:rPr>
          <w:rFonts w:ascii="Arial" w:cs="Arial" w:eastAsia="Arial" w:hAnsi="Arial"/>
          <w:sz w:val="22"/>
          <w:szCs w:val="22"/>
          <w:b w:val="1"/>
          <w:bCs w:val="1"/>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11430</wp:posOffset>
            </wp:positionV>
            <wp:extent cx="7246620" cy="342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0184"/>
          </w:cols>
          <w:pgMar w:left="896" w:top="685" w:right="819" w:bottom="1440" w:gutter="0" w:footer="0" w:header="0"/>
        </w:sectPr>
      </w:pPr>
    </w:p>
    <w:bookmarkStart w:id="66" w:name="page67"/>
    <w:bookmarkEnd w:id="66"/>
    <w:p>
      <w:pPr>
        <w:ind w:left="4" w:right="120"/>
        <w:spacing w:after="0" w:line="245" w:lineRule="auto"/>
        <w:rPr>
          <w:sz w:val="20"/>
          <w:szCs w:val="20"/>
          <w:color w:val="auto"/>
        </w:rPr>
      </w:pPr>
      <w:r>
        <w:rPr>
          <w:rFonts w:ascii="Arial" w:cs="Arial" w:eastAsia="Arial" w:hAnsi="Arial"/>
          <w:sz w:val="21"/>
          <w:szCs w:val="21"/>
          <w:color w:val="auto"/>
        </w:rPr>
        <w:t>Agreement, Executive's employment by the Company, Executive's service as an officer or director of the Company, or Executive's compensation and benefits, their interpretation, and any of the matters herein released, will be subject to binding arbitration in New York, New York under the American Arbitration Association's National Rules for the Resolution of Employment Disputes. The Parties agree that the prevailing party in any arbitration will be entitled to injunctive relief in any court of competent jurisdiction to enforce the arbitration award. The Parties hereto agree to waive their right to have any dispute between them resolved in a court of law by a judge or jury. This paragraph will not prevent either party from seeking injunctive relief (or any other provisional remedy) from any court having jurisdiction over the Parties and the subject matter of their dispute relating to Executive's obligations under this Agreement.</w:t>
      </w:r>
    </w:p>
    <w:p>
      <w:pPr>
        <w:spacing w:after="0" w:line="212" w:lineRule="exact"/>
        <w:rPr>
          <w:sz w:val="20"/>
          <w:szCs w:val="20"/>
          <w:color w:val="auto"/>
        </w:rPr>
      </w:pPr>
    </w:p>
    <w:p>
      <w:pPr>
        <w:ind w:left="4" w:hanging="4"/>
        <w:spacing w:after="0" w:line="243" w:lineRule="auto"/>
        <w:tabs>
          <w:tab w:leader="none" w:pos="328" w:val="left"/>
        </w:tabs>
        <w:numPr>
          <w:ilvl w:val="0"/>
          <w:numId w:val="45"/>
        </w:numPr>
        <w:rPr>
          <w:rFonts w:ascii="Arial" w:cs="Arial" w:eastAsia="Arial" w:hAnsi="Arial"/>
          <w:sz w:val="21"/>
          <w:szCs w:val="21"/>
          <w:color w:val="auto"/>
        </w:rPr>
      </w:pPr>
      <w:r>
        <w:rPr>
          <w:rFonts w:ascii="Arial" w:cs="Arial" w:eastAsia="Arial" w:hAnsi="Arial"/>
          <w:sz w:val="21"/>
          <w:szCs w:val="21"/>
          <w:u w:val="single" w:color="auto"/>
          <w:color w:val="auto"/>
        </w:rPr>
        <w:t>Integration</w:t>
      </w:r>
      <w:r>
        <w:rPr>
          <w:rFonts w:ascii="Arial" w:cs="Arial" w:eastAsia="Arial" w:hAnsi="Arial"/>
          <w:sz w:val="21"/>
          <w:szCs w:val="21"/>
          <w:color w:val="auto"/>
        </w:rPr>
        <w:t>. This Agreement, together with the Exhibit, represents the entire agreement and understanding between the parties as to the subject matter herein and supersedes all prior or contemporaneous agreements whether written or oral. No waiver, alteration, or modification of any of the provisions of this Agreement will be binding unless in a writing that is signed by duly authorized representatives of the parties hereto, provided that any benefits or compensation provided to Executive pursuant to the terms of any plan, program, policy, or arrangement may be amended or terminated by the Company at any time, in accordance with the terms of such plan, program, policy or arrangement. In entering into this Agreement, no party has relied on or made any representation, warranty, inducement, promise or understanding that is not in this Agreement.</w:t>
      </w:r>
    </w:p>
    <w:p>
      <w:pPr>
        <w:spacing w:after="0" w:line="6" w:lineRule="exact"/>
        <w:rPr>
          <w:rFonts w:ascii="Arial" w:cs="Arial" w:eastAsia="Arial" w:hAnsi="Arial"/>
          <w:sz w:val="21"/>
          <w:szCs w:val="21"/>
          <w:color w:val="auto"/>
        </w:rPr>
      </w:pPr>
    </w:p>
    <w:p>
      <w:pPr>
        <w:ind w:left="4"/>
        <w:spacing w:after="0" w:line="308" w:lineRule="auto"/>
        <w:rPr>
          <w:rFonts w:ascii="Arial" w:cs="Arial" w:eastAsia="Arial" w:hAnsi="Arial"/>
          <w:sz w:val="21"/>
          <w:szCs w:val="21"/>
          <w:color w:val="auto"/>
        </w:rPr>
      </w:pPr>
      <w:r>
        <w:rPr>
          <w:rFonts w:ascii="Arial" w:cs="Arial" w:eastAsia="Arial" w:hAnsi="Arial"/>
          <w:sz w:val="19"/>
          <w:szCs w:val="19"/>
          <w:color w:val="auto"/>
        </w:rPr>
        <w:t>Executive acknowledges that Executive is not subject to any contract, obligation or understanding (whether written or not) that would in any way restrict the performance of Executive's duties as set forth in this Agreement.</w:t>
      </w:r>
    </w:p>
    <w:p>
      <w:pPr>
        <w:spacing w:after="0" w:line="150" w:lineRule="exact"/>
        <w:rPr>
          <w:rFonts w:ascii="Arial" w:cs="Arial" w:eastAsia="Arial" w:hAnsi="Arial"/>
          <w:sz w:val="21"/>
          <w:szCs w:val="21"/>
          <w:color w:val="auto"/>
        </w:rPr>
      </w:pPr>
    </w:p>
    <w:p>
      <w:pPr>
        <w:ind w:left="4" w:right="140" w:hanging="4"/>
        <w:spacing w:after="0" w:line="328" w:lineRule="auto"/>
        <w:tabs>
          <w:tab w:leader="none" w:pos="328" w:val="left"/>
        </w:tabs>
        <w:numPr>
          <w:ilvl w:val="0"/>
          <w:numId w:val="45"/>
        </w:numPr>
        <w:rPr>
          <w:rFonts w:ascii="Arial" w:cs="Arial" w:eastAsia="Arial" w:hAnsi="Arial"/>
          <w:sz w:val="19"/>
          <w:szCs w:val="19"/>
          <w:color w:val="auto"/>
        </w:rPr>
      </w:pPr>
      <w:r>
        <w:rPr>
          <w:rFonts w:ascii="Arial" w:cs="Arial" w:eastAsia="Arial" w:hAnsi="Arial"/>
          <w:sz w:val="19"/>
          <w:szCs w:val="19"/>
          <w:u w:val="single" w:color="auto"/>
          <w:color w:val="auto"/>
        </w:rPr>
        <w:t>Waiver of Breach</w:t>
      </w:r>
      <w:r>
        <w:rPr>
          <w:rFonts w:ascii="Arial" w:cs="Arial" w:eastAsia="Arial" w:hAnsi="Arial"/>
          <w:sz w:val="19"/>
          <w:szCs w:val="19"/>
          <w:color w:val="auto"/>
        </w:rPr>
        <w:t>. The waiver of a breach of any term or provision of this Agreement, which must be in writing, will not operate as or be construed to be a waiver of any other previous or subsequent breach of this Agreement.</w:t>
      </w:r>
    </w:p>
    <w:p>
      <w:pPr>
        <w:spacing w:after="0" w:line="132" w:lineRule="exact"/>
        <w:rPr>
          <w:rFonts w:ascii="Arial" w:cs="Arial" w:eastAsia="Arial" w:hAnsi="Arial"/>
          <w:sz w:val="19"/>
          <w:szCs w:val="19"/>
          <w:color w:val="auto"/>
        </w:rPr>
      </w:pPr>
    </w:p>
    <w:p>
      <w:pPr>
        <w:ind w:left="4" w:right="20" w:hanging="4"/>
        <w:spacing w:after="0" w:line="274" w:lineRule="auto"/>
        <w:tabs>
          <w:tab w:leader="none" w:pos="328" w:val="left"/>
        </w:tabs>
        <w:numPr>
          <w:ilvl w:val="0"/>
          <w:numId w:val="45"/>
        </w:numPr>
        <w:rPr>
          <w:rFonts w:ascii="Arial" w:cs="Arial" w:eastAsia="Arial" w:hAnsi="Arial"/>
          <w:sz w:val="21"/>
          <w:szCs w:val="21"/>
          <w:color w:val="auto"/>
        </w:rPr>
      </w:pPr>
      <w:r>
        <w:rPr>
          <w:rFonts w:ascii="Arial" w:cs="Arial" w:eastAsia="Arial" w:hAnsi="Arial"/>
          <w:sz w:val="21"/>
          <w:szCs w:val="21"/>
          <w:u w:val="single" w:color="auto"/>
          <w:color w:val="auto"/>
        </w:rPr>
        <w:t>Survival</w:t>
      </w:r>
      <w:r>
        <w:rPr>
          <w:rFonts w:ascii="Arial" w:cs="Arial" w:eastAsia="Arial" w:hAnsi="Arial"/>
          <w:sz w:val="21"/>
          <w:szCs w:val="21"/>
          <w:color w:val="auto"/>
        </w:rPr>
        <w:t>. The Company's and Executive's obligations under Section 6 and, to the extent provided in Section 6, the Executive's obligations under Sections 9 and 10, will survive the termination of this Agreement.</w:t>
      </w:r>
    </w:p>
    <w:p>
      <w:pPr>
        <w:spacing w:after="0" w:line="177" w:lineRule="exact"/>
        <w:rPr>
          <w:rFonts w:ascii="Arial" w:cs="Arial" w:eastAsia="Arial" w:hAnsi="Arial"/>
          <w:sz w:val="21"/>
          <w:szCs w:val="21"/>
          <w:color w:val="auto"/>
        </w:rPr>
      </w:pPr>
    </w:p>
    <w:p>
      <w:pPr>
        <w:ind w:left="4" w:right="60" w:hanging="4"/>
        <w:spacing w:after="0" w:line="251" w:lineRule="auto"/>
        <w:tabs>
          <w:tab w:leader="none" w:pos="328" w:val="left"/>
        </w:tabs>
        <w:numPr>
          <w:ilvl w:val="0"/>
          <w:numId w:val="45"/>
        </w:numPr>
        <w:rPr>
          <w:rFonts w:ascii="Arial" w:cs="Arial" w:eastAsia="Arial" w:hAnsi="Arial"/>
          <w:sz w:val="22"/>
          <w:szCs w:val="22"/>
          <w:color w:val="auto"/>
        </w:rPr>
      </w:pPr>
      <w:r>
        <w:rPr>
          <w:rFonts w:ascii="Arial" w:cs="Arial" w:eastAsia="Arial" w:hAnsi="Arial"/>
          <w:sz w:val="22"/>
          <w:szCs w:val="22"/>
          <w:u w:val="single" w:color="auto"/>
          <w:color w:val="auto"/>
        </w:rPr>
        <w:t>Headings</w:t>
      </w:r>
      <w:r>
        <w:rPr>
          <w:rFonts w:ascii="Arial" w:cs="Arial" w:eastAsia="Arial" w:hAnsi="Arial"/>
          <w:sz w:val="22"/>
          <w:szCs w:val="22"/>
          <w:color w:val="auto"/>
        </w:rPr>
        <w:t>. All captions and Section headings used in this Agreement are for convenient reference only and do not form a part of this Agreement.</w:t>
      </w:r>
    </w:p>
    <w:p>
      <w:pPr>
        <w:spacing w:after="0" w:line="200" w:lineRule="exact"/>
        <w:rPr>
          <w:rFonts w:ascii="Arial" w:cs="Arial" w:eastAsia="Arial" w:hAnsi="Arial"/>
          <w:sz w:val="22"/>
          <w:szCs w:val="22"/>
          <w:color w:val="auto"/>
        </w:rPr>
      </w:pPr>
    </w:p>
    <w:p>
      <w:pPr>
        <w:ind w:left="4" w:right="400" w:hanging="4"/>
        <w:spacing w:after="0" w:line="251" w:lineRule="auto"/>
        <w:tabs>
          <w:tab w:leader="none" w:pos="328" w:val="left"/>
        </w:tabs>
        <w:numPr>
          <w:ilvl w:val="0"/>
          <w:numId w:val="45"/>
        </w:numPr>
        <w:rPr>
          <w:rFonts w:ascii="Arial" w:cs="Arial" w:eastAsia="Arial" w:hAnsi="Arial"/>
          <w:sz w:val="22"/>
          <w:szCs w:val="22"/>
          <w:color w:val="auto"/>
        </w:rPr>
      </w:pPr>
      <w:r>
        <w:rPr>
          <w:rFonts w:ascii="Arial" w:cs="Arial" w:eastAsia="Arial" w:hAnsi="Arial"/>
          <w:sz w:val="22"/>
          <w:szCs w:val="22"/>
          <w:u w:val="single" w:color="auto"/>
          <w:color w:val="auto"/>
        </w:rPr>
        <w:t>Tax Withholding</w:t>
      </w:r>
      <w:r>
        <w:rPr>
          <w:rFonts w:ascii="Arial" w:cs="Arial" w:eastAsia="Arial" w:hAnsi="Arial"/>
          <w:sz w:val="22"/>
          <w:szCs w:val="22"/>
          <w:color w:val="auto"/>
        </w:rPr>
        <w:t>. All payments made pursuant to this Agreement will be subject to withholding of applicable taxes.</w:t>
      </w:r>
    </w:p>
    <w:p>
      <w:pPr>
        <w:spacing w:after="0" w:line="200" w:lineRule="exact"/>
        <w:rPr>
          <w:rFonts w:ascii="Arial" w:cs="Arial" w:eastAsia="Arial" w:hAnsi="Arial"/>
          <w:sz w:val="22"/>
          <w:szCs w:val="22"/>
          <w:color w:val="auto"/>
        </w:rPr>
      </w:pPr>
    </w:p>
    <w:p>
      <w:pPr>
        <w:ind w:left="4" w:right="160" w:hanging="4"/>
        <w:spacing w:after="0" w:line="251" w:lineRule="auto"/>
        <w:tabs>
          <w:tab w:leader="none" w:pos="328" w:val="left"/>
        </w:tabs>
        <w:numPr>
          <w:ilvl w:val="0"/>
          <w:numId w:val="45"/>
        </w:numPr>
        <w:rPr>
          <w:rFonts w:ascii="Arial" w:cs="Arial" w:eastAsia="Arial" w:hAnsi="Arial"/>
          <w:sz w:val="22"/>
          <w:szCs w:val="22"/>
          <w:color w:val="auto"/>
        </w:rPr>
      </w:pPr>
      <w:r>
        <w:rPr>
          <w:rFonts w:ascii="Arial" w:cs="Arial" w:eastAsia="Arial" w:hAnsi="Arial"/>
          <w:sz w:val="22"/>
          <w:szCs w:val="22"/>
          <w:u w:val="single" w:color="auto"/>
          <w:color w:val="auto"/>
        </w:rPr>
        <w:t>Governing Law</w:t>
      </w:r>
      <w:r>
        <w:rPr>
          <w:rFonts w:ascii="Arial" w:cs="Arial" w:eastAsia="Arial" w:hAnsi="Arial"/>
          <w:sz w:val="22"/>
          <w:szCs w:val="22"/>
          <w:color w:val="auto"/>
        </w:rPr>
        <w:t>. This Agreement shall be governed by and construed in accordance with the laws of the State of New York without regard to any provisions thereof relating to conflict of laws.</w:t>
      </w:r>
    </w:p>
    <w:p>
      <w:pPr>
        <w:spacing w:after="0" w:line="200" w:lineRule="exact"/>
        <w:rPr>
          <w:rFonts w:ascii="Arial" w:cs="Arial" w:eastAsia="Arial" w:hAnsi="Arial"/>
          <w:sz w:val="22"/>
          <w:szCs w:val="22"/>
          <w:color w:val="auto"/>
        </w:rPr>
      </w:pPr>
    </w:p>
    <w:p>
      <w:pPr>
        <w:ind w:left="4" w:right="320" w:hanging="4"/>
        <w:spacing w:after="0" w:line="251" w:lineRule="auto"/>
        <w:tabs>
          <w:tab w:leader="none" w:pos="328" w:val="left"/>
        </w:tabs>
        <w:numPr>
          <w:ilvl w:val="0"/>
          <w:numId w:val="45"/>
        </w:numPr>
        <w:rPr>
          <w:rFonts w:ascii="Arial" w:cs="Arial" w:eastAsia="Arial" w:hAnsi="Arial"/>
          <w:sz w:val="22"/>
          <w:szCs w:val="22"/>
          <w:color w:val="auto"/>
        </w:rPr>
      </w:pPr>
      <w:r>
        <w:rPr>
          <w:rFonts w:ascii="Arial" w:cs="Arial" w:eastAsia="Arial" w:hAnsi="Arial"/>
          <w:sz w:val="22"/>
          <w:szCs w:val="22"/>
          <w:u w:val="single" w:color="auto"/>
          <w:color w:val="auto"/>
        </w:rPr>
        <w:t>Certain Acknowledgment</w:t>
      </w:r>
      <w:r>
        <w:rPr>
          <w:rFonts w:ascii="Arial" w:cs="Arial" w:eastAsia="Arial" w:hAnsi="Arial"/>
          <w:sz w:val="22"/>
          <w:szCs w:val="22"/>
          <w:color w:val="auto"/>
        </w:rPr>
        <w:t>. Executive acknowledges that he has had the opportunity to obtain legal advice with respect to this Agreement, has had sufficient time to read, and has</w:t>
      </w:r>
    </w:p>
    <w:p>
      <w:pPr>
        <w:spacing w:after="0" w:line="200" w:lineRule="exact"/>
        <w:rPr>
          <w:sz w:val="20"/>
          <w:szCs w:val="20"/>
          <w:color w:val="auto"/>
        </w:rPr>
      </w:pPr>
    </w:p>
    <w:p>
      <w:pPr>
        <w:spacing w:after="0" w:line="210" w:lineRule="exact"/>
        <w:rPr>
          <w:sz w:val="20"/>
          <w:szCs w:val="20"/>
          <w:color w:val="auto"/>
        </w:rPr>
      </w:pPr>
    </w:p>
    <w:p>
      <w:pPr>
        <w:jc w:val="center"/>
        <w:ind w:right="56"/>
        <w:spacing w:after="0"/>
        <w:rPr>
          <w:sz w:val="20"/>
          <w:szCs w:val="20"/>
          <w:color w:val="auto"/>
        </w:rPr>
      </w:pPr>
      <w:r>
        <w:rPr>
          <w:rFonts w:ascii="Arial" w:cs="Arial" w:eastAsia="Arial" w:hAnsi="Arial"/>
          <w:sz w:val="22"/>
          <w:szCs w:val="22"/>
          <w:color w:val="auto"/>
        </w:rPr>
        <w:t xml:space="preserve">Page </w:t>
      </w:r>
      <w:r>
        <w:rPr>
          <w:rFonts w:ascii="Arial" w:cs="Arial" w:eastAsia="Arial" w:hAnsi="Arial"/>
          <w:sz w:val="22"/>
          <w:szCs w:val="22"/>
          <w:b w:val="1"/>
          <w:bCs w:val="1"/>
          <w:color w:val="auto"/>
        </w:rPr>
        <w:t>9</w:t>
      </w:r>
      <w:r>
        <w:rPr>
          <w:rFonts w:ascii="Arial" w:cs="Arial" w:eastAsia="Arial" w:hAnsi="Arial"/>
          <w:sz w:val="22"/>
          <w:szCs w:val="22"/>
          <w:color w:val="auto"/>
        </w:rPr>
        <w:t xml:space="preserve"> of </w:t>
      </w:r>
      <w:r>
        <w:rPr>
          <w:rFonts w:ascii="Arial" w:cs="Arial" w:eastAsia="Arial" w:hAnsi="Arial"/>
          <w:sz w:val="22"/>
          <w:szCs w:val="22"/>
          <w:b w:val="1"/>
          <w:bCs w:val="1"/>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11430</wp:posOffset>
            </wp:positionV>
            <wp:extent cx="7246620" cy="342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0184"/>
          </w:cols>
          <w:pgMar w:left="896" w:top="577" w:right="819" w:bottom="1440" w:gutter="0" w:footer="0" w:header="0"/>
        </w:sectPr>
      </w:pPr>
    </w:p>
    <w:bookmarkStart w:id="67" w:name="page68"/>
    <w:bookmarkEnd w:id="67"/>
    <w:p>
      <w:pPr>
        <w:ind w:left="4"/>
        <w:spacing w:after="0" w:line="235" w:lineRule="auto"/>
        <w:rPr>
          <w:sz w:val="20"/>
          <w:szCs w:val="20"/>
          <w:color w:val="auto"/>
        </w:rPr>
      </w:pPr>
      <w:r>
        <w:rPr>
          <w:rFonts w:ascii="Arial" w:cs="Arial" w:eastAsia="Arial" w:hAnsi="Arial"/>
          <w:sz w:val="22"/>
          <w:szCs w:val="22"/>
          <w:color w:val="auto"/>
        </w:rPr>
        <w:t>carefully read and fully understands all the provisions of this Agreement, and is knowingly and voluntarily entering into this Agreement. Executive represents that he has no other employment or other agreement, arrangements or undertakings that might restrict or impair his performance of this Agreement or to serve as an employee of the Company. Executive will not in connection with his employment by the Company, use or disclose any confidential, trade secret, or other proprietary information of any previous employer or other Person that Executive is not lawfully entitled to disclose.</w:t>
      </w:r>
    </w:p>
    <w:p>
      <w:pPr>
        <w:spacing w:after="0" w:line="215" w:lineRule="exact"/>
        <w:rPr>
          <w:sz w:val="20"/>
          <w:szCs w:val="20"/>
          <w:color w:val="auto"/>
        </w:rPr>
      </w:pPr>
    </w:p>
    <w:p>
      <w:pPr>
        <w:jc w:val="both"/>
        <w:ind w:left="4" w:right="220" w:hanging="4"/>
        <w:spacing w:after="0" w:line="328" w:lineRule="auto"/>
        <w:tabs>
          <w:tab w:leader="none" w:pos="328" w:val="left"/>
        </w:tabs>
        <w:numPr>
          <w:ilvl w:val="0"/>
          <w:numId w:val="46"/>
        </w:numPr>
        <w:rPr>
          <w:rFonts w:ascii="Arial" w:cs="Arial" w:eastAsia="Arial" w:hAnsi="Arial"/>
          <w:sz w:val="19"/>
          <w:szCs w:val="19"/>
          <w:color w:val="auto"/>
        </w:rPr>
      </w:pPr>
      <w:r>
        <w:rPr>
          <w:rFonts w:ascii="Arial" w:cs="Arial" w:eastAsia="Arial" w:hAnsi="Arial"/>
          <w:sz w:val="19"/>
          <w:szCs w:val="19"/>
          <w:u w:val="single" w:color="auto"/>
          <w:color w:val="auto"/>
        </w:rPr>
        <w:t>Counterparts</w:t>
      </w:r>
      <w:r>
        <w:rPr>
          <w:rFonts w:ascii="Arial" w:cs="Arial" w:eastAsia="Arial" w:hAnsi="Arial"/>
          <w:sz w:val="19"/>
          <w:szCs w:val="19"/>
          <w:color w:val="auto"/>
        </w:rPr>
        <w:t>. This Agreement may be executed in counterparts, and each counterpart will have the same force and effect as an original and will constitute an effective, binding agreement on the part of each of the undersigned.</w:t>
      </w:r>
    </w:p>
    <w:p>
      <w:pPr>
        <w:spacing w:after="0" w:line="132" w:lineRule="exact"/>
        <w:rPr>
          <w:rFonts w:ascii="Arial" w:cs="Arial" w:eastAsia="Arial" w:hAnsi="Arial"/>
          <w:sz w:val="19"/>
          <w:szCs w:val="19"/>
          <w:color w:val="auto"/>
        </w:rPr>
      </w:pPr>
    </w:p>
    <w:p>
      <w:pPr>
        <w:ind w:left="4" w:hanging="4"/>
        <w:spacing w:after="0" w:line="271" w:lineRule="auto"/>
        <w:tabs>
          <w:tab w:leader="none" w:pos="328" w:val="left"/>
        </w:tabs>
        <w:numPr>
          <w:ilvl w:val="0"/>
          <w:numId w:val="46"/>
        </w:numPr>
        <w:rPr>
          <w:rFonts w:ascii="Arial" w:cs="Arial" w:eastAsia="Arial" w:hAnsi="Arial"/>
          <w:sz w:val="19"/>
          <w:szCs w:val="19"/>
          <w:color w:val="auto"/>
        </w:rPr>
      </w:pPr>
      <w:r>
        <w:rPr>
          <w:rFonts w:ascii="Arial" w:cs="Arial" w:eastAsia="Arial" w:hAnsi="Arial"/>
          <w:sz w:val="19"/>
          <w:szCs w:val="19"/>
          <w:u w:val="single" w:color="auto"/>
          <w:color w:val="auto"/>
        </w:rPr>
        <w:t>Certain Disclosures to Governmental Agencies and Others</w:t>
      </w:r>
      <w:r>
        <w:rPr>
          <w:rFonts w:ascii="Arial" w:cs="Arial" w:eastAsia="Arial" w:hAnsi="Arial"/>
          <w:sz w:val="19"/>
          <w:szCs w:val="19"/>
          <w:color w:val="auto"/>
        </w:rPr>
        <w:t>. Notwithstanding anything herein or in any other agreement with or policy (including without limitation any code of conduct or employee manual) of the Company, nothing herein or therein is intended to or shall: (i) prohibit Executive from making reports of possible violations of federal law or regulation (even if Executive participated in such violations) to, and cooperating with, any governmental agency or entity in accordance with the provisions of and rules promulgated under Section 21F of the Securities Exchange Act of 1934 or Section 806 of the Sarbanes-Oxley Act of 2002 or of any other whistleblower protection provisions of state or federal law or regulation; (ii) require notification to or prior approval by the Company of any such reporting or cooperation; or (iii) result in a waiver or other limitation of Executive’s rights and remedies as a whistleblower, including to a monetary award. Notwithstanding the foregoing, Executive is not authorized (and the above should not be read as permitting Executive) to disclose communications with counsel that were made for the purpose of receiving legal advice or that contain legal advice or that are protected by the attorney work product or similar privilege. Furthermore, Executive will not be held criminally or civilly liable under any federal or state trade secret law for the disclosure of a trade secret that is made (1) in confidence to a federal, state or local government official, either directly or indirectly, or to an attorney, in each case, solely for the purpose of reporting or investigating a suspected violation of law or (2) in a complaint or other document filed in a lawsuit or proceeding, if such filings are made under seal.</w:t>
      </w:r>
    </w:p>
    <w:p>
      <w:pPr>
        <w:spacing w:after="0" w:line="200" w:lineRule="exact"/>
        <w:rPr>
          <w:sz w:val="20"/>
          <w:szCs w:val="20"/>
          <w:color w:val="auto"/>
        </w:rPr>
      </w:pPr>
    </w:p>
    <w:p>
      <w:pPr>
        <w:spacing w:after="0" w:line="226" w:lineRule="exact"/>
        <w:rPr>
          <w:sz w:val="20"/>
          <w:szCs w:val="20"/>
          <w:color w:val="auto"/>
        </w:rPr>
      </w:pPr>
    </w:p>
    <w:p>
      <w:pPr>
        <w:jc w:val="center"/>
        <w:ind w:right="-3"/>
        <w:spacing w:after="0"/>
        <w:rPr>
          <w:sz w:val="20"/>
          <w:szCs w:val="20"/>
          <w:color w:val="auto"/>
        </w:rPr>
      </w:pPr>
      <w:r>
        <w:rPr>
          <w:rFonts w:ascii="Arial" w:cs="Arial" w:eastAsia="Arial" w:hAnsi="Arial"/>
          <w:sz w:val="22"/>
          <w:szCs w:val="22"/>
          <w:color w:val="auto"/>
        </w:rPr>
        <w:t xml:space="preserve">Page </w:t>
      </w:r>
      <w:r>
        <w:rPr>
          <w:rFonts w:ascii="Arial" w:cs="Arial" w:eastAsia="Arial" w:hAnsi="Arial"/>
          <w:sz w:val="22"/>
          <w:szCs w:val="22"/>
          <w:b w:val="1"/>
          <w:bCs w:val="1"/>
          <w:color w:val="auto"/>
        </w:rPr>
        <w:t>10</w:t>
      </w:r>
      <w:r>
        <w:rPr>
          <w:rFonts w:ascii="Arial" w:cs="Arial" w:eastAsia="Arial" w:hAnsi="Arial"/>
          <w:sz w:val="22"/>
          <w:szCs w:val="22"/>
          <w:color w:val="auto"/>
        </w:rPr>
        <w:t xml:space="preserve"> of </w:t>
      </w:r>
      <w:r>
        <w:rPr>
          <w:rFonts w:ascii="Arial" w:cs="Arial" w:eastAsia="Arial" w:hAnsi="Arial"/>
          <w:sz w:val="22"/>
          <w:szCs w:val="22"/>
          <w:b w:val="1"/>
          <w:bCs w:val="1"/>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11430</wp:posOffset>
            </wp:positionV>
            <wp:extent cx="7246620" cy="342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0104"/>
          </w:cols>
          <w:pgMar w:left="896" w:top="577" w:right="899" w:bottom="1440" w:gutter="0" w:footer="0" w:header="0"/>
        </w:sectPr>
      </w:pPr>
    </w:p>
    <w:bookmarkStart w:id="68" w:name="page69"/>
    <w:bookmarkEnd w:id="68"/>
    <w:p>
      <w:pPr>
        <w:ind w:left="660" w:right="700" w:firstLine="648"/>
        <w:spacing w:after="0" w:line="251" w:lineRule="auto"/>
        <w:rPr>
          <w:sz w:val="20"/>
          <w:szCs w:val="20"/>
          <w:color w:val="auto"/>
        </w:rPr>
      </w:pPr>
      <w:r>
        <w:rPr>
          <w:rFonts w:ascii="Arial" w:cs="Arial" w:eastAsia="Arial" w:hAnsi="Arial"/>
          <w:sz w:val="22"/>
          <w:szCs w:val="22"/>
          <w:color w:val="auto"/>
        </w:rPr>
        <w:t>IN WITNESS WHEREOF, each of the parties has executed this Agreement, in the case of the Company by a duly authorized officer, as of the day and year written below.</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5060" w:type="dxa"/>
            <w:vAlign w:val="bottom"/>
            <w:gridSpan w:val="4"/>
          </w:tcPr>
          <w:p>
            <w:pPr>
              <w:ind w:left="660"/>
              <w:spacing w:after="0"/>
              <w:rPr>
                <w:sz w:val="20"/>
                <w:szCs w:val="20"/>
                <w:color w:val="auto"/>
              </w:rPr>
            </w:pPr>
            <w:r>
              <w:rPr>
                <w:rFonts w:ascii="Arial" w:cs="Arial" w:eastAsia="Arial" w:hAnsi="Arial"/>
                <w:sz w:val="22"/>
                <w:szCs w:val="22"/>
                <w:color w:val="auto"/>
              </w:rPr>
              <w:t>COMPANY:</w:t>
            </w:r>
          </w:p>
        </w:tc>
        <w:tc>
          <w:tcPr>
            <w:tcW w:w="6360" w:type="dxa"/>
            <w:vAlign w:val="bottom"/>
          </w:tcPr>
          <w:p>
            <w:pPr>
              <w:spacing w:after="0"/>
              <w:rPr>
                <w:sz w:val="23"/>
                <w:szCs w:val="23"/>
                <w:color w:val="auto"/>
              </w:rPr>
            </w:pPr>
          </w:p>
        </w:tc>
      </w:tr>
      <w:tr>
        <w:trPr>
          <w:trHeight w:val="486"/>
        </w:trPr>
        <w:tc>
          <w:tcPr>
            <w:tcW w:w="5060" w:type="dxa"/>
            <w:vAlign w:val="bottom"/>
            <w:gridSpan w:val="4"/>
          </w:tcPr>
          <w:p>
            <w:pPr>
              <w:ind w:left="660"/>
              <w:spacing w:after="0"/>
              <w:rPr>
                <w:sz w:val="20"/>
                <w:szCs w:val="20"/>
                <w:color w:val="auto"/>
              </w:rPr>
            </w:pPr>
            <w:r>
              <w:rPr>
                <w:rFonts w:ascii="Arial" w:cs="Arial" w:eastAsia="Arial" w:hAnsi="Arial"/>
                <w:sz w:val="22"/>
                <w:szCs w:val="22"/>
                <w:color w:val="auto"/>
              </w:rPr>
              <w:t>ALBANY INTERNATIONAL CORP.</w:t>
            </w:r>
          </w:p>
        </w:tc>
        <w:tc>
          <w:tcPr>
            <w:tcW w:w="6360" w:type="dxa"/>
            <w:vAlign w:val="bottom"/>
          </w:tcPr>
          <w:p>
            <w:pPr>
              <w:spacing w:after="0"/>
              <w:rPr>
                <w:sz w:val="24"/>
                <w:szCs w:val="24"/>
                <w:color w:val="auto"/>
              </w:rPr>
            </w:pPr>
          </w:p>
        </w:tc>
      </w:tr>
      <w:tr>
        <w:trPr>
          <w:trHeight w:val="436"/>
        </w:trPr>
        <w:tc>
          <w:tcPr>
            <w:tcW w:w="5060" w:type="dxa"/>
            <w:vAlign w:val="bottom"/>
            <w:gridSpan w:val="4"/>
          </w:tcPr>
          <w:p>
            <w:pPr>
              <w:ind w:left="740"/>
              <w:spacing w:after="0"/>
              <w:rPr>
                <w:sz w:val="20"/>
                <w:szCs w:val="20"/>
                <w:color w:val="auto"/>
              </w:rPr>
            </w:pPr>
            <w:r>
              <w:rPr>
                <w:rFonts w:ascii="Arial" w:cs="Arial" w:eastAsia="Arial" w:hAnsi="Arial"/>
                <w:sz w:val="22"/>
                <w:szCs w:val="22"/>
                <w:color w:val="auto"/>
                <w:w w:val="90"/>
              </w:rPr>
              <w:t>By:/s/ Joseph G. Morone___________________</w:t>
            </w:r>
          </w:p>
        </w:tc>
        <w:tc>
          <w:tcPr>
            <w:tcW w:w="6360" w:type="dxa"/>
            <w:vAlign w:val="bottom"/>
          </w:tcPr>
          <w:p>
            <w:pPr>
              <w:ind w:left="2940"/>
              <w:spacing w:after="0"/>
              <w:rPr>
                <w:sz w:val="20"/>
                <w:szCs w:val="20"/>
                <w:color w:val="auto"/>
              </w:rPr>
            </w:pPr>
            <w:r>
              <w:rPr>
                <w:rFonts w:ascii="Arial" w:cs="Arial" w:eastAsia="Arial" w:hAnsi="Arial"/>
                <w:sz w:val="22"/>
                <w:szCs w:val="22"/>
                <w:color w:val="auto"/>
              </w:rPr>
              <w:t>Date: March 2, 2018</w:t>
            </w:r>
          </w:p>
        </w:tc>
      </w:tr>
      <w:tr>
        <w:trPr>
          <w:trHeight w:val="20"/>
        </w:trPr>
        <w:tc>
          <w:tcPr>
            <w:tcW w:w="7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40" w:type="dxa"/>
            <w:vAlign w:val="bottom"/>
            <w:shd w:val="clear" w:color="auto" w:fill="000000"/>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6360" w:type="dxa"/>
            <w:vAlign w:val="bottom"/>
          </w:tcPr>
          <w:p>
            <w:pPr>
              <w:spacing w:after="0" w:line="20" w:lineRule="exact"/>
              <w:rPr>
                <w:sz w:val="1"/>
                <w:szCs w:val="1"/>
                <w:color w:val="auto"/>
              </w:rPr>
            </w:pPr>
          </w:p>
        </w:tc>
      </w:tr>
      <w:tr>
        <w:trPr>
          <w:trHeight w:val="242"/>
        </w:trPr>
        <w:tc>
          <w:tcPr>
            <w:tcW w:w="5060" w:type="dxa"/>
            <w:vAlign w:val="bottom"/>
            <w:gridSpan w:val="4"/>
          </w:tcPr>
          <w:p>
            <w:pPr>
              <w:ind w:left="740"/>
              <w:spacing w:after="0" w:line="242" w:lineRule="exact"/>
              <w:rPr>
                <w:sz w:val="20"/>
                <w:szCs w:val="20"/>
                <w:color w:val="auto"/>
              </w:rPr>
            </w:pPr>
            <w:r>
              <w:rPr>
                <w:rFonts w:ascii="Arial" w:cs="Arial" w:eastAsia="Arial" w:hAnsi="Arial"/>
                <w:sz w:val="22"/>
                <w:szCs w:val="22"/>
                <w:color w:val="auto"/>
              </w:rPr>
              <w:t>Name: Joseph G. Morone</w:t>
            </w:r>
          </w:p>
        </w:tc>
        <w:tc>
          <w:tcPr>
            <w:tcW w:w="6360" w:type="dxa"/>
            <w:vAlign w:val="bottom"/>
          </w:tcPr>
          <w:p>
            <w:pPr>
              <w:spacing w:after="0"/>
              <w:rPr>
                <w:sz w:val="21"/>
                <w:szCs w:val="21"/>
                <w:color w:val="auto"/>
              </w:rPr>
            </w:pPr>
          </w:p>
        </w:tc>
      </w:tr>
      <w:tr>
        <w:trPr>
          <w:trHeight w:val="275"/>
        </w:trPr>
        <w:tc>
          <w:tcPr>
            <w:tcW w:w="5060" w:type="dxa"/>
            <w:vAlign w:val="bottom"/>
            <w:gridSpan w:val="4"/>
          </w:tcPr>
          <w:p>
            <w:pPr>
              <w:ind w:left="740"/>
              <w:spacing w:after="0"/>
              <w:rPr>
                <w:sz w:val="20"/>
                <w:szCs w:val="20"/>
                <w:color w:val="auto"/>
              </w:rPr>
            </w:pPr>
            <w:r>
              <w:rPr>
                <w:rFonts w:ascii="Arial" w:cs="Arial" w:eastAsia="Arial" w:hAnsi="Arial"/>
                <w:sz w:val="22"/>
                <w:szCs w:val="22"/>
                <w:color w:val="auto"/>
              </w:rPr>
              <w:t>Title: President and Chief Executive Officer</w:t>
            </w:r>
          </w:p>
        </w:tc>
        <w:tc>
          <w:tcPr>
            <w:tcW w:w="6360" w:type="dxa"/>
            <w:vAlign w:val="bottom"/>
          </w:tcPr>
          <w:p>
            <w:pPr>
              <w:spacing w:after="0"/>
              <w:rPr>
                <w:sz w:val="23"/>
                <w:szCs w:val="23"/>
                <w:color w:val="auto"/>
              </w:rPr>
            </w:pPr>
          </w:p>
        </w:tc>
      </w:tr>
      <w:tr>
        <w:trPr>
          <w:trHeight w:val="729"/>
        </w:trPr>
        <w:tc>
          <w:tcPr>
            <w:tcW w:w="5060" w:type="dxa"/>
            <w:vAlign w:val="bottom"/>
            <w:gridSpan w:val="4"/>
          </w:tcPr>
          <w:p>
            <w:pPr>
              <w:ind w:left="740"/>
              <w:spacing w:after="0"/>
              <w:rPr>
                <w:sz w:val="20"/>
                <w:szCs w:val="20"/>
                <w:color w:val="auto"/>
              </w:rPr>
            </w:pPr>
            <w:r>
              <w:rPr>
                <w:rFonts w:ascii="Arial" w:cs="Arial" w:eastAsia="Arial" w:hAnsi="Arial"/>
                <w:sz w:val="22"/>
                <w:szCs w:val="22"/>
                <w:color w:val="auto"/>
              </w:rPr>
              <w:t>EXECUTIVE</w:t>
            </w:r>
          </w:p>
        </w:tc>
        <w:tc>
          <w:tcPr>
            <w:tcW w:w="6360" w:type="dxa"/>
            <w:vAlign w:val="bottom"/>
          </w:tcPr>
          <w:p>
            <w:pPr>
              <w:spacing w:after="0"/>
              <w:rPr>
                <w:sz w:val="24"/>
                <w:szCs w:val="24"/>
                <w:color w:val="auto"/>
              </w:rPr>
            </w:pPr>
          </w:p>
        </w:tc>
      </w:tr>
      <w:tr>
        <w:trPr>
          <w:trHeight w:val="436"/>
        </w:trPr>
        <w:tc>
          <w:tcPr>
            <w:tcW w:w="5060" w:type="dxa"/>
            <w:vAlign w:val="bottom"/>
            <w:gridSpan w:val="4"/>
          </w:tcPr>
          <w:p>
            <w:pPr>
              <w:ind w:left="740"/>
              <w:spacing w:after="0"/>
              <w:rPr>
                <w:sz w:val="20"/>
                <w:szCs w:val="20"/>
                <w:color w:val="auto"/>
              </w:rPr>
            </w:pPr>
            <w:r>
              <w:rPr>
                <w:rFonts w:ascii="Arial" w:cs="Arial" w:eastAsia="Arial" w:hAnsi="Arial"/>
                <w:sz w:val="22"/>
                <w:szCs w:val="22"/>
                <w:color w:val="auto"/>
              </w:rPr>
              <w:t>/s/ Olivier Jarrault</w:t>
            </w:r>
          </w:p>
        </w:tc>
        <w:tc>
          <w:tcPr>
            <w:tcW w:w="6360" w:type="dxa"/>
            <w:vAlign w:val="bottom"/>
          </w:tcPr>
          <w:p>
            <w:pPr>
              <w:ind w:left="2560"/>
              <w:spacing w:after="0"/>
              <w:rPr>
                <w:sz w:val="20"/>
                <w:szCs w:val="20"/>
                <w:color w:val="auto"/>
              </w:rPr>
            </w:pPr>
            <w:r>
              <w:rPr>
                <w:rFonts w:ascii="Arial" w:cs="Arial" w:eastAsia="Arial" w:hAnsi="Arial"/>
                <w:sz w:val="22"/>
                <w:szCs w:val="22"/>
                <w:color w:val="auto"/>
              </w:rPr>
              <w:t>Date: March 2, 2018</w:t>
            </w:r>
          </w:p>
        </w:tc>
      </w:tr>
      <w:tr>
        <w:trPr>
          <w:trHeight w:val="541"/>
        </w:trPr>
        <w:tc>
          <w:tcPr>
            <w:tcW w:w="740" w:type="dxa"/>
            <w:vAlign w:val="bottom"/>
            <w:tcBorders>
              <w:bottom w:val="single" w:sz="8" w:color="auto"/>
            </w:tcBorders>
          </w:tcPr>
          <w:p>
            <w:pPr>
              <w:spacing w:after="0"/>
              <w:rPr>
                <w:sz w:val="24"/>
                <w:szCs w:val="24"/>
                <w:color w:val="auto"/>
              </w:rPr>
            </w:pPr>
          </w:p>
        </w:tc>
        <w:tc>
          <w:tcPr>
            <w:tcW w:w="320" w:type="dxa"/>
            <w:vAlign w:val="bottom"/>
            <w:tcBorders>
              <w:top w:val="single" w:sz="8" w:color="auto"/>
              <w:bottom w:val="single" w:sz="8" w:color="auto"/>
            </w:tcBorders>
          </w:tcPr>
          <w:p>
            <w:pPr>
              <w:spacing w:after="0"/>
              <w:rPr>
                <w:sz w:val="24"/>
                <w:szCs w:val="24"/>
                <w:color w:val="auto"/>
              </w:rPr>
            </w:pPr>
          </w:p>
        </w:tc>
        <w:tc>
          <w:tcPr>
            <w:tcW w:w="1840" w:type="dxa"/>
            <w:vAlign w:val="bottom"/>
            <w:tcBorders>
              <w:top w:val="single" w:sz="8" w:color="auto"/>
              <w:bottom w:val="single" w:sz="8" w:color="auto"/>
            </w:tcBorders>
          </w:tcPr>
          <w:p>
            <w:pPr>
              <w:spacing w:after="0"/>
              <w:rPr>
                <w:sz w:val="24"/>
                <w:szCs w:val="24"/>
                <w:color w:val="auto"/>
              </w:rPr>
            </w:pPr>
          </w:p>
        </w:tc>
        <w:tc>
          <w:tcPr>
            <w:tcW w:w="2160" w:type="dxa"/>
            <w:vAlign w:val="bottom"/>
            <w:tcBorders>
              <w:top w:val="single" w:sz="8" w:color="auto"/>
              <w:bottom w:val="single" w:sz="8" w:color="auto"/>
            </w:tcBorders>
          </w:tcPr>
          <w:p>
            <w:pPr>
              <w:spacing w:after="0"/>
              <w:rPr>
                <w:sz w:val="24"/>
                <w:szCs w:val="24"/>
                <w:color w:val="auto"/>
              </w:rPr>
            </w:pPr>
          </w:p>
        </w:tc>
        <w:tc>
          <w:tcPr>
            <w:tcW w:w="6360" w:type="dxa"/>
            <w:vAlign w:val="bottom"/>
            <w:tcBorders>
              <w:bottom w:val="single" w:sz="8" w:color="auto"/>
            </w:tcBorders>
          </w:tcPr>
          <w:p>
            <w:pPr>
              <w:ind w:left="60"/>
              <w:spacing w:after="0"/>
              <w:rPr>
                <w:sz w:val="20"/>
                <w:szCs w:val="20"/>
                <w:color w:val="auto"/>
              </w:rPr>
            </w:pPr>
            <w:r>
              <w:rPr>
                <w:rFonts w:ascii="Arial" w:cs="Arial" w:eastAsia="Arial" w:hAnsi="Arial"/>
                <w:sz w:val="22"/>
                <w:szCs w:val="22"/>
                <w:color w:val="auto"/>
              </w:rPr>
              <w:t xml:space="preserve">Page </w:t>
            </w:r>
            <w:r>
              <w:rPr>
                <w:rFonts w:ascii="Arial" w:cs="Arial" w:eastAsia="Arial" w:hAnsi="Arial"/>
                <w:sz w:val="22"/>
                <w:szCs w:val="22"/>
                <w:b w:val="1"/>
                <w:bCs w:val="1"/>
                <w:color w:val="auto"/>
              </w:rPr>
              <w:t>11</w:t>
            </w:r>
            <w:r>
              <w:rPr>
                <w:rFonts w:ascii="Arial" w:cs="Arial" w:eastAsia="Arial" w:hAnsi="Arial"/>
                <w:sz w:val="22"/>
                <w:szCs w:val="22"/>
                <w:color w:val="auto"/>
              </w:rPr>
              <w:t xml:space="preserve"> of </w:t>
            </w:r>
            <w:r>
              <w:rPr>
                <w:rFonts w:ascii="Arial" w:cs="Arial" w:eastAsia="Arial" w:hAnsi="Arial"/>
                <w:sz w:val="22"/>
                <w:szCs w:val="22"/>
                <w:b w:val="1"/>
                <w:bCs w:val="1"/>
                <w:color w:val="auto"/>
              </w:rPr>
              <w:t>15</w:t>
            </w:r>
          </w:p>
        </w:tc>
      </w:tr>
    </w:tbl>
    <w:p>
      <w:pPr>
        <w:sectPr>
          <w:pgSz w:w="11900" w:h="16838" w:orient="portrait"/>
          <w:cols w:equalWidth="0" w:num="1">
            <w:col w:w="11420"/>
          </w:cols>
          <w:pgMar w:left="240" w:top="1077" w:right="239" w:bottom="1440" w:gutter="0" w:footer="0" w:header="0"/>
        </w:sectPr>
      </w:pPr>
    </w:p>
    <w:bookmarkStart w:id="69" w:name="page70"/>
    <w:bookmarkEnd w:id="69"/>
    <w:p>
      <w:pPr>
        <w:ind w:left="4800"/>
        <w:spacing w:after="0"/>
        <w:rPr>
          <w:sz w:val="20"/>
          <w:szCs w:val="20"/>
          <w:color w:val="auto"/>
        </w:rPr>
      </w:pPr>
      <w:r>
        <w:rPr>
          <w:rFonts w:ascii="Arial" w:cs="Arial" w:eastAsia="Arial" w:hAnsi="Arial"/>
          <w:sz w:val="22"/>
          <w:szCs w:val="22"/>
          <w:color w:val="auto"/>
        </w:rPr>
        <w:t>EXHIBIT “A”</w:t>
      </w:r>
    </w:p>
    <w:p>
      <w:pPr>
        <w:spacing w:after="0" w:line="200" w:lineRule="exact"/>
        <w:rPr>
          <w:sz w:val="20"/>
          <w:szCs w:val="20"/>
          <w:color w:val="auto"/>
        </w:rPr>
      </w:pPr>
    </w:p>
    <w:p>
      <w:pPr>
        <w:spacing w:after="0" w:line="276" w:lineRule="exact"/>
        <w:rPr>
          <w:sz w:val="20"/>
          <w:szCs w:val="20"/>
          <w:color w:val="auto"/>
        </w:rPr>
      </w:pPr>
    </w:p>
    <w:p>
      <w:pPr>
        <w:jc w:val="center"/>
        <w:ind w:right="-159"/>
        <w:spacing w:after="0"/>
        <w:rPr>
          <w:sz w:val="20"/>
          <w:szCs w:val="20"/>
          <w:color w:val="auto"/>
        </w:rPr>
      </w:pPr>
      <w:r>
        <w:rPr>
          <w:rFonts w:ascii="Arial" w:cs="Arial" w:eastAsia="Arial" w:hAnsi="Arial"/>
          <w:sz w:val="19"/>
          <w:szCs w:val="19"/>
          <w:color w:val="auto"/>
        </w:rPr>
        <w:t>RESTRICTED UNIT AWARD AGREEMENT</w:t>
      </w:r>
    </w:p>
    <w:p>
      <w:pPr>
        <w:spacing w:after="0" w:line="26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Pursuant to the</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ALBANY INTERNATIONAL CORP.</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2003 RESTRICTED STOCK UNIT PLAN</w:t>
      </w:r>
    </w:p>
    <w:p>
      <w:pPr>
        <w:spacing w:after="0" w:line="22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 * * *</w:t>
      </w:r>
    </w:p>
    <w:p>
      <w:pPr>
        <w:sectPr>
          <w:pgSz w:w="11900" w:h="16838" w:orient="portrait"/>
          <w:cols w:equalWidth="0" w:num="1">
            <w:col w:w="11420"/>
          </w:cols>
          <w:pgMar w:left="240" w:top="834" w:right="239" w:bottom="1440" w:gutter="0" w:footer="0" w:header="0"/>
        </w:sectPr>
      </w:pPr>
    </w:p>
    <w:p>
      <w:pPr>
        <w:spacing w:after="0" w:line="200" w:lineRule="exact"/>
        <w:rPr>
          <w:sz w:val="20"/>
          <w:szCs w:val="20"/>
          <w:color w:val="auto"/>
        </w:rPr>
      </w:pPr>
    </w:p>
    <w:p>
      <w:pPr>
        <w:spacing w:after="0" w:line="276" w:lineRule="exact"/>
        <w:rPr>
          <w:sz w:val="20"/>
          <w:szCs w:val="20"/>
          <w:color w:val="auto"/>
        </w:rPr>
      </w:pPr>
    </w:p>
    <w:p>
      <w:pPr>
        <w:ind w:left="100"/>
        <w:spacing w:after="0"/>
        <w:rPr>
          <w:sz w:val="20"/>
          <w:szCs w:val="20"/>
          <w:color w:val="auto"/>
        </w:rPr>
      </w:pPr>
      <w:r>
        <w:rPr>
          <w:rFonts w:ascii="Arial" w:cs="Arial" w:eastAsia="Arial" w:hAnsi="Arial"/>
          <w:sz w:val="19"/>
          <w:szCs w:val="19"/>
          <w:color w:val="auto"/>
        </w:rPr>
        <w:t>Participant: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19"/>
          <w:szCs w:val="19"/>
          <w:color w:val="auto"/>
        </w:rPr>
        <w:t>Olivier Jarrault</w:t>
      </w:r>
    </w:p>
    <w:p>
      <w:pPr>
        <w:spacing w:after="0" w:line="200" w:lineRule="exact"/>
        <w:rPr>
          <w:sz w:val="20"/>
          <w:szCs w:val="20"/>
          <w:color w:val="auto"/>
        </w:rPr>
      </w:pPr>
    </w:p>
    <w:p>
      <w:pPr>
        <w:sectPr>
          <w:pgSz w:w="11900" w:h="16838" w:orient="portrait"/>
          <w:cols w:equalWidth="0" w:num="2">
            <w:col w:w="1220" w:space="720"/>
            <w:col w:w="9480"/>
          </w:cols>
          <w:pgMar w:left="240" w:top="834" w:right="239" w:bottom="1440" w:gutter="0" w:footer="0" w:header="0"/>
          <w:type w:val="continuous"/>
        </w:sectPr>
      </w:pPr>
    </w:p>
    <w:p>
      <w:pPr>
        <w:spacing w:after="0" w:line="68" w:lineRule="exact"/>
        <w:rPr>
          <w:sz w:val="20"/>
          <w:szCs w:val="20"/>
          <w:color w:val="auto"/>
        </w:rPr>
      </w:pPr>
    </w:p>
    <w:p>
      <w:pPr>
        <w:ind w:left="100"/>
        <w:spacing w:after="0"/>
        <w:rPr>
          <w:sz w:val="20"/>
          <w:szCs w:val="20"/>
          <w:color w:val="auto"/>
        </w:rPr>
      </w:pPr>
      <w:r>
        <w:rPr>
          <w:rFonts w:ascii="Arial" w:cs="Arial" w:eastAsia="Arial" w:hAnsi="Arial"/>
          <w:sz w:val="19"/>
          <w:szCs w:val="19"/>
          <w:color w:val="auto"/>
        </w:rPr>
        <w:t>Award Date:</w:t>
      </w:r>
    </w:p>
    <w:p>
      <w:pPr>
        <w:spacing w:after="0" w:line="20" w:lineRule="exact"/>
        <w:rPr>
          <w:sz w:val="20"/>
          <w:szCs w:val="20"/>
          <w:color w:val="auto"/>
        </w:rPr>
      </w:pPr>
      <w:r>
        <w:rPr>
          <w:sz w:val="20"/>
          <w:szCs w:val="20"/>
          <w:color w:val="auto"/>
        </w:rPr>
        <w:br w:type="column"/>
      </w:r>
    </w:p>
    <w:p>
      <w:pPr>
        <w:spacing w:after="0" w:line="48" w:lineRule="exact"/>
        <w:rPr>
          <w:sz w:val="20"/>
          <w:szCs w:val="20"/>
          <w:color w:val="auto"/>
        </w:rPr>
      </w:pPr>
    </w:p>
    <w:p>
      <w:pPr>
        <w:spacing w:after="0"/>
        <w:rPr>
          <w:sz w:val="20"/>
          <w:szCs w:val="20"/>
          <w:color w:val="auto"/>
        </w:rPr>
      </w:pPr>
      <w:r>
        <w:rPr>
          <w:rFonts w:ascii="Arial" w:cs="Arial" w:eastAsia="Arial" w:hAnsi="Arial"/>
          <w:sz w:val="19"/>
          <w:szCs w:val="19"/>
          <w:color w:val="auto"/>
        </w:rPr>
        <w:t>March 2, 2018</w:t>
      </w:r>
    </w:p>
    <w:p>
      <w:pPr>
        <w:spacing w:after="0" w:line="200" w:lineRule="exact"/>
        <w:rPr>
          <w:sz w:val="20"/>
          <w:szCs w:val="20"/>
          <w:color w:val="auto"/>
        </w:rPr>
      </w:pPr>
    </w:p>
    <w:p>
      <w:pPr>
        <w:sectPr>
          <w:pgSz w:w="11900" w:h="16838" w:orient="portrait"/>
          <w:cols w:equalWidth="0" w:num="2">
            <w:col w:w="1220" w:space="720"/>
            <w:col w:w="9480"/>
          </w:cols>
          <w:pgMar w:left="240" w:top="834" w:right="239" w:bottom="1440" w:gutter="0" w:footer="0" w:header="0"/>
          <w:type w:val="continuous"/>
        </w:sectPr>
      </w:pPr>
    </w:p>
    <w:p>
      <w:pPr>
        <w:spacing w:after="0" w:line="68" w:lineRule="exact"/>
        <w:rPr>
          <w:sz w:val="20"/>
          <w:szCs w:val="20"/>
          <w:color w:val="auto"/>
        </w:rPr>
      </w:pPr>
    </w:p>
    <w:p>
      <w:pPr>
        <w:spacing w:after="0"/>
        <w:rPr>
          <w:sz w:val="20"/>
          <w:szCs w:val="20"/>
          <w:color w:val="auto"/>
        </w:rPr>
      </w:pPr>
      <w:r>
        <w:rPr>
          <w:rFonts w:ascii="Arial" w:cs="Arial" w:eastAsia="Arial" w:hAnsi="Arial"/>
          <w:sz w:val="22"/>
          <w:szCs w:val="22"/>
          <w:color w:val="auto"/>
        </w:rPr>
        <w:t>Number of Restricted Units Awarded: 23,567</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 * * *</w:t>
      </w:r>
    </w:p>
    <w:p>
      <w:pPr>
        <w:spacing w:after="0" w:line="233"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21"/>
          <w:szCs w:val="21"/>
          <w:color w:val="auto"/>
        </w:rPr>
        <w:t>THIS AWARD AGREEMENT, dated as of the Award Date specified above, is entered into by and between Albany International Corp. (the “</w:t>
      </w:r>
      <w:r>
        <w:rPr>
          <w:rFonts w:ascii="Arial" w:cs="Arial" w:eastAsia="Arial" w:hAnsi="Arial"/>
          <w:sz w:val="21"/>
          <w:szCs w:val="21"/>
          <w:u w:val="single" w:color="auto"/>
          <w:color w:val="auto"/>
        </w:rPr>
        <w:t>Company</w:t>
      </w:r>
      <w:r>
        <w:rPr>
          <w:rFonts w:ascii="Arial" w:cs="Arial" w:eastAsia="Arial" w:hAnsi="Arial"/>
          <w:sz w:val="21"/>
          <w:szCs w:val="21"/>
          <w:color w:val="auto"/>
        </w:rPr>
        <w:t>”), and the Participant specified above, pursuant to the Amended and Restated Albany International Corp. 2003 Restricted Stock Unit Plan, as in effect and as amended from time to time (the “</w:t>
      </w:r>
      <w:r>
        <w:rPr>
          <w:rFonts w:ascii="Arial" w:cs="Arial" w:eastAsia="Arial" w:hAnsi="Arial"/>
          <w:sz w:val="21"/>
          <w:szCs w:val="21"/>
          <w:u w:val="single" w:color="auto"/>
          <w:color w:val="auto"/>
        </w:rPr>
        <w:t>Plan</w:t>
      </w:r>
      <w:r>
        <w:rPr>
          <w:rFonts w:ascii="Arial" w:cs="Arial" w:eastAsia="Arial" w:hAnsi="Arial"/>
          <w:sz w:val="21"/>
          <w:szCs w:val="21"/>
          <w:color w:val="auto"/>
        </w:rPr>
        <w:t>”); and</w:t>
      </w:r>
    </w:p>
    <w:p>
      <w:pPr>
        <w:spacing w:after="0" w:line="194"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WHEREAS, as an incentive to encourage the Participant to remain in the employ of the Company and its subsidiaries by affording the Participant a greater interest in the success of the Company and its subsidiaries, the Company desires to grant the Participant the Restricted Units provided herein;</w:t>
      </w:r>
    </w:p>
    <w:p>
      <w:pPr>
        <w:spacing w:after="0" w:line="213" w:lineRule="exact"/>
        <w:rPr>
          <w:sz w:val="20"/>
          <w:szCs w:val="20"/>
          <w:color w:val="auto"/>
        </w:rPr>
      </w:pPr>
    </w:p>
    <w:p>
      <w:pPr>
        <w:ind w:left="660"/>
        <w:spacing w:after="0"/>
        <w:rPr>
          <w:sz w:val="20"/>
          <w:szCs w:val="20"/>
          <w:color w:val="auto"/>
        </w:rPr>
      </w:pPr>
      <w:r>
        <w:rPr>
          <w:rFonts w:ascii="Arial" w:cs="Arial" w:eastAsia="Arial" w:hAnsi="Arial"/>
          <w:sz w:val="21"/>
          <w:szCs w:val="21"/>
          <w:color w:val="auto"/>
        </w:rPr>
        <w:t>WHEREAS, the Participant desires to obtain such Restricted Units on the terms and conditions provided for herein;</w:t>
      </w:r>
    </w:p>
    <w:p>
      <w:pPr>
        <w:spacing w:after="0" w:line="245"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21"/>
          <w:szCs w:val="21"/>
          <w:color w:val="auto"/>
        </w:rPr>
        <w:t>NOW, THEREFORE, in consideration of the premises, the mutual covenants herein set forth and other good and valuable considerations receipt of which is hereby acknowledged, the Company and the Participant agree as follows:</w:t>
      </w:r>
    </w:p>
    <w:p>
      <w:pPr>
        <w:spacing w:after="0" w:line="178" w:lineRule="exact"/>
        <w:rPr>
          <w:sz w:val="20"/>
          <w:szCs w:val="20"/>
          <w:color w:val="auto"/>
        </w:rPr>
      </w:pPr>
    </w:p>
    <w:p>
      <w:pPr>
        <w:jc w:val="both"/>
        <w:ind w:firstLine="1305"/>
        <w:spacing w:after="0" w:line="279" w:lineRule="auto"/>
        <w:tabs>
          <w:tab w:leader="none" w:pos="2291" w:val="left"/>
        </w:tabs>
        <w:numPr>
          <w:ilvl w:val="0"/>
          <w:numId w:val="47"/>
        </w:numPr>
        <w:rPr>
          <w:rFonts w:ascii="Arial" w:cs="Arial" w:eastAsia="Arial" w:hAnsi="Arial"/>
          <w:sz w:val="19"/>
          <w:szCs w:val="19"/>
          <w:color w:val="auto"/>
        </w:rPr>
      </w:pPr>
      <w:r>
        <w:rPr>
          <w:rFonts w:ascii="Arial" w:cs="Arial" w:eastAsia="Arial" w:hAnsi="Arial"/>
          <w:sz w:val="19"/>
          <w:szCs w:val="19"/>
          <w:u w:val="single" w:color="auto"/>
          <w:color w:val="auto"/>
        </w:rPr>
        <w:t>Incorporation by Reference; Plan Document Receipt</w:t>
      </w:r>
      <w:r>
        <w:rPr>
          <w:rFonts w:ascii="Arial" w:cs="Arial" w:eastAsia="Arial" w:hAnsi="Arial"/>
          <w:sz w:val="19"/>
          <w:szCs w:val="19"/>
          <w:color w:val="auto"/>
        </w:rPr>
        <w:t>. Except as otherwise provided herein, this Award Agreement is subject in all respects to the terms and provisions of the Plan (including, without limitation, any amendments thereto adopted at any time and from time to time and which are expressly intended to apply to the grant of the Restricted Units provided for herein), all of which terms and provisions are made a part of and incorporated in this Award Agreement as if they were expressly set forth herein. Any capitalized term not defined in this Award Agreement shall have the same meaning as is ascribed thereto in the Plan. The Participant hereby acknowledges receipt of a true copy of the Plan and that the Participant has read the Plan</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xml:space="preserve">Page </w:t>
      </w:r>
      <w:r>
        <w:rPr>
          <w:rFonts w:ascii="Arial" w:cs="Arial" w:eastAsia="Arial" w:hAnsi="Arial"/>
          <w:sz w:val="22"/>
          <w:szCs w:val="22"/>
          <w:b w:val="1"/>
          <w:bCs w:val="1"/>
          <w:color w:val="auto"/>
        </w:rPr>
        <w:t>12</w:t>
      </w:r>
      <w:r>
        <w:rPr>
          <w:rFonts w:ascii="Arial" w:cs="Arial" w:eastAsia="Arial" w:hAnsi="Arial"/>
          <w:sz w:val="22"/>
          <w:szCs w:val="22"/>
          <w:color w:val="auto"/>
        </w:rPr>
        <w:t xml:space="preserve"> of </w:t>
      </w:r>
      <w:r>
        <w:rPr>
          <w:rFonts w:ascii="Arial" w:cs="Arial" w:eastAsia="Arial" w:hAnsi="Arial"/>
          <w:sz w:val="22"/>
          <w:szCs w:val="22"/>
          <w:b w:val="1"/>
          <w:bCs w:val="1"/>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342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834" w:right="239" w:bottom="1440" w:gutter="0" w:footer="0" w:header="0"/>
          <w:type w:val="continuous"/>
        </w:sectPr>
      </w:pPr>
    </w:p>
    <w:bookmarkStart w:id="70" w:name="page71"/>
    <w:bookmarkEnd w:id="70"/>
    <w:p>
      <w:pPr>
        <w:ind w:right="20"/>
        <w:spacing w:after="0" w:line="251" w:lineRule="auto"/>
        <w:rPr>
          <w:sz w:val="20"/>
          <w:szCs w:val="20"/>
          <w:color w:val="auto"/>
        </w:rPr>
      </w:pPr>
      <w:r>
        <w:rPr>
          <w:rFonts w:ascii="Arial" w:cs="Arial" w:eastAsia="Arial" w:hAnsi="Arial"/>
          <w:sz w:val="22"/>
          <w:szCs w:val="22"/>
          <w:color w:val="auto"/>
        </w:rPr>
        <w:t>carefully and fully understands its content. In the event of a conflict between the terms of this Award Agreement and the terms of the Plan, the terms of the Plan shall control.</w:t>
      </w:r>
    </w:p>
    <w:p>
      <w:pPr>
        <w:spacing w:after="0" w:line="173" w:lineRule="exact"/>
        <w:rPr>
          <w:sz w:val="20"/>
          <w:szCs w:val="20"/>
          <w:color w:val="auto"/>
        </w:rPr>
      </w:pPr>
    </w:p>
    <w:p>
      <w:pPr>
        <w:jc w:val="both"/>
        <w:ind w:firstLine="1305"/>
        <w:spacing w:after="0"/>
        <w:tabs>
          <w:tab w:leader="none" w:pos="2061" w:val="left"/>
        </w:tabs>
        <w:numPr>
          <w:ilvl w:val="0"/>
          <w:numId w:val="48"/>
        </w:numPr>
        <w:rPr>
          <w:rFonts w:ascii="Arial" w:cs="Arial" w:eastAsia="Arial" w:hAnsi="Arial"/>
          <w:sz w:val="22"/>
          <w:szCs w:val="22"/>
          <w:color w:val="auto"/>
        </w:rPr>
      </w:pPr>
      <w:r>
        <w:rPr>
          <w:rFonts w:ascii="Arial" w:cs="Arial" w:eastAsia="Arial" w:hAnsi="Arial"/>
          <w:sz w:val="22"/>
          <w:szCs w:val="22"/>
          <w:u w:val="single" w:color="auto"/>
          <w:color w:val="auto"/>
        </w:rPr>
        <w:t>Award of Restricted Units; Credit to Restricted Unit Account</w:t>
      </w:r>
      <w:r>
        <w:rPr>
          <w:rFonts w:ascii="Arial" w:cs="Arial" w:eastAsia="Arial" w:hAnsi="Arial"/>
          <w:sz w:val="22"/>
          <w:szCs w:val="22"/>
          <w:color w:val="auto"/>
        </w:rPr>
        <w:t>. Subject to the terms hereof and the Plan, the Company hereby grants to the Participant, as of the Award Date specified above, the number of Restricted Units specified above. The Company shall record such Restricted Units in the Participant’s Restricted Unit Account.</w:t>
      </w:r>
    </w:p>
    <w:p>
      <w:pPr>
        <w:spacing w:after="0" w:line="186" w:lineRule="exact"/>
        <w:rPr>
          <w:rFonts w:ascii="Arial" w:cs="Arial" w:eastAsia="Arial" w:hAnsi="Arial"/>
          <w:sz w:val="22"/>
          <w:szCs w:val="22"/>
          <w:color w:val="auto"/>
        </w:rPr>
      </w:pPr>
    </w:p>
    <w:p>
      <w:pPr>
        <w:jc w:val="both"/>
        <w:ind w:firstLine="1305"/>
        <w:spacing w:after="0"/>
        <w:tabs>
          <w:tab w:leader="none" w:pos="2034" w:val="left"/>
        </w:tabs>
        <w:numPr>
          <w:ilvl w:val="0"/>
          <w:numId w:val="48"/>
        </w:numPr>
        <w:rPr>
          <w:rFonts w:ascii="Arial" w:cs="Arial" w:eastAsia="Arial" w:hAnsi="Arial"/>
          <w:sz w:val="22"/>
          <w:szCs w:val="22"/>
          <w:color w:val="auto"/>
        </w:rPr>
      </w:pPr>
      <w:r>
        <w:rPr>
          <w:rFonts w:ascii="Arial" w:cs="Arial" w:eastAsia="Arial" w:hAnsi="Arial"/>
          <w:sz w:val="22"/>
          <w:szCs w:val="22"/>
          <w:u w:val="single" w:color="auto"/>
          <w:color w:val="auto"/>
        </w:rPr>
        <w:t>Vesting</w:t>
      </w:r>
      <w:r>
        <w:rPr>
          <w:rFonts w:ascii="Arial" w:cs="Arial" w:eastAsia="Arial" w:hAnsi="Arial"/>
          <w:sz w:val="22"/>
          <w:szCs w:val="22"/>
          <w:color w:val="auto"/>
        </w:rPr>
        <w:t>. As permitted in Section 5.1 of the Plan, the following Vesting Dates shall apply with respect to the Restricted Units (including any additional Restricted Units credited as Cash Dividend Equivalents with respect to such Restricted Units) awarded hereunder and shall supersede any contrary provision in Section 5.1:</w:t>
      </w:r>
    </w:p>
    <w:p>
      <w:pPr>
        <w:spacing w:after="0" w:line="186" w:lineRule="exact"/>
        <w:rPr>
          <w:sz w:val="20"/>
          <w:szCs w:val="20"/>
          <w:color w:val="auto"/>
        </w:rPr>
      </w:pPr>
    </w:p>
    <w:p>
      <w:pPr>
        <w:ind w:left="1620" w:right="60" w:hanging="315"/>
        <w:spacing w:after="0" w:line="236" w:lineRule="auto"/>
        <w:tabs>
          <w:tab w:leader="none" w:pos="1620" w:val="left"/>
        </w:tabs>
        <w:numPr>
          <w:ilvl w:val="0"/>
          <w:numId w:val="49"/>
        </w:numPr>
        <w:rPr>
          <w:rFonts w:ascii="Arial" w:cs="Arial" w:eastAsia="Arial" w:hAnsi="Arial"/>
          <w:sz w:val="22"/>
          <w:szCs w:val="22"/>
          <w:color w:val="auto"/>
        </w:rPr>
      </w:pPr>
      <w:r>
        <w:rPr>
          <w:rFonts w:ascii="Arial" w:cs="Arial" w:eastAsia="Arial" w:hAnsi="Arial"/>
          <w:sz w:val="22"/>
          <w:szCs w:val="22"/>
          <w:color w:val="auto"/>
        </w:rPr>
        <w:t>One-third (33.3%) of such Restricted Units (including any additional Restricted Units credited as Cash Dividend Equivalents with respect to such Restricted Units) shall vest on March 1, 2019, subject to the Participant being employed with the Albany Group on such Vesting Date;</w:t>
      </w:r>
    </w:p>
    <w:p>
      <w:pPr>
        <w:spacing w:after="0" w:line="1" w:lineRule="exact"/>
        <w:rPr>
          <w:rFonts w:ascii="Arial" w:cs="Arial" w:eastAsia="Arial" w:hAnsi="Arial"/>
          <w:sz w:val="22"/>
          <w:szCs w:val="22"/>
          <w:color w:val="auto"/>
        </w:rPr>
      </w:pPr>
    </w:p>
    <w:p>
      <w:pPr>
        <w:ind w:left="1620" w:right="60" w:hanging="315"/>
        <w:spacing w:after="0" w:line="230" w:lineRule="auto"/>
        <w:tabs>
          <w:tab w:leader="none" w:pos="1620" w:val="left"/>
        </w:tabs>
        <w:numPr>
          <w:ilvl w:val="0"/>
          <w:numId w:val="49"/>
        </w:numPr>
        <w:rPr>
          <w:rFonts w:ascii="Arial" w:cs="Arial" w:eastAsia="Arial" w:hAnsi="Arial"/>
          <w:sz w:val="22"/>
          <w:szCs w:val="22"/>
          <w:color w:val="auto"/>
        </w:rPr>
      </w:pPr>
      <w:r>
        <w:rPr>
          <w:rFonts w:ascii="Arial" w:cs="Arial" w:eastAsia="Arial" w:hAnsi="Arial"/>
          <w:sz w:val="22"/>
          <w:szCs w:val="22"/>
          <w:color w:val="auto"/>
        </w:rPr>
        <w:t>One-third (33.3%) of such Restricted Units (including any additional Restricted Units credited as Cash Dividend Equivalents with respect to such Restricted Units) shall vest on March 1, 2020, subject to the Participant being employed with the Albany Group on such Vesting Date; and</w:t>
      </w:r>
    </w:p>
    <w:p>
      <w:pPr>
        <w:spacing w:after="0" w:line="2" w:lineRule="exact"/>
        <w:rPr>
          <w:rFonts w:ascii="Arial" w:cs="Arial" w:eastAsia="Arial" w:hAnsi="Arial"/>
          <w:sz w:val="22"/>
          <w:szCs w:val="22"/>
          <w:color w:val="auto"/>
        </w:rPr>
      </w:pPr>
    </w:p>
    <w:p>
      <w:pPr>
        <w:ind w:left="1620" w:right="60" w:hanging="315"/>
        <w:spacing w:after="0" w:line="234" w:lineRule="auto"/>
        <w:tabs>
          <w:tab w:leader="none" w:pos="1620" w:val="left"/>
        </w:tabs>
        <w:numPr>
          <w:ilvl w:val="0"/>
          <w:numId w:val="49"/>
        </w:numPr>
        <w:rPr>
          <w:rFonts w:ascii="Arial" w:cs="Arial" w:eastAsia="Arial" w:hAnsi="Arial"/>
          <w:sz w:val="22"/>
          <w:szCs w:val="22"/>
          <w:color w:val="auto"/>
        </w:rPr>
      </w:pPr>
      <w:r>
        <w:rPr>
          <w:rFonts w:ascii="Arial" w:cs="Arial" w:eastAsia="Arial" w:hAnsi="Arial"/>
          <w:sz w:val="22"/>
          <w:szCs w:val="22"/>
          <w:color w:val="auto"/>
        </w:rPr>
        <w:t>One-third (33.3%) of such Restricted Units (including any additional Restricted Units credited as Cash Dividend Equivalents with respect to such Restricted Units) shall vest on March 1, 2021, subject to the Participant being employed with the Albany Group on such Vesting Date.</w:t>
      </w:r>
    </w:p>
    <w:p>
      <w:pPr>
        <w:spacing w:after="0" w:line="214" w:lineRule="exact"/>
        <w:rPr>
          <w:sz w:val="20"/>
          <w:szCs w:val="20"/>
          <w:color w:val="auto"/>
        </w:rPr>
      </w:pPr>
    </w:p>
    <w:p>
      <w:pPr>
        <w:jc w:val="both"/>
        <w:ind w:firstLine="1305"/>
        <w:spacing w:after="0"/>
        <w:tabs>
          <w:tab w:leader="none" w:pos="2034" w:val="left"/>
        </w:tabs>
        <w:numPr>
          <w:ilvl w:val="0"/>
          <w:numId w:val="50"/>
        </w:numPr>
        <w:rPr>
          <w:rFonts w:ascii="Arial" w:cs="Arial" w:eastAsia="Arial" w:hAnsi="Arial"/>
          <w:sz w:val="22"/>
          <w:szCs w:val="22"/>
          <w:color w:val="auto"/>
        </w:rPr>
      </w:pPr>
      <w:r>
        <w:rPr>
          <w:rFonts w:ascii="Arial" w:cs="Arial" w:eastAsia="Arial" w:hAnsi="Arial"/>
          <w:sz w:val="22"/>
          <w:szCs w:val="22"/>
          <w:u w:val="single" w:color="auto"/>
          <w:color w:val="auto"/>
        </w:rPr>
        <w:t>Additional Special Vesting</w:t>
      </w:r>
      <w:r>
        <w:rPr>
          <w:rFonts w:ascii="Arial" w:cs="Arial" w:eastAsia="Arial" w:hAnsi="Arial"/>
          <w:sz w:val="22"/>
          <w:szCs w:val="22"/>
          <w:color w:val="auto"/>
        </w:rPr>
        <w:t>. The special vesting provisions set forth in Section 5.2 of the Plan shall apply to the Restricted Units (including any additional Restricted Units credited as Cash Dividend Equivalents with respect to such Restricted Units) awarded hereunder.</w:t>
      </w:r>
    </w:p>
    <w:p>
      <w:pPr>
        <w:spacing w:after="0" w:line="186" w:lineRule="exact"/>
        <w:rPr>
          <w:rFonts w:ascii="Arial" w:cs="Arial" w:eastAsia="Arial" w:hAnsi="Arial"/>
          <w:sz w:val="22"/>
          <w:szCs w:val="22"/>
          <w:color w:val="auto"/>
        </w:rPr>
      </w:pPr>
    </w:p>
    <w:p>
      <w:pPr>
        <w:jc w:val="both"/>
        <w:ind w:firstLine="1305"/>
        <w:spacing w:after="0" w:line="273" w:lineRule="auto"/>
        <w:tabs>
          <w:tab w:leader="none" w:pos="1967" w:val="left"/>
        </w:tabs>
        <w:numPr>
          <w:ilvl w:val="0"/>
          <w:numId w:val="50"/>
        </w:numPr>
        <w:rPr>
          <w:rFonts w:ascii="Arial" w:cs="Arial" w:eastAsia="Arial" w:hAnsi="Arial"/>
          <w:sz w:val="19"/>
          <w:szCs w:val="19"/>
          <w:color w:val="auto"/>
        </w:rPr>
      </w:pPr>
      <w:r>
        <w:rPr>
          <w:rFonts w:ascii="Arial" w:cs="Arial" w:eastAsia="Arial" w:hAnsi="Arial"/>
          <w:sz w:val="19"/>
          <w:szCs w:val="19"/>
          <w:u w:val="single" w:color="auto"/>
          <w:color w:val="auto"/>
        </w:rPr>
        <w:t>Settlement; Payment Delay</w:t>
      </w:r>
      <w:r>
        <w:rPr>
          <w:rFonts w:ascii="Arial" w:cs="Arial" w:eastAsia="Arial" w:hAnsi="Arial"/>
          <w:sz w:val="19"/>
          <w:szCs w:val="19"/>
          <w:color w:val="auto"/>
        </w:rPr>
        <w:t>. The Restricted Units (including any additional Restricted Units credited as Cash Dividend Equivalents with respect to such Restricted Units) credited to Participant’s Restricted Unit Account pursuant to this Award Agreement shall be settled in accordance with the provisions of the Plan, including without limitation Section 6.1. Notwithstanding any provision to the contrary, if, pursuant to the provisions of Section 409A of the Internal Revenue Code of 1986, as amended, and the regulations promulgated thereunder (the “Code”), any payment is required to be delayed as a result of the Participant being deemed to be a “specified employee” within the meaning of that term under Section 409A(a)(2)(B) of the Code, then any such payments under the Plan shall not be made prior to the earlier of (A) the expiration of the six month period measured from the date of the “separation from service” (as such term is defined in Treasury Regulations issued under Section 409A of the Code) or (B) the date of the Participant’s death. Upon the expiration of such period, all payments under the Plan delayed pursuant to this paragraph 6 shall be paid to the Participant in a lump sum, and any remaining payments due under the Plan shall be paid or provided in accordance with the normal payment dates specified for them herein.</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xml:space="preserve">Page </w:t>
      </w:r>
      <w:r>
        <w:rPr>
          <w:rFonts w:ascii="Arial" w:cs="Arial" w:eastAsia="Arial" w:hAnsi="Arial"/>
          <w:sz w:val="22"/>
          <w:szCs w:val="22"/>
          <w:b w:val="1"/>
          <w:bCs w:val="1"/>
          <w:color w:val="auto"/>
        </w:rPr>
        <w:t>13</w:t>
      </w:r>
      <w:r>
        <w:rPr>
          <w:rFonts w:ascii="Arial" w:cs="Arial" w:eastAsia="Arial" w:hAnsi="Arial"/>
          <w:sz w:val="22"/>
          <w:szCs w:val="22"/>
          <w:color w:val="auto"/>
        </w:rPr>
        <w:t xml:space="preserve"> of </w:t>
      </w:r>
      <w:r>
        <w:rPr>
          <w:rFonts w:ascii="Arial" w:cs="Arial" w:eastAsia="Arial" w:hAnsi="Arial"/>
          <w:sz w:val="22"/>
          <w:szCs w:val="22"/>
          <w:b w:val="1"/>
          <w:bCs w:val="1"/>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342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69" w:right="239" w:bottom="1440" w:gutter="0" w:footer="0" w:header="0"/>
        </w:sectPr>
      </w:pPr>
    </w:p>
    <w:bookmarkStart w:id="71" w:name="page72"/>
    <w:bookmarkEnd w:id="71"/>
    <w:p>
      <w:pPr>
        <w:jc w:val="both"/>
        <w:ind w:firstLine="1305"/>
        <w:spacing w:after="0" w:line="245" w:lineRule="auto"/>
        <w:tabs>
          <w:tab w:leader="none" w:pos="2399" w:val="left"/>
        </w:tabs>
        <w:numPr>
          <w:ilvl w:val="0"/>
          <w:numId w:val="51"/>
        </w:numPr>
        <w:rPr>
          <w:rFonts w:ascii="Arial" w:cs="Arial" w:eastAsia="Arial" w:hAnsi="Arial"/>
          <w:sz w:val="21"/>
          <w:szCs w:val="21"/>
          <w:color w:val="auto"/>
        </w:rPr>
      </w:pPr>
      <w:r>
        <w:rPr>
          <w:rFonts w:ascii="Arial" w:cs="Arial" w:eastAsia="Arial" w:hAnsi="Arial"/>
          <w:sz w:val="21"/>
          <w:szCs w:val="21"/>
          <w:u w:val="single" w:color="auto"/>
          <w:color w:val="auto"/>
        </w:rPr>
        <w:t>Amendment and Waiver</w:t>
      </w:r>
      <w:r>
        <w:rPr>
          <w:rFonts w:ascii="Arial" w:cs="Arial" w:eastAsia="Arial" w:hAnsi="Arial"/>
          <w:sz w:val="21"/>
          <w:szCs w:val="21"/>
          <w:color w:val="auto"/>
        </w:rPr>
        <w:t>. Neither this Award Agreement nor any provision hereof may be amended, modified, changed, discharged, terminated or waived orally, by any course of dealing or purported course of dealing or by any other means except (a) in the case of an amendment, modification, change or waiver that does not impair the rights of the Participant with respect to outstanding Restricted Units or that is deemed by the Committee to be advisable to avoid the imposition of any tax under Section 409A of the Code, by written notice to the Participant or (b) an agreement in writing signed by the Company and the Participant. No such written notice of agreement shall extend to or affect any provision of this Award Agreement not expressly amended, modified, changed, discharged, terminated or waived or impair any right consequent on such a provision. The waiver of or failure to enforce any breach of this Award Agreement shall not be deemed to be a waiver of or acquiescence in any other breach hereof.</w:t>
      </w:r>
    </w:p>
    <w:p>
      <w:pPr>
        <w:spacing w:after="0" w:line="185" w:lineRule="exact"/>
        <w:rPr>
          <w:rFonts w:ascii="Arial" w:cs="Arial" w:eastAsia="Arial" w:hAnsi="Arial"/>
          <w:sz w:val="21"/>
          <w:szCs w:val="21"/>
          <w:color w:val="auto"/>
        </w:rPr>
      </w:pPr>
    </w:p>
    <w:p>
      <w:pPr>
        <w:ind w:left="2240" w:hanging="935"/>
        <w:spacing w:after="0"/>
        <w:tabs>
          <w:tab w:leader="none" w:pos="2240" w:val="left"/>
        </w:tabs>
        <w:numPr>
          <w:ilvl w:val="0"/>
          <w:numId w:val="51"/>
        </w:numPr>
        <w:rPr>
          <w:rFonts w:ascii="Arial" w:cs="Arial" w:eastAsia="Arial" w:hAnsi="Arial"/>
          <w:sz w:val="19"/>
          <w:szCs w:val="19"/>
          <w:color w:val="auto"/>
        </w:rPr>
      </w:pPr>
      <w:r>
        <w:rPr>
          <w:rFonts w:ascii="Arial" w:cs="Arial" w:eastAsia="Arial" w:hAnsi="Arial"/>
          <w:sz w:val="19"/>
          <w:szCs w:val="19"/>
          <w:u w:val="single" w:color="auto"/>
          <w:color w:val="auto"/>
        </w:rPr>
        <w:t>Notices</w:t>
      </w:r>
      <w:r>
        <w:rPr>
          <w:rFonts w:ascii="Arial" w:cs="Arial" w:eastAsia="Arial" w:hAnsi="Arial"/>
          <w:sz w:val="19"/>
          <w:szCs w:val="19"/>
          <w:color w:val="auto"/>
        </w:rPr>
        <w:t>. Any notice required or permitted under this Award Agreement shall be in writing and shall be</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deemed properly given:</w:t>
      </w:r>
    </w:p>
    <w:p>
      <w:pPr>
        <w:spacing w:after="0" w:line="188" w:lineRule="exact"/>
        <w:rPr>
          <w:sz w:val="20"/>
          <w:szCs w:val="20"/>
          <w:color w:val="auto"/>
        </w:rPr>
      </w:pPr>
    </w:p>
    <w:p>
      <w:pPr>
        <w:jc w:val="both"/>
        <w:ind w:firstLine="1297"/>
        <w:spacing w:after="0" w:line="238" w:lineRule="auto"/>
        <w:rPr>
          <w:sz w:val="20"/>
          <w:szCs w:val="20"/>
          <w:color w:val="auto"/>
        </w:rPr>
      </w:pPr>
      <w:r>
        <w:rPr>
          <w:rFonts w:ascii="Arial" w:cs="Arial" w:eastAsia="Arial" w:hAnsi="Arial"/>
          <w:sz w:val="22"/>
          <w:szCs w:val="22"/>
          <w:color w:val="auto"/>
        </w:rPr>
        <w:t>7.1 in the case of notice to the Company, if delivered in person to the Secretary of the Company, or mailed to the Company to the attention of the Secretary by registered mail (return receipt requested) at 216 Airport Drive, Rochester, New Hampshire, 03867, or at such other address as the Company may from time to time hereafter designate by written notice to the Participant; and</w:t>
      </w:r>
    </w:p>
    <w:p>
      <w:pPr>
        <w:spacing w:after="0" w:line="185" w:lineRule="exact"/>
        <w:rPr>
          <w:sz w:val="20"/>
          <w:szCs w:val="20"/>
          <w:color w:val="auto"/>
        </w:rPr>
      </w:pPr>
    </w:p>
    <w:p>
      <w:pPr>
        <w:jc w:val="both"/>
        <w:ind w:firstLine="1297"/>
        <w:spacing w:after="0" w:line="258" w:lineRule="auto"/>
        <w:rPr>
          <w:sz w:val="20"/>
          <w:szCs w:val="20"/>
          <w:color w:val="auto"/>
        </w:rPr>
      </w:pPr>
      <w:r>
        <w:rPr>
          <w:rFonts w:ascii="Arial" w:cs="Arial" w:eastAsia="Arial" w:hAnsi="Arial"/>
          <w:sz w:val="21"/>
          <w:szCs w:val="21"/>
          <w:color w:val="auto"/>
        </w:rPr>
        <w:t>7.2 in the case of notice to the Participant, if delivered to him or her in person, or mailed to him or her by registered mail (return receipt requested) at the last known residence address provided by Participant to the Company or at such other address as the Participant may from time to time hereafter designate by written notice to the Company.</w:t>
      </w:r>
    </w:p>
    <w:p>
      <w:pPr>
        <w:spacing w:after="0" w:line="167" w:lineRule="exact"/>
        <w:rPr>
          <w:sz w:val="20"/>
          <w:szCs w:val="20"/>
          <w:color w:val="auto"/>
        </w:rPr>
      </w:pPr>
    </w:p>
    <w:p>
      <w:pPr>
        <w:ind w:left="2020" w:hanging="715"/>
        <w:spacing w:after="0"/>
        <w:tabs>
          <w:tab w:leader="none" w:pos="2020" w:val="left"/>
        </w:tabs>
        <w:numPr>
          <w:ilvl w:val="0"/>
          <w:numId w:val="52"/>
        </w:numPr>
        <w:rPr>
          <w:rFonts w:ascii="Arial" w:cs="Arial" w:eastAsia="Arial" w:hAnsi="Arial"/>
          <w:sz w:val="19"/>
          <w:szCs w:val="19"/>
          <w:color w:val="auto"/>
        </w:rPr>
      </w:pPr>
      <w:r>
        <w:rPr>
          <w:rFonts w:ascii="Arial" w:cs="Arial" w:eastAsia="Arial" w:hAnsi="Arial"/>
          <w:sz w:val="19"/>
          <w:szCs w:val="19"/>
          <w:u w:val="single" w:color="auto"/>
          <w:color w:val="auto"/>
        </w:rPr>
        <w:t>Governing Law</w:t>
      </w:r>
      <w:r>
        <w:rPr>
          <w:rFonts w:ascii="Arial" w:cs="Arial" w:eastAsia="Arial" w:hAnsi="Arial"/>
          <w:sz w:val="19"/>
          <w:szCs w:val="19"/>
          <w:color w:val="auto"/>
        </w:rPr>
        <w:t>. This Award Agreement shall be governed by and construed in accordance with the laws of</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the State of New York.</w:t>
      </w:r>
    </w:p>
    <w:p>
      <w:pPr>
        <w:spacing w:after="0" w:line="188" w:lineRule="exact"/>
        <w:rPr>
          <w:rFonts w:ascii="Arial" w:cs="Arial" w:eastAsia="Arial" w:hAnsi="Arial"/>
          <w:sz w:val="19"/>
          <w:szCs w:val="19"/>
          <w:color w:val="auto"/>
        </w:rPr>
      </w:pPr>
    </w:p>
    <w:p>
      <w:pPr>
        <w:jc w:val="both"/>
        <w:ind w:firstLine="1305"/>
        <w:spacing w:after="0"/>
        <w:tabs>
          <w:tab w:leader="none" w:pos="2021" w:val="left"/>
        </w:tabs>
        <w:numPr>
          <w:ilvl w:val="0"/>
          <w:numId w:val="52"/>
        </w:numPr>
        <w:rPr>
          <w:rFonts w:ascii="Arial" w:cs="Arial" w:eastAsia="Arial" w:hAnsi="Arial"/>
          <w:sz w:val="22"/>
          <w:szCs w:val="22"/>
          <w:color w:val="auto"/>
        </w:rPr>
      </w:pPr>
      <w:r>
        <w:rPr>
          <w:rFonts w:ascii="Arial" w:cs="Arial" w:eastAsia="Arial" w:hAnsi="Arial"/>
          <w:sz w:val="22"/>
          <w:szCs w:val="22"/>
          <w:u w:val="single" w:color="auto"/>
          <w:color w:val="auto"/>
        </w:rPr>
        <w:t>Binding Agreement; Assignment</w:t>
      </w:r>
      <w:r>
        <w:rPr>
          <w:rFonts w:ascii="Arial" w:cs="Arial" w:eastAsia="Arial" w:hAnsi="Arial"/>
          <w:sz w:val="22"/>
          <w:szCs w:val="22"/>
          <w:color w:val="auto"/>
        </w:rPr>
        <w:t>. This Award Agreement shall inure to the benefit of, be binding upon, and be enforceable by the Company and its successors and assigns. The Participant shall not assign any part of this Award Agreement without the prior express written consent of the Company.</w:t>
      </w:r>
    </w:p>
    <w:p>
      <w:pPr>
        <w:spacing w:after="0" w:line="186" w:lineRule="exact"/>
        <w:rPr>
          <w:rFonts w:ascii="Arial" w:cs="Arial" w:eastAsia="Arial" w:hAnsi="Arial"/>
          <w:sz w:val="22"/>
          <w:szCs w:val="22"/>
          <w:color w:val="auto"/>
        </w:rPr>
      </w:pPr>
    </w:p>
    <w:p>
      <w:pPr>
        <w:ind w:firstLine="1305"/>
        <w:spacing w:after="0" w:line="251" w:lineRule="auto"/>
        <w:tabs>
          <w:tab w:leader="none" w:pos="2030" w:val="left"/>
        </w:tabs>
        <w:numPr>
          <w:ilvl w:val="0"/>
          <w:numId w:val="52"/>
        </w:numPr>
        <w:rPr>
          <w:rFonts w:ascii="Arial" w:cs="Arial" w:eastAsia="Arial" w:hAnsi="Arial"/>
          <w:sz w:val="22"/>
          <w:szCs w:val="22"/>
          <w:color w:val="auto"/>
        </w:rPr>
      </w:pPr>
      <w:r>
        <w:rPr>
          <w:rFonts w:ascii="Arial" w:cs="Arial" w:eastAsia="Arial" w:hAnsi="Arial"/>
          <w:sz w:val="22"/>
          <w:szCs w:val="22"/>
          <w:u w:val="single" w:color="auto"/>
          <w:color w:val="auto"/>
        </w:rPr>
        <w:t>Counterparts</w:t>
      </w:r>
      <w:r>
        <w:rPr>
          <w:rFonts w:ascii="Arial" w:cs="Arial" w:eastAsia="Arial" w:hAnsi="Arial"/>
          <w:sz w:val="22"/>
          <w:szCs w:val="22"/>
          <w:color w:val="auto"/>
        </w:rPr>
        <w:t>. This Award Agreement may be executed in one or more counterparts, each of which shall be deemed to be an original, but all of which shall constitute one and the same instrument.</w:t>
      </w:r>
    </w:p>
    <w:p>
      <w:pPr>
        <w:spacing w:after="0" w:line="173" w:lineRule="exact"/>
        <w:rPr>
          <w:rFonts w:ascii="Arial" w:cs="Arial" w:eastAsia="Arial" w:hAnsi="Arial"/>
          <w:sz w:val="22"/>
          <w:szCs w:val="22"/>
          <w:color w:val="auto"/>
        </w:rPr>
      </w:pPr>
    </w:p>
    <w:p>
      <w:pPr>
        <w:ind w:firstLine="1305"/>
        <w:spacing w:after="0" w:line="251" w:lineRule="auto"/>
        <w:tabs>
          <w:tab w:leader="none" w:pos="2076" w:val="left"/>
        </w:tabs>
        <w:numPr>
          <w:ilvl w:val="0"/>
          <w:numId w:val="52"/>
        </w:numPr>
        <w:rPr>
          <w:rFonts w:ascii="Arial" w:cs="Arial" w:eastAsia="Arial" w:hAnsi="Arial"/>
          <w:sz w:val="22"/>
          <w:szCs w:val="22"/>
          <w:color w:val="auto"/>
        </w:rPr>
      </w:pPr>
      <w:r>
        <w:rPr>
          <w:rFonts w:ascii="Arial" w:cs="Arial" w:eastAsia="Arial" w:hAnsi="Arial"/>
          <w:sz w:val="22"/>
          <w:szCs w:val="22"/>
          <w:u w:val="single" w:color="auto"/>
          <w:color w:val="auto"/>
        </w:rPr>
        <w:t>Headings</w:t>
      </w:r>
      <w:r>
        <w:rPr>
          <w:rFonts w:ascii="Arial" w:cs="Arial" w:eastAsia="Arial" w:hAnsi="Arial"/>
          <w:sz w:val="22"/>
          <w:szCs w:val="22"/>
          <w:color w:val="auto"/>
        </w:rPr>
        <w:t>. The titles and headings of the various sections of this Award Agreement have been inserted for convenience of reference only and shall not be deemed to be a part of this Award Agreement.</w:t>
      </w:r>
    </w:p>
    <w:p>
      <w:pPr>
        <w:spacing w:after="0" w:line="173" w:lineRule="exact"/>
        <w:rPr>
          <w:rFonts w:ascii="Arial" w:cs="Arial" w:eastAsia="Arial" w:hAnsi="Arial"/>
          <w:sz w:val="22"/>
          <w:szCs w:val="22"/>
          <w:color w:val="auto"/>
        </w:rPr>
      </w:pPr>
    </w:p>
    <w:p>
      <w:pPr>
        <w:jc w:val="both"/>
        <w:ind w:firstLine="1305"/>
        <w:spacing w:after="0" w:line="238" w:lineRule="auto"/>
        <w:tabs>
          <w:tab w:leader="none" w:pos="2098" w:val="left"/>
        </w:tabs>
        <w:numPr>
          <w:ilvl w:val="0"/>
          <w:numId w:val="52"/>
        </w:numPr>
        <w:rPr>
          <w:rFonts w:ascii="Arial" w:cs="Arial" w:eastAsia="Arial" w:hAnsi="Arial"/>
          <w:sz w:val="22"/>
          <w:szCs w:val="22"/>
          <w:color w:val="auto"/>
        </w:rPr>
      </w:pPr>
      <w:r>
        <w:rPr>
          <w:rFonts w:ascii="Arial" w:cs="Arial" w:eastAsia="Arial" w:hAnsi="Arial"/>
          <w:sz w:val="22"/>
          <w:szCs w:val="22"/>
          <w:u w:val="single" w:color="auto"/>
          <w:color w:val="auto"/>
        </w:rPr>
        <w:t>Further Assurances</w:t>
      </w:r>
      <w:r>
        <w:rPr>
          <w:rFonts w:ascii="Arial" w:cs="Arial" w:eastAsia="Arial" w:hAnsi="Arial"/>
          <w:sz w:val="22"/>
          <w:szCs w:val="22"/>
          <w:color w:val="auto"/>
        </w:rPr>
        <w:t>. Each party hereto shall do and perform (or shall cause to be done and performed) all such further acts and shall execute and deliver all such other agreements, certificates, instruments and documents as any other party hereto reasonably may request in order to carry out the intent and accomplish the purposes of this Award Agreement and the Plan and the consummation of the transactions contemplated thereunder.</w:t>
      </w:r>
    </w:p>
    <w:p>
      <w:pPr>
        <w:spacing w:after="0" w:line="185" w:lineRule="exact"/>
        <w:rPr>
          <w:rFonts w:ascii="Arial" w:cs="Arial" w:eastAsia="Arial" w:hAnsi="Arial"/>
          <w:sz w:val="22"/>
          <w:szCs w:val="22"/>
          <w:color w:val="auto"/>
        </w:rPr>
      </w:pPr>
    </w:p>
    <w:p>
      <w:pPr>
        <w:jc w:val="both"/>
        <w:ind w:firstLine="1305"/>
        <w:spacing w:after="0"/>
        <w:tabs>
          <w:tab w:leader="none" w:pos="2395" w:val="left"/>
        </w:tabs>
        <w:numPr>
          <w:ilvl w:val="0"/>
          <w:numId w:val="52"/>
        </w:numPr>
        <w:rPr>
          <w:rFonts w:ascii="Arial" w:cs="Arial" w:eastAsia="Arial" w:hAnsi="Arial"/>
          <w:sz w:val="22"/>
          <w:szCs w:val="22"/>
          <w:color w:val="auto"/>
        </w:rPr>
      </w:pPr>
      <w:r>
        <w:rPr>
          <w:rFonts w:ascii="Arial" w:cs="Arial" w:eastAsia="Arial" w:hAnsi="Arial"/>
          <w:sz w:val="22"/>
          <w:szCs w:val="22"/>
          <w:u w:val="single" w:color="auto"/>
          <w:color w:val="auto"/>
        </w:rPr>
        <w:t>Severability</w:t>
      </w:r>
      <w:r>
        <w:rPr>
          <w:rFonts w:ascii="Arial" w:cs="Arial" w:eastAsia="Arial" w:hAnsi="Arial"/>
          <w:sz w:val="22"/>
          <w:szCs w:val="22"/>
          <w:color w:val="auto"/>
        </w:rPr>
        <w:t>. The invalidity or unenforceability of any provisions of this Award Agreement in any jurisdiction shall not affect the validity, legality or enforceability of the remainder of this Award Agreement in such jurisdiction or the validity, legality or enforceability of any provision of this Award Agreement</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xml:space="preserve">Page </w:t>
      </w:r>
      <w:r>
        <w:rPr>
          <w:rFonts w:ascii="Arial" w:cs="Arial" w:eastAsia="Arial" w:hAnsi="Arial"/>
          <w:sz w:val="22"/>
          <w:szCs w:val="22"/>
          <w:b w:val="1"/>
          <w:bCs w:val="1"/>
          <w:color w:val="auto"/>
        </w:rPr>
        <w:t>14</w:t>
      </w:r>
      <w:r>
        <w:rPr>
          <w:rFonts w:ascii="Arial" w:cs="Arial" w:eastAsia="Arial" w:hAnsi="Arial"/>
          <w:sz w:val="22"/>
          <w:szCs w:val="22"/>
          <w:color w:val="auto"/>
        </w:rPr>
        <w:t xml:space="preserve"> of </w:t>
      </w:r>
      <w:r>
        <w:rPr>
          <w:rFonts w:ascii="Arial" w:cs="Arial" w:eastAsia="Arial" w:hAnsi="Arial"/>
          <w:sz w:val="22"/>
          <w:szCs w:val="22"/>
          <w:b w:val="1"/>
          <w:bCs w:val="1"/>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342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69" w:right="239" w:bottom="1440" w:gutter="0" w:footer="0" w:header="0"/>
        </w:sectPr>
      </w:pPr>
    </w:p>
    <w:bookmarkStart w:id="72" w:name="page73"/>
    <w:bookmarkEnd w:id="72"/>
    <w:p>
      <w:pPr>
        <w:spacing w:after="0" w:line="251" w:lineRule="auto"/>
        <w:rPr>
          <w:sz w:val="20"/>
          <w:szCs w:val="20"/>
          <w:color w:val="auto"/>
        </w:rPr>
      </w:pPr>
      <w:r>
        <w:rPr>
          <w:rFonts w:ascii="Arial" w:cs="Arial" w:eastAsia="Arial" w:hAnsi="Arial"/>
          <w:sz w:val="22"/>
          <w:szCs w:val="22"/>
          <w:color w:val="auto"/>
        </w:rPr>
        <w:t>in any other jurisdiction, it being intended that all rights and obligations of the parties hereunder shall be enforceable to the fullest extent permitted by law.</w:t>
      </w:r>
    </w:p>
    <w:p>
      <w:pPr>
        <w:spacing w:after="0" w:line="173" w:lineRule="exact"/>
        <w:rPr>
          <w:sz w:val="20"/>
          <w:szCs w:val="20"/>
          <w:color w:val="auto"/>
        </w:rPr>
      </w:pPr>
    </w:p>
    <w:p>
      <w:pPr>
        <w:jc w:val="both"/>
        <w:ind w:firstLine="1305"/>
        <w:spacing w:after="0" w:line="297" w:lineRule="auto"/>
        <w:tabs>
          <w:tab w:leader="none" w:pos="2125" w:val="left"/>
        </w:tabs>
        <w:numPr>
          <w:ilvl w:val="0"/>
          <w:numId w:val="53"/>
        </w:numPr>
        <w:rPr>
          <w:rFonts w:ascii="Arial" w:cs="Arial" w:eastAsia="Arial" w:hAnsi="Arial"/>
          <w:sz w:val="19"/>
          <w:szCs w:val="19"/>
          <w:color w:val="auto"/>
        </w:rPr>
      </w:pPr>
      <w:r>
        <w:rPr>
          <w:rFonts w:ascii="Arial" w:cs="Arial" w:eastAsia="Arial" w:hAnsi="Arial"/>
          <w:sz w:val="19"/>
          <w:szCs w:val="19"/>
          <w:u w:val="single" w:color="auto"/>
          <w:color w:val="auto"/>
        </w:rPr>
        <w:t>Acceptance of Restricted Units</w:t>
      </w:r>
      <w:r>
        <w:rPr>
          <w:rFonts w:ascii="Arial" w:cs="Arial" w:eastAsia="Arial" w:hAnsi="Arial"/>
          <w:sz w:val="19"/>
          <w:szCs w:val="19"/>
          <w:color w:val="auto"/>
        </w:rPr>
        <w:t>. Unless, within 45 days following the date of this Award Agreement, the Company has received written notice from the Participant rejecting the Restricted Units, this Award Agreement shall be deemed to have been accepted by the Participant and shall constitute a legal and binding agreement between the Participant and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660"/>
        <w:spacing w:after="0"/>
        <w:rPr>
          <w:sz w:val="20"/>
          <w:szCs w:val="20"/>
          <w:color w:val="auto"/>
        </w:rPr>
      </w:pPr>
      <w:r>
        <w:rPr>
          <w:rFonts w:ascii="Arial" w:cs="Arial" w:eastAsia="Arial" w:hAnsi="Arial"/>
          <w:sz w:val="19"/>
          <w:szCs w:val="19"/>
          <w:color w:val="auto"/>
        </w:rPr>
        <w:t>IN WITNESS WHEREOF, the Company has duly executed this Award Agreement as of the Award Date specified above.</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5820"/>
        <w:spacing w:after="0"/>
        <w:rPr>
          <w:sz w:val="20"/>
          <w:szCs w:val="20"/>
          <w:color w:val="auto"/>
        </w:rPr>
      </w:pPr>
      <w:r>
        <w:rPr>
          <w:rFonts w:ascii="Arial" w:cs="Arial" w:eastAsia="Arial" w:hAnsi="Arial"/>
          <w:sz w:val="22"/>
          <w:szCs w:val="22"/>
          <w:color w:val="auto"/>
        </w:rPr>
        <w:t>ALBANY INTERNATIONAL CORP.</w:t>
      </w:r>
    </w:p>
    <w:p>
      <w:pPr>
        <w:spacing w:after="0" w:line="200" w:lineRule="exact"/>
        <w:rPr>
          <w:sz w:val="20"/>
          <w:szCs w:val="20"/>
          <w:color w:val="auto"/>
        </w:rPr>
      </w:pPr>
    </w:p>
    <w:p>
      <w:pPr>
        <w:spacing w:after="0" w:line="276" w:lineRule="exact"/>
        <w:rPr>
          <w:sz w:val="20"/>
          <w:szCs w:val="20"/>
          <w:color w:val="auto"/>
        </w:rPr>
      </w:pPr>
    </w:p>
    <w:p>
      <w:pPr>
        <w:ind w:left="5820"/>
        <w:spacing w:after="0"/>
        <w:rPr>
          <w:sz w:val="20"/>
          <w:szCs w:val="20"/>
          <w:color w:val="auto"/>
        </w:rPr>
      </w:pPr>
      <w:r>
        <w:rPr>
          <w:rFonts w:ascii="Arial" w:cs="Arial" w:eastAsia="Arial" w:hAnsi="Arial"/>
          <w:sz w:val="22"/>
          <w:szCs w:val="22"/>
          <w:u w:val="single" w:color="auto"/>
          <w:color w:val="auto"/>
        </w:rPr>
        <w:t>/s/ Joseph G. Morone_____________</w:t>
      </w:r>
    </w:p>
    <w:p>
      <w:pPr>
        <w:ind w:left="5820"/>
        <w:spacing w:after="0" w:line="238" w:lineRule="auto"/>
        <w:rPr>
          <w:sz w:val="20"/>
          <w:szCs w:val="20"/>
          <w:color w:val="auto"/>
        </w:rPr>
      </w:pPr>
      <w:r>
        <w:rPr>
          <w:rFonts w:ascii="Arial" w:cs="Arial" w:eastAsia="Arial" w:hAnsi="Arial"/>
          <w:sz w:val="22"/>
          <w:szCs w:val="22"/>
          <w:color w:val="auto"/>
        </w:rPr>
        <w:t>Name: Joseph G. Morone</w:t>
      </w:r>
    </w:p>
    <w:p>
      <w:pPr>
        <w:ind w:left="5820"/>
        <w:spacing w:after="0"/>
        <w:rPr>
          <w:sz w:val="20"/>
          <w:szCs w:val="20"/>
          <w:color w:val="auto"/>
        </w:rPr>
      </w:pPr>
      <w:r>
        <w:rPr>
          <w:rFonts w:ascii="Arial" w:cs="Arial" w:eastAsia="Arial" w:hAnsi="Arial"/>
          <w:sz w:val="22"/>
          <w:szCs w:val="22"/>
          <w:color w:val="auto"/>
        </w:rPr>
        <w:t>Title: President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5820"/>
        <w:spacing w:after="0"/>
        <w:rPr>
          <w:sz w:val="20"/>
          <w:szCs w:val="20"/>
          <w:color w:val="auto"/>
        </w:rPr>
      </w:pPr>
      <w:r>
        <w:rPr>
          <w:rFonts w:ascii="Arial" w:cs="Arial" w:eastAsia="Arial" w:hAnsi="Arial"/>
          <w:sz w:val="22"/>
          <w:szCs w:val="22"/>
          <w:u w:val="single" w:color="auto"/>
          <w:color w:val="auto"/>
        </w:rPr>
        <w:t>/s/ Olivier Jarrault_____________</w:t>
      </w:r>
    </w:p>
    <w:p>
      <w:pPr>
        <w:spacing w:after="0" w:line="233" w:lineRule="exact"/>
        <w:rPr>
          <w:sz w:val="20"/>
          <w:szCs w:val="20"/>
          <w:color w:val="auto"/>
        </w:rPr>
      </w:pPr>
    </w:p>
    <w:p>
      <w:pPr>
        <w:ind w:left="5820"/>
        <w:spacing w:after="0"/>
        <w:rPr>
          <w:sz w:val="20"/>
          <w:szCs w:val="20"/>
          <w:color w:val="auto"/>
        </w:rPr>
      </w:pPr>
      <w:r>
        <w:rPr>
          <w:rFonts w:ascii="Arial" w:cs="Arial" w:eastAsia="Arial" w:hAnsi="Arial"/>
          <w:sz w:val="22"/>
          <w:szCs w:val="22"/>
          <w:color w:val="auto"/>
        </w:rPr>
        <w:t>Olivier Jarrault</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xml:space="preserve">Page </w:t>
      </w:r>
      <w:r>
        <w:rPr>
          <w:rFonts w:ascii="Arial" w:cs="Arial" w:eastAsia="Arial" w:hAnsi="Arial"/>
          <w:sz w:val="22"/>
          <w:szCs w:val="22"/>
          <w:b w:val="1"/>
          <w:bCs w:val="1"/>
          <w:color w:val="auto"/>
        </w:rPr>
        <w:t>15</w:t>
      </w:r>
      <w:r>
        <w:rPr>
          <w:rFonts w:ascii="Arial" w:cs="Arial" w:eastAsia="Arial" w:hAnsi="Arial"/>
          <w:sz w:val="22"/>
          <w:szCs w:val="22"/>
          <w:color w:val="auto"/>
        </w:rPr>
        <w:t xml:space="preserve"> of </w:t>
      </w:r>
      <w:r>
        <w:rPr>
          <w:rFonts w:ascii="Arial" w:cs="Arial" w:eastAsia="Arial" w:hAnsi="Arial"/>
          <w:sz w:val="22"/>
          <w:szCs w:val="22"/>
          <w:b w:val="1"/>
          <w:bCs w:val="1"/>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342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69" w:right="239" w:bottom="1440" w:gutter="0" w:footer="0" w:header="0"/>
        </w:sectPr>
      </w:pPr>
    </w:p>
    <w:bookmarkStart w:id="73" w:name="page74"/>
    <w:bookmarkEnd w:id="73"/>
    <w:p>
      <w:pPr>
        <w:jc w:val="center"/>
        <w:ind w:left="1320"/>
        <w:spacing w:after="0"/>
        <w:rPr>
          <w:sz w:val="20"/>
          <w:szCs w:val="20"/>
          <w:color w:val="auto"/>
        </w:rPr>
      </w:pPr>
      <w:r>
        <w:rPr>
          <w:rFonts w:ascii="Arial" w:cs="Arial" w:eastAsia="Arial" w:hAnsi="Arial"/>
          <w:sz w:val="18"/>
          <w:szCs w:val="18"/>
          <w:b w:val="1"/>
          <w:bCs w:val="1"/>
          <w:color w:val="auto"/>
        </w:rPr>
        <w:t>EXHIBIT (31.1)</w:t>
      </w:r>
    </w:p>
    <w:p>
      <w:pPr>
        <w:spacing w:after="0" w:line="12" w:lineRule="exact"/>
        <w:rPr>
          <w:sz w:val="20"/>
          <w:szCs w:val="20"/>
          <w:color w:val="auto"/>
        </w:rPr>
      </w:pPr>
    </w:p>
    <w:p>
      <w:pPr>
        <w:jc w:val="center"/>
        <w:ind w:left="1320"/>
        <w:spacing w:after="0"/>
        <w:rPr>
          <w:sz w:val="20"/>
          <w:szCs w:val="20"/>
          <w:color w:val="auto"/>
        </w:rPr>
      </w:pPr>
      <w:r>
        <w:rPr>
          <w:rFonts w:ascii="Arial" w:cs="Arial" w:eastAsia="Arial" w:hAnsi="Arial"/>
          <w:sz w:val="18"/>
          <w:szCs w:val="18"/>
          <w:b w:val="1"/>
          <w:bCs w:val="1"/>
          <w:color w:val="auto"/>
        </w:rPr>
        <w:t>CERTIFICATION PURSUANT TO</w:t>
      </w:r>
    </w:p>
    <w:p>
      <w:pPr>
        <w:jc w:val="center"/>
        <w:ind w:left="1320"/>
        <w:spacing w:after="0" w:line="234" w:lineRule="auto"/>
        <w:rPr>
          <w:sz w:val="20"/>
          <w:szCs w:val="20"/>
          <w:color w:val="auto"/>
        </w:rPr>
      </w:pPr>
      <w:r>
        <w:rPr>
          <w:rFonts w:ascii="Arial" w:cs="Arial" w:eastAsia="Arial" w:hAnsi="Arial"/>
          <w:sz w:val="18"/>
          <w:szCs w:val="18"/>
          <w:b w:val="1"/>
          <w:bCs w:val="1"/>
          <w:color w:val="auto"/>
        </w:rPr>
        <w:t>RULE 13A-14 OF THE SECURITIES EXCHANGE ACT OF 1934,</w:t>
      </w:r>
    </w:p>
    <w:p>
      <w:pPr>
        <w:jc w:val="center"/>
        <w:ind w:left="1320"/>
        <w:spacing w:after="0" w:line="235" w:lineRule="auto"/>
        <w:rPr>
          <w:sz w:val="20"/>
          <w:szCs w:val="20"/>
          <w:color w:val="auto"/>
        </w:rPr>
      </w:pPr>
      <w:r>
        <w:rPr>
          <w:rFonts w:ascii="Arial" w:cs="Arial" w:eastAsia="Arial" w:hAnsi="Arial"/>
          <w:sz w:val="18"/>
          <w:szCs w:val="18"/>
          <w:b w:val="1"/>
          <w:bCs w:val="1"/>
          <w:color w:val="auto"/>
        </w:rPr>
        <w:t>AS ADOPTED PURSUANT TO</w:t>
      </w:r>
    </w:p>
    <w:p>
      <w:pPr>
        <w:jc w:val="center"/>
        <w:ind w:left="1320"/>
        <w:spacing w:after="0" w:line="235" w:lineRule="auto"/>
        <w:rPr>
          <w:sz w:val="20"/>
          <w:szCs w:val="20"/>
          <w:color w:val="auto"/>
        </w:rPr>
      </w:pPr>
      <w:r>
        <w:rPr>
          <w:rFonts w:ascii="Arial" w:cs="Arial" w:eastAsia="Arial" w:hAnsi="Arial"/>
          <w:sz w:val="18"/>
          <w:szCs w:val="18"/>
          <w:b w:val="1"/>
          <w:bCs w:val="1"/>
          <w:color w:val="auto"/>
        </w:rPr>
        <w:t>SECTION 302 OF THE SARBANES-OXLEY ACT OF 2002</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I, Olivier Jarrault, certify that:</w:t>
      </w:r>
    </w:p>
    <w:p>
      <w:pPr>
        <w:spacing w:after="0" w:line="171" w:lineRule="exact"/>
        <w:rPr>
          <w:sz w:val="20"/>
          <w:szCs w:val="20"/>
          <w:color w:val="auto"/>
        </w:rPr>
      </w:pPr>
    </w:p>
    <w:p>
      <w:pPr>
        <w:ind w:left="980" w:hanging="324"/>
        <w:spacing w:after="0"/>
        <w:tabs>
          <w:tab w:leader="none" w:pos="9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I have reviewed this report on Form 10-Q of Albany International Corp.;</w:t>
      </w:r>
    </w:p>
    <w:p>
      <w:pPr>
        <w:spacing w:after="0" w:line="184" w:lineRule="exact"/>
        <w:rPr>
          <w:rFonts w:ascii="Arial" w:cs="Arial" w:eastAsia="Arial" w:hAnsi="Arial"/>
          <w:sz w:val="18"/>
          <w:szCs w:val="18"/>
          <w:color w:val="auto"/>
        </w:rPr>
      </w:pPr>
    </w:p>
    <w:p>
      <w:pPr>
        <w:ind w:left="980" w:right="280" w:hanging="324"/>
        <w:spacing w:after="0"/>
        <w:tabs>
          <w:tab w:leader="none" w:pos="9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2" w:lineRule="exact"/>
        <w:rPr>
          <w:rFonts w:ascii="Arial" w:cs="Arial" w:eastAsia="Arial" w:hAnsi="Arial"/>
          <w:sz w:val="18"/>
          <w:szCs w:val="18"/>
          <w:color w:val="auto"/>
        </w:rPr>
      </w:pPr>
    </w:p>
    <w:p>
      <w:pPr>
        <w:ind w:left="980" w:right="80" w:hanging="324"/>
        <w:spacing w:after="0"/>
        <w:tabs>
          <w:tab w:leader="none" w:pos="9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2" w:lineRule="exact"/>
        <w:rPr>
          <w:rFonts w:ascii="Arial" w:cs="Arial" w:eastAsia="Arial" w:hAnsi="Arial"/>
          <w:sz w:val="18"/>
          <w:szCs w:val="18"/>
          <w:color w:val="auto"/>
        </w:rPr>
      </w:pPr>
    </w:p>
    <w:p>
      <w:pPr>
        <w:jc w:val="both"/>
        <w:ind w:left="980" w:right="60" w:hanging="324"/>
        <w:spacing w:after="0"/>
        <w:tabs>
          <w:tab w:leader="none" w:pos="9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Arial" w:cs="Arial" w:eastAsia="Arial" w:hAnsi="Arial"/>
          <w:sz w:val="18"/>
          <w:szCs w:val="18"/>
          <w:color w:val="auto"/>
        </w:rPr>
      </w:pPr>
    </w:p>
    <w:p>
      <w:pPr>
        <w:ind w:left="1300" w:right="160" w:hanging="320"/>
        <w:spacing w:after="0"/>
        <w:tabs>
          <w:tab w:leader="none" w:pos="1300" w:val="left"/>
        </w:tabs>
        <w:numPr>
          <w:ilvl w:val="1"/>
          <w:numId w:val="5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2" w:lineRule="exact"/>
        <w:rPr>
          <w:rFonts w:ascii="Arial" w:cs="Arial" w:eastAsia="Arial" w:hAnsi="Arial"/>
          <w:sz w:val="18"/>
          <w:szCs w:val="18"/>
          <w:color w:val="auto"/>
        </w:rPr>
      </w:pPr>
    </w:p>
    <w:p>
      <w:pPr>
        <w:ind w:left="1300" w:right="140" w:hanging="320"/>
        <w:spacing w:after="0"/>
        <w:tabs>
          <w:tab w:leader="none" w:pos="1300" w:val="left"/>
        </w:tabs>
        <w:numPr>
          <w:ilvl w:val="1"/>
          <w:numId w:val="5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2" w:lineRule="exact"/>
        <w:rPr>
          <w:rFonts w:ascii="Arial" w:cs="Arial" w:eastAsia="Arial" w:hAnsi="Arial"/>
          <w:sz w:val="18"/>
          <w:szCs w:val="18"/>
          <w:color w:val="auto"/>
        </w:rPr>
      </w:pPr>
    </w:p>
    <w:p>
      <w:pPr>
        <w:jc w:val="both"/>
        <w:ind w:left="1300" w:right="80" w:hanging="320"/>
        <w:spacing w:after="0"/>
        <w:tabs>
          <w:tab w:leader="none" w:pos="1300" w:val="left"/>
        </w:tabs>
        <w:numPr>
          <w:ilvl w:val="1"/>
          <w:numId w:val="54"/>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Arial" w:cs="Arial" w:eastAsia="Arial" w:hAnsi="Arial"/>
          <w:sz w:val="18"/>
          <w:szCs w:val="18"/>
          <w:color w:val="auto"/>
        </w:rPr>
      </w:pPr>
    </w:p>
    <w:p>
      <w:pPr>
        <w:ind w:left="1300" w:right="220" w:hanging="320"/>
        <w:spacing w:after="0"/>
        <w:tabs>
          <w:tab w:leader="none" w:pos="1300" w:val="left"/>
        </w:tabs>
        <w:numPr>
          <w:ilvl w:val="1"/>
          <w:numId w:val="5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2" w:lineRule="exact"/>
        <w:rPr>
          <w:rFonts w:ascii="Arial" w:cs="Arial" w:eastAsia="Arial" w:hAnsi="Arial"/>
          <w:sz w:val="18"/>
          <w:szCs w:val="18"/>
          <w:color w:val="auto"/>
        </w:rPr>
      </w:pPr>
    </w:p>
    <w:p>
      <w:pPr>
        <w:ind w:left="980" w:right="120" w:hanging="324"/>
        <w:spacing w:after="0"/>
        <w:tabs>
          <w:tab w:leader="none" w:pos="9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2" w:lineRule="exact"/>
        <w:rPr>
          <w:rFonts w:ascii="Arial" w:cs="Arial" w:eastAsia="Arial" w:hAnsi="Arial"/>
          <w:sz w:val="18"/>
          <w:szCs w:val="18"/>
          <w:color w:val="auto"/>
        </w:rPr>
      </w:pPr>
    </w:p>
    <w:p>
      <w:pPr>
        <w:ind w:left="1300" w:right="80" w:hanging="320"/>
        <w:spacing w:after="0"/>
        <w:tabs>
          <w:tab w:leader="none" w:pos="1300" w:val="left"/>
        </w:tabs>
        <w:numPr>
          <w:ilvl w:val="1"/>
          <w:numId w:val="5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5" w:lineRule="exact"/>
        <w:rPr>
          <w:rFonts w:ascii="Arial" w:cs="Arial" w:eastAsia="Arial" w:hAnsi="Arial"/>
          <w:sz w:val="18"/>
          <w:szCs w:val="18"/>
          <w:color w:val="auto"/>
        </w:rPr>
      </w:pPr>
    </w:p>
    <w:p>
      <w:pPr>
        <w:ind w:left="1300" w:hanging="320"/>
        <w:spacing w:after="0" w:line="246" w:lineRule="auto"/>
        <w:tabs>
          <w:tab w:leader="none" w:pos="1300" w:val="left"/>
        </w:tabs>
        <w:numPr>
          <w:ilvl w:val="1"/>
          <w:numId w:val="5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color w:val="auto"/>
        </w:rPr>
        <w:t>Date: May 8, 2018</w:t>
      </w:r>
    </w:p>
    <w:p>
      <w:pPr>
        <w:spacing w:after="0" w:line="180"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Olivier Jarrault</w:t>
      </w:r>
    </w:p>
    <w:p>
      <w:pPr>
        <w:ind w:left="6220"/>
        <w:spacing w:after="0" w:line="234" w:lineRule="auto"/>
        <w:rPr>
          <w:sz w:val="20"/>
          <w:szCs w:val="20"/>
          <w:color w:val="auto"/>
        </w:rPr>
      </w:pPr>
      <w:r>
        <w:rPr>
          <w:rFonts w:ascii="Arial" w:cs="Arial" w:eastAsia="Arial" w:hAnsi="Arial"/>
          <w:sz w:val="18"/>
          <w:szCs w:val="18"/>
          <w:color w:val="auto"/>
        </w:rPr>
        <w:t>Olivier Jarrault</w:t>
      </w:r>
    </w:p>
    <w:p>
      <w:pPr>
        <w:ind w:left="6220"/>
        <w:spacing w:after="0" w:line="235" w:lineRule="auto"/>
        <w:rPr>
          <w:sz w:val="20"/>
          <w:szCs w:val="20"/>
          <w:color w:val="auto"/>
        </w:rPr>
      </w:pPr>
      <w:r>
        <w:rPr>
          <w:rFonts w:ascii="Arial" w:cs="Arial" w:eastAsia="Arial" w:hAnsi="Arial"/>
          <w:sz w:val="18"/>
          <w:szCs w:val="18"/>
          <w:color w:val="auto"/>
        </w:rPr>
        <w:t>President and Chief Executive Officer</w:t>
      </w:r>
    </w:p>
    <w:p>
      <w:pPr>
        <w:spacing w:after="0" w:line="1" w:lineRule="exact"/>
        <w:rPr>
          <w:sz w:val="20"/>
          <w:szCs w:val="20"/>
          <w:color w:val="auto"/>
        </w:rPr>
      </w:pPr>
    </w:p>
    <w:p>
      <w:pPr>
        <w:ind w:left="6220"/>
        <w:spacing w:after="0"/>
        <w:rPr>
          <w:sz w:val="20"/>
          <w:szCs w:val="20"/>
          <w:color w:val="auto"/>
        </w:rPr>
      </w:pPr>
      <w:r>
        <w:rPr>
          <w:rFonts w:ascii="Arial" w:cs="Arial" w:eastAsia="Arial" w:hAnsi="Arial"/>
          <w:sz w:val="18"/>
          <w:szCs w:val="18"/>
          <w:color w:val="auto"/>
        </w:rPr>
        <w:t>(Principal Executive Officer)</w:t>
      </w:r>
    </w:p>
    <w:p>
      <w:pPr>
        <w:spacing w:after="0" w:line="200" w:lineRule="exact"/>
        <w:rPr>
          <w:sz w:val="20"/>
          <w:szCs w:val="20"/>
          <w:color w:val="auto"/>
        </w:rPr>
      </w:pPr>
    </w:p>
    <w:p>
      <w:pPr>
        <w:spacing w:after="0" w:line="25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342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sectPr>
      </w:pPr>
    </w:p>
    <w:bookmarkStart w:id="74" w:name="page75"/>
    <w:bookmarkEnd w:id="74"/>
    <w:p>
      <w:pPr>
        <w:jc w:val="center"/>
        <w:ind w:left="1300"/>
        <w:spacing w:after="0"/>
        <w:rPr>
          <w:sz w:val="20"/>
          <w:szCs w:val="20"/>
          <w:color w:val="auto"/>
        </w:rPr>
      </w:pPr>
      <w:r>
        <w:rPr>
          <w:rFonts w:ascii="Arial" w:cs="Arial" w:eastAsia="Arial" w:hAnsi="Arial"/>
          <w:sz w:val="18"/>
          <w:szCs w:val="18"/>
          <w:b w:val="1"/>
          <w:bCs w:val="1"/>
          <w:color w:val="auto"/>
        </w:rPr>
        <w:t>EXHIBIT (31.2)</w:t>
      </w:r>
    </w:p>
    <w:p>
      <w:pPr>
        <w:spacing w:after="0" w:line="12" w:lineRule="exact"/>
        <w:rPr>
          <w:sz w:val="20"/>
          <w:szCs w:val="20"/>
          <w:color w:val="auto"/>
        </w:rPr>
      </w:pPr>
    </w:p>
    <w:p>
      <w:pPr>
        <w:jc w:val="center"/>
        <w:ind w:left="1300"/>
        <w:spacing w:after="0"/>
        <w:rPr>
          <w:sz w:val="20"/>
          <w:szCs w:val="20"/>
          <w:color w:val="auto"/>
        </w:rPr>
      </w:pPr>
      <w:r>
        <w:rPr>
          <w:rFonts w:ascii="Arial" w:cs="Arial" w:eastAsia="Arial" w:hAnsi="Arial"/>
          <w:sz w:val="18"/>
          <w:szCs w:val="18"/>
          <w:b w:val="1"/>
          <w:bCs w:val="1"/>
          <w:color w:val="auto"/>
        </w:rPr>
        <w:t>CERTIFICATION PURSUANT TO</w:t>
      </w:r>
    </w:p>
    <w:p>
      <w:pPr>
        <w:jc w:val="center"/>
        <w:ind w:left="1300"/>
        <w:spacing w:after="0" w:line="234" w:lineRule="auto"/>
        <w:rPr>
          <w:sz w:val="20"/>
          <w:szCs w:val="20"/>
          <w:color w:val="auto"/>
        </w:rPr>
      </w:pPr>
      <w:r>
        <w:rPr>
          <w:rFonts w:ascii="Arial" w:cs="Arial" w:eastAsia="Arial" w:hAnsi="Arial"/>
          <w:sz w:val="18"/>
          <w:szCs w:val="18"/>
          <w:b w:val="1"/>
          <w:bCs w:val="1"/>
          <w:color w:val="auto"/>
        </w:rPr>
        <w:t>RULE 13A-14 OF THE SECURITIES EXCHANGE ACT OF 1934,</w:t>
      </w:r>
    </w:p>
    <w:p>
      <w:pPr>
        <w:jc w:val="center"/>
        <w:ind w:left="1300"/>
        <w:spacing w:after="0" w:line="235" w:lineRule="auto"/>
        <w:rPr>
          <w:sz w:val="20"/>
          <w:szCs w:val="20"/>
          <w:color w:val="auto"/>
        </w:rPr>
      </w:pPr>
      <w:r>
        <w:rPr>
          <w:rFonts w:ascii="Arial" w:cs="Arial" w:eastAsia="Arial" w:hAnsi="Arial"/>
          <w:sz w:val="18"/>
          <w:szCs w:val="18"/>
          <w:b w:val="1"/>
          <w:bCs w:val="1"/>
          <w:color w:val="auto"/>
        </w:rPr>
        <w:t>AS ADOPTED PURSUANT TO</w:t>
      </w:r>
    </w:p>
    <w:p>
      <w:pPr>
        <w:jc w:val="center"/>
        <w:ind w:left="1300"/>
        <w:spacing w:after="0" w:line="235" w:lineRule="auto"/>
        <w:rPr>
          <w:sz w:val="20"/>
          <w:szCs w:val="20"/>
          <w:color w:val="auto"/>
        </w:rPr>
      </w:pPr>
      <w:r>
        <w:rPr>
          <w:rFonts w:ascii="Arial" w:cs="Arial" w:eastAsia="Arial" w:hAnsi="Arial"/>
          <w:sz w:val="18"/>
          <w:szCs w:val="18"/>
          <w:b w:val="1"/>
          <w:bCs w:val="1"/>
          <w:color w:val="auto"/>
        </w:rPr>
        <w:t>SECTION 302 OF THE SARBANES-OXLEY ACT OF 2002</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I, John B. Cozzolino, certify that:</w:t>
      </w:r>
    </w:p>
    <w:p>
      <w:pPr>
        <w:spacing w:after="0" w:line="171" w:lineRule="exact"/>
        <w:rPr>
          <w:sz w:val="20"/>
          <w:szCs w:val="20"/>
          <w:color w:val="auto"/>
        </w:rPr>
      </w:pPr>
    </w:p>
    <w:p>
      <w:pPr>
        <w:ind w:left="980" w:hanging="324"/>
        <w:spacing w:after="0"/>
        <w:tabs>
          <w:tab w:leader="none" w:pos="9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I have reviewed this report on Form 10-Q of Albany International Corp.;</w:t>
      </w:r>
    </w:p>
    <w:p>
      <w:pPr>
        <w:spacing w:after="0" w:line="184" w:lineRule="exact"/>
        <w:rPr>
          <w:rFonts w:ascii="Arial" w:cs="Arial" w:eastAsia="Arial" w:hAnsi="Arial"/>
          <w:sz w:val="18"/>
          <w:szCs w:val="18"/>
          <w:color w:val="auto"/>
        </w:rPr>
      </w:pPr>
    </w:p>
    <w:p>
      <w:pPr>
        <w:ind w:left="980" w:right="300" w:hanging="324"/>
        <w:spacing w:after="0"/>
        <w:tabs>
          <w:tab w:leader="none" w:pos="9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2" w:lineRule="exact"/>
        <w:rPr>
          <w:rFonts w:ascii="Arial" w:cs="Arial" w:eastAsia="Arial" w:hAnsi="Arial"/>
          <w:sz w:val="18"/>
          <w:szCs w:val="18"/>
          <w:color w:val="auto"/>
        </w:rPr>
      </w:pPr>
    </w:p>
    <w:p>
      <w:pPr>
        <w:ind w:left="980" w:right="100" w:hanging="324"/>
        <w:spacing w:after="0"/>
        <w:tabs>
          <w:tab w:leader="none" w:pos="9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2" w:lineRule="exact"/>
        <w:rPr>
          <w:rFonts w:ascii="Arial" w:cs="Arial" w:eastAsia="Arial" w:hAnsi="Arial"/>
          <w:sz w:val="18"/>
          <w:szCs w:val="18"/>
          <w:color w:val="auto"/>
        </w:rPr>
      </w:pPr>
    </w:p>
    <w:p>
      <w:pPr>
        <w:jc w:val="both"/>
        <w:ind w:left="980" w:right="80" w:hanging="324"/>
        <w:spacing w:after="0"/>
        <w:tabs>
          <w:tab w:leader="none" w:pos="9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Arial" w:cs="Arial" w:eastAsia="Arial" w:hAnsi="Arial"/>
          <w:sz w:val="18"/>
          <w:szCs w:val="18"/>
          <w:color w:val="auto"/>
        </w:rPr>
      </w:pPr>
    </w:p>
    <w:p>
      <w:pPr>
        <w:ind w:left="1300" w:right="180" w:hanging="320"/>
        <w:spacing w:after="0"/>
        <w:tabs>
          <w:tab w:leader="none" w:pos="1300" w:val="left"/>
        </w:tabs>
        <w:numPr>
          <w:ilvl w:val="1"/>
          <w:numId w:val="5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2" w:lineRule="exact"/>
        <w:rPr>
          <w:rFonts w:ascii="Arial" w:cs="Arial" w:eastAsia="Arial" w:hAnsi="Arial"/>
          <w:sz w:val="18"/>
          <w:szCs w:val="18"/>
          <w:color w:val="auto"/>
        </w:rPr>
      </w:pPr>
    </w:p>
    <w:p>
      <w:pPr>
        <w:ind w:left="1300" w:right="160" w:hanging="320"/>
        <w:spacing w:after="0"/>
        <w:tabs>
          <w:tab w:leader="none" w:pos="1300" w:val="left"/>
        </w:tabs>
        <w:numPr>
          <w:ilvl w:val="1"/>
          <w:numId w:val="5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2" w:lineRule="exact"/>
        <w:rPr>
          <w:rFonts w:ascii="Arial" w:cs="Arial" w:eastAsia="Arial" w:hAnsi="Arial"/>
          <w:sz w:val="18"/>
          <w:szCs w:val="18"/>
          <w:color w:val="auto"/>
        </w:rPr>
      </w:pPr>
    </w:p>
    <w:p>
      <w:pPr>
        <w:jc w:val="both"/>
        <w:ind w:left="1300" w:right="100" w:hanging="320"/>
        <w:spacing w:after="0"/>
        <w:tabs>
          <w:tab w:leader="none" w:pos="1300" w:val="left"/>
        </w:tabs>
        <w:numPr>
          <w:ilvl w:val="1"/>
          <w:numId w:val="5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Arial" w:cs="Arial" w:eastAsia="Arial" w:hAnsi="Arial"/>
          <w:sz w:val="18"/>
          <w:szCs w:val="18"/>
          <w:color w:val="auto"/>
        </w:rPr>
      </w:pPr>
    </w:p>
    <w:p>
      <w:pPr>
        <w:ind w:left="1300" w:right="240" w:hanging="320"/>
        <w:spacing w:after="0"/>
        <w:tabs>
          <w:tab w:leader="none" w:pos="1300" w:val="left"/>
        </w:tabs>
        <w:numPr>
          <w:ilvl w:val="1"/>
          <w:numId w:val="5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2" w:lineRule="exact"/>
        <w:rPr>
          <w:rFonts w:ascii="Arial" w:cs="Arial" w:eastAsia="Arial" w:hAnsi="Arial"/>
          <w:sz w:val="18"/>
          <w:szCs w:val="18"/>
          <w:color w:val="auto"/>
        </w:rPr>
      </w:pPr>
    </w:p>
    <w:p>
      <w:pPr>
        <w:ind w:left="980" w:right="140" w:hanging="324"/>
        <w:spacing w:after="0"/>
        <w:tabs>
          <w:tab w:leader="none" w:pos="9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2" w:lineRule="exact"/>
        <w:rPr>
          <w:rFonts w:ascii="Arial" w:cs="Arial" w:eastAsia="Arial" w:hAnsi="Arial"/>
          <w:sz w:val="18"/>
          <w:szCs w:val="18"/>
          <w:color w:val="auto"/>
        </w:rPr>
      </w:pPr>
    </w:p>
    <w:p>
      <w:pPr>
        <w:jc w:val="both"/>
        <w:ind w:left="1300" w:hanging="320"/>
        <w:spacing w:after="0"/>
        <w:tabs>
          <w:tab w:leader="none" w:pos="1300" w:val="left"/>
        </w:tabs>
        <w:numPr>
          <w:ilvl w:val="1"/>
          <w:numId w:val="5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5" w:lineRule="exact"/>
        <w:rPr>
          <w:rFonts w:ascii="Arial" w:cs="Arial" w:eastAsia="Arial" w:hAnsi="Arial"/>
          <w:sz w:val="18"/>
          <w:szCs w:val="18"/>
          <w:color w:val="auto"/>
        </w:rPr>
      </w:pPr>
    </w:p>
    <w:p>
      <w:pPr>
        <w:ind w:left="1300" w:right="20" w:hanging="320"/>
        <w:spacing w:after="0" w:line="246" w:lineRule="auto"/>
        <w:tabs>
          <w:tab w:leader="none" w:pos="1300" w:val="left"/>
        </w:tabs>
        <w:numPr>
          <w:ilvl w:val="1"/>
          <w:numId w:val="5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color w:val="auto"/>
        </w:rPr>
        <w:t>Date: May 8, 2018</w:t>
      </w:r>
    </w:p>
    <w:p>
      <w:pPr>
        <w:spacing w:after="0" w:line="180"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John B. Cozzolino</w:t>
      </w:r>
    </w:p>
    <w:p>
      <w:pPr>
        <w:ind w:left="5980"/>
        <w:spacing w:after="0" w:line="234" w:lineRule="auto"/>
        <w:rPr>
          <w:sz w:val="20"/>
          <w:szCs w:val="20"/>
          <w:color w:val="auto"/>
        </w:rPr>
      </w:pPr>
      <w:r>
        <w:rPr>
          <w:rFonts w:ascii="Arial" w:cs="Arial" w:eastAsia="Arial" w:hAnsi="Arial"/>
          <w:sz w:val="18"/>
          <w:szCs w:val="18"/>
          <w:color w:val="auto"/>
        </w:rPr>
        <w:t>John B. Cozzolino</w:t>
      </w:r>
    </w:p>
    <w:p>
      <w:pPr>
        <w:ind w:left="5980"/>
        <w:spacing w:after="0" w:line="235" w:lineRule="auto"/>
        <w:rPr>
          <w:sz w:val="20"/>
          <w:szCs w:val="20"/>
          <w:color w:val="auto"/>
        </w:rPr>
      </w:pPr>
      <w:r>
        <w:rPr>
          <w:rFonts w:ascii="Arial" w:cs="Arial" w:eastAsia="Arial" w:hAnsi="Arial"/>
          <w:sz w:val="18"/>
          <w:szCs w:val="18"/>
          <w:color w:val="auto"/>
        </w:rPr>
        <w:t>Chief Financial Officer and Treasurer</w:t>
      </w:r>
    </w:p>
    <w:p>
      <w:pPr>
        <w:spacing w:after="0" w:line="1"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(Principal Financial Officer)</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342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75" w:name="page76"/>
    <w:bookmarkEnd w:id="75"/>
    <w:p>
      <w:pPr>
        <w:jc w:val="center"/>
        <w:ind w:left="1300"/>
        <w:spacing w:after="0"/>
        <w:rPr>
          <w:sz w:val="20"/>
          <w:szCs w:val="20"/>
          <w:color w:val="auto"/>
        </w:rPr>
      </w:pPr>
      <w:r>
        <w:rPr>
          <w:rFonts w:ascii="Arial" w:cs="Arial" w:eastAsia="Arial" w:hAnsi="Arial"/>
          <w:sz w:val="18"/>
          <w:szCs w:val="18"/>
          <w:b w:val="1"/>
          <w:bCs w:val="1"/>
          <w:color w:val="auto"/>
        </w:rPr>
        <w:t>EXHIBIT (32.1)</w:t>
      </w:r>
    </w:p>
    <w:p>
      <w:pPr>
        <w:spacing w:after="0" w:line="12" w:lineRule="exact"/>
        <w:rPr>
          <w:sz w:val="20"/>
          <w:szCs w:val="20"/>
          <w:color w:val="auto"/>
        </w:rPr>
      </w:pPr>
    </w:p>
    <w:p>
      <w:pPr>
        <w:jc w:val="center"/>
        <w:ind w:left="1300"/>
        <w:spacing w:after="0"/>
        <w:rPr>
          <w:sz w:val="20"/>
          <w:szCs w:val="20"/>
          <w:color w:val="auto"/>
        </w:rPr>
      </w:pPr>
      <w:r>
        <w:rPr>
          <w:rFonts w:ascii="Arial" w:cs="Arial" w:eastAsia="Arial" w:hAnsi="Arial"/>
          <w:sz w:val="18"/>
          <w:szCs w:val="18"/>
          <w:b w:val="1"/>
          <w:bCs w:val="1"/>
          <w:color w:val="auto"/>
        </w:rPr>
        <w:t>CERTIFICATION PURSUANT TO</w:t>
      </w:r>
    </w:p>
    <w:p>
      <w:pPr>
        <w:jc w:val="center"/>
        <w:ind w:left="1300"/>
        <w:spacing w:after="0" w:line="234" w:lineRule="auto"/>
        <w:rPr>
          <w:sz w:val="20"/>
          <w:szCs w:val="20"/>
          <w:color w:val="auto"/>
        </w:rPr>
      </w:pPr>
      <w:r>
        <w:rPr>
          <w:rFonts w:ascii="Arial" w:cs="Arial" w:eastAsia="Arial" w:hAnsi="Arial"/>
          <w:sz w:val="18"/>
          <w:szCs w:val="18"/>
          <w:b w:val="1"/>
          <w:bCs w:val="1"/>
          <w:color w:val="auto"/>
        </w:rPr>
        <w:t>18 U.S.C. SECTION 1350,</w:t>
      </w:r>
    </w:p>
    <w:p>
      <w:pPr>
        <w:ind w:left="5040"/>
        <w:spacing w:after="0" w:line="235" w:lineRule="auto"/>
        <w:rPr>
          <w:sz w:val="20"/>
          <w:szCs w:val="20"/>
          <w:color w:val="auto"/>
        </w:rPr>
      </w:pPr>
      <w:r>
        <w:rPr>
          <w:rFonts w:ascii="Arial" w:cs="Arial" w:eastAsia="Arial" w:hAnsi="Arial"/>
          <w:sz w:val="18"/>
          <w:szCs w:val="18"/>
          <w:b w:val="1"/>
          <w:bCs w:val="1"/>
          <w:color w:val="auto"/>
        </w:rPr>
        <w:t>AS ADOPTED PURSUANT TO</w:t>
      </w:r>
    </w:p>
    <w:p>
      <w:pPr>
        <w:spacing w:after="0" w:line="1"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2" w:lineRule="exact"/>
        <w:rPr>
          <w:sz w:val="20"/>
          <w:szCs w:val="20"/>
          <w:color w:val="auto"/>
        </w:rPr>
      </w:pPr>
    </w:p>
    <w:p>
      <w:pPr>
        <w:ind w:left="600" w:firstLine="648"/>
        <w:spacing w:after="0" w:line="239" w:lineRule="auto"/>
        <w:rPr>
          <w:sz w:val="20"/>
          <w:szCs w:val="20"/>
          <w:color w:val="auto"/>
        </w:rPr>
      </w:pPr>
      <w:r>
        <w:rPr>
          <w:rFonts w:ascii="Arial" w:cs="Arial" w:eastAsia="Arial" w:hAnsi="Arial"/>
          <w:sz w:val="18"/>
          <w:szCs w:val="18"/>
          <w:color w:val="auto"/>
        </w:rPr>
        <w:t>In connection with the Quarterly Report of Albany International Corp. (the Company) on Form 10-Q for the period ending March 31, 2018, as filed with the Securities and Exchange Commission on the date hereof (the Report), Olivier Jarrault, President and Chief Executive Officer, and John B. Cozzolino, Chief Financial Officer and Treasurer of the Company, certify, pursuant to 18 U.S.C. § 1350, as adopted pursuant to § 906 of the Sarbanes-Oxley Act of 2002, that:</w:t>
      </w:r>
    </w:p>
    <w:p>
      <w:pPr>
        <w:spacing w:after="0" w:line="202" w:lineRule="exact"/>
        <w:rPr>
          <w:sz w:val="20"/>
          <w:szCs w:val="20"/>
          <w:color w:val="auto"/>
        </w:rPr>
      </w:pPr>
    </w:p>
    <w:p>
      <w:pPr>
        <w:ind w:left="920" w:hanging="324"/>
        <w:spacing w:after="0"/>
        <w:tabs>
          <w:tab w:leader="none" w:pos="92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and Exchange Act of 1934; and</w:t>
      </w:r>
    </w:p>
    <w:p>
      <w:pPr>
        <w:spacing w:after="0" w:line="211" w:lineRule="exact"/>
        <w:rPr>
          <w:rFonts w:ascii="Arial" w:cs="Arial" w:eastAsia="Arial" w:hAnsi="Arial"/>
          <w:sz w:val="18"/>
          <w:szCs w:val="18"/>
          <w:color w:val="auto"/>
        </w:rPr>
      </w:pPr>
    </w:p>
    <w:p>
      <w:pPr>
        <w:ind w:left="920" w:right="160" w:hanging="324"/>
        <w:spacing w:after="0" w:line="246" w:lineRule="auto"/>
        <w:tabs>
          <w:tab w:leader="none" w:pos="92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Dated: May 8, 2018</w:t>
      </w:r>
    </w:p>
    <w:p>
      <w:pPr>
        <w:spacing w:after="0" w:line="200" w:lineRule="exact"/>
        <w:rPr>
          <w:sz w:val="20"/>
          <w:szCs w:val="20"/>
          <w:color w:val="auto"/>
        </w:rPr>
      </w:pPr>
    </w:p>
    <w:p>
      <w:pPr>
        <w:spacing w:after="0" w:line="210" w:lineRule="exact"/>
        <w:rPr>
          <w:sz w:val="20"/>
          <w:szCs w:val="20"/>
          <w:color w:val="auto"/>
        </w:rPr>
      </w:pPr>
    </w:p>
    <w:p>
      <w:pPr>
        <w:ind w:left="6800"/>
        <w:spacing w:after="0"/>
        <w:rPr>
          <w:sz w:val="20"/>
          <w:szCs w:val="20"/>
          <w:color w:val="auto"/>
        </w:rPr>
      </w:pPr>
      <w:r>
        <w:rPr>
          <w:rFonts w:ascii="Arial" w:cs="Arial" w:eastAsia="Arial" w:hAnsi="Arial"/>
          <w:sz w:val="18"/>
          <w:szCs w:val="18"/>
          <w:u w:val="single" w:color="auto"/>
          <w:color w:val="auto"/>
        </w:rPr>
        <w:t>/s/ Olivier Jarrault</w:t>
      </w:r>
    </w:p>
    <w:p>
      <w:pPr>
        <w:ind w:left="6800"/>
        <w:spacing w:after="0" w:line="234" w:lineRule="auto"/>
        <w:rPr>
          <w:sz w:val="20"/>
          <w:szCs w:val="20"/>
          <w:color w:val="auto"/>
        </w:rPr>
      </w:pPr>
      <w:r>
        <w:rPr>
          <w:rFonts w:ascii="Arial" w:cs="Arial" w:eastAsia="Arial" w:hAnsi="Arial"/>
          <w:sz w:val="18"/>
          <w:szCs w:val="18"/>
          <w:color w:val="auto"/>
        </w:rPr>
        <w:t>Olivier Jarrault</w:t>
      </w:r>
    </w:p>
    <w:p>
      <w:pPr>
        <w:ind w:left="6800"/>
        <w:spacing w:after="0" w:line="235" w:lineRule="auto"/>
        <w:rPr>
          <w:sz w:val="20"/>
          <w:szCs w:val="20"/>
          <w:color w:val="auto"/>
        </w:rPr>
      </w:pPr>
      <w:r>
        <w:rPr>
          <w:rFonts w:ascii="Arial" w:cs="Arial" w:eastAsia="Arial" w:hAnsi="Arial"/>
          <w:sz w:val="18"/>
          <w:szCs w:val="18"/>
          <w:color w:val="auto"/>
        </w:rPr>
        <w:t>President and Chief Executive Officer</w:t>
      </w:r>
    </w:p>
    <w:p>
      <w:pPr>
        <w:spacing w:after="0" w:line="1" w:lineRule="exact"/>
        <w:rPr>
          <w:sz w:val="20"/>
          <w:szCs w:val="20"/>
          <w:color w:val="auto"/>
        </w:rPr>
      </w:pPr>
    </w:p>
    <w:p>
      <w:pPr>
        <w:ind w:left="6800"/>
        <w:spacing w:after="0"/>
        <w:rPr>
          <w:sz w:val="20"/>
          <w:szCs w:val="20"/>
          <w:color w:val="auto"/>
        </w:rPr>
      </w:pPr>
      <w:r>
        <w:rPr>
          <w:rFonts w:ascii="Arial" w:cs="Arial" w:eastAsia="Arial" w:hAnsi="Arial"/>
          <w:sz w:val="18"/>
          <w:szCs w:val="18"/>
          <w:color w:val="auto"/>
        </w:rPr>
        <w:t>(Principal Executive Officer)</w:t>
      </w:r>
    </w:p>
    <w:p>
      <w:pPr>
        <w:spacing w:after="0" w:line="200" w:lineRule="exact"/>
        <w:rPr>
          <w:sz w:val="20"/>
          <w:szCs w:val="20"/>
          <w:color w:val="auto"/>
        </w:rPr>
      </w:pPr>
    </w:p>
    <w:p>
      <w:pPr>
        <w:spacing w:after="0" w:line="399" w:lineRule="exact"/>
        <w:rPr>
          <w:sz w:val="20"/>
          <w:szCs w:val="20"/>
          <w:color w:val="auto"/>
        </w:rPr>
      </w:pPr>
    </w:p>
    <w:p>
      <w:pPr>
        <w:ind w:left="6800"/>
        <w:spacing w:after="0"/>
        <w:rPr>
          <w:sz w:val="20"/>
          <w:szCs w:val="20"/>
          <w:color w:val="auto"/>
        </w:rPr>
      </w:pPr>
      <w:r>
        <w:rPr>
          <w:rFonts w:ascii="Arial" w:cs="Arial" w:eastAsia="Arial" w:hAnsi="Arial"/>
          <w:sz w:val="18"/>
          <w:szCs w:val="18"/>
          <w:u w:val="single" w:color="auto"/>
          <w:color w:val="auto"/>
        </w:rPr>
        <w:t>/s/ John B. Cozzolino</w:t>
      </w:r>
    </w:p>
    <w:p>
      <w:pPr>
        <w:ind w:left="6800"/>
        <w:spacing w:after="0" w:line="234" w:lineRule="auto"/>
        <w:rPr>
          <w:sz w:val="20"/>
          <w:szCs w:val="20"/>
          <w:color w:val="auto"/>
        </w:rPr>
      </w:pPr>
      <w:r>
        <w:rPr>
          <w:rFonts w:ascii="Arial" w:cs="Arial" w:eastAsia="Arial" w:hAnsi="Arial"/>
          <w:sz w:val="18"/>
          <w:szCs w:val="18"/>
          <w:color w:val="auto"/>
        </w:rPr>
        <w:t>John B. Cozzolino</w:t>
      </w:r>
    </w:p>
    <w:p>
      <w:pPr>
        <w:ind w:left="6800"/>
        <w:spacing w:after="0" w:line="235" w:lineRule="auto"/>
        <w:rPr>
          <w:sz w:val="20"/>
          <w:szCs w:val="20"/>
          <w:color w:val="auto"/>
        </w:rPr>
      </w:pPr>
      <w:r>
        <w:rPr>
          <w:rFonts w:ascii="Arial" w:cs="Arial" w:eastAsia="Arial" w:hAnsi="Arial"/>
          <w:sz w:val="18"/>
          <w:szCs w:val="18"/>
          <w:color w:val="auto"/>
        </w:rPr>
        <w:t>Chief Financial Officer and Treasurer</w:t>
      </w:r>
    </w:p>
    <w:p>
      <w:pPr>
        <w:spacing w:after="0" w:line="1" w:lineRule="exact"/>
        <w:rPr>
          <w:sz w:val="20"/>
          <w:szCs w:val="20"/>
          <w:color w:val="auto"/>
        </w:rPr>
      </w:pPr>
    </w:p>
    <w:p>
      <w:pPr>
        <w:ind w:left="6800"/>
        <w:spacing w:after="0"/>
        <w:rPr>
          <w:sz w:val="20"/>
          <w:szCs w:val="20"/>
          <w:color w:val="auto"/>
        </w:rPr>
      </w:pPr>
      <w:r>
        <w:rPr>
          <w:rFonts w:ascii="Arial" w:cs="Arial" w:eastAsia="Arial" w:hAnsi="Arial"/>
          <w:sz w:val="18"/>
          <w:szCs w:val="18"/>
          <w:color w:val="auto"/>
        </w:rPr>
        <w:t>(Principal Financial Officer)</w:t>
      </w:r>
    </w:p>
    <w:p>
      <w:pPr>
        <w:spacing w:after="0" w:line="200" w:lineRule="exact"/>
        <w:rPr>
          <w:sz w:val="20"/>
          <w:szCs w:val="20"/>
          <w:color w:val="auto"/>
        </w:rPr>
      </w:pPr>
    </w:p>
    <w:p>
      <w:pPr>
        <w:spacing w:after="0" w:line="217"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1905</wp:posOffset>
            </wp:positionV>
            <wp:extent cx="7246620" cy="342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360"/>
          </w:cols>
          <w:pgMar w:left="300" w:top="118" w:right="239" w:bottom="1440" w:gutter="0" w:footer="0" w:header="0"/>
        </w:sectPr>
      </w:pPr>
    </w:p>
    <w:bookmarkStart w:id="76" w:name="page77"/>
    <w:bookmarkEnd w:id="76"/>
    <w:p>
      <w:pPr>
        <w:jc w:val="center"/>
        <w:ind w:left="1300"/>
        <w:spacing w:after="0"/>
        <w:rPr>
          <w:sz w:val="20"/>
          <w:szCs w:val="20"/>
          <w:color w:val="auto"/>
        </w:rPr>
      </w:pPr>
      <w:r>
        <w:rPr>
          <w:rFonts w:ascii="Arial" w:cs="Arial" w:eastAsia="Arial" w:hAnsi="Arial"/>
          <w:sz w:val="18"/>
          <w:szCs w:val="18"/>
          <w:b w:val="1"/>
          <w:bCs w:val="1"/>
          <w:color w:val="auto"/>
        </w:rPr>
        <w:t>EXHIBIT (99.1)</w:t>
      </w:r>
    </w:p>
    <w:p>
      <w:pPr>
        <w:spacing w:after="0" w:line="19" w:lineRule="exact"/>
        <w:rPr>
          <w:sz w:val="20"/>
          <w:szCs w:val="20"/>
          <w:color w:val="auto"/>
        </w:rPr>
      </w:pPr>
    </w:p>
    <w:p>
      <w:pPr>
        <w:jc w:val="center"/>
        <w:ind w:left="1300"/>
        <w:spacing w:after="0"/>
        <w:rPr>
          <w:sz w:val="20"/>
          <w:szCs w:val="20"/>
          <w:color w:val="auto"/>
        </w:rPr>
      </w:pPr>
      <w:r>
        <w:rPr>
          <w:rFonts w:ascii="Arial" w:cs="Arial" w:eastAsia="Arial" w:hAnsi="Arial"/>
          <w:sz w:val="18"/>
          <w:szCs w:val="18"/>
          <w:b w:val="1"/>
          <w:bCs w:val="1"/>
          <w:color w:val="auto"/>
        </w:rPr>
        <w:t>MARKET RISK SENSITIVITY – As of March 31, 2018</w:t>
      </w:r>
    </w:p>
    <w:p>
      <w:pPr>
        <w:spacing w:after="0" w:line="198" w:lineRule="exact"/>
        <w:rPr>
          <w:sz w:val="20"/>
          <w:szCs w:val="20"/>
          <w:color w:val="auto"/>
        </w:rPr>
      </w:pPr>
    </w:p>
    <w:p>
      <w:pPr>
        <w:ind w:right="240" w:firstLine="648"/>
        <w:spacing w:after="0" w:line="246" w:lineRule="auto"/>
        <w:rPr>
          <w:sz w:val="20"/>
          <w:szCs w:val="20"/>
          <w:color w:val="auto"/>
        </w:rPr>
      </w:pPr>
      <w:r>
        <w:rPr>
          <w:rFonts w:ascii="Arial" w:cs="Arial" w:eastAsia="Arial" w:hAnsi="Arial"/>
          <w:sz w:val="18"/>
          <w:szCs w:val="18"/>
          <w:color w:val="auto"/>
        </w:rPr>
        <w:t>We have market risk with respect to foreign currency exchange rates and interest rates. The market risk is the potential loss arising from adverse changes in these rates as discussed below.</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Exchange Rate Risk</w:t>
      </w:r>
    </w:p>
    <w:p>
      <w:pPr>
        <w:spacing w:after="0" w:line="207" w:lineRule="exact"/>
        <w:rPr>
          <w:sz w:val="20"/>
          <w:szCs w:val="20"/>
          <w:color w:val="auto"/>
        </w:rPr>
      </w:pPr>
    </w:p>
    <w:p>
      <w:pPr>
        <w:ind w:firstLine="648"/>
        <w:spacing w:after="0" w:line="236" w:lineRule="auto"/>
        <w:rPr>
          <w:sz w:val="20"/>
          <w:szCs w:val="20"/>
          <w:color w:val="auto"/>
        </w:rPr>
      </w:pPr>
      <w:r>
        <w:rPr>
          <w:rFonts w:ascii="Arial" w:cs="Arial" w:eastAsia="Arial" w:hAnsi="Arial"/>
          <w:sz w:val="18"/>
          <w:szCs w:val="18"/>
          <w:color w:val="auto"/>
        </w:rPr>
        <w:t>We have manufacturing plants and sales transactions worldwide and therefore are subject to foreign currency risk. This risk is composed of both potential losses from the translation of foreign currency financial statements and the remeasurement of foreign currency transactions. To manage this risk, we periodically enter into forward exchange contracts either to hedge the net assets of a foreign investment or to provide an economic hedge against future cash flows. The total net assets of non-U.S. operations and long-term intercompany loans denominated in nonfunctional currencies subject to potential loss amount to approximately $552.8 million. The potential loss in fair value resulting from a hypothetical 10% adverse change in quoted foreign currency exchange rates amounts to $55.3 million. Furthermore, related to foreign currency transactions, we have exposure to various nonfunctional currency balances totaling $80.2 million. This amount includes, on an absolute basis, exposures to assets and liabilities held in currencies other than our local entity’s functional currency. On a net basis, we had $50.5 million of foreign currency liabilities as of March 31, 2018. As currency rates change, these nonfunctional currency balances are revalued, and the corresponding adjustment is recorded in the income statement. A hypothetical change of 10% in currency rates could result in an adjustment to the income statement of approximately $5.1 million. Actual results may differ.</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19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We are exposed to interest rate fluctuations with respect to our variable rate debt, depending on general economic conditions.</w:t>
      </w:r>
    </w:p>
    <w:p>
      <w:pPr>
        <w:spacing w:after="0" w:line="18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On March 31, 2018, we had the following variable rate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400685</wp:posOffset>
            </wp:positionH>
            <wp:positionV relativeFrom="paragraph">
              <wp:posOffset>109220</wp:posOffset>
            </wp:positionV>
            <wp:extent cx="506857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068570" cy="8890"/>
                    </a:xfrm>
                    <a:prstGeom prst="rect">
                      <a:avLst/>
                    </a:prstGeom>
                    <a:noFill/>
                  </pic:spPr>
                </pic:pic>
              </a:graphicData>
            </a:graphic>
          </wp:anchor>
        </w:drawing>
      </w:r>
    </w:p>
    <w:p>
      <w:pPr>
        <w:spacing w:after="0" w:line="345"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(in thousands, except interest rates)</w:t>
      </w:r>
    </w:p>
    <w:p>
      <w:pPr>
        <w:spacing w:after="0" w:line="18" w:lineRule="exact"/>
        <w:rPr>
          <w:sz w:val="20"/>
          <w:szCs w:val="20"/>
          <w:color w:val="auto"/>
        </w:rPr>
      </w:pPr>
    </w:p>
    <w:tbl>
      <w:tblPr>
        <w:tblLayout w:type="fixed"/>
        <w:tblInd w:w="640" w:type="dxa"/>
        <w:tblCellMar>
          <w:top w:w="0" w:type="dxa"/>
          <w:left w:w="0" w:type="dxa"/>
          <w:bottom w:w="0" w:type="dxa"/>
          <w:right w:w="0" w:type="dxa"/>
        </w:tblCellMar>
      </w:tblPr>
      <w:tr>
        <w:trPr>
          <w:trHeight w:val="195"/>
        </w:trPr>
        <w:tc>
          <w:tcPr>
            <w:tcW w:w="61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b w:val="1"/>
                <w:bCs w:val="1"/>
                <w:color w:val="auto"/>
              </w:rPr>
              <w:t>Short-term debt</w:t>
            </w:r>
          </w:p>
        </w:tc>
        <w:tc>
          <w:tcPr>
            <w:tcW w:w="1840" w:type="dxa"/>
            <w:vAlign w:val="bottom"/>
            <w:tcBorders>
              <w:top w:val="single" w:sz="8" w:color="auto"/>
            </w:tcBorders>
          </w:tcPr>
          <w:p>
            <w:pPr>
              <w:spacing w:after="0"/>
              <w:rPr>
                <w:sz w:val="16"/>
                <w:szCs w:val="16"/>
                <w:color w:val="auto"/>
              </w:rPr>
            </w:pPr>
          </w:p>
        </w:tc>
      </w:tr>
      <w:tr>
        <w:trPr>
          <w:trHeight w:val="181"/>
        </w:trPr>
        <w:tc>
          <w:tcPr>
            <w:tcW w:w="6140" w:type="dxa"/>
            <w:vAlign w:val="bottom"/>
          </w:tcPr>
          <w:p>
            <w:pPr>
              <w:spacing w:after="0" w:line="181" w:lineRule="exact"/>
              <w:rPr>
                <w:sz w:val="20"/>
                <w:szCs w:val="20"/>
                <w:color w:val="auto"/>
              </w:rPr>
            </w:pPr>
            <w:r>
              <w:rPr>
                <w:rFonts w:ascii="Arial" w:cs="Arial" w:eastAsia="Arial" w:hAnsi="Arial"/>
                <w:sz w:val="18"/>
                <w:szCs w:val="18"/>
                <w:color w:val="auto"/>
              </w:rPr>
              <w:t>Notes payable, end of period interest rate of 1.190%</w:t>
            </w:r>
          </w:p>
        </w:tc>
        <w:tc>
          <w:tcPr>
            <w:tcW w:w="1840" w:type="dxa"/>
            <w:vAlign w:val="bottom"/>
          </w:tcPr>
          <w:p>
            <w:pPr>
              <w:jc w:val="right"/>
              <w:spacing w:after="0" w:line="181" w:lineRule="exact"/>
              <w:rPr>
                <w:sz w:val="20"/>
                <w:szCs w:val="20"/>
                <w:color w:val="auto"/>
              </w:rPr>
            </w:pPr>
            <w:r>
              <w:rPr>
                <w:rFonts w:ascii="Arial" w:cs="Arial" w:eastAsia="Arial" w:hAnsi="Arial"/>
                <w:sz w:val="18"/>
                <w:szCs w:val="18"/>
                <w:color w:val="auto"/>
              </w:rPr>
              <w:t>$226</w:t>
            </w:r>
          </w:p>
        </w:tc>
      </w:tr>
      <w:tr>
        <w:trPr>
          <w:trHeight w:val="225"/>
        </w:trPr>
        <w:tc>
          <w:tcPr>
            <w:tcW w:w="6140" w:type="dxa"/>
            <w:vAlign w:val="bottom"/>
          </w:tcPr>
          <w:p>
            <w:pPr>
              <w:spacing w:after="0"/>
              <w:rPr>
                <w:sz w:val="20"/>
                <w:szCs w:val="20"/>
                <w:color w:val="auto"/>
              </w:rPr>
            </w:pPr>
            <w:r>
              <w:rPr>
                <w:rFonts w:ascii="Arial" w:cs="Arial" w:eastAsia="Arial" w:hAnsi="Arial"/>
                <w:sz w:val="18"/>
                <w:szCs w:val="18"/>
                <w:b w:val="1"/>
                <w:bCs w:val="1"/>
                <w:color w:val="auto"/>
              </w:rPr>
              <w:t>Long-term debt</w:t>
            </w:r>
          </w:p>
        </w:tc>
        <w:tc>
          <w:tcPr>
            <w:tcW w:w="1840" w:type="dxa"/>
            <w:vAlign w:val="bottom"/>
          </w:tcPr>
          <w:p>
            <w:pPr>
              <w:spacing w:after="0"/>
              <w:rPr>
                <w:sz w:val="19"/>
                <w:szCs w:val="19"/>
                <w:color w:val="auto"/>
              </w:rPr>
            </w:pPr>
          </w:p>
        </w:tc>
      </w:tr>
      <w:tr>
        <w:trPr>
          <w:trHeight w:val="203"/>
        </w:trPr>
        <w:tc>
          <w:tcPr>
            <w:tcW w:w="6140" w:type="dxa"/>
            <w:vAlign w:val="bottom"/>
          </w:tcPr>
          <w:p>
            <w:pPr>
              <w:spacing w:after="0" w:line="202" w:lineRule="exact"/>
              <w:rPr>
                <w:sz w:val="20"/>
                <w:szCs w:val="20"/>
                <w:color w:val="auto"/>
              </w:rPr>
            </w:pPr>
            <w:r>
              <w:rPr>
                <w:rFonts w:ascii="Arial" w:cs="Arial" w:eastAsia="Arial" w:hAnsi="Arial"/>
                <w:sz w:val="18"/>
                <w:szCs w:val="18"/>
                <w:color w:val="auto"/>
              </w:rPr>
              <w:t>Credit agreement with borrowings outstanding, net of fixed rate</w:t>
            </w:r>
          </w:p>
        </w:tc>
        <w:tc>
          <w:tcPr>
            <w:tcW w:w="1840" w:type="dxa"/>
            <w:vAlign w:val="bottom"/>
          </w:tcPr>
          <w:p>
            <w:pPr>
              <w:spacing w:after="0"/>
              <w:rPr>
                <w:sz w:val="17"/>
                <w:szCs w:val="17"/>
                <w:color w:val="auto"/>
              </w:rPr>
            </w:pPr>
          </w:p>
        </w:tc>
      </w:tr>
      <w:tr>
        <w:trPr>
          <w:trHeight w:val="203"/>
        </w:trPr>
        <w:tc>
          <w:tcPr>
            <w:tcW w:w="6140" w:type="dxa"/>
            <w:vAlign w:val="bottom"/>
          </w:tcPr>
          <w:p>
            <w:pPr>
              <w:spacing w:after="0" w:line="202" w:lineRule="exact"/>
              <w:rPr>
                <w:sz w:val="20"/>
                <w:szCs w:val="20"/>
                <w:color w:val="auto"/>
              </w:rPr>
            </w:pPr>
            <w:r>
              <w:rPr>
                <w:rFonts w:ascii="Arial" w:cs="Arial" w:eastAsia="Arial" w:hAnsi="Arial"/>
                <w:sz w:val="18"/>
                <w:szCs w:val="18"/>
                <w:color w:val="auto"/>
              </w:rPr>
              <w:t>portion, at an end of period interest rate of 3.221% in 2018, due</w:t>
            </w:r>
          </w:p>
        </w:tc>
        <w:tc>
          <w:tcPr>
            <w:tcW w:w="1840" w:type="dxa"/>
            <w:vAlign w:val="bottom"/>
          </w:tcPr>
          <w:p>
            <w:pPr>
              <w:spacing w:after="0"/>
              <w:rPr>
                <w:sz w:val="17"/>
                <w:szCs w:val="17"/>
                <w:color w:val="auto"/>
              </w:rPr>
            </w:pPr>
          </w:p>
        </w:tc>
      </w:tr>
      <w:tr>
        <w:trPr>
          <w:trHeight w:val="217"/>
        </w:trPr>
        <w:tc>
          <w:tcPr>
            <w:tcW w:w="6140" w:type="dxa"/>
            <w:vAlign w:val="bottom"/>
          </w:tcPr>
          <w:p>
            <w:pPr>
              <w:spacing w:after="0"/>
              <w:rPr>
                <w:sz w:val="20"/>
                <w:szCs w:val="20"/>
                <w:color w:val="auto"/>
              </w:rPr>
            </w:pPr>
            <w:r>
              <w:rPr>
                <w:rFonts w:ascii="Arial" w:cs="Arial" w:eastAsia="Arial" w:hAnsi="Arial"/>
                <w:sz w:val="18"/>
                <w:szCs w:val="18"/>
                <w:color w:val="auto"/>
              </w:rPr>
              <w:t>in 2022</w:t>
            </w:r>
          </w:p>
        </w:tc>
        <w:tc>
          <w:tcPr>
            <w:tcW w:w="1840" w:type="dxa"/>
            <w:vAlign w:val="bottom"/>
          </w:tcPr>
          <w:p>
            <w:pPr>
              <w:jc w:val="right"/>
              <w:spacing w:after="0"/>
              <w:rPr>
                <w:sz w:val="20"/>
                <w:szCs w:val="20"/>
                <w:color w:val="auto"/>
              </w:rPr>
            </w:pPr>
            <w:r>
              <w:rPr>
                <w:rFonts w:ascii="Arial" w:cs="Arial" w:eastAsia="Arial" w:hAnsi="Arial"/>
                <w:sz w:val="18"/>
                <w:szCs w:val="18"/>
                <w:color w:val="auto"/>
              </w:rPr>
              <w:t>156,000</w:t>
            </w:r>
          </w:p>
        </w:tc>
      </w:tr>
      <w:tr>
        <w:trPr>
          <w:trHeight w:val="189"/>
        </w:trPr>
        <w:tc>
          <w:tcPr>
            <w:tcW w:w="614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tcPr>
          <w:p>
            <w:pPr>
              <w:spacing w:after="0"/>
              <w:rPr>
                <w:sz w:val="16"/>
                <w:szCs w:val="16"/>
                <w:color w:val="auto"/>
              </w:rPr>
            </w:pPr>
          </w:p>
        </w:tc>
      </w:tr>
      <w:tr>
        <w:trPr>
          <w:trHeight w:val="399"/>
        </w:trPr>
        <w:tc>
          <w:tcPr>
            <w:tcW w:w="6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w:t>
            </w: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$156,226</w:t>
            </w:r>
          </w:p>
        </w:tc>
      </w:tr>
    </w:tbl>
    <w:p>
      <w:pPr>
        <w:spacing w:after="0" w:line="175" w:lineRule="exact"/>
        <w:rPr>
          <w:sz w:val="20"/>
          <w:szCs w:val="20"/>
          <w:color w:val="auto"/>
        </w:rPr>
      </w:pPr>
    </w:p>
    <w:p>
      <w:pPr>
        <w:ind w:right="100" w:firstLine="648"/>
        <w:spacing w:after="0" w:line="239" w:lineRule="auto"/>
        <w:rPr>
          <w:sz w:val="20"/>
          <w:szCs w:val="20"/>
          <w:color w:val="auto"/>
        </w:rPr>
      </w:pPr>
      <w:r>
        <w:rPr>
          <w:rFonts w:ascii="Arial" w:cs="Arial" w:eastAsia="Arial" w:hAnsi="Arial"/>
          <w:sz w:val="18"/>
          <w:szCs w:val="18"/>
          <w:color w:val="auto"/>
        </w:rPr>
        <w:t>Assuming borrowings were outstanding for an entire year, an increase of one percentage point in weighted average interest rates would increase interest expense by $1.6 million. To manage interest rate risk, we may periodically enter into interest rate swap agreements to effectively fix the interest rates on variable debt to a specific rate for a period of time. (See Note 16 to the Consolidated Financial Statements in Item 1, which is incorporated herein by reference).</w:t>
      </w:r>
    </w:p>
    <w:p>
      <w:pPr>
        <w:spacing w:after="0" w:line="202"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-1905</wp:posOffset>
            </wp:positionV>
            <wp:extent cx="7246620" cy="342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sectPr>
      <w:pgSz w:w="11900" w:h="16838" w:orient="portrait"/>
      <w:cols w:equalWidth="0" w:num="1">
        <w:col w:w="10720"/>
      </w:cols>
      <w:pgMar w:left="900" w:top="115"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836C40E"/>
    <w:multiLevelType w:val="hybridMultilevel"/>
    <w:lvl w:ilvl="0">
      <w:lvlJc w:val="left"/>
      <w:lvlText w:val="(√)"/>
      <w:numFmt w:val="bullet"/>
      <w:start w:val="1"/>
    </w:lvl>
  </w:abstractNum>
  <w:abstractNum w:abstractNumId="1">
    <w:nsid w:val="2901D82"/>
    <w:multiLevelType w:val="hybridMultilevel"/>
    <w:lvl w:ilvl="0">
      <w:lvlJc w:val="left"/>
      <w:lvlText w:val="("/>
      <w:numFmt w:val="bullet"/>
      <w:start w:val="1"/>
    </w:lvl>
  </w:abstractNum>
  <w:abstractNum w:abstractNumId="2">
    <w:nsid w:val="3A95F874"/>
    <w:multiLevelType w:val="hybridMultilevel"/>
    <w:lvl w:ilvl="0">
      <w:lvlJc w:val="left"/>
      <w:lvlText w:val="%1."/>
      <w:numFmt w:val="decimal"/>
      <w:start w:val="1"/>
    </w:lvl>
  </w:abstractNum>
  <w:abstractNum w:abstractNumId="3">
    <w:nsid w:val="8138641"/>
    <w:multiLevelType w:val="hybridMultilevel"/>
    <w:lvl w:ilvl="0">
      <w:lvlJc w:val="left"/>
      <w:lvlText w:val="(%1)"/>
      <w:numFmt w:val="lowerLetter"/>
      <w:start w:val="1"/>
    </w:lvl>
  </w:abstractNum>
  <w:abstractNum w:abstractNumId="4">
    <w:nsid w:val="1E7FF521"/>
    <w:multiLevelType w:val="hybridMultilevel"/>
    <w:lvl w:ilvl="0">
      <w:lvlJc w:val="left"/>
      <w:lvlText w:val="(%1)"/>
      <w:numFmt w:val="lowerLetter"/>
      <w:start w:val="1"/>
    </w:lvl>
  </w:abstractNum>
  <w:abstractNum w:abstractNumId="5">
    <w:nsid w:val="7C3DBD3D"/>
    <w:multiLevelType w:val="hybridMultilevel"/>
    <w:lvl w:ilvl="0">
      <w:lvlJc w:val="left"/>
      <w:lvlText w:val="(%1)"/>
      <w:numFmt w:val="lowerLetter"/>
      <w:start w:val="1"/>
    </w:lvl>
  </w:abstractNum>
  <w:abstractNum w:abstractNumId="6">
    <w:nsid w:val="737B8DDC"/>
    <w:multiLevelType w:val="hybridMultilevel"/>
    <w:lvl w:ilvl="0">
      <w:lvlJc w:val="left"/>
      <w:lvlText w:val="·"/>
      <w:numFmt w:val="bullet"/>
      <w:start w:val="1"/>
    </w:lvl>
  </w:abstractNum>
  <w:abstractNum w:abstractNumId="7">
    <w:nsid w:val="6CEAF087"/>
    <w:multiLevelType w:val="hybridMultilevel"/>
    <w:lvl w:ilvl="0">
      <w:lvlJc w:val="left"/>
      <w:lvlText w:val="·"/>
      <w:numFmt w:val="bullet"/>
      <w:start w:val="1"/>
    </w:lvl>
    <w:lvl w:ilvl="1">
      <w:lvlJc w:val="left"/>
      <w:lvlText w:val="·"/>
      <w:numFmt w:val="bullet"/>
      <w:start w:val="1"/>
    </w:lvl>
  </w:abstractNum>
  <w:abstractNum w:abstractNumId="8">
    <w:nsid w:val="22221A70"/>
    <w:multiLevelType w:val="hybridMultilevel"/>
    <w:lvl w:ilvl="0">
      <w:lvlJc w:val="left"/>
      <w:lvlText w:val="·"/>
      <w:numFmt w:val="bullet"/>
      <w:start w:val="1"/>
    </w:lvl>
  </w:abstractNum>
  <w:abstractNum w:abstractNumId="9">
    <w:nsid w:val="4516DDE9"/>
    <w:multiLevelType w:val="hybridMultilevel"/>
    <w:lvl w:ilvl="0">
      <w:lvlJc w:val="left"/>
      <w:lvlText w:val="·"/>
      <w:numFmt w:val="bullet"/>
      <w:start w:val="1"/>
    </w:lvl>
  </w:abstractNum>
  <w:abstractNum w:abstractNumId="10">
    <w:nsid w:val="3006C83E"/>
    <w:multiLevelType w:val="hybridMultilevel"/>
    <w:lvl w:ilvl="0">
      <w:lvlJc w:val="left"/>
      <w:lvlText w:val="·"/>
      <w:numFmt w:val="bullet"/>
      <w:start w:val="1"/>
    </w:lvl>
  </w:abstractNum>
  <w:abstractNum w:abstractNumId="11">
    <w:nsid w:val="614FD4A1"/>
    <w:multiLevelType w:val="hybridMultilevel"/>
    <w:lvl w:ilvl="0">
      <w:lvlJc w:val="left"/>
      <w:lvlText w:val="·"/>
      <w:numFmt w:val="bullet"/>
      <w:start w:val="1"/>
    </w:lvl>
  </w:abstractNum>
  <w:abstractNum w:abstractNumId="12">
    <w:nsid w:val="419AC241"/>
    <w:multiLevelType w:val="hybridMultilevel"/>
    <w:lvl w:ilvl="0">
      <w:lvlJc w:val="left"/>
      <w:lvlText w:val="·"/>
      <w:numFmt w:val="bullet"/>
      <w:start w:val="1"/>
    </w:lvl>
  </w:abstractNum>
  <w:abstractNum w:abstractNumId="13">
    <w:nsid w:val="5577F8E1"/>
    <w:multiLevelType w:val="hybridMultilevel"/>
    <w:lvl w:ilvl="0">
      <w:lvlJc w:val="left"/>
      <w:lvlText w:val="·"/>
      <w:numFmt w:val="bullet"/>
      <w:start w:val="1"/>
    </w:lvl>
  </w:abstractNum>
  <w:abstractNum w:abstractNumId="14">
    <w:nsid w:val="440BADFC"/>
    <w:multiLevelType w:val="hybridMultilevel"/>
    <w:lvl w:ilvl="0">
      <w:lvlJc w:val="left"/>
      <w:lvlText w:val="·"/>
      <w:numFmt w:val="bullet"/>
      <w:start w:val="1"/>
    </w:lvl>
  </w:abstractNum>
  <w:abstractNum w:abstractNumId="15">
    <w:nsid w:val="5072367"/>
    <w:multiLevelType w:val="hybridMultilevel"/>
    <w:lvl w:ilvl="0">
      <w:lvlJc w:val="left"/>
      <w:lvlText w:val="·"/>
      <w:numFmt w:val="bullet"/>
      <w:start w:val="1"/>
    </w:lvl>
  </w:abstractNum>
  <w:abstractNum w:abstractNumId="16">
    <w:nsid w:val="3804823E"/>
    <w:multiLevelType w:val="hybridMultilevel"/>
    <w:lvl w:ilvl="0">
      <w:lvlJc w:val="left"/>
      <w:lvlText w:val="·"/>
      <w:numFmt w:val="bullet"/>
      <w:start w:val="1"/>
    </w:lvl>
    <w:lvl w:ilvl="1">
      <w:lvlJc w:val="left"/>
      <w:lvlText w:val="o"/>
      <w:numFmt w:val="bullet"/>
      <w:start w:val="1"/>
    </w:lvl>
  </w:abstractNum>
  <w:abstractNum w:abstractNumId="17">
    <w:nsid w:val="77465F01"/>
    <w:multiLevelType w:val="hybridMultilevel"/>
    <w:lvl w:ilvl="0">
      <w:lvlJc w:val="left"/>
      <w:lvlText w:val="·"/>
      <w:numFmt w:val="bullet"/>
      <w:start w:val="1"/>
    </w:lvl>
  </w:abstractNum>
  <w:abstractNum w:abstractNumId="18">
    <w:nsid w:val="7724C67E"/>
    <w:multiLevelType w:val="hybridMultilevel"/>
    <w:lvl w:ilvl="0">
      <w:lvlJc w:val="left"/>
      <w:lvlText w:val="·"/>
      <w:numFmt w:val="bullet"/>
      <w:start w:val="1"/>
    </w:lvl>
  </w:abstractNum>
  <w:abstractNum w:abstractNumId="19">
    <w:nsid w:val="5C482A97"/>
    <w:multiLevelType w:val="hybridMultilevel"/>
    <w:lvl w:ilvl="0">
      <w:lvlJc w:val="left"/>
      <w:lvlText w:val="·"/>
      <w:numFmt w:val="bullet"/>
      <w:start w:val="1"/>
    </w:lvl>
  </w:abstractNum>
  <w:abstractNum w:abstractNumId="20">
    <w:nsid w:val="2463B9EA"/>
    <w:multiLevelType w:val="hybridMultilevel"/>
    <w:lvl w:ilvl="0">
      <w:lvlJc w:val="left"/>
      <w:lvlText w:val="%1)"/>
      <w:numFmt w:val="lowerLetter"/>
      <w:start w:val="1"/>
    </w:lvl>
  </w:abstractNum>
  <w:abstractNum w:abstractNumId="21">
    <w:nsid w:val="5E884ADC"/>
    <w:multiLevelType w:val="hybridMultilevel"/>
    <w:lvl w:ilvl="0">
      <w:lvlJc w:val="left"/>
      <w:lvlText w:val="(%1)"/>
      <w:numFmt w:val="lowerLetter"/>
      <w:start w:val="2"/>
    </w:lvl>
  </w:abstractNum>
  <w:abstractNum w:abstractNumId="22">
    <w:nsid w:val="51EAD36B"/>
    <w:multiLevelType w:val="hybridMultilevel"/>
    <w:lvl w:ilvl="0">
      <w:lvlJc w:val="left"/>
      <w:lvlText w:val="%1"/>
      <w:numFmt w:val="decimal"/>
      <w:start w:val="101"/>
    </w:lvl>
    <w:lvl w:ilvl="1">
      <w:lvlJc w:val="left"/>
      <w:lvlText w:val="(%2)"/>
      <w:numFmt w:val="lowerRoman"/>
      <w:start w:val="1"/>
    </w:lvl>
  </w:abstractNum>
  <w:abstractNum w:abstractNumId="23">
    <w:nsid w:val="2D517796"/>
    <w:multiLevelType w:val="hybridMultilevel"/>
    <w:lvl w:ilvl="0">
      <w:lvlJc w:val="left"/>
      <w:lvlText w:val="%1."/>
      <w:numFmt w:val="decimal"/>
      <w:start w:val="1"/>
    </w:lvl>
  </w:abstractNum>
  <w:abstractNum w:abstractNumId="24">
    <w:nsid w:val="580BD78F"/>
    <w:multiLevelType w:val="hybridMultilevel"/>
    <w:lvl w:ilvl="0">
      <w:lvlJc w:val="left"/>
      <w:lvlText w:val="(%1)"/>
      <w:numFmt w:val="lowerLetter"/>
      <w:start w:val="1"/>
    </w:lvl>
  </w:abstractNum>
  <w:abstractNum w:abstractNumId="25">
    <w:nsid w:val="153EA438"/>
    <w:multiLevelType w:val="hybridMultilevel"/>
    <w:lvl w:ilvl="0">
      <w:lvlJc w:val="left"/>
      <w:lvlText w:val="(%1)"/>
      <w:numFmt w:val="lowerLetter"/>
      <w:start w:val="2"/>
    </w:lvl>
  </w:abstractNum>
  <w:abstractNum w:abstractNumId="26">
    <w:nsid w:val="3855585C"/>
    <w:multiLevelType w:val="hybridMultilevel"/>
    <w:lvl w:ilvl="0">
      <w:lvlJc w:val="left"/>
      <w:lvlText w:val="%1."/>
      <w:numFmt w:val="decimal"/>
      <w:start w:val="2"/>
    </w:lvl>
  </w:abstractNum>
  <w:abstractNum w:abstractNumId="27">
    <w:nsid w:val="70A64E2A"/>
    <w:multiLevelType w:val="hybridMultilevel"/>
    <w:lvl w:ilvl="0">
      <w:lvlJc w:val="left"/>
      <w:lvlText w:val="(%1)"/>
      <w:numFmt w:val="lowerLetter"/>
      <w:start w:val="1"/>
    </w:lvl>
  </w:abstractNum>
  <w:abstractNum w:abstractNumId="28">
    <w:nsid w:val="6A2342EC"/>
    <w:multiLevelType w:val="hybridMultilevel"/>
    <w:lvl w:ilvl="0">
      <w:lvlJc w:val="left"/>
      <w:lvlText w:val="(%1)"/>
      <w:numFmt w:val="lowerLetter"/>
      <w:start w:val="2"/>
    </w:lvl>
  </w:abstractNum>
  <w:abstractNum w:abstractNumId="29">
    <w:nsid w:val="2A487CB0"/>
    <w:multiLevelType w:val="hybridMultilevel"/>
    <w:lvl w:ilvl="0">
      <w:lvlJc w:val="left"/>
      <w:lvlText w:val="(%1)"/>
      <w:numFmt w:val="lowerLetter"/>
      <w:start w:val="5"/>
    </w:lvl>
  </w:abstractNum>
  <w:abstractNum w:abstractNumId="30">
    <w:nsid w:val="1D4ED43B"/>
    <w:multiLevelType w:val="hybridMultilevel"/>
    <w:lvl w:ilvl="0">
      <w:lvlJc w:val="left"/>
      <w:lvlText w:val="%1."/>
      <w:numFmt w:val="decimal"/>
      <w:start w:val="4"/>
    </w:lvl>
  </w:abstractNum>
  <w:abstractNum w:abstractNumId="31">
    <w:nsid w:val="725A06FB"/>
    <w:multiLevelType w:val="hybridMultilevel"/>
    <w:lvl w:ilvl="0">
      <w:lvlJc w:val="left"/>
      <w:lvlText w:val="%1."/>
      <w:numFmt w:val="decimal"/>
      <w:start w:val="6"/>
    </w:lvl>
  </w:abstractNum>
  <w:abstractNum w:abstractNumId="32">
    <w:nsid w:val="2CD89A32"/>
    <w:multiLevelType w:val="hybridMultilevel"/>
    <w:lvl w:ilvl="0">
      <w:lvlJc w:val="left"/>
      <w:lvlText w:val="(%1)"/>
      <w:numFmt w:val="lowerLetter"/>
      <w:start w:val="1"/>
    </w:lvl>
  </w:abstractNum>
  <w:abstractNum w:abstractNumId="33">
    <w:nsid w:val="57E4CCAF"/>
    <w:multiLevelType w:val="hybridMultilevel"/>
    <w:lvl w:ilvl="0">
      <w:lvlJc w:val="left"/>
      <w:lvlText w:val="(%1)"/>
      <w:numFmt w:val="lowerLetter"/>
      <w:start w:val="3"/>
    </w:lvl>
  </w:abstractNum>
  <w:abstractNum w:abstractNumId="34">
    <w:nsid w:val="7A6D8D3C"/>
    <w:multiLevelType w:val="hybridMultilevel"/>
    <w:lvl w:ilvl="0">
      <w:lvlJc w:val="left"/>
      <w:lvlText w:val="(%1)"/>
      <w:numFmt w:val="lowerLetter"/>
      <w:start w:val="5"/>
    </w:lvl>
  </w:abstractNum>
  <w:abstractNum w:abstractNumId="35">
    <w:nsid w:val="4B588F54"/>
    <w:multiLevelType w:val="hybridMultilevel"/>
    <w:lvl w:ilvl="0">
      <w:lvlJc w:val="left"/>
      <w:lvlText w:val="(%1)"/>
      <w:numFmt w:val="lowerLetter"/>
      <w:start w:val="9"/>
    </w:lvl>
  </w:abstractNum>
  <w:abstractNum w:abstractNumId="36">
    <w:nsid w:val="542289EC"/>
    <w:multiLevelType w:val="hybridMultilevel"/>
    <w:lvl w:ilvl="0">
      <w:lvlJc w:val="left"/>
      <w:lvlText w:val="(%1)"/>
      <w:numFmt w:val="lowerLetter"/>
      <w:start w:val="6"/>
    </w:lvl>
  </w:abstractNum>
  <w:abstractNum w:abstractNumId="37">
    <w:nsid w:val="6DE91B18"/>
    <w:multiLevelType w:val="hybridMultilevel"/>
    <w:lvl w:ilvl="0">
      <w:lvlJc w:val="left"/>
      <w:lvlText w:val="%1."/>
      <w:numFmt w:val="decimal"/>
      <w:start w:val="7"/>
    </w:lvl>
  </w:abstractNum>
  <w:abstractNum w:abstractNumId="38">
    <w:nsid w:val="38437FDB"/>
    <w:multiLevelType w:val="hybridMultilevel"/>
    <w:lvl w:ilvl="0">
      <w:lvlJc w:val="left"/>
      <w:lvlText w:val="(%1)"/>
      <w:numFmt w:val="lowerLetter"/>
      <w:start w:val="1"/>
    </w:lvl>
  </w:abstractNum>
  <w:abstractNum w:abstractNumId="39">
    <w:nsid w:val="7644A45C"/>
    <w:multiLevelType w:val="hybridMultilevel"/>
    <w:lvl w:ilvl="0">
      <w:lvlJc w:val="left"/>
      <w:lvlText w:val="%1."/>
      <w:numFmt w:val="decimal"/>
      <w:start w:val="8"/>
    </w:lvl>
  </w:abstractNum>
  <w:abstractNum w:abstractNumId="40">
    <w:nsid w:val="32FFF902"/>
    <w:multiLevelType w:val="hybridMultilevel"/>
    <w:lvl w:ilvl="0">
      <w:lvlJc w:val="left"/>
      <w:lvlText w:val="%1."/>
      <w:numFmt w:val="upperLetter"/>
      <w:start w:val="1"/>
    </w:lvl>
    <w:lvl w:ilvl="1">
      <w:lvlJc w:val="left"/>
      <w:lvlText w:val="%2."/>
      <w:numFmt w:val="upperLetter"/>
      <w:start w:val="1"/>
    </w:lvl>
    <w:lvl w:ilvl="2">
      <w:lvlJc w:val="left"/>
      <w:lvlText w:val="(%3)"/>
      <w:numFmt w:val="lowerRoman"/>
      <w:start w:val="1"/>
    </w:lvl>
  </w:abstractNum>
  <w:abstractNum w:abstractNumId="41">
    <w:nsid w:val="684A481A"/>
    <w:multiLevelType w:val="hybridMultilevel"/>
    <w:lvl w:ilvl="0">
      <w:lvlJc w:val="left"/>
      <w:lvlText w:val="%1."/>
      <w:numFmt w:val="decimal"/>
      <w:start w:val="11"/>
    </w:lvl>
  </w:abstractNum>
  <w:abstractNum w:abstractNumId="42">
    <w:nsid w:val="579478FE"/>
    <w:multiLevelType w:val="hybridMultilevel"/>
    <w:lvl w:ilvl="0">
      <w:lvlJc w:val="left"/>
      <w:lvlText w:val="%1."/>
      <w:numFmt w:val="decimal"/>
      <w:start w:val="12"/>
    </w:lvl>
  </w:abstractNum>
  <w:abstractNum w:abstractNumId="43">
    <w:nsid w:val="749ABB43"/>
    <w:multiLevelType w:val="hybridMultilevel"/>
    <w:lvl w:ilvl="0">
      <w:lvlJc w:val="left"/>
      <w:lvlText w:val="%1."/>
      <w:numFmt w:val="decimal"/>
      <w:start w:val="15"/>
    </w:lvl>
  </w:abstractNum>
  <w:abstractNum w:abstractNumId="44">
    <w:nsid w:val="3DC240FB"/>
    <w:multiLevelType w:val="hybridMultilevel"/>
    <w:lvl w:ilvl="0">
      <w:lvlJc w:val="left"/>
      <w:lvlText w:val="%1."/>
      <w:numFmt w:val="decimal"/>
      <w:start w:val="17"/>
    </w:lvl>
  </w:abstractNum>
  <w:abstractNum w:abstractNumId="45">
    <w:nsid w:val="1BA026FA"/>
    <w:multiLevelType w:val="hybridMultilevel"/>
    <w:lvl w:ilvl="0">
      <w:lvlJc w:val="left"/>
      <w:lvlText w:val="%1."/>
      <w:numFmt w:val="decimal"/>
      <w:start w:val="24"/>
    </w:lvl>
  </w:abstractNum>
  <w:abstractNum w:abstractNumId="46">
    <w:nsid w:val="79A1DEAA"/>
    <w:multiLevelType w:val="hybridMultilevel"/>
    <w:lvl w:ilvl="0">
      <w:lvlJc w:val="left"/>
      <w:lvlText w:val="%1."/>
      <w:numFmt w:val="decimal"/>
      <w:start w:val="1"/>
    </w:lvl>
  </w:abstractNum>
  <w:abstractNum w:abstractNumId="47">
    <w:nsid w:val="75C6C33A"/>
    <w:multiLevelType w:val="hybridMultilevel"/>
    <w:lvl w:ilvl="0">
      <w:lvlJc w:val="left"/>
      <w:lvlText w:val="%1."/>
      <w:numFmt w:val="decimal"/>
      <w:start w:val="2"/>
    </w:lvl>
  </w:abstractNum>
  <w:abstractNum w:abstractNumId="48">
    <w:nsid w:val="12E685FB"/>
    <w:multiLevelType w:val="hybridMultilevel"/>
    <w:lvl w:ilvl="0">
      <w:lvlJc w:val="left"/>
      <w:lvlText w:val="%1."/>
      <w:numFmt w:val="lowerLetter"/>
      <w:start w:val="1"/>
    </w:lvl>
  </w:abstractNum>
  <w:abstractNum w:abstractNumId="49">
    <w:nsid w:val="70C6A529"/>
    <w:multiLevelType w:val="hybridMultilevel"/>
    <w:lvl w:ilvl="0">
      <w:lvlJc w:val="left"/>
      <w:lvlText w:val="%1."/>
      <w:numFmt w:val="decimal"/>
      <w:start w:val="4"/>
    </w:lvl>
  </w:abstractNum>
  <w:abstractNum w:abstractNumId="50">
    <w:nsid w:val="520EEDD1"/>
    <w:multiLevelType w:val="hybridMultilevel"/>
    <w:lvl w:ilvl="0">
      <w:lvlJc w:val="left"/>
      <w:lvlText w:val="%1."/>
      <w:numFmt w:val="decimal"/>
      <w:start w:val="6"/>
    </w:lvl>
  </w:abstractNum>
  <w:abstractNum w:abstractNumId="51">
    <w:nsid w:val="374A3FE6"/>
    <w:multiLevelType w:val="hybridMultilevel"/>
    <w:lvl w:ilvl="0">
      <w:lvlJc w:val="left"/>
      <w:lvlText w:val="%1."/>
      <w:numFmt w:val="decimal"/>
      <w:start w:val="8"/>
    </w:lvl>
  </w:abstractNum>
  <w:abstractNum w:abstractNumId="52">
    <w:nsid w:val="4F4EF005"/>
    <w:multiLevelType w:val="hybridMultilevel"/>
    <w:lvl w:ilvl="0">
      <w:lvlJc w:val="left"/>
      <w:lvlText w:val="%1."/>
      <w:numFmt w:val="decimal"/>
      <w:start w:val="14"/>
    </w:lvl>
  </w:abstractNum>
  <w:abstractNum w:abstractNumId="53">
    <w:nsid w:val="23F9C13C"/>
    <w:multiLevelType w:val="hybridMultilevel"/>
    <w:lvl w:ilvl="0">
      <w:lvlJc w:val="left"/>
      <w:lvlText w:val="%1."/>
      <w:numFmt w:val="decimal"/>
      <w:start w:val="1"/>
    </w:lvl>
    <w:lvl w:ilvl="1">
      <w:lvlJc w:val="left"/>
      <w:lvlText w:val="(%2)"/>
      <w:numFmt w:val="lowerLetter"/>
      <w:start w:val="1"/>
    </w:lvl>
  </w:abstractNum>
  <w:abstractNum w:abstractNumId="54">
    <w:nsid w:val="649BB77C"/>
    <w:multiLevelType w:val="hybridMultilevel"/>
    <w:lvl w:ilvl="0">
      <w:lvlJc w:val="left"/>
      <w:lvlText w:val="%1."/>
      <w:numFmt w:val="decimal"/>
      <w:start w:val="1"/>
    </w:lvl>
    <w:lvl w:ilvl="1">
      <w:lvlJc w:val="left"/>
      <w:lvlText w:val="(%2)"/>
      <w:numFmt w:val="lowerLetter"/>
      <w:start w:val="1"/>
    </w:lvl>
  </w:abstractNum>
  <w:abstractNum w:abstractNumId="55">
    <w:nsid w:val="275AC79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2019-12-28T22:24:35Z</dcterms:created>
  <dcterms:modified xsi:type="dcterms:W3CDTF">2019-12-28T22:24:35Z</dcterms:modified>
</cp:coreProperties>
</file>