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12" w:lineRule="exact"/>
        <w:rPr>
          <w:sz w:val="24"/>
          <w:szCs w:val="24"/>
          <w:color w:val="auto"/>
        </w:rPr>
      </w:pPr>
    </w:p>
    <w:p>
      <w:pPr>
        <w:ind w:left="3880" w:right="1920" w:hanging="3872"/>
        <w:spacing w:after="0" w:line="486" w:lineRule="auto"/>
        <w:tabs>
          <w:tab w:leader="none" w:pos="274"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June 30, 2015</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10" w:lineRule="exact"/>
        <w:rPr>
          <w:sz w:val="24"/>
          <w:szCs w:val="24"/>
          <w:color w:val="auto"/>
        </w:rPr>
      </w:pPr>
    </w:p>
    <w:p>
      <w:pPr>
        <w:ind w:left="3400" w:right="1920" w:hanging="3392"/>
        <w:spacing w:after="0" w:line="486" w:lineRule="auto"/>
        <w:tabs>
          <w:tab w:leader="none" w:pos="161"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TRANSITION REPORT PURSUANT TO SECTION 13 OR 15(d) OF THE SECURITIES EXCHANGE ACT OF 1934 </w:t>
      </w:r>
      <w:r>
        <w:rPr>
          <w:rFonts w:ascii="Arial" w:cs="Arial" w:eastAsia="Arial" w:hAnsi="Arial"/>
          <w:sz w:val="18"/>
          <w:szCs w:val="18"/>
          <w:color w:val="auto"/>
        </w:rPr>
        <w:t>For the transition period from __________ to __________</w:t>
      </w:r>
    </w:p>
    <w:p>
      <w:pPr>
        <w:spacing w:after="0" w:line="1" w:lineRule="exact"/>
        <w:rPr>
          <w:rFonts w:ascii="Arial" w:cs="Arial" w:eastAsia="Arial" w:hAnsi="Arial"/>
          <w:sz w:val="18"/>
          <w:szCs w:val="18"/>
          <w:b w:val="1"/>
          <w:bCs w:val="1"/>
          <w:color w:val="auto"/>
        </w:rPr>
      </w:pPr>
    </w:p>
    <w:p>
      <w:pPr>
        <w:ind w:left="4360"/>
        <w:spacing w:after="0"/>
        <w:rPr>
          <w:rFonts w:ascii="Arial" w:cs="Arial" w:eastAsia="Arial" w:hAnsi="Arial"/>
          <w:sz w:val="18"/>
          <w:szCs w:val="18"/>
          <w:b w:val="1"/>
          <w:bCs w:val="1"/>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1-10026</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ALBANY INTERNATIONAL CORP.</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6640" w:type="dxa"/>
            <w:vAlign w:val="bottom"/>
            <w:gridSpan w:val="2"/>
          </w:tcPr>
          <w:p>
            <w:pPr>
              <w:jc w:val="center"/>
              <w:ind w:right="1320"/>
              <w:spacing w:after="0"/>
              <w:rPr>
                <w:sz w:val="20"/>
                <w:szCs w:val="20"/>
                <w:color w:val="auto"/>
              </w:rPr>
            </w:pPr>
            <w:r>
              <w:rPr>
                <w:rFonts w:ascii="Arial" w:cs="Arial" w:eastAsia="Arial" w:hAnsi="Arial"/>
                <w:sz w:val="18"/>
                <w:szCs w:val="18"/>
                <w:color w:val="auto"/>
                <w:w w:val="99"/>
              </w:rPr>
              <w:t>Delaware</w:t>
            </w:r>
          </w:p>
        </w:tc>
        <w:tc>
          <w:tcPr>
            <w:tcW w:w="4780" w:type="dxa"/>
            <w:vAlign w:val="bottom"/>
          </w:tcPr>
          <w:p>
            <w:pPr>
              <w:jc w:val="right"/>
              <w:ind w:right="1790"/>
              <w:spacing w:after="0"/>
              <w:rPr>
                <w:sz w:val="20"/>
                <w:szCs w:val="20"/>
                <w:color w:val="auto"/>
              </w:rPr>
            </w:pPr>
            <w:r>
              <w:rPr>
                <w:rFonts w:ascii="Arial" w:cs="Arial" w:eastAsia="Arial" w:hAnsi="Arial"/>
                <w:sz w:val="18"/>
                <w:szCs w:val="18"/>
                <w:color w:val="auto"/>
              </w:rPr>
              <w:t>14-0462060</w:t>
            </w:r>
          </w:p>
        </w:tc>
      </w:tr>
      <w:tr>
        <w:trPr>
          <w:trHeight w:val="173"/>
        </w:trPr>
        <w:tc>
          <w:tcPr>
            <w:tcW w:w="526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color w:val="auto"/>
                <w:w w:val="99"/>
              </w:rPr>
              <w:t>(State or other jurisdiction of</w:t>
            </w:r>
          </w:p>
        </w:tc>
        <w:tc>
          <w:tcPr>
            <w:tcW w:w="1380" w:type="dxa"/>
            <w:vAlign w:val="bottom"/>
          </w:tcPr>
          <w:p>
            <w:pPr>
              <w:spacing w:after="0"/>
              <w:rPr>
                <w:sz w:val="15"/>
                <w:szCs w:val="15"/>
                <w:color w:val="auto"/>
              </w:rPr>
            </w:pPr>
          </w:p>
        </w:tc>
        <w:tc>
          <w:tcPr>
            <w:tcW w:w="4780" w:type="dxa"/>
            <w:vAlign w:val="bottom"/>
            <w:tcBorders>
              <w:top w:val="single" w:sz="8" w:color="auto"/>
            </w:tcBorders>
          </w:tcPr>
          <w:p>
            <w:pPr>
              <w:ind w:left="1100"/>
              <w:spacing w:after="0" w:line="173" w:lineRule="exact"/>
              <w:rPr>
                <w:sz w:val="20"/>
                <w:szCs w:val="20"/>
                <w:color w:val="auto"/>
              </w:rPr>
            </w:pPr>
            <w:r>
              <w:rPr>
                <w:rFonts w:ascii="Arial" w:cs="Arial" w:eastAsia="Arial" w:hAnsi="Arial"/>
                <w:sz w:val="18"/>
                <w:szCs w:val="18"/>
                <w:color w:val="auto"/>
              </w:rPr>
              <w:t>(IRS Employer Identification No.)</w:t>
            </w:r>
          </w:p>
        </w:tc>
      </w:tr>
      <w:tr>
        <w:trPr>
          <w:trHeight w:val="243"/>
        </w:trPr>
        <w:tc>
          <w:tcPr>
            <w:tcW w:w="6640" w:type="dxa"/>
            <w:vAlign w:val="bottom"/>
            <w:gridSpan w:val="2"/>
          </w:tcPr>
          <w:p>
            <w:pPr>
              <w:ind w:left="1440"/>
              <w:spacing w:after="0"/>
              <w:rPr>
                <w:sz w:val="20"/>
                <w:szCs w:val="20"/>
                <w:color w:val="auto"/>
              </w:rPr>
            </w:pPr>
            <w:r>
              <w:rPr>
                <w:rFonts w:ascii="Arial" w:cs="Arial" w:eastAsia="Arial" w:hAnsi="Arial"/>
                <w:sz w:val="18"/>
                <w:szCs w:val="18"/>
                <w:color w:val="auto"/>
              </w:rPr>
              <w:t>incorporation or organization)</w:t>
            </w:r>
          </w:p>
        </w:tc>
        <w:tc>
          <w:tcPr>
            <w:tcW w:w="4780" w:type="dxa"/>
            <w:vAlign w:val="bottom"/>
          </w:tcPr>
          <w:p>
            <w:pPr>
              <w:spacing w:after="0"/>
              <w:rPr>
                <w:sz w:val="21"/>
                <w:szCs w:val="21"/>
                <w:color w:val="auto"/>
              </w:rPr>
            </w:pPr>
          </w:p>
        </w:tc>
      </w:tr>
      <w:tr>
        <w:trPr>
          <w:trHeight w:val="388"/>
        </w:trPr>
        <w:tc>
          <w:tcPr>
            <w:tcW w:w="6640" w:type="dxa"/>
            <w:vAlign w:val="bottom"/>
            <w:gridSpan w:val="2"/>
          </w:tcPr>
          <w:p>
            <w:pPr>
              <w:jc w:val="center"/>
              <w:ind w:right="1320"/>
              <w:spacing w:after="0"/>
              <w:rPr>
                <w:sz w:val="20"/>
                <w:szCs w:val="20"/>
                <w:color w:val="auto"/>
              </w:rPr>
            </w:pPr>
            <w:r>
              <w:rPr>
                <w:rFonts w:ascii="Arial" w:cs="Arial" w:eastAsia="Arial" w:hAnsi="Arial"/>
                <w:sz w:val="18"/>
                <w:szCs w:val="18"/>
                <w:color w:val="auto"/>
                <w:w w:val="99"/>
              </w:rPr>
              <w:t>216 Airport Drive, Rochester, New Hampshire</w:t>
            </w:r>
          </w:p>
        </w:tc>
        <w:tc>
          <w:tcPr>
            <w:tcW w:w="4780" w:type="dxa"/>
            <w:vAlign w:val="bottom"/>
          </w:tcPr>
          <w:p>
            <w:pPr>
              <w:jc w:val="right"/>
              <w:ind w:right="2030"/>
              <w:spacing w:after="0"/>
              <w:rPr>
                <w:sz w:val="20"/>
                <w:szCs w:val="20"/>
                <w:color w:val="auto"/>
              </w:rPr>
            </w:pPr>
            <w:r>
              <w:rPr>
                <w:rFonts w:ascii="Arial" w:cs="Arial" w:eastAsia="Arial" w:hAnsi="Arial"/>
                <w:sz w:val="18"/>
                <w:szCs w:val="18"/>
                <w:color w:val="auto"/>
              </w:rPr>
              <w:t>03867</w:t>
            </w:r>
          </w:p>
        </w:tc>
      </w:tr>
      <w:tr>
        <w:trPr>
          <w:trHeight w:val="236"/>
        </w:trPr>
        <w:tc>
          <w:tcPr>
            <w:tcW w:w="5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(Address of principal executive offices)</w:t>
            </w:r>
          </w:p>
        </w:tc>
        <w:tc>
          <w:tcPr>
            <w:tcW w:w="1380" w:type="dxa"/>
            <w:vAlign w:val="bottom"/>
          </w:tcPr>
          <w:p>
            <w:pPr>
              <w:spacing w:after="0"/>
              <w:rPr>
                <w:sz w:val="20"/>
                <w:szCs w:val="20"/>
                <w:color w:val="auto"/>
              </w:rPr>
            </w:pPr>
          </w:p>
        </w:tc>
        <w:tc>
          <w:tcPr>
            <w:tcW w:w="4780" w:type="dxa"/>
            <w:vAlign w:val="bottom"/>
            <w:tcBorders>
              <w:top w:val="single" w:sz="8" w:color="auto"/>
            </w:tcBorders>
          </w:tcPr>
          <w:p>
            <w:pPr>
              <w:ind w:left="1940"/>
              <w:spacing w:after="0"/>
              <w:rPr>
                <w:sz w:val="20"/>
                <w:szCs w:val="20"/>
                <w:color w:val="auto"/>
              </w:rPr>
            </w:pPr>
            <w:r>
              <w:rPr>
                <w:rFonts w:ascii="Arial" w:cs="Arial" w:eastAsia="Arial" w:hAnsi="Arial"/>
                <w:sz w:val="18"/>
                <w:szCs w:val="18"/>
                <w:color w:val="auto"/>
              </w:rPr>
              <w:t>(Zip Code)</w:t>
            </w:r>
          </w:p>
        </w:tc>
      </w:tr>
    </w:tbl>
    <w:p>
      <w:pPr>
        <w:spacing w:after="0" w:line="139"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518-445-2200</w:t>
      </w:r>
    </w:p>
    <w:p>
      <w:pPr>
        <w:spacing w:after="0" w:line="104" w:lineRule="exact"/>
        <w:rPr>
          <w:sz w:val="24"/>
          <w:szCs w:val="24"/>
          <w:color w:val="auto"/>
        </w:rPr>
      </w:pPr>
    </w:p>
    <w:p>
      <w:pPr>
        <w:ind w:right="80"/>
        <w:spacing w:after="0" w:line="255"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 ] No [ ]</w:t>
      </w:r>
    </w:p>
    <w:p>
      <w:pPr>
        <w:spacing w:after="0" w:line="164" w:lineRule="exact"/>
        <w:rPr>
          <w:sz w:val="24"/>
          <w:szCs w:val="24"/>
          <w:color w:val="auto"/>
        </w:rPr>
      </w:pPr>
    </w:p>
    <w:p>
      <w:pPr>
        <w:ind w:right="60"/>
        <w:spacing w:after="0" w:line="255"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 √ ] No [ ]</w:t>
      </w:r>
    </w:p>
    <w:p>
      <w:pPr>
        <w:spacing w:after="0" w:line="164" w:lineRule="exact"/>
        <w:rPr>
          <w:sz w:val="24"/>
          <w:szCs w:val="24"/>
          <w:color w:val="auto"/>
        </w:rPr>
      </w:pPr>
    </w:p>
    <w:p>
      <w:pPr>
        <w:ind w:right="400"/>
        <w:spacing w:after="0" w:line="27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w:t>
      </w:r>
    </w:p>
    <w:p>
      <w:pPr>
        <w:sectPr>
          <w:pgSz w:w="11900" w:h="16838" w:orient="portrait"/>
          <w:cols w:equalWidth="0" w:num="1">
            <w:col w:w="11420"/>
          </w:cols>
          <w:pgMar w:left="240" w:top="223" w:right="239" w:bottom="1440" w:gutter="0" w:footer="0" w:header="0"/>
        </w:sectPr>
      </w:pPr>
    </w:p>
    <w:p>
      <w:pPr>
        <w:spacing w:after="0" w:line="132" w:lineRule="exact"/>
        <w:rPr>
          <w:sz w:val="24"/>
          <w:szCs w:val="24"/>
          <w:color w:val="auto"/>
        </w:rPr>
      </w:pPr>
    </w:p>
    <w:p>
      <w:pPr>
        <w:ind w:right="380"/>
        <w:spacing w:after="0" w:line="306" w:lineRule="auto"/>
        <w:rPr>
          <w:sz w:val="20"/>
          <w:szCs w:val="20"/>
          <w:color w:val="auto"/>
        </w:rPr>
      </w:pPr>
      <w:r>
        <w:rPr>
          <w:rFonts w:ascii="Arial" w:cs="Arial" w:eastAsia="Arial" w:hAnsi="Arial"/>
          <w:sz w:val="17"/>
          <w:szCs w:val="17"/>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8"/>
          <w:szCs w:val="18"/>
          <w:color w:val="auto"/>
        </w:rPr>
        <w:t>[ √ ]</w:t>
      </w:r>
    </w:p>
    <w:p>
      <w:pPr>
        <w:spacing w:after="0" w:line="18" w:lineRule="exact"/>
        <w:rPr>
          <w:sz w:val="24"/>
          <w:szCs w:val="24"/>
          <w:color w:val="auto"/>
        </w:rPr>
      </w:pPr>
    </w:p>
    <w:p>
      <w:pPr>
        <w:spacing w:after="0"/>
        <w:tabs>
          <w:tab w:leader="none" w:pos="220" w:val="left"/>
        </w:tabs>
        <w:rPr>
          <w:sz w:val="20"/>
          <w:szCs w:val="20"/>
          <w:color w:val="auto"/>
        </w:rPr>
      </w:pPr>
      <w:r>
        <w:rPr>
          <w:rFonts w:ascii="Arial" w:cs="Arial" w:eastAsia="Arial" w:hAnsi="Arial"/>
          <w:sz w:val="18"/>
          <w:szCs w:val="18"/>
          <w:color w:val="auto"/>
        </w:rPr>
        <w:t>[</w:t>
        <w:tab/>
        <w:t>]</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18" w:lineRule="exact"/>
        <w:rPr>
          <w:sz w:val="24"/>
          <w:szCs w:val="24"/>
          <w:color w:val="auto"/>
        </w:rPr>
      </w:pPr>
    </w:p>
    <w:p>
      <w:pPr>
        <w:spacing w:after="0"/>
        <w:rPr>
          <w:sz w:val="20"/>
          <w:szCs w:val="20"/>
          <w:color w:val="auto"/>
        </w:rPr>
      </w:pPr>
      <w:r>
        <w:rPr>
          <w:rFonts w:ascii="Arial" w:cs="Arial" w:eastAsia="Arial" w:hAnsi="Arial"/>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4"/>
          <w:szCs w:val="14"/>
          <w:color w:val="auto"/>
        </w:rPr>
        <w:t>[</w:t>
      </w:r>
    </w:p>
    <w:p>
      <w:pPr>
        <w:spacing w:after="0" w:line="64" w:lineRule="exact"/>
        <w:rPr>
          <w:sz w:val="24"/>
          <w:szCs w:val="24"/>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18"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175" w:lineRule="exact"/>
        <w:rPr>
          <w:sz w:val="24"/>
          <w:szCs w:val="24"/>
          <w:color w:val="auto"/>
        </w:rPr>
      </w:pPr>
    </w:p>
    <w:p>
      <w:pPr>
        <w:sectPr>
          <w:pgSz w:w="11900" w:h="16838" w:orient="portrait"/>
          <w:cols w:equalWidth="0" w:num="5">
            <w:col w:w="2160" w:space="720"/>
            <w:col w:w="2120" w:space="720"/>
            <w:col w:w="2700" w:space="720"/>
            <w:col w:w="40" w:space="200"/>
            <w:col w:w="2040"/>
          </w:cols>
          <w:pgMar w:left="240" w:top="223" w:right="239" w:bottom="1440" w:gutter="0" w:footer="0" w:header="0"/>
          <w:type w:val="continuous"/>
        </w:sectPr>
      </w:pPr>
    </w:p>
    <w:p>
      <w:pPr>
        <w:spacing w:after="0"/>
        <w:tabs>
          <w:tab w:leader="none" w:pos="962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w:t>
        <w:tab/>
        <w:t>] No [ √ ]</w:t>
      </w:r>
    </w:p>
    <w:p>
      <w:pPr>
        <w:spacing w:after="0" w:line="198" w:lineRule="exact"/>
        <w:rPr>
          <w:sz w:val="24"/>
          <w:szCs w:val="24"/>
          <w:color w:val="auto"/>
        </w:rPr>
      </w:pPr>
    </w:p>
    <w:p>
      <w:pPr>
        <w:ind w:right="220"/>
        <w:spacing w:after="0" w:line="276" w:lineRule="auto"/>
        <w:rPr>
          <w:sz w:val="20"/>
          <w:szCs w:val="20"/>
          <w:color w:val="auto"/>
        </w:rPr>
      </w:pPr>
      <w:r>
        <w:rPr>
          <w:rFonts w:ascii="Arial" w:cs="Arial" w:eastAsia="Arial" w:hAnsi="Arial"/>
          <w:sz w:val="18"/>
          <w:szCs w:val="18"/>
          <w:color w:val="auto"/>
        </w:rPr>
        <w:t>The registrant had 28.8 million shares of Class A Common Stock and 3.2 million shares of Class B Common Stock outstanding as of July 22, 2015.</w:t>
      </w: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23" w:right="239" w:bottom="1440" w:gutter="0" w:footer="0" w:header="0"/>
          <w:type w:val="continuous"/>
        </w:sectPr>
      </w:pPr>
    </w:p>
    <w:bookmarkStart w:id="1" w:name="page2"/>
    <w:bookmarkEnd w:id="1"/>
    <w:p>
      <w:pPr>
        <w:jc w:val="center"/>
        <w:ind w:left="660"/>
        <w:spacing w:after="0"/>
        <w:rPr>
          <w:sz w:val="20"/>
          <w:szCs w:val="20"/>
          <w:color w:val="auto"/>
        </w:rPr>
      </w:pPr>
      <w:r>
        <w:rPr>
          <w:rFonts w:ascii="Arial" w:cs="Arial" w:eastAsia="Arial" w:hAnsi="Arial"/>
          <w:sz w:val="18"/>
          <w:szCs w:val="18"/>
          <w:b w:val="1"/>
          <w:bCs w:val="1"/>
          <w:color w:val="auto"/>
        </w:rPr>
        <w:t>ALBANY INTERNATIONAL CORP.</w:t>
      </w:r>
    </w:p>
    <w:p>
      <w:pPr>
        <w:spacing w:after="0" w:line="15"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TABLE OF CONTENTS</w:t>
      </w:r>
    </w:p>
    <w:tbl>
      <w:tblPr>
        <w:tblLayout w:type="fixed"/>
        <w:tblInd w:w="0" w:type="dxa"/>
        <w:tblCellMar>
          <w:top w:w="0" w:type="dxa"/>
          <w:left w:w="0" w:type="dxa"/>
          <w:bottom w:w="0" w:type="dxa"/>
          <w:right w:w="0" w:type="dxa"/>
        </w:tblCellMar>
      </w:tblPr>
      <w:tr>
        <w:trPr>
          <w:trHeight w:val="181"/>
        </w:trPr>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40" w:type="dxa"/>
            <w:vAlign w:val="bottom"/>
          </w:tcPr>
          <w:p>
            <w:pPr>
              <w:jc w:val="right"/>
              <w:spacing w:after="0" w:line="181" w:lineRule="exact"/>
              <w:rPr>
                <w:sz w:val="20"/>
                <w:szCs w:val="20"/>
                <w:color w:val="auto"/>
              </w:rPr>
            </w:pPr>
            <w:r>
              <w:rPr>
                <w:rFonts w:ascii="Arial" w:cs="Arial" w:eastAsia="Arial" w:hAnsi="Arial"/>
                <w:sz w:val="18"/>
                <w:szCs w:val="18"/>
                <w:color w:val="auto"/>
                <w:w w:val="99"/>
              </w:rPr>
              <w:t>Page</w:t>
            </w:r>
          </w:p>
        </w:tc>
        <w:tc>
          <w:tcPr>
            <w:tcW w:w="0" w:type="dxa"/>
            <w:vAlign w:val="bottom"/>
          </w:tcPr>
          <w:p>
            <w:pPr>
              <w:spacing w:after="0"/>
              <w:rPr>
                <w:sz w:val="1"/>
                <w:szCs w:val="1"/>
                <w:color w:val="auto"/>
              </w:rPr>
            </w:pPr>
          </w:p>
        </w:tc>
      </w:tr>
      <w:tr>
        <w:trPr>
          <w:trHeight w:val="225"/>
        </w:trPr>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438"/>
        </w:trPr>
        <w:tc>
          <w:tcPr>
            <w:tcW w:w="10980" w:type="dxa"/>
            <w:vAlign w:val="bottom"/>
            <w:gridSpan w:val="20"/>
          </w:tcPr>
          <w:p>
            <w:pPr>
              <w:spacing w:after="0"/>
              <w:rPr>
                <w:sz w:val="20"/>
                <w:szCs w:val="20"/>
                <w:color w:val="auto"/>
              </w:rPr>
            </w:pPr>
            <w:r>
              <w:rPr>
                <w:rFonts w:ascii="Arial" w:cs="Arial" w:eastAsia="Arial" w:hAnsi="Arial"/>
                <w:sz w:val="18"/>
                <w:szCs w:val="18"/>
                <w:b w:val="1"/>
                <w:bCs w:val="1"/>
                <w:color w:val="auto"/>
              </w:rPr>
              <w:t>Part I Financial information</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340" w:type="dxa"/>
            <w:vAlign w:val="bottom"/>
          </w:tcPr>
          <w:p>
            <w:pPr>
              <w:spacing w:after="0"/>
              <w:rPr>
                <w:sz w:val="24"/>
                <w:szCs w:val="24"/>
                <w:color w:val="auto"/>
              </w:rPr>
            </w:pPr>
          </w:p>
        </w:tc>
        <w:tc>
          <w:tcPr>
            <w:tcW w:w="2280" w:type="dxa"/>
            <w:vAlign w:val="bottom"/>
            <w:tcBorders>
              <w:bottom w:val="single" w:sz="8" w:color="0000EE"/>
            </w:tcBorders>
            <w:gridSpan w:val="7"/>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Item 1. Financial Statements</w:t>
              </w:r>
            </w:hyperlink>
          </w:p>
        </w:tc>
        <w:tc>
          <w:tcPr>
            <w:tcW w:w="8360" w:type="dxa"/>
            <w:vAlign w:val="bottom"/>
            <w:gridSpan w:val="12"/>
          </w:tcPr>
          <w:p>
            <w:pPr>
              <w:spacing w:after="0"/>
              <w:rPr>
                <w:sz w:val="24"/>
                <w:szCs w:val="24"/>
                <w:color w:val="auto"/>
              </w:rPr>
            </w:pPr>
          </w:p>
        </w:tc>
        <w:tc>
          <w:tcPr>
            <w:tcW w:w="440" w:type="dxa"/>
            <w:vAlign w:val="bottom"/>
            <w:vMerge w:val="restart"/>
          </w:tcPr>
          <w:p>
            <w:pPr>
              <w:jc w:val="right"/>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500" w:type="dxa"/>
            <w:vAlign w:val="bottom"/>
            <w:gridSpan w:val="18"/>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statements of income – three and six months ended June 30, 2015 and 2014</w:t>
              </w:r>
            </w:hyperlink>
          </w:p>
        </w:tc>
        <w:tc>
          <w:tcPr>
            <w:tcW w:w="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40" w:type="dxa"/>
            <w:vAlign w:val="bottom"/>
            <w:vMerge w:val="restart"/>
          </w:tcPr>
          <w:p>
            <w:pPr>
              <w:jc w:val="right"/>
              <w:spacing w:after="0" w:line="216" w:lineRule="exact"/>
              <w:rPr>
                <w:sz w:val="20"/>
                <w:szCs w:val="20"/>
                <w:color w:val="auto"/>
              </w:rPr>
            </w:pPr>
            <w:r>
              <w:rPr>
                <w:rFonts w:ascii="Arial" w:cs="Arial" w:eastAsia="Arial" w:hAnsi="Arial"/>
                <w:sz w:val="20"/>
                <w:szCs w:val="20"/>
                <w:color w:val="auto"/>
              </w:rPr>
              <w:t>4</w:t>
            </w: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500" w:type="dxa"/>
            <w:vAlign w:val="bottom"/>
            <w:gridSpan w:val="18"/>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comprehensive income/(loss) – three and six months ended June 30, 2015 and 2014</w:t>
              </w:r>
            </w:hyperlink>
          </w:p>
        </w:tc>
        <w:tc>
          <w:tcPr>
            <w:tcW w:w="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Consolidated balance sheets – June 30, 2015 and December 31, 2014</w:t>
              </w:r>
            </w:hyperlink>
          </w:p>
        </w:tc>
        <w:tc>
          <w:tcPr>
            <w:tcW w:w="3340" w:type="dxa"/>
            <w:vAlign w:val="bottom"/>
            <w:tcBorders>
              <w:top w:val="single" w:sz="8" w:color="0000EE"/>
            </w:tcBorders>
            <w:gridSpan w:val="4"/>
          </w:tcPr>
          <w:p>
            <w:pPr>
              <w:spacing w:after="0"/>
              <w:rPr>
                <w:sz w:val="17"/>
                <w:szCs w:val="17"/>
                <w:color w:val="auto"/>
              </w:rPr>
            </w:pPr>
          </w:p>
        </w:tc>
        <w:tc>
          <w:tcPr>
            <w:tcW w:w="152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500" w:type="dxa"/>
            <w:vAlign w:val="bottom"/>
            <w:gridSpan w:val="18"/>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 – three and six months ended June 30, 2015 and 2014</w:t>
              </w:r>
            </w:hyperlink>
          </w:p>
        </w:tc>
        <w:tc>
          <w:tcPr>
            <w:tcW w:w="440" w:type="dxa"/>
            <w:vAlign w:val="bottom"/>
          </w:tcPr>
          <w:p>
            <w:pPr>
              <w:jc w:val="right"/>
              <w:spacing w:after="0" w:line="196" w:lineRule="exact"/>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9"/>
              </w:rPr>
            </w:pPr>
            <w:hyperlink w:anchor="page7">
              <w:r>
                <w:rPr>
                  <w:rFonts w:ascii="Arial" w:cs="Arial" w:eastAsia="Arial" w:hAnsi="Arial"/>
                  <w:sz w:val="18"/>
                  <w:szCs w:val="18"/>
                  <w:color w:val="0000EE"/>
                  <w:w w:val="99"/>
                </w:rPr>
                <w:t>Notes to consolidated financial statements</w:t>
              </w:r>
            </w:hyperlink>
          </w:p>
        </w:tc>
        <w:tc>
          <w:tcPr>
            <w:tcW w:w="4100" w:type="dxa"/>
            <w:vAlign w:val="bottom"/>
            <w:tcBorders>
              <w:top w:val="single" w:sz="8" w:color="0000EE"/>
            </w:tcBorders>
            <w:gridSpan w:val="5"/>
          </w:tcPr>
          <w:p>
            <w:pPr>
              <w:spacing w:after="0"/>
              <w:rPr>
                <w:sz w:val="17"/>
                <w:szCs w:val="17"/>
                <w:color w:val="auto"/>
              </w:rPr>
            </w:pPr>
          </w:p>
        </w:tc>
        <w:tc>
          <w:tcPr>
            <w:tcW w:w="3020" w:type="dxa"/>
            <w:vAlign w:val="bottom"/>
            <w:gridSpan w:val="3"/>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20"/>
                <w:szCs w:val="20"/>
                <w:color w:val="auto"/>
              </w:rPr>
              <w:t>7</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2220" w:type="dxa"/>
            <w:vAlign w:val="bottom"/>
            <w:tcBorders>
              <w:bottom w:val="single" w:sz="8" w:color="0000EE"/>
            </w:tcBorders>
            <w:gridSpan w:val="6"/>
          </w:tcPr>
          <w:p>
            <w:pPr>
              <w:spacing w:after="0" w:line="196" w:lineRule="exact"/>
              <w:rPr>
                <w:rFonts w:ascii="Arial" w:cs="Arial" w:eastAsia="Arial" w:hAnsi="Arial"/>
                <w:sz w:val="18"/>
                <w:szCs w:val="18"/>
                <w:color w:val="0000EE"/>
                <w:w w:val="99"/>
              </w:rPr>
            </w:pPr>
            <w:hyperlink w:anchor="page26">
              <w:r>
                <w:rPr>
                  <w:rFonts w:ascii="Arial" w:cs="Arial" w:eastAsia="Arial" w:hAnsi="Arial"/>
                  <w:sz w:val="18"/>
                  <w:szCs w:val="18"/>
                  <w:color w:val="0000EE"/>
                  <w:w w:val="99"/>
                </w:rPr>
                <w:t>Forward-looking statements</w:t>
              </w:r>
            </w:hyperlink>
          </w:p>
        </w:tc>
        <w:tc>
          <w:tcPr>
            <w:tcW w:w="8420" w:type="dxa"/>
            <w:vAlign w:val="bottom"/>
            <w:gridSpan w:val="13"/>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20"/>
                <w:szCs w:val="20"/>
                <w:color w:val="auto"/>
              </w:rPr>
              <w:t>26</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7680" w:type="dxa"/>
            <w:vAlign w:val="bottom"/>
            <w:tcBorders>
              <w:bottom w:val="single" w:sz="8" w:color="0000EE"/>
            </w:tcBorders>
            <w:gridSpan w:val="17"/>
          </w:tcPr>
          <w:p>
            <w:pPr>
              <w:spacing w:after="0" w:line="196" w:lineRule="exact"/>
              <w:rPr>
                <w:rFonts w:ascii="Arial" w:cs="Arial" w:eastAsia="Arial" w:hAnsi="Arial"/>
                <w:sz w:val="18"/>
                <w:szCs w:val="18"/>
                <w:color w:val="0000EE"/>
                <w:w w:val="99"/>
              </w:rPr>
            </w:pPr>
            <w:hyperlink w:anchor="page26">
              <w:r>
                <w:rPr>
                  <w:rFonts w:ascii="Arial" w:cs="Arial" w:eastAsia="Arial" w:hAnsi="Arial"/>
                  <w:sz w:val="18"/>
                  <w:szCs w:val="18"/>
                  <w:color w:val="0000EE"/>
                  <w:w w:val="99"/>
                </w:rPr>
                <w:t>Item 2. Management’s Discussion and Analysis of Financial Condition and Results of Operations</w:t>
              </w:r>
            </w:hyperlink>
          </w:p>
        </w:tc>
        <w:tc>
          <w:tcPr>
            <w:tcW w:w="2960" w:type="dxa"/>
            <w:vAlign w:val="bottom"/>
            <w:gridSpan w:val="2"/>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20"/>
                <w:szCs w:val="20"/>
                <w:color w:val="auto"/>
              </w:rPr>
              <w:t>26</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10640" w:type="dxa"/>
            <w:vAlign w:val="bottom"/>
            <w:gridSpan w:val="19"/>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Item 3. Quantitative and Qualitative Disclosures about Market Risk</w:t>
              </w:r>
            </w:hyperlink>
          </w:p>
        </w:tc>
        <w:tc>
          <w:tcPr>
            <w:tcW w:w="440" w:type="dxa"/>
            <w:vAlign w:val="bottom"/>
          </w:tcPr>
          <w:p>
            <w:pPr>
              <w:jc w:val="right"/>
              <w:spacing w:after="0" w:line="196" w:lineRule="exact"/>
              <w:rPr>
                <w:sz w:val="20"/>
                <w:szCs w:val="20"/>
                <w:color w:val="auto"/>
              </w:rPr>
            </w:pPr>
            <w:r>
              <w:rPr>
                <w:rFonts w:ascii="Arial" w:cs="Arial" w:eastAsia="Arial" w:hAnsi="Arial"/>
                <w:sz w:val="20"/>
                <w:szCs w:val="20"/>
                <w:color w:val="auto"/>
              </w:rPr>
              <w:t>43</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26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9"/>
              </w:rPr>
            </w:pPr>
            <w:hyperlink w:anchor="page43">
              <w:r>
                <w:rPr>
                  <w:rFonts w:ascii="Arial" w:cs="Arial" w:eastAsia="Arial" w:hAnsi="Arial"/>
                  <w:sz w:val="18"/>
                  <w:szCs w:val="18"/>
                  <w:color w:val="0000EE"/>
                  <w:w w:val="99"/>
                </w:rPr>
                <w:t>Item 4. Controls and Procedures</w:t>
              </w:r>
            </w:hyperlink>
          </w:p>
        </w:tc>
        <w:tc>
          <w:tcPr>
            <w:tcW w:w="2680" w:type="dxa"/>
            <w:vAlign w:val="bottom"/>
            <w:tcBorders>
              <w:top w:val="single" w:sz="8" w:color="0000EE"/>
            </w:tcBorders>
            <w:gridSpan w:val="3"/>
          </w:tcPr>
          <w:p>
            <w:pPr>
              <w:spacing w:after="0"/>
              <w:rPr>
                <w:sz w:val="17"/>
                <w:szCs w:val="17"/>
                <w:color w:val="auto"/>
              </w:rPr>
            </w:pPr>
          </w:p>
        </w:tc>
        <w:tc>
          <w:tcPr>
            <w:tcW w:w="5360" w:type="dxa"/>
            <w:vAlign w:val="bottom"/>
            <w:gridSpan w:val="7"/>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20"/>
                <w:szCs w:val="20"/>
                <w:color w:val="auto"/>
              </w:rPr>
              <w:t>43</w:t>
            </w:r>
          </w:p>
        </w:tc>
        <w:tc>
          <w:tcPr>
            <w:tcW w:w="0" w:type="dxa"/>
            <w:vAlign w:val="bottom"/>
          </w:tcPr>
          <w:p>
            <w:pPr>
              <w:spacing w:after="0"/>
              <w:rPr>
                <w:sz w:val="1"/>
                <w:szCs w:val="1"/>
                <w:color w:val="auto"/>
              </w:rPr>
            </w:pPr>
          </w:p>
        </w:tc>
      </w:tr>
      <w:tr>
        <w:trPr>
          <w:trHeight w:val="451"/>
        </w:trPr>
        <w:tc>
          <w:tcPr>
            <w:tcW w:w="10980" w:type="dxa"/>
            <w:vAlign w:val="bottom"/>
            <w:gridSpan w:val="20"/>
          </w:tcPr>
          <w:p>
            <w:pPr>
              <w:spacing w:after="0"/>
              <w:rPr>
                <w:sz w:val="20"/>
                <w:szCs w:val="20"/>
                <w:color w:val="auto"/>
              </w:rPr>
            </w:pPr>
            <w:r>
              <w:rPr>
                <w:rFonts w:ascii="Arial" w:cs="Arial" w:eastAsia="Arial" w:hAnsi="Arial"/>
                <w:sz w:val="18"/>
                <w:szCs w:val="18"/>
                <w:b w:val="1"/>
                <w:bCs w:val="1"/>
                <w:color w:val="auto"/>
              </w:rPr>
              <w:t>Part II Other Information</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340" w:type="dxa"/>
            <w:vAlign w:val="bottom"/>
          </w:tcPr>
          <w:p>
            <w:pPr>
              <w:spacing w:after="0"/>
              <w:rPr>
                <w:sz w:val="24"/>
                <w:szCs w:val="24"/>
                <w:color w:val="auto"/>
              </w:rPr>
            </w:pPr>
          </w:p>
        </w:tc>
        <w:tc>
          <w:tcPr>
            <w:tcW w:w="10640" w:type="dxa"/>
            <w:vAlign w:val="bottom"/>
            <w:gridSpan w:val="19"/>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Item 1. Legal Proceedings</w:t>
              </w:r>
            </w:hyperlink>
          </w:p>
        </w:tc>
        <w:tc>
          <w:tcPr>
            <w:tcW w:w="440" w:type="dxa"/>
            <w:vAlign w:val="bottom"/>
          </w:tcPr>
          <w:p>
            <w:pPr>
              <w:jc w:val="right"/>
              <w:spacing w:after="0"/>
              <w:rPr>
                <w:sz w:val="20"/>
                <w:szCs w:val="20"/>
                <w:color w:val="auto"/>
              </w:rPr>
            </w:pPr>
            <w:r>
              <w:rPr>
                <w:rFonts w:ascii="Arial" w:cs="Arial" w:eastAsia="Arial" w:hAnsi="Arial"/>
                <w:sz w:val="20"/>
                <w:szCs w:val="20"/>
                <w:color w:val="auto"/>
              </w:rPr>
              <w:t>43</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17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8"/>
              </w:rPr>
            </w:pPr>
            <w:hyperlink w:anchor="page44">
              <w:r>
                <w:rPr>
                  <w:rFonts w:ascii="Arial" w:cs="Arial" w:eastAsia="Arial" w:hAnsi="Arial"/>
                  <w:sz w:val="18"/>
                  <w:szCs w:val="18"/>
                  <w:color w:val="0000EE"/>
                  <w:w w:val="98"/>
                </w:rPr>
                <w:t>Item 1A. Risk Factors</w:t>
              </w:r>
            </w:hyperlink>
          </w:p>
        </w:tc>
        <w:tc>
          <w:tcPr>
            <w:tcW w:w="360" w:type="dxa"/>
            <w:vAlign w:val="bottom"/>
            <w:tcBorders>
              <w:top w:val="single" w:sz="8" w:color="0000EE"/>
            </w:tcBorders>
            <w:gridSpan w:val="2"/>
          </w:tcPr>
          <w:p>
            <w:pPr>
              <w:spacing w:after="0"/>
              <w:rPr>
                <w:sz w:val="17"/>
                <w:szCs w:val="17"/>
                <w:color w:val="auto"/>
              </w:rPr>
            </w:pPr>
          </w:p>
        </w:tc>
        <w:tc>
          <w:tcPr>
            <w:tcW w:w="8560" w:type="dxa"/>
            <w:vAlign w:val="bottom"/>
            <w:gridSpan w:val="14"/>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20"/>
                <w:szCs w:val="20"/>
                <w:color w:val="auto"/>
              </w:rPr>
              <w:t>44</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10640" w:type="dxa"/>
            <w:vAlign w:val="bottom"/>
            <w:gridSpan w:val="19"/>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Item 2. Unregistered Sales of Equity Securities and Use of Proceeds</w:t>
              </w:r>
            </w:hyperlink>
          </w:p>
        </w:tc>
        <w:tc>
          <w:tcPr>
            <w:tcW w:w="440" w:type="dxa"/>
            <w:vAlign w:val="bottom"/>
          </w:tcPr>
          <w:p>
            <w:pPr>
              <w:jc w:val="right"/>
              <w:spacing w:after="0" w:line="196" w:lineRule="exact"/>
              <w:rPr>
                <w:sz w:val="20"/>
                <w:szCs w:val="20"/>
                <w:color w:val="auto"/>
              </w:rPr>
            </w:pPr>
            <w:r>
              <w:rPr>
                <w:rFonts w:ascii="Arial" w:cs="Arial" w:eastAsia="Arial" w:hAnsi="Arial"/>
                <w:sz w:val="20"/>
                <w:szCs w:val="20"/>
                <w:color w:val="auto"/>
              </w:rPr>
              <w:t>44</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1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9"/>
              </w:rPr>
            </w:pPr>
            <w:hyperlink w:anchor="page44">
              <w:r>
                <w:rPr>
                  <w:rFonts w:ascii="Arial" w:cs="Arial" w:eastAsia="Arial" w:hAnsi="Arial"/>
                  <w:sz w:val="18"/>
                  <w:szCs w:val="18"/>
                  <w:color w:val="0000EE"/>
                  <w:w w:val="99"/>
                </w:rPr>
                <w:t>Item 3. Defaults upon Senior Securities</w:t>
              </w:r>
            </w:hyperlink>
          </w:p>
        </w:tc>
        <w:tc>
          <w:tcPr>
            <w:tcW w:w="2320" w:type="dxa"/>
            <w:vAlign w:val="bottom"/>
            <w:tcBorders>
              <w:top w:val="single" w:sz="8" w:color="0000EE"/>
            </w:tcBorders>
            <w:gridSpan w:val="3"/>
          </w:tcPr>
          <w:p>
            <w:pPr>
              <w:spacing w:after="0"/>
              <w:rPr>
                <w:sz w:val="17"/>
                <w:szCs w:val="17"/>
                <w:color w:val="auto"/>
              </w:rPr>
            </w:pPr>
          </w:p>
        </w:tc>
        <w:tc>
          <w:tcPr>
            <w:tcW w:w="5200" w:type="dxa"/>
            <w:vAlign w:val="bottom"/>
            <w:gridSpan w:val="6"/>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20"/>
                <w:szCs w:val="20"/>
                <w:color w:val="auto"/>
              </w:rPr>
              <w:t>44</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2580" w:type="dxa"/>
            <w:vAlign w:val="bottom"/>
            <w:tcBorders>
              <w:bottom w:val="single" w:sz="8" w:color="0000EE"/>
            </w:tcBorders>
            <w:gridSpan w:val="8"/>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Item 4. Mine Safety Disclosures</w:t>
              </w:r>
            </w:hyperlink>
          </w:p>
        </w:tc>
        <w:tc>
          <w:tcPr>
            <w:tcW w:w="8060" w:type="dxa"/>
            <w:vAlign w:val="bottom"/>
            <w:gridSpan w:val="11"/>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20"/>
                <w:szCs w:val="20"/>
                <w:color w:val="auto"/>
              </w:rPr>
              <w:t>44</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2000" w:type="dxa"/>
            <w:vAlign w:val="bottom"/>
            <w:tcBorders>
              <w:bottom w:val="single" w:sz="8" w:color="0000EE"/>
            </w:tcBorders>
            <w:gridSpan w:val="4"/>
          </w:tcPr>
          <w:p>
            <w:pPr>
              <w:spacing w:after="0" w:line="196" w:lineRule="exact"/>
              <w:rPr>
                <w:rFonts w:ascii="Arial" w:cs="Arial" w:eastAsia="Arial" w:hAnsi="Arial"/>
                <w:sz w:val="18"/>
                <w:szCs w:val="18"/>
                <w:color w:val="0000EE"/>
                <w:w w:val="98"/>
              </w:rPr>
            </w:pPr>
            <w:hyperlink w:anchor="page44">
              <w:r>
                <w:rPr>
                  <w:rFonts w:ascii="Arial" w:cs="Arial" w:eastAsia="Arial" w:hAnsi="Arial"/>
                  <w:sz w:val="18"/>
                  <w:szCs w:val="18"/>
                  <w:color w:val="0000EE"/>
                  <w:w w:val="98"/>
                </w:rPr>
                <w:t>Item 5. Other Information</w:t>
              </w:r>
            </w:hyperlink>
          </w:p>
        </w:tc>
        <w:tc>
          <w:tcPr>
            <w:tcW w:w="8640" w:type="dxa"/>
            <w:vAlign w:val="bottom"/>
            <w:gridSpan w:val="15"/>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20"/>
                <w:szCs w:val="20"/>
                <w:color w:val="auto"/>
              </w:rPr>
              <w:t>44</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10640" w:type="dxa"/>
            <w:vAlign w:val="bottom"/>
            <w:gridSpan w:val="19"/>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Item 6. Exhibits</w:t>
              </w:r>
            </w:hyperlink>
          </w:p>
        </w:tc>
        <w:tc>
          <w:tcPr>
            <w:tcW w:w="440" w:type="dxa"/>
            <w:vAlign w:val="bottom"/>
          </w:tcPr>
          <w:p>
            <w:pPr>
              <w:jc w:val="right"/>
              <w:spacing w:after="0" w:line="196" w:lineRule="exact"/>
              <w:rPr>
                <w:sz w:val="20"/>
                <w:szCs w:val="20"/>
                <w:color w:val="auto"/>
              </w:rPr>
            </w:pPr>
            <w:r>
              <w:rPr>
                <w:rFonts w:ascii="Arial" w:cs="Arial" w:eastAsia="Arial" w:hAnsi="Arial"/>
                <w:sz w:val="20"/>
                <w:szCs w:val="20"/>
                <w:color w:val="auto"/>
              </w:rPr>
              <w:t>44</w:t>
            </w:r>
          </w:p>
        </w:tc>
        <w:tc>
          <w:tcPr>
            <w:tcW w:w="0" w:type="dxa"/>
            <w:vAlign w:val="bottom"/>
          </w:tcPr>
          <w:p>
            <w:pPr>
              <w:spacing w:after="0"/>
              <w:rPr>
                <w:sz w:val="1"/>
                <w:szCs w:val="1"/>
                <w:color w:val="auto"/>
              </w:rPr>
            </w:pPr>
          </w:p>
        </w:tc>
      </w:tr>
      <w:tr>
        <w:trPr>
          <w:trHeight w:val="952"/>
        </w:trPr>
        <w:tc>
          <w:tcPr>
            <w:tcW w:w="340" w:type="dxa"/>
            <w:vAlign w:val="bottom"/>
          </w:tcPr>
          <w:p>
            <w:pPr>
              <w:spacing w:after="0"/>
              <w:rPr>
                <w:sz w:val="24"/>
                <w:szCs w:val="24"/>
                <w:color w:val="auto"/>
              </w:rPr>
            </w:pPr>
          </w:p>
        </w:tc>
        <w:tc>
          <w:tcPr>
            <w:tcW w:w="1220" w:type="dxa"/>
            <w:vAlign w:val="bottom"/>
            <w:tcBorders>
              <w:top w:val="single" w:sz="8" w:color="0000EE"/>
            </w:tcBorders>
            <w:gridSpan w:val="2"/>
          </w:tcPr>
          <w:p>
            <w:pPr>
              <w:spacing w:after="0"/>
              <w:rPr>
                <w:sz w:val="24"/>
                <w:szCs w:val="24"/>
                <w:color w:val="auto"/>
              </w:rPr>
            </w:pPr>
          </w:p>
        </w:tc>
        <w:tc>
          <w:tcPr>
            <w:tcW w:w="4220" w:type="dxa"/>
            <w:vAlign w:val="bottom"/>
            <w:gridSpan w:val="11"/>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4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ALBANY INTERNATIONAL CORP.</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INCOME</w:t>
      </w:r>
    </w:p>
    <w:p>
      <w:pPr>
        <w:jc w:val="center"/>
        <w:spacing w:after="0" w:line="234" w:lineRule="auto"/>
        <w:rPr>
          <w:sz w:val="20"/>
          <w:szCs w:val="20"/>
          <w:color w:val="auto"/>
        </w:rPr>
      </w:pPr>
      <w:r>
        <w:rPr>
          <w:rFonts w:ascii="Arial" w:cs="Arial" w:eastAsia="Arial" w:hAnsi="Arial"/>
          <w:sz w:val="18"/>
          <w:szCs w:val="18"/>
          <w:color w:val="auto"/>
        </w:rPr>
        <w:t>(in thousands, except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40" w:type="dxa"/>
            <w:vAlign w:val="bottom"/>
            <w:gridSpan w:val="4"/>
          </w:tcPr>
          <w:p>
            <w:pPr>
              <w:jc w:val="center"/>
              <w:spacing w:after="0"/>
              <w:rPr>
                <w:sz w:val="20"/>
                <w:szCs w:val="20"/>
                <w:color w:val="auto"/>
              </w:rPr>
            </w:pPr>
            <w:r>
              <w:rPr>
                <w:rFonts w:ascii="Arial" w:cs="Arial" w:eastAsia="Arial" w:hAnsi="Arial"/>
                <w:sz w:val="18"/>
                <w:szCs w:val="18"/>
                <w:color w:val="auto"/>
                <w:w w:val="99"/>
              </w:rPr>
              <w:t>Three Months Ended</w:t>
            </w:r>
          </w:p>
        </w:tc>
        <w:tc>
          <w:tcPr>
            <w:tcW w:w="5240" w:type="dxa"/>
            <w:vAlign w:val="bottom"/>
          </w:tcPr>
          <w:p>
            <w:pPr>
              <w:spacing w:after="0"/>
              <w:rPr>
                <w:sz w:val="17"/>
                <w:szCs w:val="17"/>
                <w:color w:val="auto"/>
              </w:rPr>
            </w:pPr>
          </w:p>
        </w:tc>
        <w:tc>
          <w:tcPr>
            <w:tcW w:w="3040" w:type="dxa"/>
            <w:vAlign w:val="bottom"/>
            <w:gridSpan w:val="4"/>
          </w:tcPr>
          <w:p>
            <w:pPr>
              <w:jc w:val="center"/>
              <w:spacing w:after="0"/>
              <w:rPr>
                <w:sz w:val="20"/>
                <w:szCs w:val="20"/>
                <w:color w:val="auto"/>
              </w:rPr>
            </w:pPr>
            <w:r>
              <w:rPr>
                <w:rFonts w:ascii="Arial" w:cs="Arial" w:eastAsia="Arial" w:hAnsi="Arial"/>
                <w:sz w:val="18"/>
                <w:szCs w:val="18"/>
                <w:color w:val="auto"/>
                <w:w w:val="99"/>
              </w:rPr>
              <w:t>Six Months Ended</w:t>
            </w:r>
          </w:p>
        </w:tc>
      </w:tr>
      <w:tr>
        <w:trPr>
          <w:trHeight w:val="243"/>
        </w:trPr>
        <w:tc>
          <w:tcPr>
            <w:tcW w:w="2080" w:type="dxa"/>
            <w:vAlign w:val="bottom"/>
            <w:gridSpan w:val="3"/>
          </w:tcPr>
          <w:p>
            <w:pPr>
              <w:jc w:val="center"/>
              <w:ind w:left="970"/>
              <w:spacing w:after="0"/>
              <w:rPr>
                <w:sz w:val="20"/>
                <w:szCs w:val="20"/>
                <w:color w:val="auto"/>
              </w:rPr>
            </w:pPr>
            <w:r>
              <w:rPr>
                <w:rFonts w:ascii="Arial" w:cs="Arial" w:eastAsia="Arial" w:hAnsi="Arial"/>
                <w:sz w:val="18"/>
                <w:szCs w:val="18"/>
                <w:color w:val="auto"/>
              </w:rPr>
              <w:t>June 30,</w:t>
            </w:r>
          </w:p>
        </w:tc>
        <w:tc>
          <w:tcPr>
            <w:tcW w:w="1060" w:type="dxa"/>
            <w:vAlign w:val="bottom"/>
          </w:tcPr>
          <w:p>
            <w:pPr>
              <w:spacing w:after="0"/>
              <w:rPr>
                <w:sz w:val="21"/>
                <w:szCs w:val="21"/>
                <w:color w:val="auto"/>
              </w:rPr>
            </w:pPr>
          </w:p>
        </w:tc>
        <w:tc>
          <w:tcPr>
            <w:tcW w:w="5240" w:type="dxa"/>
            <w:vAlign w:val="bottom"/>
          </w:tcPr>
          <w:p>
            <w:pPr>
              <w:spacing w:after="0"/>
              <w:rPr>
                <w:sz w:val="21"/>
                <w:szCs w:val="21"/>
                <w:color w:val="auto"/>
              </w:rPr>
            </w:pPr>
          </w:p>
        </w:tc>
        <w:tc>
          <w:tcPr>
            <w:tcW w:w="2020" w:type="dxa"/>
            <w:vAlign w:val="bottom"/>
            <w:gridSpan w:val="3"/>
          </w:tcPr>
          <w:p>
            <w:pPr>
              <w:jc w:val="center"/>
              <w:ind w:left="930"/>
              <w:spacing w:after="0"/>
              <w:rPr>
                <w:sz w:val="20"/>
                <w:szCs w:val="20"/>
                <w:color w:val="auto"/>
              </w:rPr>
            </w:pPr>
            <w:r>
              <w:rPr>
                <w:rFonts w:ascii="Arial" w:cs="Arial" w:eastAsia="Arial" w:hAnsi="Arial"/>
                <w:sz w:val="18"/>
                <w:szCs w:val="18"/>
                <w:color w:val="auto"/>
                <w:w w:val="98"/>
              </w:rPr>
              <w:t>June 30,</w:t>
            </w:r>
          </w:p>
        </w:tc>
        <w:tc>
          <w:tcPr>
            <w:tcW w:w="1020" w:type="dxa"/>
            <w:vAlign w:val="bottom"/>
          </w:tcPr>
          <w:p>
            <w:pPr>
              <w:spacing w:after="0"/>
              <w:rPr>
                <w:sz w:val="21"/>
                <w:szCs w:val="21"/>
                <w:color w:val="auto"/>
              </w:rPr>
            </w:pPr>
          </w:p>
        </w:tc>
      </w:tr>
      <w:tr>
        <w:trPr>
          <w:trHeight w:val="401"/>
        </w:trPr>
        <w:tc>
          <w:tcPr>
            <w:tcW w:w="14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2015</w:t>
            </w:r>
          </w:p>
        </w:tc>
        <w:tc>
          <w:tcPr>
            <w:tcW w:w="3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2014</w:t>
            </w:r>
          </w:p>
        </w:tc>
        <w:tc>
          <w:tcPr>
            <w:tcW w:w="5240" w:type="dxa"/>
            <w:vAlign w:val="bottom"/>
          </w:tcPr>
          <w:p>
            <w:pPr>
              <w:spacing w:after="0"/>
              <w:rPr>
                <w:sz w:val="24"/>
                <w:szCs w:val="24"/>
                <w:color w:val="auto"/>
              </w:rPr>
            </w:pPr>
          </w:p>
        </w:tc>
        <w:tc>
          <w:tcPr>
            <w:tcW w:w="13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2015</w:t>
            </w:r>
          </w:p>
        </w:tc>
        <w:tc>
          <w:tcPr>
            <w:tcW w:w="3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2014</w:t>
            </w:r>
          </w:p>
        </w:tc>
      </w:tr>
      <w:tr>
        <w:trPr>
          <w:trHeight w:val="196"/>
        </w:trPr>
        <w:tc>
          <w:tcPr>
            <w:tcW w:w="1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1400" w:type="dxa"/>
            <w:vAlign w:val="bottom"/>
            <w:shd w:val="clear" w:color="auto" w:fill="C0C0C0"/>
          </w:tcPr>
          <w:p>
            <w:pPr>
              <w:jc w:val="right"/>
              <w:ind w:right="30"/>
              <w:spacing w:after="0" w:line="202" w:lineRule="exact"/>
              <w:rPr>
                <w:sz w:val="20"/>
                <w:szCs w:val="20"/>
                <w:color w:val="auto"/>
              </w:rPr>
            </w:pPr>
            <w:r>
              <w:rPr>
                <w:rFonts w:ascii="Arial" w:cs="Arial" w:eastAsia="Arial" w:hAnsi="Arial"/>
                <w:sz w:val="18"/>
                <w:szCs w:val="18"/>
                <w:color w:val="auto"/>
              </w:rPr>
              <w:t>$172,289</w:t>
            </w:r>
          </w:p>
        </w:tc>
        <w:tc>
          <w:tcPr>
            <w:tcW w:w="360" w:type="dxa"/>
            <w:vAlign w:val="bottom"/>
            <w:shd w:val="clear" w:color="auto" w:fill="C0C0C0"/>
          </w:tcPr>
          <w:p>
            <w:pPr>
              <w:spacing w:after="0"/>
              <w:rPr>
                <w:sz w:val="17"/>
                <w:szCs w:val="17"/>
                <w:color w:val="auto"/>
              </w:rPr>
            </w:pPr>
          </w:p>
        </w:tc>
        <w:tc>
          <w:tcPr>
            <w:tcW w:w="320" w:type="dxa"/>
            <w:vAlign w:val="bottom"/>
            <w:shd w:val="clear" w:color="auto" w:fill="C0C0C0"/>
          </w:tcPr>
          <w:p>
            <w:pPr>
              <w:spacing w:after="0"/>
              <w:rPr>
                <w:sz w:val="17"/>
                <w:szCs w:val="17"/>
                <w:color w:val="auto"/>
              </w:rPr>
            </w:pPr>
          </w:p>
        </w:tc>
        <w:tc>
          <w:tcPr>
            <w:tcW w:w="1060" w:type="dxa"/>
            <w:vAlign w:val="bottom"/>
            <w:shd w:val="clear" w:color="auto" w:fill="C0C0C0"/>
          </w:tcPr>
          <w:p>
            <w:pPr>
              <w:jc w:val="right"/>
              <w:ind w:right="30"/>
              <w:spacing w:after="0" w:line="202" w:lineRule="exact"/>
              <w:rPr>
                <w:sz w:val="20"/>
                <w:szCs w:val="20"/>
                <w:color w:val="auto"/>
              </w:rPr>
            </w:pPr>
            <w:r>
              <w:rPr>
                <w:rFonts w:ascii="Arial" w:cs="Arial" w:eastAsia="Arial" w:hAnsi="Arial"/>
                <w:sz w:val="18"/>
                <w:szCs w:val="18"/>
                <w:color w:val="auto"/>
              </w:rPr>
              <w:t>$193,518</w:t>
            </w:r>
          </w:p>
        </w:tc>
        <w:tc>
          <w:tcPr>
            <w:tcW w:w="5240" w:type="dxa"/>
            <w:vAlign w:val="bottom"/>
            <w:shd w:val="clear" w:color="auto" w:fill="C0C0C0"/>
          </w:tcPr>
          <w:p>
            <w:pPr>
              <w:ind w:left="340"/>
              <w:spacing w:after="0" w:line="202" w:lineRule="exact"/>
              <w:rPr>
                <w:sz w:val="20"/>
                <w:szCs w:val="20"/>
                <w:color w:val="auto"/>
              </w:rPr>
            </w:pPr>
            <w:r>
              <w:rPr>
                <w:rFonts w:ascii="Arial" w:cs="Arial" w:eastAsia="Arial" w:hAnsi="Arial"/>
                <w:sz w:val="18"/>
                <w:szCs w:val="18"/>
                <w:color w:val="auto"/>
              </w:rPr>
              <w:t>Net sales</w:t>
            </w:r>
          </w:p>
        </w:tc>
        <w:tc>
          <w:tcPr>
            <w:tcW w:w="1360" w:type="dxa"/>
            <w:vAlign w:val="bottom"/>
            <w:shd w:val="clear" w:color="auto" w:fill="C0C0C0"/>
          </w:tcPr>
          <w:p>
            <w:pPr>
              <w:jc w:val="right"/>
              <w:ind w:right="30"/>
              <w:spacing w:after="0" w:line="202" w:lineRule="exact"/>
              <w:rPr>
                <w:sz w:val="20"/>
                <w:szCs w:val="20"/>
                <w:color w:val="auto"/>
              </w:rPr>
            </w:pPr>
            <w:r>
              <w:rPr>
                <w:rFonts w:ascii="Arial" w:cs="Arial" w:eastAsia="Arial" w:hAnsi="Arial"/>
                <w:sz w:val="18"/>
                <w:szCs w:val="18"/>
                <w:color w:val="auto"/>
              </w:rPr>
              <w:t>$353,613</w:t>
            </w:r>
          </w:p>
        </w:tc>
        <w:tc>
          <w:tcPr>
            <w:tcW w:w="320" w:type="dxa"/>
            <w:vAlign w:val="bottom"/>
            <w:shd w:val="clear" w:color="auto" w:fill="C0C0C0"/>
          </w:tcPr>
          <w:p>
            <w:pPr>
              <w:spacing w:after="0"/>
              <w:rPr>
                <w:sz w:val="17"/>
                <w:szCs w:val="17"/>
                <w:color w:val="auto"/>
              </w:rPr>
            </w:pPr>
          </w:p>
        </w:tc>
        <w:tc>
          <w:tcPr>
            <w:tcW w:w="340" w:type="dxa"/>
            <w:vAlign w:val="bottom"/>
            <w:shd w:val="clear" w:color="auto" w:fill="C0C0C0"/>
          </w:tcPr>
          <w:p>
            <w:pPr>
              <w:spacing w:after="0"/>
              <w:rPr>
                <w:sz w:val="17"/>
                <w:szCs w:val="17"/>
                <w:color w:val="auto"/>
              </w:rPr>
            </w:pPr>
          </w:p>
        </w:tc>
        <w:tc>
          <w:tcPr>
            <w:tcW w:w="1020" w:type="dxa"/>
            <w:vAlign w:val="bottom"/>
            <w:shd w:val="clear" w:color="auto" w:fill="C0C0C0"/>
          </w:tcPr>
          <w:p>
            <w:pPr>
              <w:jc w:val="right"/>
              <w:ind w:right="10"/>
              <w:spacing w:after="0" w:line="202" w:lineRule="exact"/>
              <w:rPr>
                <w:sz w:val="20"/>
                <w:szCs w:val="20"/>
                <w:color w:val="auto"/>
              </w:rPr>
            </w:pPr>
            <w:r>
              <w:rPr>
                <w:rFonts w:ascii="Arial" w:cs="Arial" w:eastAsia="Arial" w:hAnsi="Arial"/>
                <w:sz w:val="18"/>
                <w:szCs w:val="18"/>
                <w:color w:val="auto"/>
              </w:rPr>
              <w:t>$373,825</w:t>
            </w:r>
          </w:p>
        </w:tc>
      </w:tr>
      <w:tr>
        <w:trPr>
          <w:trHeight w:val="216"/>
        </w:trPr>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117,697</w:t>
            </w:r>
          </w:p>
        </w:tc>
        <w:tc>
          <w:tcPr>
            <w:tcW w:w="3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118,175</w:t>
            </w:r>
          </w:p>
        </w:tc>
        <w:tc>
          <w:tcPr>
            <w:tcW w:w="5240" w:type="dxa"/>
            <w:vAlign w:val="bottom"/>
          </w:tcPr>
          <w:p>
            <w:pPr>
              <w:ind w:left="340"/>
              <w:spacing w:after="0"/>
              <w:rPr>
                <w:sz w:val="20"/>
                <w:szCs w:val="20"/>
                <w:color w:val="auto"/>
              </w:rPr>
            </w:pPr>
            <w:r>
              <w:rPr>
                <w:rFonts w:ascii="Arial" w:cs="Arial" w:eastAsia="Arial" w:hAnsi="Arial"/>
                <w:sz w:val="18"/>
                <w:szCs w:val="18"/>
                <w:color w:val="auto"/>
              </w:rPr>
              <w:t>Cost of goods sold</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222,337</w:t>
            </w:r>
          </w:p>
        </w:tc>
        <w:tc>
          <w:tcPr>
            <w:tcW w:w="3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223,673</w:t>
            </w:r>
          </w:p>
        </w:tc>
      </w:tr>
      <w:tr>
        <w:trPr>
          <w:trHeight w:val="196"/>
        </w:trPr>
        <w:tc>
          <w:tcPr>
            <w:tcW w:w="1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1400" w:type="dxa"/>
            <w:vAlign w:val="bottom"/>
            <w:shd w:val="clear" w:color="auto" w:fill="C0C0C0"/>
          </w:tcPr>
          <w:p>
            <w:pPr>
              <w:jc w:val="right"/>
              <w:ind w:right="30"/>
              <w:spacing w:after="0" w:line="202" w:lineRule="exact"/>
              <w:rPr>
                <w:sz w:val="20"/>
                <w:szCs w:val="20"/>
                <w:color w:val="auto"/>
              </w:rPr>
            </w:pPr>
            <w:r>
              <w:rPr>
                <w:rFonts w:ascii="Arial" w:cs="Arial" w:eastAsia="Arial" w:hAnsi="Arial"/>
                <w:sz w:val="18"/>
                <w:szCs w:val="18"/>
                <w:color w:val="auto"/>
              </w:rPr>
              <w:t>54,592</w:t>
            </w:r>
          </w:p>
        </w:tc>
        <w:tc>
          <w:tcPr>
            <w:tcW w:w="360" w:type="dxa"/>
            <w:vAlign w:val="bottom"/>
            <w:shd w:val="clear" w:color="auto" w:fill="C0C0C0"/>
          </w:tcPr>
          <w:p>
            <w:pPr>
              <w:spacing w:after="0"/>
              <w:rPr>
                <w:sz w:val="17"/>
                <w:szCs w:val="17"/>
                <w:color w:val="auto"/>
              </w:rPr>
            </w:pPr>
          </w:p>
        </w:tc>
        <w:tc>
          <w:tcPr>
            <w:tcW w:w="320" w:type="dxa"/>
            <w:vAlign w:val="bottom"/>
            <w:shd w:val="clear" w:color="auto" w:fill="C0C0C0"/>
          </w:tcPr>
          <w:p>
            <w:pPr>
              <w:spacing w:after="0"/>
              <w:rPr>
                <w:sz w:val="17"/>
                <w:szCs w:val="17"/>
                <w:color w:val="auto"/>
              </w:rPr>
            </w:pPr>
          </w:p>
        </w:tc>
        <w:tc>
          <w:tcPr>
            <w:tcW w:w="1060" w:type="dxa"/>
            <w:vAlign w:val="bottom"/>
            <w:shd w:val="clear" w:color="auto" w:fill="C0C0C0"/>
          </w:tcPr>
          <w:p>
            <w:pPr>
              <w:jc w:val="right"/>
              <w:ind w:right="30"/>
              <w:spacing w:after="0" w:line="202" w:lineRule="exact"/>
              <w:rPr>
                <w:sz w:val="20"/>
                <w:szCs w:val="20"/>
                <w:color w:val="auto"/>
              </w:rPr>
            </w:pPr>
            <w:r>
              <w:rPr>
                <w:rFonts w:ascii="Arial" w:cs="Arial" w:eastAsia="Arial" w:hAnsi="Arial"/>
                <w:sz w:val="18"/>
                <w:szCs w:val="18"/>
                <w:color w:val="auto"/>
              </w:rPr>
              <w:t>75,343</w:t>
            </w:r>
          </w:p>
        </w:tc>
        <w:tc>
          <w:tcPr>
            <w:tcW w:w="5240" w:type="dxa"/>
            <w:vAlign w:val="bottom"/>
            <w:shd w:val="clear" w:color="auto" w:fill="C0C0C0"/>
          </w:tcPr>
          <w:p>
            <w:pPr>
              <w:ind w:left="340"/>
              <w:spacing w:after="0" w:line="202" w:lineRule="exact"/>
              <w:rPr>
                <w:sz w:val="20"/>
                <w:szCs w:val="20"/>
                <w:color w:val="auto"/>
              </w:rPr>
            </w:pPr>
            <w:r>
              <w:rPr>
                <w:rFonts w:ascii="Arial" w:cs="Arial" w:eastAsia="Arial" w:hAnsi="Arial"/>
                <w:sz w:val="18"/>
                <w:szCs w:val="18"/>
                <w:color w:val="auto"/>
              </w:rPr>
              <w:t>Gross profit</w:t>
            </w:r>
          </w:p>
        </w:tc>
        <w:tc>
          <w:tcPr>
            <w:tcW w:w="1360" w:type="dxa"/>
            <w:vAlign w:val="bottom"/>
            <w:shd w:val="clear" w:color="auto" w:fill="C0C0C0"/>
          </w:tcPr>
          <w:p>
            <w:pPr>
              <w:jc w:val="right"/>
              <w:ind w:right="30"/>
              <w:spacing w:after="0" w:line="202" w:lineRule="exact"/>
              <w:rPr>
                <w:sz w:val="20"/>
                <w:szCs w:val="20"/>
                <w:color w:val="auto"/>
              </w:rPr>
            </w:pPr>
            <w:r>
              <w:rPr>
                <w:rFonts w:ascii="Arial" w:cs="Arial" w:eastAsia="Arial" w:hAnsi="Arial"/>
                <w:sz w:val="18"/>
                <w:szCs w:val="18"/>
                <w:color w:val="auto"/>
              </w:rPr>
              <w:t>131,276</w:t>
            </w:r>
          </w:p>
        </w:tc>
        <w:tc>
          <w:tcPr>
            <w:tcW w:w="320" w:type="dxa"/>
            <w:vAlign w:val="bottom"/>
            <w:shd w:val="clear" w:color="auto" w:fill="C0C0C0"/>
          </w:tcPr>
          <w:p>
            <w:pPr>
              <w:spacing w:after="0"/>
              <w:rPr>
                <w:sz w:val="17"/>
                <w:szCs w:val="17"/>
                <w:color w:val="auto"/>
              </w:rPr>
            </w:pPr>
          </w:p>
        </w:tc>
        <w:tc>
          <w:tcPr>
            <w:tcW w:w="340" w:type="dxa"/>
            <w:vAlign w:val="bottom"/>
            <w:shd w:val="clear" w:color="auto" w:fill="C0C0C0"/>
          </w:tcPr>
          <w:p>
            <w:pPr>
              <w:spacing w:after="0"/>
              <w:rPr>
                <w:sz w:val="17"/>
                <w:szCs w:val="17"/>
                <w:color w:val="auto"/>
              </w:rPr>
            </w:pPr>
          </w:p>
        </w:tc>
        <w:tc>
          <w:tcPr>
            <w:tcW w:w="1020" w:type="dxa"/>
            <w:vAlign w:val="bottom"/>
            <w:shd w:val="clear" w:color="auto" w:fill="C0C0C0"/>
          </w:tcPr>
          <w:p>
            <w:pPr>
              <w:jc w:val="right"/>
              <w:ind w:right="10"/>
              <w:spacing w:after="0" w:line="202" w:lineRule="exact"/>
              <w:rPr>
                <w:sz w:val="20"/>
                <w:szCs w:val="20"/>
                <w:color w:val="auto"/>
              </w:rPr>
            </w:pPr>
            <w:r>
              <w:rPr>
                <w:rFonts w:ascii="Arial" w:cs="Arial" w:eastAsia="Arial" w:hAnsi="Arial"/>
                <w:sz w:val="18"/>
                <w:szCs w:val="18"/>
                <w:color w:val="auto"/>
              </w:rPr>
              <w:t>150,152</w:t>
            </w:r>
          </w:p>
        </w:tc>
      </w:tr>
      <w:tr>
        <w:trPr>
          <w:trHeight w:val="203"/>
        </w:trPr>
        <w:tc>
          <w:tcPr>
            <w:tcW w:w="14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39,932</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40,012</w:t>
            </w:r>
          </w:p>
        </w:tc>
        <w:tc>
          <w:tcPr>
            <w:tcW w:w="5240" w:type="dxa"/>
            <w:vAlign w:val="bottom"/>
          </w:tcPr>
          <w:p>
            <w:pPr>
              <w:ind w:left="48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13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75,165</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79,169</w:t>
            </w:r>
          </w:p>
        </w:tc>
      </w:tr>
      <w:tr>
        <w:trPr>
          <w:trHeight w:val="203"/>
        </w:trPr>
        <w:tc>
          <w:tcPr>
            <w:tcW w:w="140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10,411</w:t>
            </w:r>
          </w:p>
        </w:tc>
        <w:tc>
          <w:tcPr>
            <w:tcW w:w="360" w:type="dxa"/>
            <w:vAlign w:val="bottom"/>
            <w:shd w:val="clear" w:color="auto" w:fill="BFBFBF"/>
          </w:tcPr>
          <w:p>
            <w:pPr>
              <w:spacing w:after="0"/>
              <w:rPr>
                <w:sz w:val="17"/>
                <w:szCs w:val="17"/>
                <w:color w:val="auto"/>
              </w:rPr>
            </w:pPr>
          </w:p>
        </w:tc>
        <w:tc>
          <w:tcPr>
            <w:tcW w:w="320" w:type="dxa"/>
            <w:vAlign w:val="bottom"/>
            <w:shd w:val="clear" w:color="auto" w:fill="BFBFBF"/>
          </w:tcPr>
          <w:p>
            <w:pPr>
              <w:spacing w:after="0"/>
              <w:rPr>
                <w:sz w:val="17"/>
                <w:szCs w:val="17"/>
                <w:color w:val="auto"/>
              </w:rPr>
            </w:pPr>
          </w:p>
        </w:tc>
        <w:tc>
          <w:tcPr>
            <w:tcW w:w="106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14,397</w:t>
            </w:r>
          </w:p>
        </w:tc>
        <w:tc>
          <w:tcPr>
            <w:tcW w:w="5240" w:type="dxa"/>
            <w:vAlign w:val="bottom"/>
            <w:shd w:val="clear" w:color="auto" w:fill="BFBFBF"/>
          </w:tcPr>
          <w:p>
            <w:pPr>
              <w:ind w:left="480"/>
              <w:spacing w:after="0" w:line="202" w:lineRule="exact"/>
              <w:rPr>
                <w:sz w:val="20"/>
                <w:szCs w:val="20"/>
                <w:color w:val="auto"/>
              </w:rPr>
            </w:pPr>
            <w:r>
              <w:rPr>
                <w:rFonts w:ascii="Arial" w:cs="Arial" w:eastAsia="Arial" w:hAnsi="Arial"/>
                <w:sz w:val="18"/>
                <w:szCs w:val="18"/>
                <w:color w:val="auto"/>
              </w:rPr>
              <w:t>Technical, product engineering, and research expenses</w:t>
            </w:r>
          </w:p>
        </w:tc>
        <w:tc>
          <w:tcPr>
            <w:tcW w:w="136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22,712</w:t>
            </w:r>
          </w:p>
        </w:tc>
        <w:tc>
          <w:tcPr>
            <w:tcW w:w="320" w:type="dxa"/>
            <w:vAlign w:val="bottom"/>
            <w:shd w:val="clear" w:color="auto" w:fill="BFBFBF"/>
          </w:tcPr>
          <w:p>
            <w:pPr>
              <w:spacing w:after="0"/>
              <w:rPr>
                <w:sz w:val="17"/>
                <w:szCs w:val="17"/>
                <w:color w:val="auto"/>
              </w:rPr>
            </w:pPr>
          </w:p>
        </w:tc>
        <w:tc>
          <w:tcPr>
            <w:tcW w:w="340" w:type="dxa"/>
            <w:vAlign w:val="bottom"/>
            <w:shd w:val="clear" w:color="auto" w:fill="BFBFBF"/>
          </w:tcPr>
          <w:p>
            <w:pPr>
              <w:spacing w:after="0"/>
              <w:rPr>
                <w:sz w:val="17"/>
                <w:szCs w:val="17"/>
                <w:color w:val="auto"/>
              </w:rPr>
            </w:pPr>
          </w:p>
        </w:tc>
        <w:tc>
          <w:tcPr>
            <w:tcW w:w="102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28,266</w:t>
            </w:r>
          </w:p>
        </w:tc>
      </w:tr>
      <w:tr>
        <w:trPr>
          <w:trHeight w:val="216"/>
        </w:trPr>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1,211</w:t>
            </w:r>
          </w:p>
        </w:tc>
        <w:tc>
          <w:tcPr>
            <w:tcW w:w="3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1,957</w:t>
            </w:r>
          </w:p>
        </w:tc>
        <w:tc>
          <w:tcPr>
            <w:tcW w:w="5240" w:type="dxa"/>
            <w:vAlign w:val="bottom"/>
          </w:tcPr>
          <w:p>
            <w:pPr>
              <w:ind w:left="480"/>
              <w:spacing w:after="0"/>
              <w:rPr>
                <w:sz w:val="20"/>
                <w:szCs w:val="20"/>
                <w:color w:val="auto"/>
              </w:rPr>
            </w:pPr>
            <w:r>
              <w:rPr>
                <w:rFonts w:ascii="Arial" w:cs="Arial" w:eastAsia="Arial" w:hAnsi="Arial"/>
                <w:sz w:val="18"/>
                <w:szCs w:val="18"/>
                <w:color w:val="auto"/>
              </w:rPr>
              <w:t>Restructuring expenses, net</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10,212</w:t>
            </w:r>
          </w:p>
        </w:tc>
        <w:tc>
          <w:tcPr>
            <w:tcW w:w="3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3,139</w:t>
            </w:r>
          </w:p>
        </w:tc>
      </w:tr>
      <w:tr>
        <w:trPr>
          <w:trHeight w:val="196"/>
        </w:trPr>
        <w:tc>
          <w:tcPr>
            <w:tcW w:w="1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140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3,038</w:t>
            </w:r>
          </w:p>
        </w:tc>
        <w:tc>
          <w:tcPr>
            <w:tcW w:w="360" w:type="dxa"/>
            <w:vAlign w:val="bottom"/>
            <w:shd w:val="clear" w:color="auto" w:fill="BFBFBF"/>
          </w:tcPr>
          <w:p>
            <w:pPr>
              <w:spacing w:after="0"/>
              <w:rPr>
                <w:sz w:val="17"/>
                <w:szCs w:val="17"/>
                <w:color w:val="auto"/>
              </w:rPr>
            </w:pPr>
          </w:p>
        </w:tc>
        <w:tc>
          <w:tcPr>
            <w:tcW w:w="320" w:type="dxa"/>
            <w:vAlign w:val="bottom"/>
            <w:shd w:val="clear" w:color="auto" w:fill="BFBFBF"/>
          </w:tcPr>
          <w:p>
            <w:pPr>
              <w:spacing w:after="0"/>
              <w:rPr>
                <w:sz w:val="17"/>
                <w:szCs w:val="17"/>
                <w:color w:val="auto"/>
              </w:rPr>
            </w:pPr>
          </w:p>
        </w:tc>
        <w:tc>
          <w:tcPr>
            <w:tcW w:w="106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18,977</w:t>
            </w:r>
          </w:p>
        </w:tc>
        <w:tc>
          <w:tcPr>
            <w:tcW w:w="5240" w:type="dxa"/>
            <w:vAlign w:val="bottom"/>
            <w:shd w:val="clear" w:color="auto" w:fill="BFBFBF"/>
          </w:tcPr>
          <w:p>
            <w:pPr>
              <w:ind w:left="340"/>
              <w:spacing w:after="0" w:line="202" w:lineRule="exact"/>
              <w:rPr>
                <w:sz w:val="20"/>
                <w:szCs w:val="20"/>
                <w:color w:val="auto"/>
              </w:rPr>
            </w:pPr>
            <w:r>
              <w:rPr>
                <w:rFonts w:ascii="Arial" w:cs="Arial" w:eastAsia="Arial" w:hAnsi="Arial"/>
                <w:sz w:val="18"/>
                <w:szCs w:val="18"/>
                <w:color w:val="auto"/>
              </w:rPr>
              <w:t>Operating income</w:t>
            </w:r>
          </w:p>
        </w:tc>
        <w:tc>
          <w:tcPr>
            <w:tcW w:w="136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23,187</w:t>
            </w:r>
          </w:p>
        </w:tc>
        <w:tc>
          <w:tcPr>
            <w:tcW w:w="320" w:type="dxa"/>
            <w:vAlign w:val="bottom"/>
            <w:shd w:val="clear" w:color="auto" w:fill="BFBFBF"/>
          </w:tcPr>
          <w:p>
            <w:pPr>
              <w:spacing w:after="0"/>
              <w:rPr>
                <w:sz w:val="17"/>
                <w:szCs w:val="17"/>
                <w:color w:val="auto"/>
              </w:rPr>
            </w:pPr>
          </w:p>
        </w:tc>
        <w:tc>
          <w:tcPr>
            <w:tcW w:w="340" w:type="dxa"/>
            <w:vAlign w:val="bottom"/>
            <w:shd w:val="clear" w:color="auto" w:fill="BFBFBF"/>
          </w:tcPr>
          <w:p>
            <w:pPr>
              <w:spacing w:after="0"/>
              <w:rPr>
                <w:sz w:val="17"/>
                <w:szCs w:val="17"/>
                <w:color w:val="auto"/>
              </w:rPr>
            </w:pPr>
          </w:p>
        </w:tc>
        <w:tc>
          <w:tcPr>
            <w:tcW w:w="102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39,578</w:t>
            </w:r>
          </w:p>
        </w:tc>
      </w:tr>
      <w:tr>
        <w:trPr>
          <w:trHeight w:val="203"/>
        </w:trPr>
        <w:tc>
          <w:tcPr>
            <w:tcW w:w="14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2,702</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2,717</w:t>
            </w:r>
          </w:p>
        </w:tc>
        <w:tc>
          <w:tcPr>
            <w:tcW w:w="5240" w:type="dxa"/>
            <w:vAlign w:val="bottom"/>
          </w:tcPr>
          <w:p>
            <w:pPr>
              <w:ind w:left="480"/>
              <w:spacing w:after="0" w:line="202" w:lineRule="exact"/>
              <w:rPr>
                <w:sz w:val="20"/>
                <w:szCs w:val="20"/>
                <w:color w:val="auto"/>
              </w:rPr>
            </w:pPr>
            <w:r>
              <w:rPr>
                <w:rFonts w:ascii="Arial" w:cs="Arial" w:eastAsia="Arial" w:hAnsi="Arial"/>
                <w:sz w:val="18"/>
                <w:szCs w:val="18"/>
                <w:color w:val="auto"/>
              </w:rPr>
              <w:t>Interest expense, net</w:t>
            </w:r>
          </w:p>
        </w:tc>
        <w:tc>
          <w:tcPr>
            <w:tcW w:w="13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5,378</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5,635</w:t>
            </w:r>
          </w:p>
        </w:tc>
      </w:tr>
      <w:tr>
        <w:trPr>
          <w:trHeight w:val="216"/>
        </w:trPr>
        <w:tc>
          <w:tcPr>
            <w:tcW w:w="1400" w:type="dxa"/>
            <w:vAlign w:val="bottom"/>
            <w:tcBorders>
              <w:bottom w:val="single" w:sz="8" w:color="auto"/>
            </w:tcBorders>
            <w:shd w:val="clear" w:color="auto" w:fill="BFBFBF"/>
          </w:tcPr>
          <w:p>
            <w:pPr>
              <w:jc w:val="right"/>
              <w:ind w:right="30"/>
              <w:spacing w:after="0"/>
              <w:rPr>
                <w:sz w:val="20"/>
                <w:szCs w:val="20"/>
                <w:color w:val="auto"/>
              </w:rPr>
            </w:pPr>
            <w:r>
              <w:rPr>
                <w:rFonts w:ascii="Arial" w:cs="Arial" w:eastAsia="Arial" w:hAnsi="Arial"/>
                <w:sz w:val="18"/>
                <w:szCs w:val="18"/>
                <w:color w:val="auto"/>
              </w:rPr>
              <w:t>2,820</w:t>
            </w:r>
          </w:p>
        </w:tc>
        <w:tc>
          <w:tcPr>
            <w:tcW w:w="360" w:type="dxa"/>
            <w:vAlign w:val="bottom"/>
            <w:shd w:val="clear" w:color="auto" w:fill="BFBFBF"/>
          </w:tcPr>
          <w:p>
            <w:pPr>
              <w:spacing w:after="0"/>
              <w:rPr>
                <w:sz w:val="18"/>
                <w:szCs w:val="18"/>
                <w:color w:val="auto"/>
              </w:rPr>
            </w:pPr>
          </w:p>
        </w:tc>
        <w:tc>
          <w:tcPr>
            <w:tcW w:w="320" w:type="dxa"/>
            <w:vAlign w:val="bottom"/>
            <w:tcBorders>
              <w:bottom w:val="single" w:sz="8" w:color="auto"/>
            </w:tcBorders>
            <w:shd w:val="clear" w:color="auto" w:fill="BFBFBF"/>
          </w:tcPr>
          <w:p>
            <w:pPr>
              <w:spacing w:after="0"/>
              <w:rPr>
                <w:sz w:val="18"/>
                <w:szCs w:val="18"/>
                <w:color w:val="auto"/>
              </w:rPr>
            </w:pPr>
          </w:p>
        </w:tc>
        <w:tc>
          <w:tcPr>
            <w:tcW w:w="106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8"/>
                <w:szCs w:val="18"/>
                <w:color w:val="auto"/>
              </w:rPr>
              <w:t>(2,133)</w:t>
            </w:r>
          </w:p>
        </w:tc>
        <w:tc>
          <w:tcPr>
            <w:tcW w:w="5240" w:type="dxa"/>
            <w:vAlign w:val="bottom"/>
            <w:shd w:val="clear" w:color="auto" w:fill="BFBFBF"/>
          </w:tcPr>
          <w:p>
            <w:pPr>
              <w:ind w:left="480"/>
              <w:spacing w:after="0"/>
              <w:rPr>
                <w:sz w:val="20"/>
                <w:szCs w:val="20"/>
                <w:color w:val="auto"/>
              </w:rPr>
            </w:pPr>
            <w:r>
              <w:rPr>
                <w:rFonts w:ascii="Arial" w:cs="Arial" w:eastAsia="Arial" w:hAnsi="Arial"/>
                <w:sz w:val="18"/>
                <w:szCs w:val="18"/>
                <w:color w:val="auto"/>
              </w:rPr>
              <w:t>Other (income)/expenses, net</w:t>
            </w:r>
          </w:p>
        </w:tc>
        <w:tc>
          <w:tcPr>
            <w:tcW w:w="136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8"/>
                <w:szCs w:val="18"/>
                <w:color w:val="auto"/>
              </w:rPr>
              <w:t>(465)</w:t>
            </w:r>
          </w:p>
        </w:tc>
        <w:tc>
          <w:tcPr>
            <w:tcW w:w="320" w:type="dxa"/>
            <w:vAlign w:val="bottom"/>
            <w:shd w:val="clear" w:color="auto" w:fill="BFBFBF"/>
          </w:tcPr>
          <w:p>
            <w:pPr>
              <w:spacing w:after="0"/>
              <w:rPr>
                <w:sz w:val="18"/>
                <w:szCs w:val="18"/>
                <w:color w:val="auto"/>
              </w:rPr>
            </w:pPr>
          </w:p>
        </w:tc>
        <w:tc>
          <w:tcPr>
            <w:tcW w:w="340" w:type="dxa"/>
            <w:vAlign w:val="bottom"/>
            <w:tcBorders>
              <w:bottom w:val="single" w:sz="8" w:color="auto"/>
            </w:tcBorders>
            <w:shd w:val="clear" w:color="auto" w:fill="BFBFBF"/>
          </w:tcPr>
          <w:p>
            <w:pPr>
              <w:spacing w:after="0"/>
              <w:rPr>
                <w:sz w:val="18"/>
                <w:szCs w:val="18"/>
                <w:color w:val="auto"/>
              </w:rPr>
            </w:pPr>
          </w:p>
        </w:tc>
        <w:tc>
          <w:tcPr>
            <w:tcW w:w="102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8"/>
                <w:szCs w:val="18"/>
                <w:color w:val="auto"/>
              </w:rPr>
              <w:t>(2,600)</w:t>
            </w:r>
          </w:p>
        </w:tc>
      </w:tr>
      <w:tr>
        <w:trPr>
          <w:trHeight w:val="196"/>
        </w:trPr>
        <w:tc>
          <w:tcPr>
            <w:tcW w:w="1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14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(2,484)</w:t>
            </w:r>
          </w:p>
        </w:tc>
        <w:tc>
          <w:tcPr>
            <w:tcW w:w="360" w:type="dxa"/>
            <w:vAlign w:val="bottom"/>
            <w:shd w:val="clear" w:color="auto" w:fill="BFBFBF"/>
          </w:tcPr>
          <w:p>
            <w:pPr>
              <w:spacing w:after="0"/>
              <w:rPr>
                <w:sz w:val="17"/>
                <w:szCs w:val="17"/>
                <w:color w:val="auto"/>
              </w:rPr>
            </w:pPr>
          </w:p>
        </w:tc>
        <w:tc>
          <w:tcPr>
            <w:tcW w:w="320" w:type="dxa"/>
            <w:vAlign w:val="bottom"/>
            <w:shd w:val="clear" w:color="auto" w:fill="BFBFBF"/>
          </w:tcPr>
          <w:p>
            <w:pPr>
              <w:spacing w:after="0"/>
              <w:rPr>
                <w:sz w:val="17"/>
                <w:szCs w:val="17"/>
                <w:color w:val="auto"/>
              </w:rPr>
            </w:pPr>
          </w:p>
        </w:tc>
        <w:tc>
          <w:tcPr>
            <w:tcW w:w="106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18,393</w:t>
            </w:r>
          </w:p>
        </w:tc>
        <w:tc>
          <w:tcPr>
            <w:tcW w:w="5240" w:type="dxa"/>
            <w:vAlign w:val="bottom"/>
            <w:shd w:val="clear" w:color="auto" w:fill="BFBFBF"/>
          </w:tcPr>
          <w:p>
            <w:pPr>
              <w:ind w:left="340"/>
              <w:spacing w:after="0" w:line="202" w:lineRule="exact"/>
              <w:rPr>
                <w:sz w:val="20"/>
                <w:szCs w:val="20"/>
                <w:color w:val="auto"/>
              </w:rPr>
            </w:pPr>
            <w:r>
              <w:rPr>
                <w:rFonts w:ascii="Arial" w:cs="Arial" w:eastAsia="Arial" w:hAnsi="Arial"/>
                <w:sz w:val="18"/>
                <w:szCs w:val="18"/>
                <w:color w:val="auto"/>
              </w:rPr>
              <w:t>Income/(loss) before income taxes</w:t>
            </w:r>
          </w:p>
        </w:tc>
        <w:tc>
          <w:tcPr>
            <w:tcW w:w="136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18,274</w:t>
            </w:r>
          </w:p>
        </w:tc>
        <w:tc>
          <w:tcPr>
            <w:tcW w:w="320" w:type="dxa"/>
            <w:vAlign w:val="bottom"/>
            <w:shd w:val="clear" w:color="auto" w:fill="BFBFBF"/>
          </w:tcPr>
          <w:p>
            <w:pPr>
              <w:spacing w:after="0"/>
              <w:rPr>
                <w:sz w:val="17"/>
                <w:szCs w:val="17"/>
                <w:color w:val="auto"/>
              </w:rPr>
            </w:pPr>
          </w:p>
        </w:tc>
        <w:tc>
          <w:tcPr>
            <w:tcW w:w="340" w:type="dxa"/>
            <w:vAlign w:val="bottom"/>
            <w:shd w:val="clear" w:color="auto" w:fill="BFBFBF"/>
          </w:tcPr>
          <w:p>
            <w:pPr>
              <w:spacing w:after="0"/>
              <w:rPr>
                <w:sz w:val="17"/>
                <w:szCs w:val="17"/>
                <w:color w:val="auto"/>
              </w:rPr>
            </w:pPr>
          </w:p>
        </w:tc>
        <w:tc>
          <w:tcPr>
            <w:tcW w:w="102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36,543</w:t>
            </w:r>
          </w:p>
        </w:tc>
      </w:tr>
      <w:tr>
        <w:trPr>
          <w:trHeight w:val="216"/>
        </w:trPr>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3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7,216</w:t>
            </w:r>
          </w:p>
        </w:tc>
        <w:tc>
          <w:tcPr>
            <w:tcW w:w="5240" w:type="dxa"/>
            <w:vAlign w:val="bottom"/>
          </w:tcPr>
          <w:p>
            <w:pPr>
              <w:ind w:left="480"/>
              <w:spacing w:after="0"/>
              <w:rPr>
                <w:sz w:val="20"/>
                <w:szCs w:val="20"/>
                <w:color w:val="auto"/>
              </w:rPr>
            </w:pPr>
            <w:r>
              <w:rPr>
                <w:rFonts w:ascii="Arial" w:cs="Arial" w:eastAsia="Arial" w:hAnsi="Arial"/>
                <w:sz w:val="18"/>
                <w:szCs w:val="18"/>
                <w:color w:val="auto"/>
              </w:rPr>
              <w:t>Income tax expense/(benefit)</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8,155</w:t>
            </w:r>
          </w:p>
        </w:tc>
        <w:tc>
          <w:tcPr>
            <w:tcW w:w="3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14,673</w:t>
            </w:r>
          </w:p>
        </w:tc>
      </w:tr>
      <w:tr>
        <w:trPr>
          <w:trHeight w:val="196"/>
        </w:trPr>
        <w:tc>
          <w:tcPr>
            <w:tcW w:w="1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14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(2,120)</w:t>
            </w:r>
          </w:p>
        </w:tc>
        <w:tc>
          <w:tcPr>
            <w:tcW w:w="360" w:type="dxa"/>
            <w:vAlign w:val="bottom"/>
            <w:shd w:val="clear" w:color="auto" w:fill="BFBFBF"/>
          </w:tcPr>
          <w:p>
            <w:pPr>
              <w:spacing w:after="0"/>
              <w:rPr>
                <w:sz w:val="17"/>
                <w:szCs w:val="17"/>
                <w:color w:val="auto"/>
              </w:rPr>
            </w:pPr>
          </w:p>
        </w:tc>
        <w:tc>
          <w:tcPr>
            <w:tcW w:w="320" w:type="dxa"/>
            <w:vAlign w:val="bottom"/>
            <w:shd w:val="clear" w:color="auto" w:fill="BFBFBF"/>
          </w:tcPr>
          <w:p>
            <w:pPr>
              <w:spacing w:after="0"/>
              <w:rPr>
                <w:sz w:val="17"/>
                <w:szCs w:val="17"/>
                <w:color w:val="auto"/>
              </w:rPr>
            </w:pPr>
          </w:p>
        </w:tc>
        <w:tc>
          <w:tcPr>
            <w:tcW w:w="106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11,177</w:t>
            </w:r>
          </w:p>
        </w:tc>
        <w:tc>
          <w:tcPr>
            <w:tcW w:w="5240" w:type="dxa"/>
            <w:vAlign w:val="bottom"/>
            <w:shd w:val="clear" w:color="auto" w:fill="BFBFBF"/>
          </w:tcPr>
          <w:p>
            <w:pPr>
              <w:ind w:left="380"/>
              <w:spacing w:after="0" w:line="202" w:lineRule="exact"/>
              <w:rPr>
                <w:sz w:val="20"/>
                <w:szCs w:val="20"/>
                <w:color w:val="auto"/>
              </w:rPr>
            </w:pPr>
            <w:r>
              <w:rPr>
                <w:rFonts w:ascii="Arial" w:cs="Arial" w:eastAsia="Arial" w:hAnsi="Arial"/>
                <w:sz w:val="18"/>
                <w:szCs w:val="18"/>
                <w:color w:val="auto"/>
              </w:rPr>
              <w:t>Net income/(loss)</w:t>
            </w:r>
          </w:p>
        </w:tc>
        <w:tc>
          <w:tcPr>
            <w:tcW w:w="136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10,119</w:t>
            </w:r>
          </w:p>
        </w:tc>
        <w:tc>
          <w:tcPr>
            <w:tcW w:w="320" w:type="dxa"/>
            <w:vAlign w:val="bottom"/>
            <w:shd w:val="clear" w:color="auto" w:fill="BFBFBF"/>
          </w:tcPr>
          <w:p>
            <w:pPr>
              <w:spacing w:after="0"/>
              <w:rPr>
                <w:sz w:val="17"/>
                <w:szCs w:val="17"/>
                <w:color w:val="auto"/>
              </w:rPr>
            </w:pPr>
          </w:p>
        </w:tc>
        <w:tc>
          <w:tcPr>
            <w:tcW w:w="340" w:type="dxa"/>
            <w:vAlign w:val="bottom"/>
            <w:shd w:val="clear" w:color="auto" w:fill="BFBFBF"/>
          </w:tcPr>
          <w:p>
            <w:pPr>
              <w:spacing w:after="0"/>
              <w:rPr>
                <w:sz w:val="17"/>
                <w:szCs w:val="17"/>
                <w:color w:val="auto"/>
              </w:rPr>
            </w:pPr>
          </w:p>
        </w:tc>
        <w:tc>
          <w:tcPr>
            <w:tcW w:w="102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21,870</w:t>
            </w:r>
          </w:p>
        </w:tc>
      </w:tr>
      <w:tr>
        <w:trPr>
          <w:trHeight w:val="180"/>
        </w:trPr>
        <w:tc>
          <w:tcPr>
            <w:tcW w:w="1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40" w:type="dxa"/>
            <w:vAlign w:val="bottom"/>
          </w:tcPr>
          <w:p>
            <w:pPr>
              <w:ind w:left="380"/>
              <w:spacing w:after="0" w:line="180" w:lineRule="exact"/>
              <w:rPr>
                <w:sz w:val="20"/>
                <w:szCs w:val="20"/>
                <w:color w:val="auto"/>
              </w:rPr>
            </w:pPr>
            <w:r>
              <w:rPr>
                <w:rFonts w:ascii="Arial" w:cs="Arial" w:eastAsia="Arial" w:hAnsi="Arial"/>
                <w:sz w:val="18"/>
                <w:szCs w:val="18"/>
                <w:color w:val="auto"/>
              </w:rPr>
              <w:t>Net income/(loss) attributable to the noncontrolling</w:t>
            </w:r>
          </w:p>
        </w:tc>
        <w:tc>
          <w:tcPr>
            <w:tcW w:w="1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39"/>
        </w:trPr>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52</w:t>
            </w:r>
          </w:p>
        </w:tc>
        <w:tc>
          <w:tcPr>
            <w:tcW w:w="360" w:type="dxa"/>
            <w:vAlign w:val="bottom"/>
            <w:tcBorders>
              <w:bottom w:val="single" w:sz="8" w:color="BFBFB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5240" w:type="dxa"/>
            <w:vAlign w:val="bottom"/>
            <w:tcBorders>
              <w:bottom w:val="single" w:sz="8" w:color="BFBFBF"/>
            </w:tcBorders>
          </w:tcPr>
          <w:p>
            <w:pPr>
              <w:ind w:left="520"/>
              <w:spacing w:after="0"/>
              <w:rPr>
                <w:sz w:val="20"/>
                <w:szCs w:val="20"/>
                <w:color w:val="auto"/>
              </w:rPr>
            </w:pPr>
            <w:r>
              <w:rPr>
                <w:rFonts w:ascii="Arial" w:cs="Arial" w:eastAsia="Arial" w:hAnsi="Arial"/>
                <w:sz w:val="18"/>
                <w:szCs w:val="18"/>
                <w:color w:val="auto"/>
              </w:rPr>
              <w:t>interest</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78</w:t>
            </w:r>
          </w:p>
        </w:tc>
        <w:tc>
          <w:tcPr>
            <w:tcW w:w="320" w:type="dxa"/>
            <w:vAlign w:val="bottom"/>
            <w:tcBorders>
              <w:bottom w:val="single" w:sz="8" w:color="BFBFB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w:t>
            </w:r>
          </w:p>
        </w:tc>
      </w:tr>
      <w:tr>
        <w:trPr>
          <w:trHeight w:val="210"/>
        </w:trPr>
        <w:tc>
          <w:tcPr>
            <w:tcW w:w="140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8"/>
                <w:szCs w:val="18"/>
                <w:color w:val="auto"/>
              </w:rPr>
              <w:t>($2,172)</w:t>
            </w:r>
          </w:p>
        </w:tc>
        <w:tc>
          <w:tcPr>
            <w:tcW w:w="360" w:type="dxa"/>
            <w:vAlign w:val="bottom"/>
            <w:tcBorders>
              <w:bottom w:val="single" w:sz="8" w:color="BFBFBF"/>
            </w:tcBorders>
            <w:shd w:val="clear" w:color="auto" w:fill="BFBFBF"/>
          </w:tcPr>
          <w:p>
            <w:pPr>
              <w:spacing w:after="0"/>
              <w:rPr>
                <w:sz w:val="18"/>
                <w:szCs w:val="18"/>
                <w:color w:val="auto"/>
              </w:rPr>
            </w:pPr>
          </w:p>
        </w:tc>
        <w:tc>
          <w:tcPr>
            <w:tcW w:w="320" w:type="dxa"/>
            <w:vAlign w:val="bottom"/>
            <w:tcBorders>
              <w:bottom w:val="single" w:sz="8" w:color="auto"/>
            </w:tcBorders>
            <w:shd w:val="clear" w:color="auto" w:fill="BFBFBF"/>
          </w:tcPr>
          <w:p>
            <w:pPr>
              <w:spacing w:after="0"/>
              <w:rPr>
                <w:sz w:val="18"/>
                <w:szCs w:val="18"/>
                <w:color w:val="auto"/>
              </w:rPr>
            </w:pPr>
          </w:p>
        </w:tc>
        <w:tc>
          <w:tcPr>
            <w:tcW w:w="1060" w:type="dxa"/>
            <w:vAlign w:val="bottom"/>
            <w:tcBorders>
              <w:bottom w:val="single" w:sz="8" w:color="auto"/>
            </w:tcBorders>
            <w:shd w:val="clear" w:color="auto" w:fill="BFBFBF"/>
          </w:tcPr>
          <w:p>
            <w:pPr>
              <w:jc w:val="right"/>
              <w:ind w:right="30"/>
              <w:spacing w:after="0"/>
              <w:rPr>
                <w:sz w:val="20"/>
                <w:szCs w:val="20"/>
                <w:color w:val="auto"/>
              </w:rPr>
            </w:pPr>
            <w:r>
              <w:rPr>
                <w:rFonts w:ascii="Arial" w:cs="Arial" w:eastAsia="Arial" w:hAnsi="Arial"/>
                <w:sz w:val="18"/>
                <w:szCs w:val="18"/>
                <w:color w:val="auto"/>
              </w:rPr>
              <w:t>$11,219</w:t>
            </w:r>
          </w:p>
        </w:tc>
        <w:tc>
          <w:tcPr>
            <w:tcW w:w="5240" w:type="dxa"/>
            <w:vAlign w:val="bottom"/>
            <w:tcBorders>
              <w:bottom w:val="single" w:sz="8" w:color="BFBFBF"/>
            </w:tcBorders>
            <w:shd w:val="clear" w:color="auto" w:fill="BFBFBF"/>
          </w:tcPr>
          <w:p>
            <w:pPr>
              <w:ind w:left="380"/>
              <w:spacing w:after="0"/>
              <w:rPr>
                <w:sz w:val="20"/>
                <w:szCs w:val="20"/>
                <w:color w:val="auto"/>
              </w:rPr>
            </w:pPr>
            <w:r>
              <w:rPr>
                <w:rFonts w:ascii="Arial" w:cs="Arial" w:eastAsia="Arial" w:hAnsi="Arial"/>
                <w:sz w:val="18"/>
                <w:szCs w:val="18"/>
                <w:color w:val="auto"/>
              </w:rPr>
              <w:t>Net income/(loss) attributable to the Company</w:t>
            </w:r>
          </w:p>
        </w:tc>
        <w:tc>
          <w:tcPr>
            <w:tcW w:w="1360" w:type="dxa"/>
            <w:vAlign w:val="bottom"/>
            <w:tcBorders>
              <w:bottom w:val="single" w:sz="8" w:color="auto"/>
            </w:tcBorders>
            <w:shd w:val="clear" w:color="auto" w:fill="BFBFBF"/>
          </w:tcPr>
          <w:p>
            <w:pPr>
              <w:jc w:val="right"/>
              <w:ind w:right="30"/>
              <w:spacing w:after="0"/>
              <w:rPr>
                <w:sz w:val="20"/>
                <w:szCs w:val="20"/>
                <w:color w:val="auto"/>
              </w:rPr>
            </w:pPr>
            <w:r>
              <w:rPr>
                <w:rFonts w:ascii="Arial" w:cs="Arial" w:eastAsia="Arial" w:hAnsi="Arial"/>
                <w:sz w:val="18"/>
                <w:szCs w:val="18"/>
                <w:color w:val="auto"/>
              </w:rPr>
              <w:t>$10,041</w:t>
            </w:r>
          </w:p>
        </w:tc>
        <w:tc>
          <w:tcPr>
            <w:tcW w:w="320" w:type="dxa"/>
            <w:vAlign w:val="bottom"/>
            <w:tcBorders>
              <w:bottom w:val="single" w:sz="8" w:color="BFBFBF"/>
            </w:tcBorders>
            <w:shd w:val="clear" w:color="auto" w:fill="BFBFBF"/>
          </w:tcPr>
          <w:p>
            <w:pPr>
              <w:spacing w:after="0"/>
              <w:rPr>
                <w:sz w:val="18"/>
                <w:szCs w:val="18"/>
                <w:color w:val="auto"/>
              </w:rPr>
            </w:pPr>
          </w:p>
        </w:tc>
        <w:tc>
          <w:tcPr>
            <w:tcW w:w="340" w:type="dxa"/>
            <w:vAlign w:val="bottom"/>
            <w:tcBorders>
              <w:bottom w:val="single" w:sz="8" w:color="auto"/>
            </w:tcBorders>
            <w:shd w:val="clear" w:color="auto" w:fill="BFBFBF"/>
          </w:tcPr>
          <w:p>
            <w:pPr>
              <w:spacing w:after="0"/>
              <w:rPr>
                <w:sz w:val="18"/>
                <w:szCs w:val="18"/>
                <w:color w:val="auto"/>
              </w:rPr>
            </w:pPr>
          </w:p>
        </w:tc>
        <w:tc>
          <w:tcPr>
            <w:tcW w:w="1020" w:type="dxa"/>
            <w:vAlign w:val="bottom"/>
            <w:tcBorders>
              <w:bottom w:val="single" w:sz="8" w:color="auto"/>
            </w:tcBorders>
            <w:shd w:val="clear" w:color="auto" w:fill="BFBFBF"/>
          </w:tcPr>
          <w:p>
            <w:pPr>
              <w:jc w:val="right"/>
              <w:ind w:right="10"/>
              <w:spacing w:after="0"/>
              <w:rPr>
                <w:sz w:val="20"/>
                <w:szCs w:val="20"/>
                <w:color w:val="auto"/>
              </w:rPr>
            </w:pPr>
            <w:r>
              <w:rPr>
                <w:rFonts w:ascii="Arial" w:cs="Arial" w:eastAsia="Arial" w:hAnsi="Arial"/>
                <w:sz w:val="18"/>
                <w:szCs w:val="18"/>
                <w:color w:val="auto"/>
              </w:rPr>
              <w:t>$21,840</w:t>
            </w:r>
          </w:p>
        </w:tc>
      </w:tr>
      <w:tr>
        <w:trPr>
          <w:trHeight w:val="20"/>
        </w:trPr>
        <w:tc>
          <w:tcPr>
            <w:tcW w:w="14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3"/>
        </w:trPr>
        <w:tc>
          <w:tcPr>
            <w:tcW w:w="1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1400" w:type="dxa"/>
            <w:vAlign w:val="bottom"/>
            <w:shd w:val="clear" w:color="auto" w:fill="BFBFBF"/>
          </w:tcPr>
          <w:p>
            <w:pPr>
              <w:spacing w:after="0"/>
              <w:rPr>
                <w:sz w:val="15"/>
                <w:szCs w:val="15"/>
                <w:color w:val="auto"/>
              </w:rPr>
            </w:pPr>
          </w:p>
        </w:tc>
        <w:tc>
          <w:tcPr>
            <w:tcW w:w="360" w:type="dxa"/>
            <w:vAlign w:val="bottom"/>
            <w:shd w:val="clear" w:color="auto" w:fill="BFBFBF"/>
          </w:tcPr>
          <w:p>
            <w:pPr>
              <w:spacing w:after="0"/>
              <w:rPr>
                <w:sz w:val="15"/>
                <w:szCs w:val="15"/>
                <w:color w:val="auto"/>
              </w:rPr>
            </w:pPr>
          </w:p>
        </w:tc>
        <w:tc>
          <w:tcPr>
            <w:tcW w:w="320" w:type="dxa"/>
            <w:vAlign w:val="bottom"/>
            <w:shd w:val="clear" w:color="auto" w:fill="BFBFBF"/>
          </w:tcPr>
          <w:p>
            <w:pPr>
              <w:spacing w:after="0"/>
              <w:rPr>
                <w:sz w:val="15"/>
                <w:szCs w:val="15"/>
                <w:color w:val="auto"/>
              </w:rPr>
            </w:pPr>
          </w:p>
        </w:tc>
        <w:tc>
          <w:tcPr>
            <w:tcW w:w="1060" w:type="dxa"/>
            <w:vAlign w:val="bottom"/>
            <w:shd w:val="clear" w:color="auto" w:fill="BFBFBF"/>
          </w:tcPr>
          <w:p>
            <w:pPr>
              <w:spacing w:after="0"/>
              <w:rPr>
                <w:sz w:val="15"/>
                <w:szCs w:val="15"/>
                <w:color w:val="auto"/>
              </w:rPr>
            </w:pPr>
          </w:p>
        </w:tc>
        <w:tc>
          <w:tcPr>
            <w:tcW w:w="5240" w:type="dxa"/>
            <w:vAlign w:val="bottom"/>
            <w:shd w:val="clear" w:color="auto" w:fill="BFBFBF"/>
          </w:tcPr>
          <w:p>
            <w:pPr>
              <w:ind w:left="340"/>
              <w:spacing w:after="0" w:line="180" w:lineRule="exact"/>
              <w:rPr>
                <w:sz w:val="20"/>
                <w:szCs w:val="20"/>
                <w:color w:val="auto"/>
              </w:rPr>
            </w:pPr>
            <w:r>
              <w:rPr>
                <w:rFonts w:ascii="Arial" w:cs="Arial" w:eastAsia="Arial" w:hAnsi="Arial"/>
                <w:sz w:val="18"/>
                <w:szCs w:val="18"/>
                <w:color w:val="auto"/>
              </w:rPr>
              <w:t>Earnings/(losses) per share attributable to Company</w:t>
            </w:r>
          </w:p>
        </w:tc>
        <w:tc>
          <w:tcPr>
            <w:tcW w:w="1360" w:type="dxa"/>
            <w:vAlign w:val="bottom"/>
            <w:shd w:val="clear" w:color="auto" w:fill="BFBFBF"/>
          </w:tcPr>
          <w:p>
            <w:pPr>
              <w:spacing w:after="0"/>
              <w:rPr>
                <w:sz w:val="15"/>
                <w:szCs w:val="15"/>
                <w:color w:val="auto"/>
              </w:rPr>
            </w:pPr>
          </w:p>
        </w:tc>
        <w:tc>
          <w:tcPr>
            <w:tcW w:w="320" w:type="dxa"/>
            <w:vAlign w:val="bottom"/>
            <w:shd w:val="clear" w:color="auto" w:fill="BFBFBF"/>
          </w:tcPr>
          <w:p>
            <w:pPr>
              <w:spacing w:after="0"/>
              <w:rPr>
                <w:sz w:val="15"/>
                <w:szCs w:val="15"/>
                <w:color w:val="auto"/>
              </w:rPr>
            </w:pPr>
          </w:p>
        </w:tc>
        <w:tc>
          <w:tcPr>
            <w:tcW w:w="340" w:type="dxa"/>
            <w:vAlign w:val="bottom"/>
            <w:shd w:val="clear" w:color="auto" w:fill="BFBFBF"/>
          </w:tcPr>
          <w:p>
            <w:pPr>
              <w:spacing w:after="0"/>
              <w:rPr>
                <w:sz w:val="15"/>
                <w:szCs w:val="15"/>
                <w:color w:val="auto"/>
              </w:rPr>
            </w:pPr>
          </w:p>
        </w:tc>
        <w:tc>
          <w:tcPr>
            <w:tcW w:w="1020" w:type="dxa"/>
            <w:vAlign w:val="bottom"/>
            <w:shd w:val="clear" w:color="auto" w:fill="BFBFBF"/>
          </w:tcPr>
          <w:p>
            <w:pPr>
              <w:spacing w:after="0"/>
              <w:rPr>
                <w:sz w:val="15"/>
                <w:szCs w:val="15"/>
                <w:color w:val="auto"/>
              </w:rPr>
            </w:pPr>
          </w:p>
        </w:tc>
      </w:tr>
      <w:tr>
        <w:trPr>
          <w:trHeight w:val="225"/>
        </w:trPr>
        <w:tc>
          <w:tcPr>
            <w:tcW w:w="1400" w:type="dxa"/>
            <w:vAlign w:val="bottom"/>
            <w:shd w:val="clear" w:color="auto" w:fill="BFBFBF"/>
          </w:tcPr>
          <w:p>
            <w:pPr>
              <w:jc w:val="right"/>
              <w:spacing w:after="0"/>
              <w:rPr>
                <w:sz w:val="20"/>
                <w:szCs w:val="20"/>
                <w:color w:val="auto"/>
              </w:rPr>
            </w:pPr>
            <w:r>
              <w:rPr>
                <w:rFonts w:ascii="Arial" w:cs="Arial" w:eastAsia="Arial" w:hAnsi="Arial"/>
                <w:sz w:val="18"/>
                <w:szCs w:val="18"/>
                <w:color w:val="auto"/>
              </w:rPr>
              <w:t>($0.07)</w:t>
            </w:r>
          </w:p>
        </w:tc>
        <w:tc>
          <w:tcPr>
            <w:tcW w:w="360" w:type="dxa"/>
            <w:vAlign w:val="bottom"/>
            <w:shd w:val="clear" w:color="auto" w:fill="BFBFBF"/>
          </w:tcPr>
          <w:p>
            <w:pPr>
              <w:spacing w:after="0"/>
              <w:rPr>
                <w:sz w:val="19"/>
                <w:szCs w:val="19"/>
                <w:color w:val="auto"/>
              </w:rPr>
            </w:pPr>
          </w:p>
        </w:tc>
        <w:tc>
          <w:tcPr>
            <w:tcW w:w="320" w:type="dxa"/>
            <w:vAlign w:val="bottom"/>
            <w:shd w:val="clear" w:color="auto" w:fill="BFBFBF"/>
          </w:tcPr>
          <w:p>
            <w:pPr>
              <w:spacing w:after="0"/>
              <w:rPr>
                <w:sz w:val="19"/>
                <w:szCs w:val="19"/>
                <w:color w:val="auto"/>
              </w:rPr>
            </w:pPr>
          </w:p>
        </w:tc>
        <w:tc>
          <w:tcPr>
            <w:tcW w:w="1060" w:type="dxa"/>
            <w:vAlign w:val="bottom"/>
            <w:shd w:val="clear" w:color="auto" w:fill="BFBFBF"/>
          </w:tcPr>
          <w:p>
            <w:pPr>
              <w:jc w:val="right"/>
              <w:ind w:right="30"/>
              <w:spacing w:after="0"/>
              <w:rPr>
                <w:sz w:val="20"/>
                <w:szCs w:val="20"/>
                <w:color w:val="auto"/>
              </w:rPr>
            </w:pPr>
            <w:r>
              <w:rPr>
                <w:rFonts w:ascii="Arial" w:cs="Arial" w:eastAsia="Arial" w:hAnsi="Arial"/>
                <w:sz w:val="18"/>
                <w:szCs w:val="18"/>
                <w:color w:val="auto"/>
              </w:rPr>
              <w:t>$0.35</w:t>
            </w:r>
          </w:p>
        </w:tc>
        <w:tc>
          <w:tcPr>
            <w:tcW w:w="5240" w:type="dxa"/>
            <w:vAlign w:val="bottom"/>
            <w:shd w:val="clear" w:color="auto" w:fill="BFBFBF"/>
          </w:tcPr>
          <w:p>
            <w:pPr>
              <w:ind w:left="420"/>
              <w:spacing w:after="0"/>
              <w:rPr>
                <w:sz w:val="20"/>
                <w:szCs w:val="20"/>
                <w:color w:val="auto"/>
              </w:rPr>
            </w:pPr>
            <w:r>
              <w:rPr>
                <w:rFonts w:ascii="Arial" w:cs="Arial" w:eastAsia="Arial" w:hAnsi="Arial"/>
                <w:sz w:val="18"/>
                <w:szCs w:val="18"/>
                <w:color w:val="auto"/>
              </w:rPr>
              <w:t>shareholders - Basic</w:t>
            </w:r>
          </w:p>
        </w:tc>
        <w:tc>
          <w:tcPr>
            <w:tcW w:w="1360" w:type="dxa"/>
            <w:vAlign w:val="bottom"/>
            <w:shd w:val="clear" w:color="auto" w:fill="BFBFBF"/>
          </w:tcPr>
          <w:p>
            <w:pPr>
              <w:jc w:val="right"/>
              <w:ind w:right="30"/>
              <w:spacing w:after="0"/>
              <w:rPr>
                <w:sz w:val="20"/>
                <w:szCs w:val="20"/>
                <w:color w:val="auto"/>
              </w:rPr>
            </w:pPr>
            <w:r>
              <w:rPr>
                <w:rFonts w:ascii="Arial" w:cs="Arial" w:eastAsia="Arial" w:hAnsi="Arial"/>
                <w:sz w:val="18"/>
                <w:szCs w:val="18"/>
                <w:color w:val="auto"/>
              </w:rPr>
              <w:t>$0.31</w:t>
            </w:r>
          </w:p>
        </w:tc>
        <w:tc>
          <w:tcPr>
            <w:tcW w:w="320" w:type="dxa"/>
            <w:vAlign w:val="bottom"/>
            <w:shd w:val="clear" w:color="auto" w:fill="BFBFBF"/>
          </w:tcPr>
          <w:p>
            <w:pPr>
              <w:spacing w:after="0"/>
              <w:rPr>
                <w:sz w:val="19"/>
                <w:szCs w:val="19"/>
                <w:color w:val="auto"/>
              </w:rPr>
            </w:pPr>
          </w:p>
        </w:tc>
        <w:tc>
          <w:tcPr>
            <w:tcW w:w="340" w:type="dxa"/>
            <w:vAlign w:val="bottom"/>
            <w:shd w:val="clear" w:color="auto" w:fill="BFBFBF"/>
          </w:tcPr>
          <w:p>
            <w:pPr>
              <w:spacing w:after="0"/>
              <w:rPr>
                <w:sz w:val="19"/>
                <w:szCs w:val="19"/>
                <w:color w:val="auto"/>
              </w:rPr>
            </w:pPr>
          </w:p>
        </w:tc>
        <w:tc>
          <w:tcPr>
            <w:tcW w:w="1020" w:type="dxa"/>
            <w:vAlign w:val="bottom"/>
            <w:shd w:val="clear" w:color="auto" w:fill="BFBFBF"/>
          </w:tcPr>
          <w:p>
            <w:pPr>
              <w:jc w:val="right"/>
              <w:ind w:right="10"/>
              <w:spacing w:after="0"/>
              <w:rPr>
                <w:sz w:val="20"/>
                <w:szCs w:val="20"/>
                <w:color w:val="auto"/>
              </w:rPr>
            </w:pPr>
            <w:r>
              <w:rPr>
                <w:rFonts w:ascii="Arial" w:cs="Arial" w:eastAsia="Arial" w:hAnsi="Arial"/>
                <w:sz w:val="18"/>
                <w:szCs w:val="18"/>
                <w:color w:val="auto"/>
              </w:rPr>
              <w:t>$0.69</w:t>
            </w:r>
          </w:p>
        </w:tc>
      </w:tr>
      <w:tr>
        <w:trPr>
          <w:trHeight w:val="382"/>
        </w:trPr>
        <w:tc>
          <w:tcPr>
            <w:tcW w:w="1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Earnings(losses) per share attributable to Company</w:t>
            </w: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43"/>
        </w:trPr>
        <w:tc>
          <w:tcPr>
            <w:tcW w:w="1400" w:type="dxa"/>
            <w:vAlign w:val="bottom"/>
          </w:tcPr>
          <w:p>
            <w:pPr>
              <w:jc w:val="right"/>
              <w:spacing w:after="0"/>
              <w:rPr>
                <w:sz w:val="20"/>
                <w:szCs w:val="20"/>
                <w:color w:val="auto"/>
              </w:rPr>
            </w:pPr>
            <w:r>
              <w:rPr>
                <w:rFonts w:ascii="Arial" w:cs="Arial" w:eastAsia="Arial" w:hAnsi="Arial"/>
                <w:sz w:val="18"/>
                <w:szCs w:val="18"/>
                <w:color w:val="auto"/>
              </w:rPr>
              <w:t>($0.07)</w:t>
            </w: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$0.35</w:t>
            </w:r>
          </w:p>
        </w:tc>
        <w:tc>
          <w:tcPr>
            <w:tcW w:w="5240" w:type="dxa"/>
            <w:vAlign w:val="bottom"/>
          </w:tcPr>
          <w:p>
            <w:pPr>
              <w:ind w:left="420"/>
              <w:spacing w:after="0"/>
              <w:rPr>
                <w:sz w:val="20"/>
                <w:szCs w:val="20"/>
                <w:color w:val="auto"/>
              </w:rPr>
            </w:pPr>
            <w:r>
              <w:rPr>
                <w:rFonts w:ascii="Arial" w:cs="Arial" w:eastAsia="Arial" w:hAnsi="Arial"/>
                <w:sz w:val="18"/>
                <w:szCs w:val="18"/>
                <w:color w:val="auto"/>
              </w:rPr>
              <w:t>shareholders - Diluted</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$0.31</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$0.68</w:t>
            </w:r>
          </w:p>
        </w:tc>
      </w:tr>
      <w:tr>
        <w:trPr>
          <w:trHeight w:val="185"/>
        </w:trPr>
        <w:tc>
          <w:tcPr>
            <w:tcW w:w="1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0"/>
        </w:trPr>
        <w:tc>
          <w:tcPr>
            <w:tcW w:w="1400" w:type="dxa"/>
            <w:vAlign w:val="bottom"/>
            <w:shd w:val="clear" w:color="auto" w:fill="BFBFBF"/>
          </w:tcPr>
          <w:p>
            <w:pPr>
              <w:spacing w:after="0"/>
              <w:rPr>
                <w:sz w:val="15"/>
                <w:szCs w:val="15"/>
                <w:color w:val="auto"/>
              </w:rPr>
            </w:pPr>
          </w:p>
        </w:tc>
        <w:tc>
          <w:tcPr>
            <w:tcW w:w="360" w:type="dxa"/>
            <w:vAlign w:val="bottom"/>
            <w:shd w:val="clear" w:color="auto" w:fill="BFBFBF"/>
          </w:tcPr>
          <w:p>
            <w:pPr>
              <w:spacing w:after="0"/>
              <w:rPr>
                <w:sz w:val="15"/>
                <w:szCs w:val="15"/>
                <w:color w:val="auto"/>
              </w:rPr>
            </w:pPr>
          </w:p>
        </w:tc>
        <w:tc>
          <w:tcPr>
            <w:tcW w:w="320" w:type="dxa"/>
            <w:vAlign w:val="bottom"/>
            <w:shd w:val="clear" w:color="auto" w:fill="BFBFBF"/>
          </w:tcPr>
          <w:p>
            <w:pPr>
              <w:spacing w:after="0"/>
              <w:rPr>
                <w:sz w:val="15"/>
                <w:szCs w:val="15"/>
                <w:color w:val="auto"/>
              </w:rPr>
            </w:pPr>
          </w:p>
        </w:tc>
        <w:tc>
          <w:tcPr>
            <w:tcW w:w="1060" w:type="dxa"/>
            <w:vAlign w:val="bottom"/>
            <w:shd w:val="clear" w:color="auto" w:fill="BFBFBF"/>
          </w:tcPr>
          <w:p>
            <w:pPr>
              <w:spacing w:after="0"/>
              <w:rPr>
                <w:sz w:val="15"/>
                <w:szCs w:val="15"/>
                <w:color w:val="auto"/>
              </w:rPr>
            </w:pPr>
          </w:p>
        </w:tc>
        <w:tc>
          <w:tcPr>
            <w:tcW w:w="5240" w:type="dxa"/>
            <w:vAlign w:val="bottom"/>
            <w:shd w:val="clear" w:color="auto" w:fill="BFBFBF"/>
          </w:tcPr>
          <w:p>
            <w:pPr>
              <w:ind w:left="340"/>
              <w:spacing w:after="0" w:line="180" w:lineRule="exact"/>
              <w:rPr>
                <w:sz w:val="20"/>
                <w:szCs w:val="20"/>
                <w:color w:val="auto"/>
              </w:rPr>
            </w:pPr>
            <w:r>
              <w:rPr>
                <w:rFonts w:ascii="Arial" w:cs="Arial" w:eastAsia="Arial" w:hAnsi="Arial"/>
                <w:sz w:val="18"/>
                <w:szCs w:val="18"/>
                <w:color w:val="auto"/>
              </w:rPr>
              <w:t>Shares of the Company used in computing earnings per</w:t>
            </w:r>
          </w:p>
        </w:tc>
        <w:tc>
          <w:tcPr>
            <w:tcW w:w="1360" w:type="dxa"/>
            <w:vAlign w:val="bottom"/>
            <w:shd w:val="clear" w:color="auto" w:fill="BFBFBF"/>
          </w:tcPr>
          <w:p>
            <w:pPr>
              <w:spacing w:after="0"/>
              <w:rPr>
                <w:sz w:val="15"/>
                <w:szCs w:val="15"/>
                <w:color w:val="auto"/>
              </w:rPr>
            </w:pPr>
          </w:p>
        </w:tc>
        <w:tc>
          <w:tcPr>
            <w:tcW w:w="320" w:type="dxa"/>
            <w:vAlign w:val="bottom"/>
            <w:shd w:val="clear" w:color="auto" w:fill="BFBFBF"/>
          </w:tcPr>
          <w:p>
            <w:pPr>
              <w:spacing w:after="0"/>
              <w:rPr>
                <w:sz w:val="15"/>
                <w:szCs w:val="15"/>
                <w:color w:val="auto"/>
              </w:rPr>
            </w:pPr>
          </w:p>
        </w:tc>
        <w:tc>
          <w:tcPr>
            <w:tcW w:w="340" w:type="dxa"/>
            <w:vAlign w:val="bottom"/>
            <w:shd w:val="clear" w:color="auto" w:fill="BFBFBF"/>
          </w:tcPr>
          <w:p>
            <w:pPr>
              <w:spacing w:after="0"/>
              <w:rPr>
                <w:sz w:val="15"/>
                <w:szCs w:val="15"/>
                <w:color w:val="auto"/>
              </w:rPr>
            </w:pPr>
          </w:p>
        </w:tc>
        <w:tc>
          <w:tcPr>
            <w:tcW w:w="1020" w:type="dxa"/>
            <w:vAlign w:val="bottom"/>
            <w:shd w:val="clear" w:color="auto" w:fill="BFBFBF"/>
          </w:tcPr>
          <w:p>
            <w:pPr>
              <w:spacing w:after="0"/>
              <w:rPr>
                <w:sz w:val="15"/>
                <w:szCs w:val="15"/>
                <w:color w:val="auto"/>
              </w:rPr>
            </w:pPr>
          </w:p>
        </w:tc>
      </w:tr>
      <w:tr>
        <w:trPr>
          <w:trHeight w:val="225"/>
        </w:trPr>
        <w:tc>
          <w:tcPr>
            <w:tcW w:w="1400" w:type="dxa"/>
            <w:vAlign w:val="bottom"/>
            <w:shd w:val="clear" w:color="auto" w:fill="BFBFBF"/>
          </w:tcPr>
          <w:p>
            <w:pPr>
              <w:spacing w:after="0"/>
              <w:rPr>
                <w:sz w:val="19"/>
                <w:szCs w:val="19"/>
                <w:color w:val="auto"/>
              </w:rPr>
            </w:pPr>
          </w:p>
        </w:tc>
        <w:tc>
          <w:tcPr>
            <w:tcW w:w="360" w:type="dxa"/>
            <w:vAlign w:val="bottom"/>
            <w:shd w:val="clear" w:color="auto" w:fill="BFBFBF"/>
          </w:tcPr>
          <w:p>
            <w:pPr>
              <w:spacing w:after="0"/>
              <w:rPr>
                <w:sz w:val="19"/>
                <w:szCs w:val="19"/>
                <w:color w:val="auto"/>
              </w:rPr>
            </w:pPr>
          </w:p>
        </w:tc>
        <w:tc>
          <w:tcPr>
            <w:tcW w:w="320" w:type="dxa"/>
            <w:vAlign w:val="bottom"/>
            <w:shd w:val="clear" w:color="auto" w:fill="BFBFBF"/>
          </w:tcPr>
          <w:p>
            <w:pPr>
              <w:spacing w:after="0"/>
              <w:rPr>
                <w:sz w:val="19"/>
                <w:szCs w:val="19"/>
                <w:color w:val="auto"/>
              </w:rPr>
            </w:pPr>
          </w:p>
        </w:tc>
        <w:tc>
          <w:tcPr>
            <w:tcW w:w="1060" w:type="dxa"/>
            <w:vAlign w:val="bottom"/>
            <w:shd w:val="clear" w:color="auto" w:fill="BFBFBF"/>
          </w:tcPr>
          <w:p>
            <w:pPr>
              <w:spacing w:after="0"/>
              <w:rPr>
                <w:sz w:val="19"/>
                <w:szCs w:val="19"/>
                <w:color w:val="auto"/>
              </w:rPr>
            </w:pPr>
          </w:p>
        </w:tc>
        <w:tc>
          <w:tcPr>
            <w:tcW w:w="5240" w:type="dxa"/>
            <w:vAlign w:val="bottom"/>
            <w:shd w:val="clear" w:color="auto" w:fill="BFBFBF"/>
          </w:tcPr>
          <w:p>
            <w:pPr>
              <w:ind w:left="420"/>
              <w:spacing w:after="0"/>
              <w:rPr>
                <w:sz w:val="20"/>
                <w:szCs w:val="20"/>
                <w:color w:val="auto"/>
              </w:rPr>
            </w:pPr>
            <w:r>
              <w:rPr>
                <w:rFonts w:ascii="Arial" w:cs="Arial" w:eastAsia="Arial" w:hAnsi="Arial"/>
                <w:sz w:val="18"/>
                <w:szCs w:val="18"/>
                <w:color w:val="auto"/>
              </w:rPr>
              <w:t>share:</w:t>
            </w:r>
          </w:p>
        </w:tc>
        <w:tc>
          <w:tcPr>
            <w:tcW w:w="1360" w:type="dxa"/>
            <w:vAlign w:val="bottom"/>
            <w:shd w:val="clear" w:color="auto" w:fill="BFBFBF"/>
          </w:tcPr>
          <w:p>
            <w:pPr>
              <w:spacing w:after="0"/>
              <w:rPr>
                <w:sz w:val="19"/>
                <w:szCs w:val="19"/>
                <w:color w:val="auto"/>
              </w:rPr>
            </w:pPr>
          </w:p>
        </w:tc>
        <w:tc>
          <w:tcPr>
            <w:tcW w:w="320" w:type="dxa"/>
            <w:vAlign w:val="bottom"/>
            <w:shd w:val="clear" w:color="auto" w:fill="BFBFBF"/>
          </w:tcPr>
          <w:p>
            <w:pPr>
              <w:spacing w:after="0"/>
              <w:rPr>
                <w:sz w:val="19"/>
                <w:szCs w:val="19"/>
                <w:color w:val="auto"/>
              </w:rPr>
            </w:pPr>
          </w:p>
        </w:tc>
        <w:tc>
          <w:tcPr>
            <w:tcW w:w="340" w:type="dxa"/>
            <w:vAlign w:val="bottom"/>
            <w:shd w:val="clear" w:color="auto" w:fill="BFBFBF"/>
          </w:tcPr>
          <w:p>
            <w:pPr>
              <w:spacing w:after="0"/>
              <w:rPr>
                <w:sz w:val="19"/>
                <w:szCs w:val="19"/>
                <w:color w:val="auto"/>
              </w:rPr>
            </w:pPr>
          </w:p>
        </w:tc>
        <w:tc>
          <w:tcPr>
            <w:tcW w:w="1020" w:type="dxa"/>
            <w:vAlign w:val="bottom"/>
            <w:shd w:val="clear" w:color="auto" w:fill="BFBFBF"/>
          </w:tcPr>
          <w:p>
            <w:pPr>
              <w:spacing w:after="0"/>
              <w:rPr>
                <w:sz w:val="19"/>
                <w:szCs w:val="19"/>
                <w:color w:val="auto"/>
              </w:rPr>
            </w:pPr>
          </w:p>
        </w:tc>
      </w:tr>
      <w:tr>
        <w:trPr>
          <w:trHeight w:val="203"/>
        </w:trPr>
        <w:tc>
          <w:tcPr>
            <w:tcW w:w="14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31,999</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31,832</w:t>
            </w:r>
          </w:p>
        </w:tc>
        <w:tc>
          <w:tcPr>
            <w:tcW w:w="5240" w:type="dxa"/>
            <w:vAlign w:val="bottom"/>
          </w:tcPr>
          <w:p>
            <w:pPr>
              <w:ind w:left="440"/>
              <w:spacing w:after="0" w:line="202" w:lineRule="exact"/>
              <w:rPr>
                <w:sz w:val="20"/>
                <w:szCs w:val="20"/>
                <w:color w:val="auto"/>
              </w:rPr>
            </w:pPr>
            <w:r>
              <w:rPr>
                <w:rFonts w:ascii="Arial" w:cs="Arial" w:eastAsia="Arial" w:hAnsi="Arial"/>
                <w:sz w:val="18"/>
                <w:szCs w:val="18"/>
                <w:color w:val="auto"/>
              </w:rPr>
              <w:t>Basic</w:t>
            </w:r>
          </w:p>
        </w:tc>
        <w:tc>
          <w:tcPr>
            <w:tcW w:w="13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31,941</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31,809</w:t>
            </w:r>
          </w:p>
        </w:tc>
      </w:tr>
      <w:tr>
        <w:trPr>
          <w:trHeight w:val="203"/>
        </w:trPr>
        <w:tc>
          <w:tcPr>
            <w:tcW w:w="140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31,999</w:t>
            </w:r>
          </w:p>
        </w:tc>
        <w:tc>
          <w:tcPr>
            <w:tcW w:w="360" w:type="dxa"/>
            <w:vAlign w:val="bottom"/>
            <w:shd w:val="clear" w:color="auto" w:fill="BFBFBF"/>
          </w:tcPr>
          <w:p>
            <w:pPr>
              <w:spacing w:after="0"/>
              <w:rPr>
                <w:sz w:val="17"/>
                <w:szCs w:val="17"/>
                <w:color w:val="auto"/>
              </w:rPr>
            </w:pPr>
          </w:p>
        </w:tc>
        <w:tc>
          <w:tcPr>
            <w:tcW w:w="320" w:type="dxa"/>
            <w:vAlign w:val="bottom"/>
            <w:shd w:val="clear" w:color="auto" w:fill="BFBFBF"/>
          </w:tcPr>
          <w:p>
            <w:pPr>
              <w:spacing w:after="0"/>
              <w:rPr>
                <w:sz w:val="17"/>
                <w:szCs w:val="17"/>
                <w:color w:val="auto"/>
              </w:rPr>
            </w:pPr>
          </w:p>
        </w:tc>
        <w:tc>
          <w:tcPr>
            <w:tcW w:w="106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31,935</w:t>
            </w:r>
          </w:p>
        </w:tc>
        <w:tc>
          <w:tcPr>
            <w:tcW w:w="5240" w:type="dxa"/>
            <w:vAlign w:val="bottom"/>
            <w:shd w:val="clear" w:color="auto" w:fill="BFBFBF"/>
          </w:tcPr>
          <w:p>
            <w:pPr>
              <w:ind w:left="440"/>
              <w:spacing w:after="0" w:line="202" w:lineRule="exact"/>
              <w:rPr>
                <w:sz w:val="20"/>
                <w:szCs w:val="20"/>
                <w:color w:val="auto"/>
              </w:rPr>
            </w:pPr>
            <w:r>
              <w:rPr>
                <w:rFonts w:ascii="Arial" w:cs="Arial" w:eastAsia="Arial" w:hAnsi="Arial"/>
                <w:sz w:val="18"/>
                <w:szCs w:val="18"/>
                <w:color w:val="auto"/>
              </w:rPr>
              <w:t>Diluted</w:t>
            </w:r>
          </w:p>
        </w:tc>
        <w:tc>
          <w:tcPr>
            <w:tcW w:w="136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32,015</w:t>
            </w:r>
          </w:p>
        </w:tc>
        <w:tc>
          <w:tcPr>
            <w:tcW w:w="320" w:type="dxa"/>
            <w:vAlign w:val="bottom"/>
            <w:shd w:val="clear" w:color="auto" w:fill="BFBFBF"/>
          </w:tcPr>
          <w:p>
            <w:pPr>
              <w:spacing w:after="0"/>
              <w:rPr>
                <w:sz w:val="17"/>
                <w:szCs w:val="17"/>
                <w:color w:val="auto"/>
              </w:rPr>
            </w:pPr>
          </w:p>
        </w:tc>
        <w:tc>
          <w:tcPr>
            <w:tcW w:w="340" w:type="dxa"/>
            <w:vAlign w:val="bottom"/>
            <w:shd w:val="clear" w:color="auto" w:fill="BFBFBF"/>
          </w:tcPr>
          <w:p>
            <w:pPr>
              <w:spacing w:after="0"/>
              <w:rPr>
                <w:sz w:val="17"/>
                <w:szCs w:val="17"/>
                <w:color w:val="auto"/>
              </w:rPr>
            </w:pPr>
          </w:p>
        </w:tc>
        <w:tc>
          <w:tcPr>
            <w:tcW w:w="102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31,913</w:t>
            </w:r>
          </w:p>
        </w:tc>
      </w:tr>
      <w:tr>
        <w:trPr>
          <w:trHeight w:val="203"/>
        </w:trPr>
        <w:tc>
          <w:tcPr>
            <w:tcW w:w="1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140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$0.17</w:t>
            </w:r>
          </w:p>
        </w:tc>
        <w:tc>
          <w:tcPr>
            <w:tcW w:w="360" w:type="dxa"/>
            <w:vAlign w:val="bottom"/>
            <w:shd w:val="clear" w:color="auto" w:fill="BFBFBF"/>
          </w:tcPr>
          <w:p>
            <w:pPr>
              <w:spacing w:after="0"/>
              <w:rPr>
                <w:sz w:val="17"/>
                <w:szCs w:val="17"/>
                <w:color w:val="auto"/>
              </w:rPr>
            </w:pPr>
          </w:p>
        </w:tc>
        <w:tc>
          <w:tcPr>
            <w:tcW w:w="320" w:type="dxa"/>
            <w:vAlign w:val="bottom"/>
            <w:shd w:val="clear" w:color="auto" w:fill="BFBFBF"/>
          </w:tcPr>
          <w:p>
            <w:pPr>
              <w:spacing w:after="0"/>
              <w:rPr>
                <w:sz w:val="17"/>
                <w:szCs w:val="17"/>
                <w:color w:val="auto"/>
              </w:rPr>
            </w:pPr>
          </w:p>
        </w:tc>
        <w:tc>
          <w:tcPr>
            <w:tcW w:w="106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$0.16</w:t>
            </w:r>
          </w:p>
        </w:tc>
        <w:tc>
          <w:tcPr>
            <w:tcW w:w="5240" w:type="dxa"/>
            <w:vAlign w:val="bottom"/>
            <w:shd w:val="clear" w:color="auto" w:fill="BFBFBF"/>
          </w:tcPr>
          <w:p>
            <w:pPr>
              <w:ind w:left="340"/>
              <w:spacing w:after="0" w:line="202" w:lineRule="exact"/>
              <w:rPr>
                <w:sz w:val="20"/>
                <w:szCs w:val="20"/>
                <w:color w:val="auto"/>
              </w:rPr>
            </w:pPr>
            <w:r>
              <w:rPr>
                <w:rFonts w:ascii="Arial" w:cs="Arial" w:eastAsia="Arial" w:hAnsi="Arial"/>
                <w:sz w:val="18"/>
                <w:szCs w:val="18"/>
                <w:color w:val="auto"/>
              </w:rPr>
              <w:t>Dividends per share</w:t>
            </w:r>
          </w:p>
        </w:tc>
        <w:tc>
          <w:tcPr>
            <w:tcW w:w="136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$0.33</w:t>
            </w:r>
          </w:p>
        </w:tc>
        <w:tc>
          <w:tcPr>
            <w:tcW w:w="320" w:type="dxa"/>
            <w:vAlign w:val="bottom"/>
            <w:shd w:val="clear" w:color="auto" w:fill="BFBFBF"/>
          </w:tcPr>
          <w:p>
            <w:pPr>
              <w:spacing w:after="0"/>
              <w:rPr>
                <w:sz w:val="17"/>
                <w:szCs w:val="17"/>
                <w:color w:val="auto"/>
              </w:rPr>
            </w:pPr>
          </w:p>
        </w:tc>
        <w:tc>
          <w:tcPr>
            <w:tcW w:w="340" w:type="dxa"/>
            <w:vAlign w:val="bottom"/>
            <w:shd w:val="clear" w:color="auto" w:fill="BFBFBF"/>
          </w:tcPr>
          <w:p>
            <w:pPr>
              <w:spacing w:after="0"/>
              <w:rPr>
                <w:sz w:val="17"/>
                <w:szCs w:val="17"/>
                <w:color w:val="auto"/>
              </w:rPr>
            </w:pPr>
          </w:p>
        </w:tc>
        <w:tc>
          <w:tcPr>
            <w:tcW w:w="102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$0.31</w:t>
            </w:r>
          </w:p>
        </w:tc>
      </w:tr>
    </w:tbl>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846"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ALBANY INTERNATIONAL CORP.</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COMPREHENSIVE INCOME/(LOSS)</w:t>
      </w:r>
    </w:p>
    <w:p>
      <w:pPr>
        <w:jc w:val="center"/>
        <w:spacing w:after="0" w:line="234" w:lineRule="auto"/>
        <w:rPr>
          <w:sz w:val="20"/>
          <w:szCs w:val="20"/>
          <w:color w:val="auto"/>
        </w:rPr>
      </w:pPr>
      <w:r>
        <w:rPr>
          <w:rFonts w:ascii="Arial" w:cs="Arial" w:eastAsia="Arial" w:hAnsi="Arial"/>
          <w:sz w:val="18"/>
          <w:szCs w:val="18"/>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40" w:type="dxa"/>
            <w:vAlign w:val="bottom"/>
            <w:gridSpan w:val="4"/>
          </w:tcPr>
          <w:p>
            <w:pPr>
              <w:jc w:val="center"/>
              <w:spacing w:after="0"/>
              <w:rPr>
                <w:sz w:val="20"/>
                <w:szCs w:val="20"/>
                <w:color w:val="auto"/>
              </w:rPr>
            </w:pPr>
            <w:r>
              <w:rPr>
                <w:rFonts w:ascii="Arial" w:cs="Arial" w:eastAsia="Arial" w:hAnsi="Arial"/>
                <w:sz w:val="18"/>
                <w:szCs w:val="18"/>
                <w:color w:val="auto"/>
                <w:w w:val="99"/>
              </w:rPr>
              <w:t>Three Months Ended</w:t>
            </w:r>
          </w:p>
        </w:tc>
        <w:tc>
          <w:tcPr>
            <w:tcW w:w="5240" w:type="dxa"/>
            <w:vAlign w:val="bottom"/>
          </w:tcPr>
          <w:p>
            <w:pPr>
              <w:spacing w:after="0"/>
              <w:rPr>
                <w:sz w:val="17"/>
                <w:szCs w:val="17"/>
                <w:color w:val="auto"/>
              </w:rPr>
            </w:pPr>
          </w:p>
        </w:tc>
        <w:tc>
          <w:tcPr>
            <w:tcW w:w="3040" w:type="dxa"/>
            <w:vAlign w:val="bottom"/>
            <w:gridSpan w:val="4"/>
          </w:tcPr>
          <w:p>
            <w:pPr>
              <w:jc w:val="center"/>
              <w:spacing w:after="0"/>
              <w:rPr>
                <w:sz w:val="20"/>
                <w:szCs w:val="20"/>
                <w:color w:val="auto"/>
              </w:rPr>
            </w:pPr>
            <w:r>
              <w:rPr>
                <w:rFonts w:ascii="Arial" w:cs="Arial" w:eastAsia="Arial" w:hAnsi="Arial"/>
                <w:sz w:val="18"/>
                <w:szCs w:val="18"/>
                <w:color w:val="auto"/>
                <w:w w:val="99"/>
              </w:rPr>
              <w:t>Six Months Ended</w:t>
            </w:r>
          </w:p>
        </w:tc>
        <w:tc>
          <w:tcPr>
            <w:tcW w:w="0" w:type="dxa"/>
            <w:vAlign w:val="bottom"/>
          </w:tcPr>
          <w:p>
            <w:pPr>
              <w:spacing w:after="0"/>
              <w:rPr>
                <w:sz w:val="1"/>
                <w:szCs w:val="1"/>
                <w:color w:val="auto"/>
              </w:rPr>
            </w:pPr>
          </w:p>
        </w:tc>
      </w:tr>
      <w:tr>
        <w:trPr>
          <w:trHeight w:val="243"/>
        </w:trPr>
        <w:tc>
          <w:tcPr>
            <w:tcW w:w="2080" w:type="dxa"/>
            <w:vAlign w:val="bottom"/>
            <w:gridSpan w:val="3"/>
          </w:tcPr>
          <w:p>
            <w:pPr>
              <w:jc w:val="center"/>
              <w:ind w:left="970"/>
              <w:spacing w:after="0"/>
              <w:rPr>
                <w:sz w:val="20"/>
                <w:szCs w:val="20"/>
                <w:color w:val="auto"/>
              </w:rPr>
            </w:pPr>
            <w:r>
              <w:rPr>
                <w:rFonts w:ascii="Arial" w:cs="Arial" w:eastAsia="Arial" w:hAnsi="Arial"/>
                <w:sz w:val="18"/>
                <w:szCs w:val="18"/>
                <w:color w:val="auto"/>
              </w:rPr>
              <w:t>June 30,</w:t>
            </w:r>
          </w:p>
        </w:tc>
        <w:tc>
          <w:tcPr>
            <w:tcW w:w="1060" w:type="dxa"/>
            <w:vAlign w:val="bottom"/>
          </w:tcPr>
          <w:p>
            <w:pPr>
              <w:spacing w:after="0"/>
              <w:rPr>
                <w:sz w:val="21"/>
                <w:szCs w:val="21"/>
                <w:color w:val="auto"/>
              </w:rPr>
            </w:pPr>
          </w:p>
        </w:tc>
        <w:tc>
          <w:tcPr>
            <w:tcW w:w="5240" w:type="dxa"/>
            <w:vAlign w:val="bottom"/>
          </w:tcPr>
          <w:p>
            <w:pPr>
              <w:spacing w:after="0"/>
              <w:rPr>
                <w:sz w:val="21"/>
                <w:szCs w:val="21"/>
                <w:color w:val="auto"/>
              </w:rPr>
            </w:pPr>
          </w:p>
        </w:tc>
        <w:tc>
          <w:tcPr>
            <w:tcW w:w="2020" w:type="dxa"/>
            <w:vAlign w:val="bottom"/>
            <w:gridSpan w:val="3"/>
          </w:tcPr>
          <w:p>
            <w:pPr>
              <w:jc w:val="center"/>
              <w:ind w:left="930"/>
              <w:spacing w:after="0"/>
              <w:rPr>
                <w:sz w:val="20"/>
                <w:szCs w:val="20"/>
                <w:color w:val="auto"/>
              </w:rPr>
            </w:pPr>
            <w:r>
              <w:rPr>
                <w:rFonts w:ascii="Arial" w:cs="Arial" w:eastAsia="Arial" w:hAnsi="Arial"/>
                <w:sz w:val="18"/>
                <w:szCs w:val="18"/>
                <w:color w:val="auto"/>
                <w:w w:val="98"/>
              </w:rPr>
              <w:t>June 30,</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1"/>
        </w:trPr>
        <w:tc>
          <w:tcPr>
            <w:tcW w:w="14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2015</w:t>
            </w:r>
          </w:p>
        </w:tc>
        <w:tc>
          <w:tcPr>
            <w:tcW w:w="3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2014</w:t>
            </w:r>
          </w:p>
        </w:tc>
        <w:tc>
          <w:tcPr>
            <w:tcW w:w="5240" w:type="dxa"/>
            <w:vAlign w:val="bottom"/>
          </w:tcPr>
          <w:p>
            <w:pPr>
              <w:spacing w:after="0"/>
              <w:rPr>
                <w:sz w:val="24"/>
                <w:szCs w:val="24"/>
                <w:color w:val="auto"/>
              </w:rPr>
            </w:pPr>
          </w:p>
        </w:tc>
        <w:tc>
          <w:tcPr>
            <w:tcW w:w="13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2015</w:t>
            </w:r>
          </w:p>
        </w:tc>
        <w:tc>
          <w:tcPr>
            <w:tcW w:w="3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196"/>
        </w:trPr>
        <w:tc>
          <w:tcPr>
            <w:tcW w:w="1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color w:val="auto"/>
              </w:rPr>
              <w:t>($2,120)</w:t>
            </w:r>
          </w:p>
        </w:tc>
        <w:tc>
          <w:tcPr>
            <w:tcW w:w="360" w:type="dxa"/>
            <w:vAlign w:val="bottom"/>
            <w:shd w:val="clear" w:color="auto" w:fill="C0C0C0"/>
          </w:tcPr>
          <w:p>
            <w:pPr>
              <w:spacing w:after="0"/>
              <w:rPr>
                <w:sz w:val="17"/>
                <w:szCs w:val="17"/>
                <w:color w:val="auto"/>
              </w:rPr>
            </w:pPr>
          </w:p>
        </w:tc>
        <w:tc>
          <w:tcPr>
            <w:tcW w:w="320" w:type="dxa"/>
            <w:vAlign w:val="bottom"/>
            <w:shd w:val="clear" w:color="auto" w:fill="C0C0C0"/>
          </w:tcPr>
          <w:p>
            <w:pPr>
              <w:spacing w:after="0"/>
              <w:rPr>
                <w:sz w:val="17"/>
                <w:szCs w:val="17"/>
                <w:color w:val="auto"/>
              </w:rPr>
            </w:pPr>
          </w:p>
        </w:tc>
        <w:tc>
          <w:tcPr>
            <w:tcW w:w="1060" w:type="dxa"/>
            <w:vAlign w:val="bottom"/>
            <w:shd w:val="clear" w:color="auto" w:fill="C0C0C0"/>
          </w:tcPr>
          <w:p>
            <w:pPr>
              <w:jc w:val="right"/>
              <w:ind w:right="30"/>
              <w:spacing w:after="0" w:line="202" w:lineRule="exact"/>
              <w:rPr>
                <w:sz w:val="20"/>
                <w:szCs w:val="20"/>
                <w:color w:val="auto"/>
              </w:rPr>
            </w:pPr>
            <w:r>
              <w:rPr>
                <w:rFonts w:ascii="Arial" w:cs="Arial" w:eastAsia="Arial" w:hAnsi="Arial"/>
                <w:sz w:val="18"/>
                <w:szCs w:val="18"/>
                <w:color w:val="auto"/>
              </w:rPr>
              <w:t>$11,177</w:t>
            </w:r>
          </w:p>
        </w:tc>
        <w:tc>
          <w:tcPr>
            <w:tcW w:w="5240" w:type="dxa"/>
            <w:vAlign w:val="bottom"/>
            <w:shd w:val="clear" w:color="auto" w:fill="C0C0C0"/>
          </w:tcPr>
          <w:p>
            <w:pPr>
              <w:ind w:left="340"/>
              <w:spacing w:after="0" w:line="202" w:lineRule="exact"/>
              <w:rPr>
                <w:sz w:val="20"/>
                <w:szCs w:val="20"/>
                <w:color w:val="auto"/>
              </w:rPr>
            </w:pPr>
            <w:r>
              <w:rPr>
                <w:rFonts w:ascii="Arial" w:cs="Arial" w:eastAsia="Arial" w:hAnsi="Arial"/>
                <w:sz w:val="18"/>
                <w:szCs w:val="18"/>
                <w:color w:val="auto"/>
              </w:rPr>
              <w:t>Net income/(loss)</w:t>
            </w:r>
          </w:p>
        </w:tc>
        <w:tc>
          <w:tcPr>
            <w:tcW w:w="1360" w:type="dxa"/>
            <w:vAlign w:val="bottom"/>
            <w:shd w:val="clear" w:color="auto" w:fill="C0C0C0"/>
          </w:tcPr>
          <w:p>
            <w:pPr>
              <w:jc w:val="right"/>
              <w:ind w:right="30"/>
              <w:spacing w:after="0" w:line="202" w:lineRule="exact"/>
              <w:rPr>
                <w:sz w:val="20"/>
                <w:szCs w:val="20"/>
                <w:color w:val="auto"/>
              </w:rPr>
            </w:pPr>
            <w:r>
              <w:rPr>
                <w:rFonts w:ascii="Arial" w:cs="Arial" w:eastAsia="Arial" w:hAnsi="Arial"/>
                <w:sz w:val="18"/>
                <w:szCs w:val="18"/>
                <w:color w:val="auto"/>
              </w:rPr>
              <w:t>$10,119</w:t>
            </w:r>
          </w:p>
        </w:tc>
        <w:tc>
          <w:tcPr>
            <w:tcW w:w="320" w:type="dxa"/>
            <w:vAlign w:val="bottom"/>
            <w:shd w:val="clear" w:color="auto" w:fill="C0C0C0"/>
          </w:tcPr>
          <w:p>
            <w:pPr>
              <w:spacing w:after="0"/>
              <w:rPr>
                <w:sz w:val="17"/>
                <w:szCs w:val="17"/>
                <w:color w:val="auto"/>
              </w:rPr>
            </w:pPr>
          </w:p>
        </w:tc>
        <w:tc>
          <w:tcPr>
            <w:tcW w:w="340" w:type="dxa"/>
            <w:vAlign w:val="bottom"/>
            <w:shd w:val="clear" w:color="auto" w:fill="C0C0C0"/>
          </w:tcPr>
          <w:p>
            <w:pPr>
              <w:spacing w:after="0"/>
              <w:rPr>
                <w:sz w:val="17"/>
                <w:szCs w:val="17"/>
                <w:color w:val="auto"/>
              </w:rPr>
            </w:pPr>
          </w:p>
        </w:tc>
        <w:tc>
          <w:tcPr>
            <w:tcW w:w="1020" w:type="dxa"/>
            <w:vAlign w:val="bottom"/>
            <w:shd w:val="clear" w:color="auto" w:fill="C0C0C0"/>
          </w:tcPr>
          <w:p>
            <w:pPr>
              <w:jc w:val="right"/>
              <w:ind w:right="10"/>
              <w:spacing w:after="0" w:line="202" w:lineRule="exact"/>
              <w:rPr>
                <w:sz w:val="20"/>
                <w:szCs w:val="20"/>
                <w:color w:val="auto"/>
              </w:rPr>
            </w:pPr>
            <w:r>
              <w:rPr>
                <w:rFonts w:ascii="Arial" w:cs="Arial" w:eastAsia="Arial" w:hAnsi="Arial"/>
                <w:sz w:val="18"/>
                <w:szCs w:val="18"/>
                <w:color w:val="auto"/>
              </w:rPr>
              <w:t>$21,870</w:t>
            </w: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Other comprehensive income/(loss), before tax:</w:t>
            </w: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40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10,785</w:t>
            </w:r>
          </w:p>
        </w:tc>
        <w:tc>
          <w:tcPr>
            <w:tcW w:w="360" w:type="dxa"/>
            <w:vAlign w:val="bottom"/>
            <w:shd w:val="clear" w:color="auto" w:fill="BFBFBF"/>
          </w:tcPr>
          <w:p>
            <w:pPr>
              <w:spacing w:after="0"/>
              <w:rPr>
                <w:sz w:val="17"/>
                <w:szCs w:val="17"/>
                <w:color w:val="auto"/>
              </w:rPr>
            </w:pPr>
          </w:p>
        </w:tc>
        <w:tc>
          <w:tcPr>
            <w:tcW w:w="320" w:type="dxa"/>
            <w:vAlign w:val="bottom"/>
            <w:shd w:val="clear" w:color="auto" w:fill="BFBFBF"/>
          </w:tcPr>
          <w:p>
            <w:pPr>
              <w:spacing w:after="0"/>
              <w:rPr>
                <w:sz w:val="17"/>
                <w:szCs w:val="17"/>
                <w:color w:val="auto"/>
              </w:rPr>
            </w:pPr>
          </w:p>
        </w:tc>
        <w:tc>
          <w:tcPr>
            <w:tcW w:w="106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3,289</w:t>
            </w:r>
          </w:p>
        </w:tc>
        <w:tc>
          <w:tcPr>
            <w:tcW w:w="5240" w:type="dxa"/>
            <w:vAlign w:val="bottom"/>
            <w:shd w:val="clear" w:color="auto" w:fill="BFBFBF"/>
          </w:tcPr>
          <w:p>
            <w:pPr>
              <w:ind w:left="460"/>
              <w:spacing w:after="0" w:line="202" w:lineRule="exact"/>
              <w:rPr>
                <w:sz w:val="20"/>
                <w:szCs w:val="20"/>
                <w:color w:val="auto"/>
              </w:rPr>
            </w:pPr>
            <w:r>
              <w:rPr>
                <w:rFonts w:ascii="Arial" w:cs="Arial" w:eastAsia="Arial" w:hAnsi="Arial"/>
                <w:sz w:val="18"/>
                <w:szCs w:val="18"/>
                <w:color w:val="auto"/>
              </w:rPr>
              <w:t>Foreign currency translation adjustments</w:t>
            </w:r>
          </w:p>
        </w:tc>
        <w:tc>
          <w:tcPr>
            <w:tcW w:w="13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(24,898)</w:t>
            </w:r>
          </w:p>
        </w:tc>
        <w:tc>
          <w:tcPr>
            <w:tcW w:w="320" w:type="dxa"/>
            <w:vAlign w:val="bottom"/>
            <w:shd w:val="clear" w:color="auto" w:fill="BFBFBF"/>
          </w:tcPr>
          <w:p>
            <w:pPr>
              <w:spacing w:after="0"/>
              <w:rPr>
                <w:sz w:val="17"/>
                <w:szCs w:val="17"/>
                <w:color w:val="auto"/>
              </w:rPr>
            </w:pPr>
          </w:p>
        </w:tc>
        <w:tc>
          <w:tcPr>
            <w:tcW w:w="340" w:type="dxa"/>
            <w:vAlign w:val="bottom"/>
            <w:shd w:val="clear" w:color="auto" w:fill="BFBFBF"/>
          </w:tcPr>
          <w:p>
            <w:pPr>
              <w:spacing w:after="0"/>
              <w:rPr>
                <w:sz w:val="17"/>
                <w:szCs w:val="17"/>
                <w:color w:val="auto"/>
              </w:rPr>
            </w:pPr>
          </w:p>
        </w:tc>
        <w:tc>
          <w:tcPr>
            <w:tcW w:w="102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(1,940)</w:t>
            </w:r>
          </w:p>
        </w:tc>
        <w:tc>
          <w:tcPr>
            <w:tcW w:w="0" w:type="dxa"/>
            <w:vAlign w:val="bottom"/>
          </w:tcPr>
          <w:p>
            <w:pPr>
              <w:spacing w:after="0"/>
              <w:rPr>
                <w:sz w:val="1"/>
                <w:szCs w:val="1"/>
                <w:color w:val="auto"/>
              </w:rPr>
            </w:pPr>
          </w:p>
        </w:tc>
      </w:tr>
      <w:tr>
        <w:trPr>
          <w:trHeight w:val="203"/>
        </w:trPr>
        <w:tc>
          <w:tcPr>
            <w:tcW w:w="1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40" w:type="dxa"/>
            <w:vAlign w:val="bottom"/>
          </w:tcPr>
          <w:p>
            <w:pPr>
              <w:ind w:left="460"/>
              <w:spacing w:after="0" w:line="202" w:lineRule="exact"/>
              <w:rPr>
                <w:sz w:val="20"/>
                <w:szCs w:val="20"/>
                <w:color w:val="auto"/>
              </w:rPr>
            </w:pPr>
            <w:r>
              <w:rPr>
                <w:rFonts w:ascii="Arial" w:cs="Arial" w:eastAsia="Arial" w:hAnsi="Arial"/>
                <w:sz w:val="18"/>
                <w:szCs w:val="18"/>
                <w:color w:val="auto"/>
              </w:rPr>
              <w:t>Amortization of pension liability adjustments:</w:t>
            </w: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(1,111)</w:t>
            </w:r>
          </w:p>
        </w:tc>
        <w:tc>
          <w:tcPr>
            <w:tcW w:w="360" w:type="dxa"/>
            <w:vAlign w:val="bottom"/>
            <w:shd w:val="clear" w:color="auto" w:fill="BFBFBF"/>
          </w:tcPr>
          <w:p>
            <w:pPr>
              <w:spacing w:after="0"/>
              <w:rPr>
                <w:sz w:val="17"/>
                <w:szCs w:val="17"/>
                <w:color w:val="auto"/>
              </w:rPr>
            </w:pPr>
          </w:p>
        </w:tc>
        <w:tc>
          <w:tcPr>
            <w:tcW w:w="320" w:type="dxa"/>
            <w:vAlign w:val="bottom"/>
            <w:shd w:val="clear" w:color="auto" w:fill="BFBFBF"/>
          </w:tcPr>
          <w:p>
            <w:pPr>
              <w:spacing w:after="0"/>
              <w:rPr>
                <w:sz w:val="17"/>
                <w:szCs w:val="17"/>
                <w:color w:val="auto"/>
              </w:rPr>
            </w:pPr>
          </w:p>
        </w:tc>
        <w:tc>
          <w:tcPr>
            <w:tcW w:w="10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(1,108)</w:t>
            </w:r>
          </w:p>
        </w:tc>
        <w:tc>
          <w:tcPr>
            <w:tcW w:w="5240" w:type="dxa"/>
            <w:vAlign w:val="bottom"/>
            <w:shd w:val="clear" w:color="auto" w:fill="BFBFBF"/>
          </w:tcPr>
          <w:p>
            <w:pPr>
              <w:ind w:left="620"/>
              <w:spacing w:after="0" w:line="202" w:lineRule="exact"/>
              <w:rPr>
                <w:sz w:val="20"/>
                <w:szCs w:val="20"/>
                <w:color w:val="auto"/>
              </w:rPr>
            </w:pPr>
            <w:r>
              <w:rPr>
                <w:rFonts w:ascii="Arial" w:cs="Arial" w:eastAsia="Arial" w:hAnsi="Arial"/>
                <w:sz w:val="18"/>
                <w:szCs w:val="18"/>
                <w:color w:val="auto"/>
              </w:rPr>
              <w:t>Prior service credit</w:t>
            </w:r>
          </w:p>
        </w:tc>
        <w:tc>
          <w:tcPr>
            <w:tcW w:w="13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(2,220)</w:t>
            </w:r>
          </w:p>
        </w:tc>
        <w:tc>
          <w:tcPr>
            <w:tcW w:w="320" w:type="dxa"/>
            <w:vAlign w:val="bottom"/>
            <w:shd w:val="clear" w:color="auto" w:fill="BFBFBF"/>
          </w:tcPr>
          <w:p>
            <w:pPr>
              <w:spacing w:after="0"/>
              <w:rPr>
                <w:sz w:val="17"/>
                <w:szCs w:val="17"/>
                <w:color w:val="auto"/>
              </w:rPr>
            </w:pPr>
          </w:p>
        </w:tc>
        <w:tc>
          <w:tcPr>
            <w:tcW w:w="340" w:type="dxa"/>
            <w:vAlign w:val="bottom"/>
            <w:shd w:val="clear" w:color="auto" w:fill="BFBFBF"/>
          </w:tcPr>
          <w:p>
            <w:pPr>
              <w:spacing w:after="0"/>
              <w:rPr>
                <w:sz w:val="17"/>
                <w:szCs w:val="17"/>
                <w:color w:val="auto"/>
              </w:rPr>
            </w:pPr>
          </w:p>
        </w:tc>
        <w:tc>
          <w:tcPr>
            <w:tcW w:w="102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(2,217)</w:t>
            </w:r>
          </w:p>
        </w:tc>
        <w:tc>
          <w:tcPr>
            <w:tcW w:w="0" w:type="dxa"/>
            <w:vAlign w:val="bottom"/>
          </w:tcPr>
          <w:p>
            <w:pPr>
              <w:spacing w:after="0"/>
              <w:rPr>
                <w:sz w:val="1"/>
                <w:szCs w:val="1"/>
                <w:color w:val="auto"/>
              </w:rPr>
            </w:pPr>
          </w:p>
        </w:tc>
      </w:tr>
      <w:tr>
        <w:trPr>
          <w:trHeight w:val="203"/>
        </w:trPr>
        <w:tc>
          <w:tcPr>
            <w:tcW w:w="14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1,461</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1,355</w:t>
            </w:r>
          </w:p>
        </w:tc>
        <w:tc>
          <w:tcPr>
            <w:tcW w:w="5240" w:type="dxa"/>
            <w:vAlign w:val="bottom"/>
          </w:tcPr>
          <w:p>
            <w:pPr>
              <w:ind w:left="620"/>
              <w:spacing w:after="0" w:line="202" w:lineRule="exact"/>
              <w:rPr>
                <w:sz w:val="20"/>
                <w:szCs w:val="20"/>
                <w:color w:val="auto"/>
              </w:rPr>
            </w:pPr>
            <w:r>
              <w:rPr>
                <w:rFonts w:ascii="Arial" w:cs="Arial" w:eastAsia="Arial" w:hAnsi="Arial"/>
                <w:sz w:val="18"/>
                <w:szCs w:val="18"/>
                <w:color w:val="auto"/>
              </w:rPr>
              <w:t>Net actuarial loss</w:t>
            </w:r>
          </w:p>
        </w:tc>
        <w:tc>
          <w:tcPr>
            <w:tcW w:w="13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2,966</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2,683</w:t>
            </w:r>
          </w:p>
        </w:tc>
        <w:tc>
          <w:tcPr>
            <w:tcW w:w="0" w:type="dxa"/>
            <w:vAlign w:val="bottom"/>
          </w:tcPr>
          <w:p>
            <w:pPr>
              <w:spacing w:after="0"/>
              <w:rPr>
                <w:sz w:val="1"/>
                <w:szCs w:val="1"/>
                <w:color w:val="auto"/>
              </w:rPr>
            </w:pPr>
          </w:p>
        </w:tc>
      </w:tr>
      <w:tr>
        <w:trPr>
          <w:trHeight w:val="203"/>
        </w:trPr>
        <w:tc>
          <w:tcPr>
            <w:tcW w:w="140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467</w:t>
            </w:r>
          </w:p>
        </w:tc>
        <w:tc>
          <w:tcPr>
            <w:tcW w:w="360" w:type="dxa"/>
            <w:vAlign w:val="bottom"/>
            <w:shd w:val="clear" w:color="auto" w:fill="BFBFBF"/>
          </w:tcPr>
          <w:p>
            <w:pPr>
              <w:spacing w:after="0"/>
              <w:rPr>
                <w:sz w:val="17"/>
                <w:szCs w:val="17"/>
                <w:color w:val="auto"/>
              </w:rPr>
            </w:pPr>
          </w:p>
        </w:tc>
        <w:tc>
          <w:tcPr>
            <w:tcW w:w="320" w:type="dxa"/>
            <w:vAlign w:val="bottom"/>
            <w:shd w:val="clear" w:color="auto" w:fill="BFBFBF"/>
          </w:tcPr>
          <w:p>
            <w:pPr>
              <w:spacing w:after="0"/>
              <w:rPr>
                <w:sz w:val="17"/>
                <w:szCs w:val="17"/>
                <w:color w:val="auto"/>
              </w:rPr>
            </w:pPr>
          </w:p>
        </w:tc>
        <w:tc>
          <w:tcPr>
            <w:tcW w:w="106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473</w:t>
            </w:r>
          </w:p>
        </w:tc>
        <w:tc>
          <w:tcPr>
            <w:tcW w:w="5240" w:type="dxa"/>
            <w:vAlign w:val="bottom"/>
            <w:shd w:val="clear" w:color="auto" w:fill="BFBFBF"/>
          </w:tcPr>
          <w:p>
            <w:pPr>
              <w:ind w:left="460"/>
              <w:spacing w:after="0" w:line="202" w:lineRule="exact"/>
              <w:rPr>
                <w:sz w:val="20"/>
                <w:szCs w:val="20"/>
                <w:color w:val="auto"/>
              </w:rPr>
            </w:pPr>
            <w:r>
              <w:rPr>
                <w:rFonts w:ascii="Arial" w:cs="Arial" w:eastAsia="Arial" w:hAnsi="Arial"/>
                <w:sz w:val="18"/>
                <w:szCs w:val="18"/>
                <w:color w:val="auto"/>
              </w:rPr>
              <w:t>Payments related to derivatives included in earnings</w:t>
            </w:r>
          </w:p>
        </w:tc>
        <w:tc>
          <w:tcPr>
            <w:tcW w:w="1360" w:type="dxa"/>
            <w:vAlign w:val="bottom"/>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953</w:t>
            </w:r>
          </w:p>
        </w:tc>
        <w:tc>
          <w:tcPr>
            <w:tcW w:w="320" w:type="dxa"/>
            <w:vAlign w:val="bottom"/>
            <w:shd w:val="clear" w:color="auto" w:fill="BFBFBF"/>
          </w:tcPr>
          <w:p>
            <w:pPr>
              <w:spacing w:after="0"/>
              <w:rPr>
                <w:sz w:val="17"/>
                <w:szCs w:val="17"/>
                <w:color w:val="auto"/>
              </w:rPr>
            </w:pPr>
          </w:p>
        </w:tc>
        <w:tc>
          <w:tcPr>
            <w:tcW w:w="340" w:type="dxa"/>
            <w:vAlign w:val="bottom"/>
            <w:shd w:val="clear" w:color="auto" w:fill="BFBFBF"/>
          </w:tcPr>
          <w:p>
            <w:pPr>
              <w:spacing w:after="0"/>
              <w:rPr>
                <w:sz w:val="17"/>
                <w:szCs w:val="17"/>
                <w:color w:val="auto"/>
              </w:rPr>
            </w:pPr>
          </w:p>
        </w:tc>
        <w:tc>
          <w:tcPr>
            <w:tcW w:w="102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43"/>
        </w:trPr>
        <w:tc>
          <w:tcPr>
            <w:tcW w:w="1400" w:type="dxa"/>
            <w:vAlign w:val="bottom"/>
          </w:tcPr>
          <w:p>
            <w:pPr>
              <w:jc w:val="right"/>
              <w:spacing w:after="0"/>
              <w:rPr>
                <w:sz w:val="20"/>
                <w:szCs w:val="20"/>
                <w:color w:val="auto"/>
              </w:rPr>
            </w:pPr>
            <w:r>
              <w:rPr>
                <w:rFonts w:ascii="Arial" w:cs="Arial" w:eastAsia="Arial" w:hAnsi="Arial"/>
                <w:sz w:val="18"/>
                <w:szCs w:val="18"/>
                <w:color w:val="auto"/>
              </w:rPr>
              <w:t>(113)</w:t>
            </w: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(955)</w:t>
            </w:r>
          </w:p>
        </w:tc>
        <w:tc>
          <w:tcPr>
            <w:tcW w:w="5240" w:type="dxa"/>
            <w:vAlign w:val="bottom"/>
          </w:tcPr>
          <w:p>
            <w:pPr>
              <w:ind w:left="460"/>
              <w:spacing w:after="0"/>
              <w:rPr>
                <w:sz w:val="20"/>
                <w:szCs w:val="20"/>
                <w:color w:val="auto"/>
              </w:rPr>
            </w:pPr>
            <w:r>
              <w:rPr>
                <w:rFonts w:ascii="Arial" w:cs="Arial" w:eastAsia="Arial" w:hAnsi="Arial"/>
                <w:sz w:val="18"/>
                <w:szCs w:val="18"/>
                <w:color w:val="auto"/>
              </w:rPr>
              <w:t>Derivative valuation adjustment</w:t>
            </w:r>
          </w:p>
        </w:tc>
        <w:tc>
          <w:tcPr>
            <w:tcW w:w="1360" w:type="dxa"/>
            <w:vAlign w:val="bottom"/>
          </w:tcPr>
          <w:p>
            <w:pPr>
              <w:jc w:val="right"/>
              <w:spacing w:after="0"/>
              <w:rPr>
                <w:sz w:val="20"/>
                <w:szCs w:val="20"/>
                <w:color w:val="auto"/>
              </w:rPr>
            </w:pPr>
            <w:r>
              <w:rPr>
                <w:rFonts w:ascii="Arial" w:cs="Arial" w:eastAsia="Arial" w:hAnsi="Arial"/>
                <w:sz w:val="18"/>
                <w:szCs w:val="18"/>
                <w:color w:val="auto"/>
              </w:rPr>
              <w:t>(1,220)</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(1,315)</w:t>
            </w: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400" w:type="dxa"/>
            <w:vAlign w:val="bottom"/>
            <w:shd w:val="clear" w:color="auto" w:fill="BFBFBF"/>
          </w:tcPr>
          <w:p>
            <w:pPr>
              <w:spacing w:after="0"/>
              <w:rPr>
                <w:sz w:val="15"/>
                <w:szCs w:val="15"/>
                <w:color w:val="auto"/>
              </w:rPr>
            </w:pPr>
          </w:p>
        </w:tc>
        <w:tc>
          <w:tcPr>
            <w:tcW w:w="360" w:type="dxa"/>
            <w:vAlign w:val="bottom"/>
            <w:shd w:val="clear" w:color="auto" w:fill="BFBFBF"/>
          </w:tcPr>
          <w:p>
            <w:pPr>
              <w:spacing w:after="0"/>
              <w:rPr>
                <w:sz w:val="15"/>
                <w:szCs w:val="15"/>
                <w:color w:val="auto"/>
              </w:rPr>
            </w:pPr>
          </w:p>
        </w:tc>
        <w:tc>
          <w:tcPr>
            <w:tcW w:w="320" w:type="dxa"/>
            <w:vAlign w:val="bottom"/>
            <w:shd w:val="clear" w:color="auto" w:fill="BFBFBF"/>
          </w:tcPr>
          <w:p>
            <w:pPr>
              <w:spacing w:after="0"/>
              <w:rPr>
                <w:sz w:val="15"/>
                <w:szCs w:val="15"/>
                <w:color w:val="auto"/>
              </w:rPr>
            </w:pPr>
          </w:p>
        </w:tc>
        <w:tc>
          <w:tcPr>
            <w:tcW w:w="1060" w:type="dxa"/>
            <w:vAlign w:val="bottom"/>
            <w:shd w:val="clear" w:color="auto" w:fill="BFBFBF"/>
          </w:tcPr>
          <w:p>
            <w:pPr>
              <w:spacing w:after="0"/>
              <w:rPr>
                <w:sz w:val="15"/>
                <w:szCs w:val="15"/>
                <w:color w:val="auto"/>
              </w:rPr>
            </w:pPr>
          </w:p>
        </w:tc>
        <w:tc>
          <w:tcPr>
            <w:tcW w:w="5240" w:type="dxa"/>
            <w:vAlign w:val="bottom"/>
            <w:shd w:val="clear" w:color="auto" w:fill="BFBFBF"/>
          </w:tcPr>
          <w:p>
            <w:pPr>
              <w:ind w:left="340"/>
              <w:spacing w:after="0" w:line="180" w:lineRule="exact"/>
              <w:rPr>
                <w:sz w:val="20"/>
                <w:szCs w:val="20"/>
                <w:color w:val="auto"/>
              </w:rPr>
            </w:pPr>
            <w:r>
              <w:rPr>
                <w:rFonts w:ascii="Arial" w:cs="Arial" w:eastAsia="Arial" w:hAnsi="Arial"/>
                <w:sz w:val="18"/>
                <w:szCs w:val="18"/>
                <w:color w:val="auto"/>
              </w:rPr>
              <w:t>Income taxes related to items of other comprehensive</w:t>
            </w:r>
          </w:p>
        </w:tc>
        <w:tc>
          <w:tcPr>
            <w:tcW w:w="1360" w:type="dxa"/>
            <w:vAlign w:val="bottom"/>
            <w:shd w:val="clear" w:color="auto" w:fill="BFBFBF"/>
          </w:tcPr>
          <w:p>
            <w:pPr>
              <w:spacing w:after="0"/>
              <w:rPr>
                <w:sz w:val="15"/>
                <w:szCs w:val="15"/>
                <w:color w:val="auto"/>
              </w:rPr>
            </w:pPr>
          </w:p>
        </w:tc>
        <w:tc>
          <w:tcPr>
            <w:tcW w:w="320" w:type="dxa"/>
            <w:vAlign w:val="bottom"/>
            <w:shd w:val="clear" w:color="auto" w:fill="BFBFBF"/>
          </w:tcPr>
          <w:p>
            <w:pPr>
              <w:spacing w:after="0"/>
              <w:rPr>
                <w:sz w:val="15"/>
                <w:szCs w:val="15"/>
                <w:color w:val="auto"/>
              </w:rPr>
            </w:pPr>
          </w:p>
        </w:tc>
        <w:tc>
          <w:tcPr>
            <w:tcW w:w="340" w:type="dxa"/>
            <w:vAlign w:val="bottom"/>
            <w:shd w:val="clear" w:color="auto" w:fill="BFBFBF"/>
          </w:tcPr>
          <w:p>
            <w:pPr>
              <w:spacing w:after="0"/>
              <w:rPr>
                <w:sz w:val="15"/>
                <w:szCs w:val="15"/>
                <w:color w:val="auto"/>
              </w:rPr>
            </w:pPr>
          </w:p>
        </w:tc>
        <w:tc>
          <w:tcPr>
            <w:tcW w:w="1020" w:type="dxa"/>
            <w:vAlign w:val="bottom"/>
            <w:shd w:val="clear" w:color="auto" w:fill="BFBFB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1400" w:type="dxa"/>
            <w:vAlign w:val="bottom"/>
            <w:shd w:val="clear" w:color="auto" w:fill="BFBFBF"/>
          </w:tcPr>
          <w:p>
            <w:pPr>
              <w:spacing w:after="0"/>
              <w:rPr>
                <w:sz w:val="19"/>
                <w:szCs w:val="19"/>
                <w:color w:val="auto"/>
              </w:rPr>
            </w:pPr>
          </w:p>
        </w:tc>
        <w:tc>
          <w:tcPr>
            <w:tcW w:w="360" w:type="dxa"/>
            <w:vAlign w:val="bottom"/>
            <w:shd w:val="clear" w:color="auto" w:fill="BFBFBF"/>
          </w:tcPr>
          <w:p>
            <w:pPr>
              <w:spacing w:after="0"/>
              <w:rPr>
                <w:sz w:val="19"/>
                <w:szCs w:val="19"/>
                <w:color w:val="auto"/>
              </w:rPr>
            </w:pPr>
          </w:p>
        </w:tc>
        <w:tc>
          <w:tcPr>
            <w:tcW w:w="320" w:type="dxa"/>
            <w:vAlign w:val="bottom"/>
            <w:shd w:val="clear" w:color="auto" w:fill="BFBFBF"/>
          </w:tcPr>
          <w:p>
            <w:pPr>
              <w:spacing w:after="0"/>
              <w:rPr>
                <w:sz w:val="19"/>
                <w:szCs w:val="19"/>
                <w:color w:val="auto"/>
              </w:rPr>
            </w:pPr>
          </w:p>
        </w:tc>
        <w:tc>
          <w:tcPr>
            <w:tcW w:w="1060" w:type="dxa"/>
            <w:vAlign w:val="bottom"/>
            <w:shd w:val="clear" w:color="auto" w:fill="BFBFBF"/>
          </w:tcPr>
          <w:p>
            <w:pPr>
              <w:spacing w:after="0"/>
              <w:rPr>
                <w:sz w:val="19"/>
                <w:szCs w:val="19"/>
                <w:color w:val="auto"/>
              </w:rPr>
            </w:pPr>
          </w:p>
        </w:tc>
        <w:tc>
          <w:tcPr>
            <w:tcW w:w="5240" w:type="dxa"/>
            <w:vAlign w:val="bottom"/>
            <w:shd w:val="clear" w:color="auto" w:fill="BFBFBF"/>
          </w:tcPr>
          <w:p>
            <w:pPr>
              <w:ind w:left="460"/>
              <w:spacing w:after="0"/>
              <w:rPr>
                <w:sz w:val="20"/>
                <w:szCs w:val="20"/>
                <w:color w:val="auto"/>
              </w:rPr>
            </w:pPr>
            <w:r>
              <w:rPr>
                <w:rFonts w:ascii="Arial" w:cs="Arial" w:eastAsia="Arial" w:hAnsi="Arial"/>
                <w:sz w:val="18"/>
                <w:szCs w:val="18"/>
                <w:color w:val="auto"/>
              </w:rPr>
              <w:t>income/(loss):</w:t>
            </w:r>
          </w:p>
        </w:tc>
        <w:tc>
          <w:tcPr>
            <w:tcW w:w="1360" w:type="dxa"/>
            <w:vAlign w:val="bottom"/>
            <w:shd w:val="clear" w:color="auto" w:fill="BFBFBF"/>
          </w:tcPr>
          <w:p>
            <w:pPr>
              <w:spacing w:after="0"/>
              <w:rPr>
                <w:sz w:val="19"/>
                <w:szCs w:val="19"/>
                <w:color w:val="auto"/>
              </w:rPr>
            </w:pPr>
          </w:p>
        </w:tc>
        <w:tc>
          <w:tcPr>
            <w:tcW w:w="320" w:type="dxa"/>
            <w:vAlign w:val="bottom"/>
            <w:shd w:val="clear" w:color="auto" w:fill="BFBFBF"/>
          </w:tcPr>
          <w:p>
            <w:pPr>
              <w:spacing w:after="0"/>
              <w:rPr>
                <w:sz w:val="19"/>
                <w:szCs w:val="19"/>
                <w:color w:val="auto"/>
              </w:rPr>
            </w:pPr>
          </w:p>
        </w:tc>
        <w:tc>
          <w:tcPr>
            <w:tcW w:w="340" w:type="dxa"/>
            <w:vAlign w:val="bottom"/>
            <w:shd w:val="clear" w:color="auto" w:fill="BFBFBF"/>
          </w:tcPr>
          <w:p>
            <w:pPr>
              <w:spacing w:after="0"/>
              <w:rPr>
                <w:sz w:val="19"/>
                <w:szCs w:val="19"/>
                <w:color w:val="auto"/>
              </w:rPr>
            </w:pPr>
          </w:p>
        </w:tc>
        <w:tc>
          <w:tcPr>
            <w:tcW w:w="1020" w:type="dxa"/>
            <w:vAlign w:val="bottom"/>
            <w:shd w:val="clear" w:color="auto" w:fill="BFBFBF"/>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400" w:type="dxa"/>
            <w:vAlign w:val="bottom"/>
          </w:tcPr>
          <w:p>
            <w:pPr>
              <w:jc w:val="right"/>
              <w:spacing w:after="0" w:line="180" w:lineRule="exact"/>
              <w:rPr>
                <w:sz w:val="20"/>
                <w:szCs w:val="20"/>
                <w:color w:val="auto"/>
              </w:rPr>
            </w:pPr>
            <w:r>
              <w:rPr>
                <w:rFonts w:ascii="Arial" w:cs="Arial" w:eastAsia="Arial" w:hAnsi="Arial"/>
                <w:sz w:val="18"/>
                <w:szCs w:val="18"/>
                <w:color w:val="auto"/>
              </w:rPr>
              <w:t>(122)</w:t>
            </w: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Arial" w:cs="Arial" w:eastAsia="Arial" w:hAnsi="Arial"/>
                <w:sz w:val="18"/>
                <w:szCs w:val="18"/>
                <w:color w:val="auto"/>
              </w:rPr>
              <w:t>(98)</w:t>
            </w:r>
          </w:p>
        </w:tc>
        <w:tc>
          <w:tcPr>
            <w:tcW w:w="5240" w:type="dxa"/>
            <w:vAlign w:val="bottom"/>
          </w:tcPr>
          <w:p>
            <w:pPr>
              <w:ind w:left="460"/>
              <w:spacing w:after="0" w:line="180" w:lineRule="exact"/>
              <w:rPr>
                <w:sz w:val="20"/>
                <w:szCs w:val="20"/>
                <w:color w:val="auto"/>
              </w:rPr>
            </w:pPr>
            <w:r>
              <w:rPr>
                <w:rFonts w:ascii="Arial" w:cs="Arial" w:eastAsia="Arial" w:hAnsi="Arial"/>
                <w:sz w:val="18"/>
                <w:szCs w:val="18"/>
                <w:color w:val="auto"/>
              </w:rPr>
              <w:t>Amortization of pension liability adjustment</w:t>
            </w:r>
          </w:p>
        </w:tc>
        <w:tc>
          <w:tcPr>
            <w:tcW w:w="1360" w:type="dxa"/>
            <w:vAlign w:val="bottom"/>
          </w:tcPr>
          <w:p>
            <w:pPr>
              <w:jc w:val="right"/>
              <w:spacing w:after="0" w:line="180" w:lineRule="exact"/>
              <w:rPr>
                <w:sz w:val="20"/>
                <w:szCs w:val="20"/>
                <w:color w:val="auto"/>
              </w:rPr>
            </w:pPr>
            <w:r>
              <w:rPr>
                <w:rFonts w:ascii="Arial" w:cs="Arial" w:eastAsia="Arial" w:hAnsi="Arial"/>
                <w:sz w:val="18"/>
                <w:szCs w:val="18"/>
                <w:color w:val="auto"/>
              </w:rPr>
              <w:t>(261)</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25"/>
        </w:trPr>
        <w:tc>
          <w:tcPr>
            <w:tcW w:w="1400" w:type="dxa"/>
            <w:vAlign w:val="bottom"/>
          </w:tcPr>
          <w:p>
            <w:pPr>
              <w:jc w:val="right"/>
              <w:spacing w:after="0"/>
              <w:rPr>
                <w:sz w:val="20"/>
                <w:szCs w:val="20"/>
                <w:color w:val="auto"/>
              </w:rPr>
            </w:pPr>
            <w:r>
              <w:rPr>
                <w:rFonts w:ascii="Arial" w:cs="Arial" w:eastAsia="Arial" w:hAnsi="Arial"/>
                <w:sz w:val="18"/>
                <w:szCs w:val="18"/>
                <w:color w:val="auto"/>
              </w:rPr>
              <w:t>(182)</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(184)</w:t>
            </w:r>
          </w:p>
        </w:tc>
        <w:tc>
          <w:tcPr>
            <w:tcW w:w="5240" w:type="dxa"/>
            <w:vAlign w:val="bottom"/>
          </w:tcPr>
          <w:p>
            <w:pPr>
              <w:ind w:left="460"/>
              <w:spacing w:after="0"/>
              <w:rPr>
                <w:sz w:val="20"/>
                <w:szCs w:val="20"/>
                <w:color w:val="auto"/>
              </w:rPr>
            </w:pPr>
            <w:r>
              <w:rPr>
                <w:rFonts w:ascii="Arial" w:cs="Arial" w:eastAsia="Arial" w:hAnsi="Arial"/>
                <w:sz w:val="18"/>
                <w:szCs w:val="18"/>
                <w:color w:val="auto"/>
              </w:rPr>
              <w:t>Payments related to derivatives included in earnings</w:t>
            </w:r>
          </w:p>
        </w:tc>
        <w:tc>
          <w:tcPr>
            <w:tcW w:w="1360" w:type="dxa"/>
            <w:vAlign w:val="bottom"/>
          </w:tcPr>
          <w:p>
            <w:pPr>
              <w:jc w:val="right"/>
              <w:spacing w:after="0"/>
              <w:rPr>
                <w:sz w:val="20"/>
                <w:szCs w:val="20"/>
                <w:color w:val="auto"/>
              </w:rPr>
            </w:pPr>
            <w:r>
              <w:rPr>
                <w:rFonts w:ascii="Arial" w:cs="Arial" w:eastAsia="Arial" w:hAnsi="Arial"/>
                <w:sz w:val="18"/>
                <w:szCs w:val="18"/>
                <w:color w:val="auto"/>
              </w:rPr>
              <w:t>(372)</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16"/>
        </w:trPr>
        <w:tc>
          <w:tcPr>
            <w:tcW w:w="1400" w:type="dxa"/>
            <w:vAlign w:val="bottom"/>
            <w:tcBorders>
              <w:bottom w:val="single" w:sz="8" w:color="auto"/>
            </w:tcBorders>
            <w:shd w:val="clear" w:color="auto" w:fill="BFBFBF"/>
          </w:tcPr>
          <w:p>
            <w:pPr>
              <w:jc w:val="right"/>
              <w:ind w:right="30"/>
              <w:spacing w:after="0"/>
              <w:rPr>
                <w:sz w:val="20"/>
                <w:szCs w:val="20"/>
                <w:color w:val="auto"/>
              </w:rPr>
            </w:pPr>
            <w:r>
              <w:rPr>
                <w:rFonts w:ascii="Arial" w:cs="Arial" w:eastAsia="Arial" w:hAnsi="Arial"/>
                <w:sz w:val="18"/>
                <w:szCs w:val="18"/>
                <w:color w:val="auto"/>
              </w:rPr>
              <w:t>44</w:t>
            </w:r>
          </w:p>
        </w:tc>
        <w:tc>
          <w:tcPr>
            <w:tcW w:w="360" w:type="dxa"/>
            <w:vAlign w:val="bottom"/>
            <w:shd w:val="clear" w:color="auto" w:fill="BFBFBF"/>
          </w:tcPr>
          <w:p>
            <w:pPr>
              <w:spacing w:after="0"/>
              <w:rPr>
                <w:sz w:val="18"/>
                <w:szCs w:val="18"/>
                <w:color w:val="auto"/>
              </w:rPr>
            </w:pPr>
          </w:p>
        </w:tc>
        <w:tc>
          <w:tcPr>
            <w:tcW w:w="320" w:type="dxa"/>
            <w:vAlign w:val="bottom"/>
            <w:tcBorders>
              <w:bottom w:val="single" w:sz="8" w:color="auto"/>
            </w:tcBorders>
            <w:shd w:val="clear" w:color="auto" w:fill="BFBFBF"/>
          </w:tcPr>
          <w:p>
            <w:pPr>
              <w:spacing w:after="0"/>
              <w:rPr>
                <w:sz w:val="18"/>
                <w:szCs w:val="18"/>
                <w:color w:val="auto"/>
              </w:rPr>
            </w:pPr>
          </w:p>
        </w:tc>
        <w:tc>
          <w:tcPr>
            <w:tcW w:w="1060" w:type="dxa"/>
            <w:vAlign w:val="bottom"/>
            <w:tcBorders>
              <w:bottom w:val="single" w:sz="8" w:color="auto"/>
            </w:tcBorders>
            <w:shd w:val="clear" w:color="auto" w:fill="BFBFBF"/>
          </w:tcPr>
          <w:p>
            <w:pPr>
              <w:jc w:val="right"/>
              <w:ind w:right="30"/>
              <w:spacing w:after="0"/>
              <w:rPr>
                <w:sz w:val="20"/>
                <w:szCs w:val="20"/>
                <w:color w:val="auto"/>
              </w:rPr>
            </w:pPr>
            <w:r>
              <w:rPr>
                <w:rFonts w:ascii="Arial" w:cs="Arial" w:eastAsia="Arial" w:hAnsi="Arial"/>
                <w:sz w:val="18"/>
                <w:szCs w:val="18"/>
                <w:color w:val="auto"/>
              </w:rPr>
              <w:t>372</w:t>
            </w:r>
          </w:p>
        </w:tc>
        <w:tc>
          <w:tcPr>
            <w:tcW w:w="5240" w:type="dxa"/>
            <w:vAlign w:val="bottom"/>
            <w:shd w:val="clear" w:color="auto" w:fill="BFBFBF"/>
          </w:tcPr>
          <w:p>
            <w:pPr>
              <w:ind w:left="460"/>
              <w:spacing w:after="0"/>
              <w:rPr>
                <w:sz w:val="20"/>
                <w:szCs w:val="20"/>
                <w:color w:val="auto"/>
              </w:rPr>
            </w:pPr>
            <w:r>
              <w:rPr>
                <w:rFonts w:ascii="Arial" w:cs="Arial" w:eastAsia="Arial" w:hAnsi="Arial"/>
                <w:sz w:val="18"/>
                <w:szCs w:val="18"/>
                <w:color w:val="auto"/>
              </w:rPr>
              <w:t>Derivative valuation adjustment</w:t>
            </w:r>
          </w:p>
        </w:tc>
        <w:tc>
          <w:tcPr>
            <w:tcW w:w="1360" w:type="dxa"/>
            <w:vAlign w:val="bottom"/>
            <w:tcBorders>
              <w:bottom w:val="single" w:sz="8" w:color="auto"/>
            </w:tcBorders>
            <w:shd w:val="clear" w:color="auto" w:fill="BFBFBF"/>
          </w:tcPr>
          <w:p>
            <w:pPr>
              <w:jc w:val="right"/>
              <w:ind w:right="30"/>
              <w:spacing w:after="0"/>
              <w:rPr>
                <w:sz w:val="20"/>
                <w:szCs w:val="20"/>
                <w:color w:val="auto"/>
              </w:rPr>
            </w:pPr>
            <w:r>
              <w:rPr>
                <w:rFonts w:ascii="Arial" w:cs="Arial" w:eastAsia="Arial" w:hAnsi="Arial"/>
                <w:sz w:val="18"/>
                <w:szCs w:val="18"/>
                <w:color w:val="auto"/>
              </w:rPr>
              <w:t>476</w:t>
            </w:r>
          </w:p>
        </w:tc>
        <w:tc>
          <w:tcPr>
            <w:tcW w:w="320" w:type="dxa"/>
            <w:vAlign w:val="bottom"/>
            <w:shd w:val="clear" w:color="auto" w:fill="BFBFBF"/>
          </w:tcPr>
          <w:p>
            <w:pPr>
              <w:spacing w:after="0"/>
              <w:rPr>
                <w:sz w:val="18"/>
                <w:szCs w:val="18"/>
                <w:color w:val="auto"/>
              </w:rPr>
            </w:pPr>
          </w:p>
        </w:tc>
        <w:tc>
          <w:tcPr>
            <w:tcW w:w="340" w:type="dxa"/>
            <w:vAlign w:val="bottom"/>
            <w:tcBorders>
              <w:bottom w:val="single" w:sz="8" w:color="auto"/>
            </w:tcBorders>
            <w:shd w:val="clear" w:color="auto" w:fill="BFBFBF"/>
          </w:tcPr>
          <w:p>
            <w:pPr>
              <w:spacing w:after="0"/>
              <w:rPr>
                <w:sz w:val="18"/>
                <w:szCs w:val="18"/>
                <w:color w:val="auto"/>
              </w:rPr>
            </w:pPr>
          </w:p>
        </w:tc>
        <w:tc>
          <w:tcPr>
            <w:tcW w:w="1020" w:type="dxa"/>
            <w:vAlign w:val="bottom"/>
            <w:tcBorders>
              <w:bottom w:val="single" w:sz="8" w:color="auto"/>
            </w:tcBorders>
            <w:shd w:val="clear" w:color="auto" w:fill="BFBFBF"/>
          </w:tcPr>
          <w:p>
            <w:pPr>
              <w:jc w:val="right"/>
              <w:ind w:right="1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196"/>
        </w:trPr>
        <w:tc>
          <w:tcPr>
            <w:tcW w:w="1400" w:type="dxa"/>
            <w:vAlign w:val="bottom"/>
          </w:tcPr>
          <w:p>
            <w:pPr>
              <w:jc w:val="right"/>
              <w:ind w:right="30"/>
              <w:spacing w:after="0" w:line="196" w:lineRule="exact"/>
              <w:rPr>
                <w:sz w:val="20"/>
                <w:szCs w:val="20"/>
                <w:color w:val="auto"/>
              </w:rPr>
            </w:pPr>
            <w:r>
              <w:rPr>
                <w:rFonts w:ascii="Arial" w:cs="Arial" w:eastAsia="Arial" w:hAnsi="Arial"/>
                <w:sz w:val="18"/>
                <w:szCs w:val="18"/>
                <w:color w:val="auto"/>
              </w:rPr>
              <w:t>9,109</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30"/>
              <w:spacing w:after="0" w:line="196" w:lineRule="exact"/>
              <w:rPr>
                <w:sz w:val="20"/>
                <w:szCs w:val="20"/>
                <w:color w:val="auto"/>
              </w:rPr>
            </w:pPr>
            <w:r>
              <w:rPr>
                <w:rFonts w:ascii="Arial" w:cs="Arial" w:eastAsia="Arial" w:hAnsi="Arial"/>
                <w:sz w:val="18"/>
                <w:szCs w:val="18"/>
                <w:color w:val="auto"/>
              </w:rPr>
              <w:t>14,321</w:t>
            </w:r>
          </w:p>
        </w:tc>
        <w:tc>
          <w:tcPr>
            <w:tcW w:w="5240" w:type="dxa"/>
            <w:vAlign w:val="bottom"/>
          </w:tcPr>
          <w:p>
            <w:pPr>
              <w:ind w:left="460"/>
              <w:spacing w:after="0" w:line="196" w:lineRule="exact"/>
              <w:rPr>
                <w:sz w:val="20"/>
                <w:szCs w:val="20"/>
                <w:color w:val="auto"/>
              </w:rPr>
            </w:pPr>
            <w:r>
              <w:rPr>
                <w:rFonts w:ascii="Arial" w:cs="Arial" w:eastAsia="Arial" w:hAnsi="Arial"/>
                <w:sz w:val="18"/>
                <w:szCs w:val="18"/>
                <w:color w:val="auto"/>
              </w:rPr>
              <w:t>Comprehensive income/(loss)</w:t>
            </w: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(14,457)</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19,988</w:t>
            </w:r>
          </w:p>
        </w:tc>
        <w:tc>
          <w:tcPr>
            <w:tcW w:w="0" w:type="dxa"/>
            <w:vAlign w:val="bottom"/>
          </w:tcPr>
          <w:p>
            <w:pPr>
              <w:spacing w:after="0"/>
              <w:rPr>
                <w:sz w:val="1"/>
                <w:szCs w:val="1"/>
                <w:color w:val="auto"/>
              </w:rPr>
            </w:pPr>
          </w:p>
        </w:tc>
      </w:tr>
      <w:tr>
        <w:trPr>
          <w:trHeight w:val="180"/>
        </w:trPr>
        <w:tc>
          <w:tcPr>
            <w:tcW w:w="1400" w:type="dxa"/>
            <w:vAlign w:val="bottom"/>
            <w:shd w:val="clear" w:color="auto" w:fill="BFBFBF"/>
          </w:tcPr>
          <w:p>
            <w:pPr>
              <w:spacing w:after="0"/>
              <w:rPr>
                <w:sz w:val="15"/>
                <w:szCs w:val="15"/>
                <w:color w:val="auto"/>
              </w:rPr>
            </w:pPr>
          </w:p>
        </w:tc>
        <w:tc>
          <w:tcPr>
            <w:tcW w:w="360" w:type="dxa"/>
            <w:vAlign w:val="bottom"/>
            <w:shd w:val="clear" w:color="auto" w:fill="BFBFBF"/>
          </w:tcPr>
          <w:p>
            <w:pPr>
              <w:spacing w:after="0"/>
              <w:rPr>
                <w:sz w:val="15"/>
                <w:szCs w:val="15"/>
                <w:color w:val="auto"/>
              </w:rPr>
            </w:pPr>
          </w:p>
        </w:tc>
        <w:tc>
          <w:tcPr>
            <w:tcW w:w="320" w:type="dxa"/>
            <w:vAlign w:val="bottom"/>
            <w:shd w:val="clear" w:color="auto" w:fill="BFBFBF"/>
          </w:tcPr>
          <w:p>
            <w:pPr>
              <w:spacing w:after="0"/>
              <w:rPr>
                <w:sz w:val="15"/>
                <w:szCs w:val="15"/>
                <w:color w:val="auto"/>
              </w:rPr>
            </w:pPr>
          </w:p>
        </w:tc>
        <w:tc>
          <w:tcPr>
            <w:tcW w:w="1060" w:type="dxa"/>
            <w:vAlign w:val="bottom"/>
            <w:shd w:val="clear" w:color="auto" w:fill="BFBFBF"/>
          </w:tcPr>
          <w:p>
            <w:pPr>
              <w:spacing w:after="0"/>
              <w:rPr>
                <w:sz w:val="15"/>
                <w:szCs w:val="15"/>
                <w:color w:val="auto"/>
              </w:rPr>
            </w:pPr>
          </w:p>
        </w:tc>
        <w:tc>
          <w:tcPr>
            <w:tcW w:w="5240" w:type="dxa"/>
            <w:vAlign w:val="bottom"/>
            <w:shd w:val="clear" w:color="auto" w:fill="BFBFBF"/>
          </w:tcPr>
          <w:p>
            <w:pPr>
              <w:ind w:left="340"/>
              <w:spacing w:after="0" w:line="180" w:lineRule="exact"/>
              <w:rPr>
                <w:sz w:val="20"/>
                <w:szCs w:val="20"/>
                <w:color w:val="auto"/>
              </w:rPr>
            </w:pPr>
            <w:r>
              <w:rPr>
                <w:rFonts w:ascii="Arial" w:cs="Arial" w:eastAsia="Arial" w:hAnsi="Arial"/>
                <w:sz w:val="18"/>
                <w:szCs w:val="18"/>
                <w:color w:val="auto"/>
              </w:rPr>
              <w:t>Net income/(loss) attributable to the noncontrolling</w:t>
            </w:r>
          </w:p>
        </w:tc>
        <w:tc>
          <w:tcPr>
            <w:tcW w:w="1360" w:type="dxa"/>
            <w:vAlign w:val="bottom"/>
            <w:shd w:val="clear" w:color="auto" w:fill="BFBFBF"/>
          </w:tcPr>
          <w:p>
            <w:pPr>
              <w:spacing w:after="0"/>
              <w:rPr>
                <w:sz w:val="15"/>
                <w:szCs w:val="15"/>
                <w:color w:val="auto"/>
              </w:rPr>
            </w:pPr>
          </w:p>
        </w:tc>
        <w:tc>
          <w:tcPr>
            <w:tcW w:w="320" w:type="dxa"/>
            <w:vAlign w:val="bottom"/>
            <w:shd w:val="clear" w:color="auto" w:fill="BFBFBF"/>
          </w:tcPr>
          <w:p>
            <w:pPr>
              <w:spacing w:after="0"/>
              <w:rPr>
                <w:sz w:val="15"/>
                <w:szCs w:val="15"/>
                <w:color w:val="auto"/>
              </w:rPr>
            </w:pPr>
          </w:p>
        </w:tc>
        <w:tc>
          <w:tcPr>
            <w:tcW w:w="340" w:type="dxa"/>
            <w:vAlign w:val="bottom"/>
            <w:shd w:val="clear" w:color="auto" w:fill="BFBFBF"/>
          </w:tcPr>
          <w:p>
            <w:pPr>
              <w:spacing w:after="0"/>
              <w:rPr>
                <w:sz w:val="15"/>
                <w:szCs w:val="15"/>
                <w:color w:val="auto"/>
              </w:rPr>
            </w:pPr>
          </w:p>
        </w:tc>
        <w:tc>
          <w:tcPr>
            <w:tcW w:w="1020" w:type="dxa"/>
            <w:vAlign w:val="bottom"/>
            <w:shd w:val="clear" w:color="auto" w:fill="BFBFB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1400" w:type="dxa"/>
            <w:vAlign w:val="bottom"/>
            <w:tcBorders>
              <w:bottom w:val="single" w:sz="8" w:color="auto"/>
            </w:tcBorders>
            <w:shd w:val="clear" w:color="auto" w:fill="BFBFBF"/>
          </w:tcPr>
          <w:p>
            <w:pPr>
              <w:jc w:val="right"/>
              <w:ind w:right="30"/>
              <w:spacing w:after="0"/>
              <w:rPr>
                <w:sz w:val="20"/>
                <w:szCs w:val="20"/>
                <w:color w:val="auto"/>
              </w:rPr>
            </w:pPr>
            <w:r>
              <w:rPr>
                <w:rFonts w:ascii="Arial" w:cs="Arial" w:eastAsia="Arial" w:hAnsi="Arial"/>
                <w:sz w:val="18"/>
                <w:szCs w:val="18"/>
                <w:color w:val="auto"/>
              </w:rPr>
              <w:t>52</w:t>
            </w:r>
          </w:p>
        </w:tc>
        <w:tc>
          <w:tcPr>
            <w:tcW w:w="360" w:type="dxa"/>
            <w:vAlign w:val="bottom"/>
            <w:shd w:val="clear" w:color="auto" w:fill="BFBFBF"/>
          </w:tcPr>
          <w:p>
            <w:pPr>
              <w:spacing w:after="0"/>
              <w:rPr>
                <w:sz w:val="19"/>
                <w:szCs w:val="19"/>
                <w:color w:val="auto"/>
              </w:rPr>
            </w:pPr>
          </w:p>
        </w:tc>
        <w:tc>
          <w:tcPr>
            <w:tcW w:w="320" w:type="dxa"/>
            <w:vAlign w:val="bottom"/>
            <w:tcBorders>
              <w:bottom w:val="single" w:sz="8" w:color="auto"/>
            </w:tcBorders>
            <w:shd w:val="clear" w:color="auto" w:fill="BFBFBF"/>
          </w:tcPr>
          <w:p>
            <w:pPr>
              <w:spacing w:after="0"/>
              <w:rPr>
                <w:sz w:val="19"/>
                <w:szCs w:val="19"/>
                <w:color w:val="auto"/>
              </w:rPr>
            </w:pPr>
          </w:p>
        </w:tc>
        <w:tc>
          <w:tcPr>
            <w:tcW w:w="106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8"/>
                <w:szCs w:val="18"/>
                <w:color w:val="auto"/>
              </w:rPr>
              <w:t>(42)</w:t>
            </w:r>
          </w:p>
        </w:tc>
        <w:tc>
          <w:tcPr>
            <w:tcW w:w="5240" w:type="dxa"/>
            <w:vAlign w:val="bottom"/>
            <w:shd w:val="clear" w:color="auto" w:fill="BFBFBF"/>
          </w:tcPr>
          <w:p>
            <w:pPr>
              <w:ind w:left="460"/>
              <w:spacing w:after="0"/>
              <w:rPr>
                <w:sz w:val="20"/>
                <w:szCs w:val="20"/>
                <w:color w:val="auto"/>
              </w:rPr>
            </w:pPr>
            <w:r>
              <w:rPr>
                <w:rFonts w:ascii="Arial" w:cs="Arial" w:eastAsia="Arial" w:hAnsi="Arial"/>
                <w:sz w:val="18"/>
                <w:szCs w:val="18"/>
                <w:color w:val="auto"/>
              </w:rPr>
              <w:t>interest</w:t>
            </w:r>
          </w:p>
        </w:tc>
        <w:tc>
          <w:tcPr>
            <w:tcW w:w="1360" w:type="dxa"/>
            <w:vAlign w:val="bottom"/>
            <w:tcBorders>
              <w:bottom w:val="single" w:sz="8" w:color="auto"/>
            </w:tcBorders>
            <w:shd w:val="clear" w:color="auto" w:fill="BFBFBF"/>
          </w:tcPr>
          <w:p>
            <w:pPr>
              <w:jc w:val="right"/>
              <w:ind w:right="30"/>
              <w:spacing w:after="0"/>
              <w:rPr>
                <w:sz w:val="20"/>
                <w:szCs w:val="20"/>
                <w:color w:val="auto"/>
              </w:rPr>
            </w:pPr>
            <w:r>
              <w:rPr>
                <w:rFonts w:ascii="Arial" w:cs="Arial" w:eastAsia="Arial" w:hAnsi="Arial"/>
                <w:sz w:val="18"/>
                <w:szCs w:val="18"/>
                <w:color w:val="auto"/>
              </w:rPr>
              <w:t>79</w:t>
            </w:r>
          </w:p>
        </w:tc>
        <w:tc>
          <w:tcPr>
            <w:tcW w:w="320" w:type="dxa"/>
            <w:vAlign w:val="bottom"/>
            <w:shd w:val="clear" w:color="auto" w:fill="BFBFBF"/>
          </w:tcPr>
          <w:p>
            <w:pPr>
              <w:spacing w:after="0"/>
              <w:rPr>
                <w:sz w:val="19"/>
                <w:szCs w:val="19"/>
                <w:color w:val="auto"/>
              </w:rPr>
            </w:pPr>
          </w:p>
        </w:tc>
        <w:tc>
          <w:tcPr>
            <w:tcW w:w="340" w:type="dxa"/>
            <w:vAlign w:val="bottom"/>
            <w:tcBorders>
              <w:bottom w:val="single" w:sz="8" w:color="auto"/>
            </w:tcBorders>
            <w:shd w:val="clear" w:color="auto" w:fill="BFBFBF"/>
          </w:tcPr>
          <w:p>
            <w:pPr>
              <w:spacing w:after="0"/>
              <w:rPr>
                <w:sz w:val="19"/>
                <w:szCs w:val="19"/>
                <w:color w:val="auto"/>
              </w:rPr>
            </w:pPr>
          </w:p>
        </w:tc>
        <w:tc>
          <w:tcPr>
            <w:tcW w:w="1020" w:type="dxa"/>
            <w:vAlign w:val="bottom"/>
            <w:tcBorders>
              <w:bottom w:val="single" w:sz="8" w:color="auto"/>
            </w:tcBorders>
            <w:shd w:val="clear" w:color="auto" w:fill="BFBFBF"/>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60"/>
        </w:trPr>
        <w:tc>
          <w:tcPr>
            <w:tcW w:w="1400" w:type="dxa"/>
            <w:vAlign w:val="bottom"/>
            <w:vMerge w:val="restart"/>
          </w:tcPr>
          <w:p>
            <w:pPr>
              <w:jc w:val="right"/>
              <w:ind w:right="30"/>
              <w:spacing w:after="0"/>
              <w:rPr>
                <w:sz w:val="20"/>
                <w:szCs w:val="20"/>
                <w:color w:val="auto"/>
              </w:rPr>
            </w:pPr>
            <w:r>
              <w:rPr>
                <w:rFonts w:ascii="Arial" w:cs="Arial" w:eastAsia="Arial" w:hAnsi="Arial"/>
                <w:sz w:val="18"/>
                <w:szCs w:val="18"/>
                <w:color w:val="auto"/>
              </w:rPr>
              <w:t>$9,057</w:t>
            </w: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vMerge w:val="restart"/>
          </w:tcPr>
          <w:p>
            <w:pPr>
              <w:jc w:val="right"/>
              <w:ind w:right="30"/>
              <w:spacing w:after="0"/>
              <w:rPr>
                <w:sz w:val="20"/>
                <w:szCs w:val="20"/>
                <w:color w:val="auto"/>
              </w:rPr>
            </w:pPr>
            <w:r>
              <w:rPr>
                <w:rFonts w:ascii="Arial" w:cs="Arial" w:eastAsia="Arial" w:hAnsi="Arial"/>
                <w:sz w:val="18"/>
                <w:szCs w:val="18"/>
                <w:color w:val="auto"/>
              </w:rPr>
              <w:t>$14,363</w:t>
            </w:r>
          </w:p>
        </w:tc>
        <w:tc>
          <w:tcPr>
            <w:tcW w:w="5240" w:type="dxa"/>
            <w:vAlign w:val="bottom"/>
          </w:tcPr>
          <w:p>
            <w:pPr>
              <w:ind w:left="340"/>
              <w:spacing w:after="0" w:line="160" w:lineRule="exact"/>
              <w:rPr>
                <w:sz w:val="20"/>
                <w:szCs w:val="20"/>
                <w:color w:val="auto"/>
              </w:rPr>
            </w:pPr>
            <w:r>
              <w:rPr>
                <w:rFonts w:ascii="Arial" w:cs="Arial" w:eastAsia="Arial" w:hAnsi="Arial"/>
                <w:sz w:val="18"/>
                <w:szCs w:val="18"/>
                <w:color w:val="auto"/>
              </w:rPr>
              <w:t>Comprehensive income/(loss) attributable to the</w:t>
            </w: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($14,536)</w:t>
            </w: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vMerge w:val="restart"/>
          </w:tcPr>
          <w:p>
            <w:pPr>
              <w:jc w:val="right"/>
              <w:ind w:right="10"/>
              <w:spacing w:after="0"/>
              <w:rPr>
                <w:sz w:val="20"/>
                <w:szCs w:val="20"/>
                <w:color w:val="auto"/>
              </w:rPr>
            </w:pPr>
            <w:r>
              <w:rPr>
                <w:rFonts w:ascii="Arial" w:cs="Arial" w:eastAsia="Arial" w:hAnsi="Arial"/>
                <w:sz w:val="18"/>
                <w:szCs w:val="18"/>
                <w:color w:val="auto"/>
              </w:rPr>
              <w:t>$19,958</w:t>
            </w:r>
          </w:p>
        </w:tc>
        <w:tc>
          <w:tcPr>
            <w:tcW w:w="0" w:type="dxa"/>
            <w:vAlign w:val="bottom"/>
          </w:tcPr>
          <w:p>
            <w:pPr>
              <w:spacing w:after="0"/>
              <w:rPr>
                <w:sz w:val="1"/>
                <w:szCs w:val="1"/>
                <w:color w:val="auto"/>
              </w:rPr>
            </w:pPr>
          </w:p>
        </w:tc>
      </w:tr>
      <w:tr>
        <w:trPr>
          <w:trHeight w:val="212"/>
        </w:trPr>
        <w:tc>
          <w:tcPr>
            <w:tcW w:w="1400" w:type="dxa"/>
            <w:vAlign w:val="bottom"/>
            <w:tcBorders>
              <w:bottom w:val="single" w:sz="8" w:color="auto"/>
            </w:tcBorders>
            <w:vMerge w:val="continue"/>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5240" w:type="dxa"/>
            <w:vAlign w:val="bottom"/>
          </w:tcPr>
          <w:p>
            <w:pPr>
              <w:ind w:left="460"/>
              <w:spacing w:after="0"/>
              <w:rPr>
                <w:sz w:val="20"/>
                <w:szCs w:val="20"/>
                <w:color w:val="auto"/>
              </w:rPr>
            </w:pPr>
            <w:r>
              <w:rPr>
                <w:rFonts w:ascii="Arial" w:cs="Arial" w:eastAsia="Arial" w:hAnsi="Arial"/>
                <w:sz w:val="18"/>
                <w:szCs w:val="18"/>
                <w:color w:val="auto"/>
              </w:rPr>
              <w:t>Company</w:t>
            </w:r>
          </w:p>
        </w:tc>
        <w:tc>
          <w:tcPr>
            <w:tcW w:w="1360" w:type="dxa"/>
            <w:vAlign w:val="bottom"/>
            <w:tcBorders>
              <w:bottom w:val="single" w:sz="8" w:color="auto"/>
            </w:tcBorders>
            <w:vMerge w:val="continue"/>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43"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ALBANY INTERNATIONAL CORP.</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jc w:val="center"/>
        <w:spacing w:after="0" w:line="234"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June 30,</w:t>
            </w:r>
          </w:p>
        </w:tc>
        <w:tc>
          <w:tcPr>
            <w:tcW w:w="900" w:type="dxa"/>
            <w:vAlign w:val="bottom"/>
          </w:tcPr>
          <w:p>
            <w:pPr>
              <w:spacing w:after="0"/>
              <w:rPr>
                <w:sz w:val="17"/>
                <w:szCs w:val="17"/>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December 31,</w:t>
            </w:r>
          </w:p>
        </w:tc>
      </w:tr>
      <w:tr>
        <w:trPr>
          <w:trHeight w:val="225"/>
        </w:trPr>
        <w:tc>
          <w:tcPr>
            <w:tcW w:w="20" w:type="dxa"/>
            <w:vAlign w:val="bottom"/>
          </w:tcPr>
          <w:p>
            <w:pPr>
              <w:spacing w:after="0"/>
              <w:rPr>
                <w:sz w:val="19"/>
                <w:szCs w:val="19"/>
                <w:color w:val="auto"/>
              </w:rPr>
            </w:pPr>
          </w:p>
        </w:tc>
        <w:tc>
          <w:tcPr>
            <w:tcW w:w="638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2015</w:t>
            </w:r>
          </w:p>
        </w:tc>
        <w:tc>
          <w:tcPr>
            <w:tcW w:w="24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2014</w:t>
            </w:r>
          </w:p>
        </w:tc>
      </w:tr>
      <w:tr>
        <w:trPr>
          <w:trHeight w:val="196"/>
        </w:trPr>
        <w:tc>
          <w:tcPr>
            <w:tcW w:w="20" w:type="dxa"/>
            <w:vAlign w:val="bottom"/>
          </w:tcPr>
          <w:p>
            <w:pPr>
              <w:spacing w:after="0"/>
              <w:rPr>
                <w:sz w:val="17"/>
                <w:szCs w:val="17"/>
                <w:color w:val="auto"/>
              </w:rPr>
            </w:pPr>
          </w:p>
        </w:tc>
        <w:tc>
          <w:tcPr>
            <w:tcW w:w="6380" w:type="dxa"/>
            <w:vAlign w:val="bottom"/>
          </w:tcPr>
          <w:p>
            <w:pPr>
              <w:spacing w:after="0" w:line="196" w:lineRule="exact"/>
              <w:rPr>
                <w:sz w:val="20"/>
                <w:szCs w:val="20"/>
                <w:color w:val="auto"/>
              </w:rPr>
            </w:pPr>
            <w:r>
              <w:rPr>
                <w:rFonts w:ascii="Arial" w:cs="Arial" w:eastAsia="Arial" w:hAnsi="Arial"/>
                <w:sz w:val="18"/>
                <w:szCs w:val="18"/>
                <w:color w:val="auto"/>
              </w:rPr>
              <w:t>ASSETS</w:t>
            </w:r>
          </w:p>
        </w:tc>
        <w:tc>
          <w:tcPr>
            <w:tcW w:w="9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0C0C0"/>
          </w:tcPr>
          <w:p>
            <w:pPr>
              <w:ind w:left="80"/>
              <w:spacing w:after="0" w:line="202" w:lineRule="exact"/>
              <w:rPr>
                <w:sz w:val="20"/>
                <w:szCs w:val="20"/>
                <w:color w:val="auto"/>
              </w:rPr>
            </w:pPr>
            <w:r>
              <w:rPr>
                <w:rFonts w:ascii="Arial" w:cs="Arial" w:eastAsia="Arial" w:hAnsi="Arial"/>
                <w:sz w:val="18"/>
                <w:szCs w:val="18"/>
                <w:color w:val="auto"/>
              </w:rPr>
              <w:t>Cash and cash equivalents</w:t>
            </w:r>
          </w:p>
        </w:tc>
        <w:tc>
          <w:tcPr>
            <w:tcW w:w="2540" w:type="dxa"/>
            <w:vAlign w:val="bottom"/>
            <w:gridSpan w:val="2"/>
            <w:shd w:val="clear" w:color="auto" w:fill="C0C0C0"/>
          </w:tcPr>
          <w:p>
            <w:pPr>
              <w:jc w:val="right"/>
              <w:ind w:right="30"/>
              <w:spacing w:after="0" w:line="202" w:lineRule="exact"/>
              <w:rPr>
                <w:sz w:val="20"/>
                <w:szCs w:val="20"/>
                <w:color w:val="auto"/>
              </w:rPr>
            </w:pPr>
            <w:r>
              <w:rPr>
                <w:rFonts w:ascii="Arial" w:cs="Arial" w:eastAsia="Arial" w:hAnsi="Arial"/>
                <w:sz w:val="18"/>
                <w:szCs w:val="18"/>
                <w:color w:val="auto"/>
              </w:rPr>
              <w:t>$182,474</w:t>
            </w:r>
          </w:p>
        </w:tc>
        <w:tc>
          <w:tcPr>
            <w:tcW w:w="2480" w:type="dxa"/>
            <w:vAlign w:val="bottom"/>
            <w:gridSpan w:val="2"/>
            <w:shd w:val="clear" w:color="auto" w:fill="C0C0C0"/>
          </w:tcPr>
          <w:p>
            <w:pPr>
              <w:jc w:val="right"/>
              <w:ind w:right="10"/>
              <w:spacing w:after="0" w:line="202" w:lineRule="exact"/>
              <w:rPr>
                <w:sz w:val="20"/>
                <w:szCs w:val="20"/>
                <w:color w:val="auto"/>
              </w:rPr>
            </w:pPr>
            <w:r>
              <w:rPr>
                <w:rFonts w:ascii="Arial" w:cs="Arial" w:eastAsia="Arial" w:hAnsi="Arial"/>
                <w:sz w:val="18"/>
                <w:szCs w:val="18"/>
                <w:color w:val="auto"/>
              </w:rPr>
              <w:t>$179,802</w:t>
            </w:r>
          </w:p>
        </w:tc>
      </w:tr>
      <w:tr>
        <w:trPr>
          <w:trHeight w:val="203"/>
        </w:trPr>
        <w:tc>
          <w:tcPr>
            <w:tcW w:w="20" w:type="dxa"/>
            <w:vAlign w:val="bottom"/>
          </w:tcPr>
          <w:p>
            <w:pPr>
              <w:spacing w:after="0"/>
              <w:rPr>
                <w:sz w:val="17"/>
                <w:szCs w:val="17"/>
                <w:color w:val="auto"/>
              </w:rPr>
            </w:pPr>
          </w:p>
        </w:tc>
        <w:tc>
          <w:tcPr>
            <w:tcW w:w="6380" w:type="dxa"/>
            <w:vAlign w:val="bottom"/>
          </w:tcPr>
          <w:p>
            <w:pPr>
              <w:ind w:left="80"/>
              <w:spacing w:after="0" w:line="202" w:lineRule="exact"/>
              <w:rPr>
                <w:sz w:val="20"/>
                <w:szCs w:val="20"/>
                <w:color w:val="auto"/>
              </w:rPr>
            </w:pPr>
            <w:r>
              <w:rPr>
                <w:rFonts w:ascii="Arial" w:cs="Arial" w:eastAsia="Arial" w:hAnsi="Arial"/>
                <w:sz w:val="18"/>
                <w:szCs w:val="18"/>
                <w:color w:val="auto"/>
              </w:rPr>
              <w:t>Accounts receivable, net</w:t>
            </w:r>
          </w:p>
        </w:tc>
        <w:tc>
          <w:tcPr>
            <w:tcW w:w="25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160,997</w:t>
            </w:r>
          </w:p>
        </w:tc>
        <w:tc>
          <w:tcPr>
            <w:tcW w:w="24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158,237</w:t>
            </w:r>
          </w:p>
        </w:tc>
      </w:tr>
      <w:tr>
        <w:trPr>
          <w:trHeight w:val="203"/>
        </w:trPr>
        <w:tc>
          <w:tcPr>
            <w:tcW w:w="20" w:type="dxa"/>
            <w:vAlign w:val="bottom"/>
          </w:tcPr>
          <w:p>
            <w:pPr>
              <w:spacing w:after="0"/>
              <w:rPr>
                <w:sz w:val="17"/>
                <w:szCs w:val="17"/>
                <w:color w:val="auto"/>
              </w:rPr>
            </w:pPr>
          </w:p>
        </w:tc>
        <w:tc>
          <w:tcPr>
            <w:tcW w:w="6380" w:type="dxa"/>
            <w:vAlign w:val="bottom"/>
            <w:shd w:val="clear" w:color="auto" w:fill="C0C0C0"/>
          </w:tcPr>
          <w:p>
            <w:pPr>
              <w:ind w:left="80"/>
              <w:spacing w:after="0" w:line="202" w:lineRule="exact"/>
              <w:rPr>
                <w:sz w:val="20"/>
                <w:szCs w:val="20"/>
                <w:color w:val="auto"/>
              </w:rPr>
            </w:pPr>
            <w:r>
              <w:rPr>
                <w:rFonts w:ascii="Arial" w:cs="Arial" w:eastAsia="Arial" w:hAnsi="Arial"/>
                <w:sz w:val="18"/>
                <w:szCs w:val="18"/>
                <w:color w:val="auto"/>
              </w:rPr>
              <w:t>Inventories</w:t>
            </w:r>
          </w:p>
        </w:tc>
        <w:tc>
          <w:tcPr>
            <w:tcW w:w="2540" w:type="dxa"/>
            <w:vAlign w:val="bottom"/>
            <w:gridSpan w:val="2"/>
            <w:shd w:val="clear" w:color="auto" w:fill="C0C0C0"/>
          </w:tcPr>
          <w:p>
            <w:pPr>
              <w:jc w:val="right"/>
              <w:ind w:right="30"/>
              <w:spacing w:after="0" w:line="202" w:lineRule="exact"/>
              <w:rPr>
                <w:sz w:val="20"/>
                <w:szCs w:val="20"/>
                <w:color w:val="auto"/>
              </w:rPr>
            </w:pPr>
            <w:r>
              <w:rPr>
                <w:rFonts w:ascii="Arial" w:cs="Arial" w:eastAsia="Arial" w:hAnsi="Arial"/>
                <w:sz w:val="18"/>
                <w:szCs w:val="18"/>
                <w:color w:val="auto"/>
              </w:rPr>
              <w:t>109,630</w:t>
            </w:r>
          </w:p>
        </w:tc>
        <w:tc>
          <w:tcPr>
            <w:tcW w:w="2480" w:type="dxa"/>
            <w:vAlign w:val="bottom"/>
            <w:gridSpan w:val="2"/>
            <w:shd w:val="clear" w:color="auto" w:fill="C0C0C0"/>
          </w:tcPr>
          <w:p>
            <w:pPr>
              <w:jc w:val="right"/>
              <w:ind w:right="10"/>
              <w:spacing w:after="0" w:line="202" w:lineRule="exact"/>
              <w:rPr>
                <w:sz w:val="20"/>
                <w:szCs w:val="20"/>
                <w:color w:val="auto"/>
              </w:rPr>
            </w:pPr>
            <w:r>
              <w:rPr>
                <w:rFonts w:ascii="Arial" w:cs="Arial" w:eastAsia="Arial" w:hAnsi="Arial"/>
                <w:sz w:val="18"/>
                <w:szCs w:val="18"/>
                <w:color w:val="auto"/>
              </w:rPr>
              <w:t>107,274</w:t>
            </w:r>
          </w:p>
        </w:tc>
      </w:tr>
      <w:tr>
        <w:trPr>
          <w:trHeight w:val="203"/>
        </w:trPr>
        <w:tc>
          <w:tcPr>
            <w:tcW w:w="20" w:type="dxa"/>
            <w:vAlign w:val="bottom"/>
          </w:tcPr>
          <w:p>
            <w:pPr>
              <w:spacing w:after="0"/>
              <w:rPr>
                <w:sz w:val="17"/>
                <w:szCs w:val="17"/>
                <w:color w:val="auto"/>
              </w:rPr>
            </w:pPr>
          </w:p>
        </w:tc>
        <w:tc>
          <w:tcPr>
            <w:tcW w:w="6380" w:type="dxa"/>
            <w:vAlign w:val="bottom"/>
          </w:tcPr>
          <w:p>
            <w:pPr>
              <w:ind w:left="80"/>
              <w:spacing w:after="0" w:line="202" w:lineRule="exact"/>
              <w:rPr>
                <w:sz w:val="20"/>
                <w:szCs w:val="20"/>
                <w:color w:val="auto"/>
              </w:rPr>
            </w:pPr>
            <w:r>
              <w:rPr>
                <w:rFonts w:ascii="Arial" w:cs="Arial" w:eastAsia="Arial" w:hAnsi="Arial"/>
                <w:sz w:val="18"/>
                <w:szCs w:val="18"/>
                <w:color w:val="auto"/>
              </w:rPr>
              <w:t>Deferred income taxes</w:t>
            </w:r>
          </w:p>
        </w:tc>
        <w:tc>
          <w:tcPr>
            <w:tcW w:w="25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6,661</w:t>
            </w:r>
          </w:p>
        </w:tc>
        <w:tc>
          <w:tcPr>
            <w:tcW w:w="24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6,743</w:t>
            </w:r>
          </w:p>
        </w:tc>
      </w:tr>
      <w:tr>
        <w:trPr>
          <w:trHeight w:val="203"/>
        </w:trPr>
        <w:tc>
          <w:tcPr>
            <w:tcW w:w="20" w:type="dxa"/>
            <w:vAlign w:val="bottom"/>
          </w:tcPr>
          <w:p>
            <w:pPr>
              <w:spacing w:after="0"/>
              <w:rPr>
                <w:sz w:val="17"/>
                <w:szCs w:val="17"/>
                <w:color w:val="auto"/>
              </w:rPr>
            </w:pPr>
          </w:p>
        </w:tc>
        <w:tc>
          <w:tcPr>
            <w:tcW w:w="6380" w:type="dxa"/>
            <w:vAlign w:val="bottom"/>
            <w:shd w:val="clear" w:color="auto" w:fill="BFBFBF"/>
          </w:tcPr>
          <w:p>
            <w:pPr>
              <w:ind w:left="80"/>
              <w:spacing w:after="0" w:line="202" w:lineRule="exact"/>
              <w:rPr>
                <w:sz w:val="20"/>
                <w:szCs w:val="20"/>
                <w:color w:val="auto"/>
              </w:rPr>
            </w:pPr>
            <w:r>
              <w:rPr>
                <w:rFonts w:ascii="Arial" w:cs="Arial" w:eastAsia="Arial" w:hAnsi="Arial"/>
                <w:sz w:val="18"/>
                <w:szCs w:val="18"/>
                <w:color w:val="auto"/>
              </w:rPr>
              <w:t>Asset held for sale</w:t>
            </w:r>
          </w:p>
        </w:tc>
        <w:tc>
          <w:tcPr>
            <w:tcW w:w="2540" w:type="dxa"/>
            <w:vAlign w:val="bottom"/>
            <w:gridSpan w:val="2"/>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8,326</w:t>
            </w:r>
          </w:p>
        </w:tc>
        <w:tc>
          <w:tcPr>
            <w:tcW w:w="2480" w:type="dxa"/>
            <w:vAlign w:val="bottom"/>
            <w:gridSpan w:val="2"/>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9,102</w:t>
            </w:r>
          </w:p>
        </w:tc>
      </w:tr>
      <w:tr>
        <w:trPr>
          <w:trHeight w:val="203"/>
        </w:trPr>
        <w:tc>
          <w:tcPr>
            <w:tcW w:w="20" w:type="dxa"/>
            <w:vAlign w:val="bottom"/>
          </w:tcPr>
          <w:p>
            <w:pPr>
              <w:spacing w:after="0"/>
              <w:rPr>
                <w:sz w:val="17"/>
                <w:szCs w:val="17"/>
                <w:color w:val="auto"/>
              </w:rPr>
            </w:pPr>
          </w:p>
        </w:tc>
        <w:tc>
          <w:tcPr>
            <w:tcW w:w="6380" w:type="dxa"/>
            <w:vAlign w:val="bottom"/>
            <w:tcBorders>
              <w:bottom w:val="single" w:sz="8" w:color="auto"/>
            </w:tcBorders>
          </w:tcPr>
          <w:p>
            <w:pPr>
              <w:ind w:left="8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540" w:type="dxa"/>
            <w:vAlign w:val="bottom"/>
            <w:tcBorders>
              <w:bottom w:val="single" w:sz="8" w:color="auto"/>
            </w:tcBorders>
            <w:gridSpan w:val="2"/>
          </w:tcPr>
          <w:p>
            <w:pPr>
              <w:jc w:val="right"/>
              <w:ind w:right="30"/>
              <w:spacing w:after="0" w:line="202" w:lineRule="exact"/>
              <w:rPr>
                <w:sz w:val="20"/>
                <w:szCs w:val="20"/>
                <w:color w:val="auto"/>
              </w:rPr>
            </w:pPr>
            <w:r>
              <w:rPr>
                <w:rFonts w:ascii="Arial" w:cs="Arial" w:eastAsia="Arial" w:hAnsi="Arial"/>
                <w:sz w:val="18"/>
                <w:szCs w:val="18"/>
                <w:color w:val="auto"/>
              </w:rPr>
              <w:t>8,739</w:t>
            </w:r>
          </w:p>
        </w:tc>
        <w:tc>
          <w:tcPr>
            <w:tcW w:w="2480" w:type="dxa"/>
            <w:vAlign w:val="bottom"/>
            <w:tcBorders>
              <w:bottom w:val="single" w:sz="8" w:color="auto"/>
            </w:tcBorders>
            <w:gridSpan w:val="2"/>
          </w:tcPr>
          <w:p>
            <w:pPr>
              <w:jc w:val="right"/>
              <w:ind w:right="10"/>
              <w:spacing w:after="0" w:line="202" w:lineRule="exact"/>
              <w:rPr>
                <w:sz w:val="20"/>
                <w:szCs w:val="20"/>
                <w:color w:val="auto"/>
              </w:rPr>
            </w:pPr>
            <w:r>
              <w:rPr>
                <w:rFonts w:ascii="Arial" w:cs="Arial" w:eastAsia="Arial" w:hAnsi="Arial"/>
                <w:sz w:val="18"/>
                <w:szCs w:val="18"/>
                <w:color w:val="auto"/>
              </w:rPr>
              <w:t>8,074</w:t>
            </w:r>
          </w:p>
        </w:tc>
      </w:tr>
      <w:tr>
        <w:trPr>
          <w:trHeight w:val="236"/>
        </w:trPr>
        <w:tc>
          <w:tcPr>
            <w:tcW w:w="20" w:type="dxa"/>
            <w:vAlign w:val="bottom"/>
          </w:tcPr>
          <w:p>
            <w:pPr>
              <w:spacing w:after="0"/>
              <w:rPr>
                <w:sz w:val="20"/>
                <w:szCs w:val="20"/>
                <w:color w:val="auto"/>
              </w:rPr>
            </w:pPr>
          </w:p>
        </w:tc>
        <w:tc>
          <w:tcPr>
            <w:tcW w:w="6380" w:type="dxa"/>
            <w:vAlign w:val="bottom"/>
          </w:tcPr>
          <w:p>
            <w:pPr>
              <w:ind w:left="280"/>
              <w:spacing w:after="0"/>
              <w:rPr>
                <w:sz w:val="20"/>
                <w:szCs w:val="20"/>
                <w:color w:val="auto"/>
              </w:rPr>
            </w:pPr>
            <w:r>
              <w:rPr>
                <w:rFonts w:ascii="Arial" w:cs="Arial" w:eastAsia="Arial" w:hAnsi="Arial"/>
                <w:sz w:val="18"/>
                <w:szCs w:val="18"/>
                <w:color w:val="auto"/>
              </w:rPr>
              <w:t>Total current assets</w:t>
            </w:r>
          </w:p>
        </w:tc>
        <w:tc>
          <w:tcPr>
            <w:tcW w:w="2540" w:type="dxa"/>
            <w:vAlign w:val="bottom"/>
            <w:gridSpan w:val="2"/>
          </w:tcPr>
          <w:p>
            <w:pPr>
              <w:jc w:val="right"/>
              <w:ind w:right="30"/>
              <w:spacing w:after="0"/>
              <w:rPr>
                <w:sz w:val="20"/>
                <w:szCs w:val="20"/>
                <w:color w:val="auto"/>
              </w:rPr>
            </w:pPr>
            <w:r>
              <w:rPr>
                <w:rFonts w:ascii="Arial" w:cs="Arial" w:eastAsia="Arial" w:hAnsi="Arial"/>
                <w:sz w:val="18"/>
                <w:szCs w:val="18"/>
                <w:color w:val="auto"/>
              </w:rPr>
              <w:t>476,827</w:t>
            </w:r>
          </w:p>
        </w:tc>
        <w:tc>
          <w:tcPr>
            <w:tcW w:w="2480" w:type="dxa"/>
            <w:vAlign w:val="bottom"/>
            <w:gridSpan w:val="2"/>
          </w:tcPr>
          <w:p>
            <w:pPr>
              <w:jc w:val="right"/>
              <w:ind w:right="10"/>
              <w:spacing w:after="0"/>
              <w:rPr>
                <w:sz w:val="20"/>
                <w:szCs w:val="20"/>
                <w:color w:val="auto"/>
              </w:rPr>
            </w:pPr>
            <w:r>
              <w:rPr>
                <w:rFonts w:ascii="Arial" w:cs="Arial" w:eastAsia="Arial" w:hAnsi="Arial"/>
                <w:sz w:val="18"/>
                <w:szCs w:val="18"/>
                <w:color w:val="auto"/>
              </w:rPr>
              <w:t>469,232</w:t>
            </w:r>
          </w:p>
        </w:tc>
      </w:tr>
      <w:tr>
        <w:trPr>
          <w:trHeight w:val="162"/>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0C0C0"/>
          </w:tcPr>
          <w:p>
            <w:pPr>
              <w:ind w:left="80"/>
              <w:spacing w:after="0" w:line="202" w:lineRule="exact"/>
              <w:rPr>
                <w:sz w:val="20"/>
                <w:szCs w:val="20"/>
                <w:color w:val="auto"/>
              </w:rPr>
            </w:pPr>
            <w:r>
              <w:rPr>
                <w:rFonts w:ascii="Arial" w:cs="Arial" w:eastAsia="Arial" w:hAnsi="Arial"/>
                <w:sz w:val="18"/>
                <w:szCs w:val="18"/>
                <w:color w:val="auto"/>
              </w:rPr>
              <w:t>Property, plant and equipment, net</w:t>
            </w:r>
          </w:p>
        </w:tc>
        <w:tc>
          <w:tcPr>
            <w:tcW w:w="2540" w:type="dxa"/>
            <w:vAlign w:val="bottom"/>
            <w:gridSpan w:val="2"/>
            <w:shd w:val="clear" w:color="auto" w:fill="C0C0C0"/>
          </w:tcPr>
          <w:p>
            <w:pPr>
              <w:jc w:val="right"/>
              <w:ind w:right="30"/>
              <w:spacing w:after="0" w:line="202" w:lineRule="exact"/>
              <w:rPr>
                <w:sz w:val="20"/>
                <w:szCs w:val="20"/>
                <w:color w:val="auto"/>
              </w:rPr>
            </w:pPr>
            <w:r>
              <w:rPr>
                <w:rFonts w:ascii="Arial" w:cs="Arial" w:eastAsia="Arial" w:hAnsi="Arial"/>
                <w:sz w:val="18"/>
                <w:szCs w:val="18"/>
                <w:color w:val="auto"/>
              </w:rPr>
              <w:t>379,139</w:t>
            </w:r>
          </w:p>
        </w:tc>
        <w:tc>
          <w:tcPr>
            <w:tcW w:w="2480" w:type="dxa"/>
            <w:vAlign w:val="bottom"/>
            <w:gridSpan w:val="2"/>
            <w:shd w:val="clear" w:color="auto" w:fill="C0C0C0"/>
          </w:tcPr>
          <w:p>
            <w:pPr>
              <w:jc w:val="right"/>
              <w:ind w:right="10"/>
              <w:spacing w:after="0" w:line="202" w:lineRule="exact"/>
              <w:rPr>
                <w:sz w:val="20"/>
                <w:szCs w:val="20"/>
                <w:color w:val="auto"/>
              </w:rPr>
            </w:pPr>
            <w:r>
              <w:rPr>
                <w:rFonts w:ascii="Arial" w:cs="Arial" w:eastAsia="Arial" w:hAnsi="Arial"/>
                <w:sz w:val="18"/>
                <w:szCs w:val="18"/>
                <w:color w:val="auto"/>
              </w:rPr>
              <w:t>386,011</w:t>
            </w:r>
          </w:p>
        </w:tc>
      </w:tr>
      <w:tr>
        <w:trPr>
          <w:trHeight w:val="203"/>
        </w:trPr>
        <w:tc>
          <w:tcPr>
            <w:tcW w:w="20" w:type="dxa"/>
            <w:vAlign w:val="bottom"/>
          </w:tcPr>
          <w:p>
            <w:pPr>
              <w:spacing w:after="0"/>
              <w:rPr>
                <w:sz w:val="17"/>
                <w:szCs w:val="17"/>
                <w:color w:val="auto"/>
              </w:rPr>
            </w:pPr>
          </w:p>
        </w:tc>
        <w:tc>
          <w:tcPr>
            <w:tcW w:w="6380" w:type="dxa"/>
            <w:vAlign w:val="bottom"/>
          </w:tcPr>
          <w:p>
            <w:pPr>
              <w:ind w:left="80"/>
              <w:spacing w:after="0" w:line="202" w:lineRule="exact"/>
              <w:rPr>
                <w:sz w:val="20"/>
                <w:szCs w:val="20"/>
                <w:color w:val="auto"/>
              </w:rPr>
            </w:pPr>
            <w:r>
              <w:rPr>
                <w:rFonts w:ascii="Arial" w:cs="Arial" w:eastAsia="Arial" w:hAnsi="Arial"/>
                <w:sz w:val="18"/>
                <w:szCs w:val="18"/>
                <w:color w:val="auto"/>
              </w:rPr>
              <w:t>Intangibles</w:t>
            </w:r>
          </w:p>
        </w:tc>
        <w:tc>
          <w:tcPr>
            <w:tcW w:w="25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270</w:t>
            </w:r>
          </w:p>
        </w:tc>
        <w:tc>
          <w:tcPr>
            <w:tcW w:w="24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385</w:t>
            </w:r>
          </w:p>
        </w:tc>
      </w:tr>
      <w:tr>
        <w:trPr>
          <w:trHeight w:val="203"/>
        </w:trPr>
        <w:tc>
          <w:tcPr>
            <w:tcW w:w="20" w:type="dxa"/>
            <w:vAlign w:val="bottom"/>
          </w:tcPr>
          <w:p>
            <w:pPr>
              <w:spacing w:after="0"/>
              <w:rPr>
                <w:sz w:val="17"/>
                <w:szCs w:val="17"/>
                <w:color w:val="auto"/>
              </w:rPr>
            </w:pPr>
          </w:p>
        </w:tc>
        <w:tc>
          <w:tcPr>
            <w:tcW w:w="6380" w:type="dxa"/>
            <w:vAlign w:val="bottom"/>
            <w:shd w:val="clear" w:color="auto" w:fill="C0C0C0"/>
          </w:tcPr>
          <w:p>
            <w:pPr>
              <w:ind w:left="80"/>
              <w:spacing w:after="0" w:line="202" w:lineRule="exact"/>
              <w:rPr>
                <w:sz w:val="20"/>
                <w:szCs w:val="20"/>
                <w:color w:val="auto"/>
              </w:rPr>
            </w:pPr>
            <w:r>
              <w:rPr>
                <w:rFonts w:ascii="Arial" w:cs="Arial" w:eastAsia="Arial" w:hAnsi="Arial"/>
                <w:sz w:val="18"/>
                <w:szCs w:val="18"/>
                <w:color w:val="auto"/>
              </w:rPr>
              <w:t>Goodwill</w:t>
            </w:r>
          </w:p>
        </w:tc>
        <w:tc>
          <w:tcPr>
            <w:tcW w:w="2540" w:type="dxa"/>
            <w:vAlign w:val="bottom"/>
            <w:gridSpan w:val="2"/>
            <w:shd w:val="clear" w:color="auto" w:fill="C0C0C0"/>
          </w:tcPr>
          <w:p>
            <w:pPr>
              <w:jc w:val="right"/>
              <w:ind w:right="30"/>
              <w:spacing w:after="0" w:line="202" w:lineRule="exact"/>
              <w:rPr>
                <w:sz w:val="20"/>
                <w:szCs w:val="20"/>
                <w:color w:val="auto"/>
              </w:rPr>
            </w:pPr>
            <w:r>
              <w:rPr>
                <w:rFonts w:ascii="Arial" w:cs="Arial" w:eastAsia="Arial" w:hAnsi="Arial"/>
                <w:sz w:val="18"/>
                <w:szCs w:val="18"/>
                <w:color w:val="auto"/>
              </w:rPr>
              <w:t>67,489</w:t>
            </w:r>
          </w:p>
        </w:tc>
        <w:tc>
          <w:tcPr>
            <w:tcW w:w="2480" w:type="dxa"/>
            <w:vAlign w:val="bottom"/>
            <w:gridSpan w:val="2"/>
            <w:shd w:val="clear" w:color="auto" w:fill="C0C0C0"/>
          </w:tcPr>
          <w:p>
            <w:pPr>
              <w:jc w:val="right"/>
              <w:ind w:right="10"/>
              <w:spacing w:after="0" w:line="202" w:lineRule="exact"/>
              <w:rPr>
                <w:sz w:val="20"/>
                <w:szCs w:val="20"/>
                <w:color w:val="auto"/>
              </w:rPr>
            </w:pPr>
            <w:r>
              <w:rPr>
                <w:rFonts w:ascii="Arial" w:cs="Arial" w:eastAsia="Arial" w:hAnsi="Arial"/>
                <w:sz w:val="18"/>
                <w:szCs w:val="18"/>
                <w:color w:val="auto"/>
              </w:rPr>
              <w:t>71,680</w:t>
            </w:r>
          </w:p>
        </w:tc>
      </w:tr>
      <w:tr>
        <w:trPr>
          <w:trHeight w:val="203"/>
        </w:trPr>
        <w:tc>
          <w:tcPr>
            <w:tcW w:w="20" w:type="dxa"/>
            <w:vAlign w:val="bottom"/>
          </w:tcPr>
          <w:p>
            <w:pPr>
              <w:spacing w:after="0"/>
              <w:rPr>
                <w:sz w:val="17"/>
                <w:szCs w:val="17"/>
                <w:color w:val="auto"/>
              </w:rPr>
            </w:pPr>
          </w:p>
        </w:tc>
        <w:tc>
          <w:tcPr>
            <w:tcW w:w="6380" w:type="dxa"/>
            <w:vAlign w:val="bottom"/>
          </w:tcPr>
          <w:p>
            <w:pPr>
              <w:ind w:left="80"/>
              <w:spacing w:after="0" w:line="202" w:lineRule="exact"/>
              <w:rPr>
                <w:sz w:val="20"/>
                <w:szCs w:val="20"/>
                <w:color w:val="auto"/>
              </w:rPr>
            </w:pPr>
            <w:r>
              <w:rPr>
                <w:rFonts w:ascii="Arial" w:cs="Arial" w:eastAsia="Arial" w:hAnsi="Arial"/>
                <w:sz w:val="18"/>
                <w:szCs w:val="18"/>
                <w:color w:val="auto"/>
              </w:rPr>
              <w:t>Income taxes receivable and deferred</w:t>
            </w:r>
          </w:p>
        </w:tc>
        <w:tc>
          <w:tcPr>
            <w:tcW w:w="25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71,817</w:t>
            </w:r>
          </w:p>
        </w:tc>
        <w:tc>
          <w:tcPr>
            <w:tcW w:w="24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69,540</w:t>
            </w:r>
          </w:p>
        </w:tc>
      </w:tr>
      <w:tr>
        <w:trPr>
          <w:trHeight w:val="203"/>
        </w:trPr>
        <w:tc>
          <w:tcPr>
            <w:tcW w:w="20" w:type="dxa"/>
            <w:vAlign w:val="bottom"/>
          </w:tcPr>
          <w:p>
            <w:pPr>
              <w:spacing w:after="0"/>
              <w:rPr>
                <w:sz w:val="17"/>
                <w:szCs w:val="17"/>
                <w:color w:val="auto"/>
              </w:rPr>
            </w:pPr>
          </w:p>
        </w:tc>
        <w:tc>
          <w:tcPr>
            <w:tcW w:w="6380" w:type="dxa"/>
            <w:vAlign w:val="bottom"/>
            <w:tcBorders>
              <w:bottom w:val="single" w:sz="8" w:color="auto"/>
            </w:tcBorders>
            <w:shd w:val="clear" w:color="auto" w:fill="BFBFBF"/>
          </w:tcPr>
          <w:p>
            <w:pPr>
              <w:ind w:left="80"/>
              <w:spacing w:after="0" w:line="202" w:lineRule="exact"/>
              <w:rPr>
                <w:sz w:val="20"/>
                <w:szCs w:val="20"/>
                <w:color w:val="auto"/>
              </w:rPr>
            </w:pPr>
            <w:r>
              <w:rPr>
                <w:rFonts w:ascii="Arial" w:cs="Arial" w:eastAsia="Arial" w:hAnsi="Arial"/>
                <w:sz w:val="18"/>
                <w:szCs w:val="18"/>
                <w:color w:val="auto"/>
              </w:rPr>
              <w:t>Other assets</w:t>
            </w:r>
          </w:p>
        </w:tc>
        <w:tc>
          <w:tcPr>
            <w:tcW w:w="920" w:type="dxa"/>
            <w:vAlign w:val="bottom"/>
            <w:tcBorders>
              <w:bottom w:val="single" w:sz="8" w:color="auto"/>
            </w:tcBorders>
            <w:shd w:val="clear" w:color="auto" w:fill="BFBFBF"/>
          </w:tcPr>
          <w:p>
            <w:pPr>
              <w:spacing w:after="0"/>
              <w:rPr>
                <w:sz w:val="17"/>
                <w:szCs w:val="17"/>
                <w:color w:val="auto"/>
              </w:rPr>
            </w:pPr>
          </w:p>
        </w:tc>
        <w:tc>
          <w:tcPr>
            <w:tcW w:w="1620" w:type="dxa"/>
            <w:vAlign w:val="bottom"/>
            <w:tcBorders>
              <w:bottom w:val="single" w:sz="8" w:color="auto"/>
            </w:tcBorders>
            <w:shd w:val="clear" w:color="auto" w:fill="C0C0C0"/>
          </w:tcPr>
          <w:p>
            <w:pPr>
              <w:jc w:val="right"/>
              <w:ind w:right="30"/>
              <w:spacing w:after="0" w:line="202" w:lineRule="exact"/>
              <w:rPr>
                <w:sz w:val="20"/>
                <w:szCs w:val="20"/>
                <w:color w:val="auto"/>
              </w:rPr>
            </w:pPr>
            <w:r>
              <w:rPr>
                <w:rFonts w:ascii="Arial" w:cs="Arial" w:eastAsia="Arial" w:hAnsi="Arial"/>
                <w:sz w:val="18"/>
                <w:szCs w:val="18"/>
                <w:color w:val="auto"/>
              </w:rPr>
              <w:t>27,905</w:t>
            </w:r>
          </w:p>
        </w:tc>
        <w:tc>
          <w:tcPr>
            <w:tcW w:w="900" w:type="dxa"/>
            <w:vAlign w:val="bottom"/>
            <w:tcBorders>
              <w:bottom w:val="single" w:sz="8" w:color="auto"/>
            </w:tcBorders>
            <w:shd w:val="clear" w:color="auto" w:fill="BFBFBF"/>
          </w:tcPr>
          <w:p>
            <w:pPr>
              <w:spacing w:after="0"/>
              <w:rPr>
                <w:sz w:val="17"/>
                <w:szCs w:val="17"/>
                <w:color w:val="auto"/>
              </w:rPr>
            </w:pPr>
          </w:p>
        </w:tc>
        <w:tc>
          <w:tcPr>
            <w:tcW w:w="1580" w:type="dxa"/>
            <w:vAlign w:val="bottom"/>
            <w:tcBorders>
              <w:bottom w:val="single" w:sz="8" w:color="auto"/>
            </w:tcBorders>
            <w:shd w:val="clear" w:color="auto" w:fill="C0C0C0"/>
          </w:tcPr>
          <w:p>
            <w:pPr>
              <w:jc w:val="right"/>
              <w:ind w:right="10"/>
              <w:spacing w:after="0" w:line="202" w:lineRule="exact"/>
              <w:rPr>
                <w:sz w:val="20"/>
                <w:szCs w:val="20"/>
                <w:color w:val="auto"/>
              </w:rPr>
            </w:pPr>
            <w:r>
              <w:rPr>
                <w:rFonts w:ascii="Arial" w:cs="Arial" w:eastAsia="Arial" w:hAnsi="Arial"/>
                <w:sz w:val="18"/>
                <w:szCs w:val="18"/>
                <w:color w:val="auto"/>
              </w:rPr>
              <w:t>32,456</w:t>
            </w:r>
          </w:p>
        </w:tc>
      </w:tr>
      <w:tr>
        <w:trPr>
          <w:trHeight w:val="196"/>
        </w:trPr>
        <w:tc>
          <w:tcPr>
            <w:tcW w:w="20" w:type="dxa"/>
            <w:vAlign w:val="bottom"/>
          </w:tcPr>
          <w:p>
            <w:pPr>
              <w:spacing w:after="0"/>
              <w:rPr>
                <w:sz w:val="17"/>
                <w:szCs w:val="17"/>
                <w:color w:val="auto"/>
              </w:rPr>
            </w:pPr>
          </w:p>
        </w:tc>
        <w:tc>
          <w:tcPr>
            <w:tcW w:w="6380" w:type="dxa"/>
            <w:vAlign w:val="bottom"/>
            <w:tcBorders>
              <w:bottom w:val="single" w:sz="8" w:color="auto"/>
            </w:tcBorders>
          </w:tcPr>
          <w:p>
            <w:pPr>
              <w:ind w:left="280"/>
              <w:spacing w:after="0" w:line="196" w:lineRule="exact"/>
              <w:rPr>
                <w:sz w:val="20"/>
                <w:szCs w:val="20"/>
                <w:color w:val="auto"/>
              </w:rPr>
            </w:pPr>
            <w:r>
              <w:rPr>
                <w:rFonts w:ascii="Arial" w:cs="Arial" w:eastAsia="Arial" w:hAnsi="Arial"/>
                <w:sz w:val="18"/>
                <w:szCs w:val="18"/>
                <w:color w:val="auto"/>
              </w:rPr>
              <w:t>Total assets</w:t>
            </w:r>
          </w:p>
        </w:tc>
        <w:tc>
          <w:tcPr>
            <w:tcW w:w="9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$1,023,447</w:t>
            </w:r>
          </w:p>
        </w:tc>
        <w:tc>
          <w:tcPr>
            <w:tcW w:w="9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$1,029,304</w:t>
            </w:r>
          </w:p>
        </w:tc>
      </w:tr>
      <w:tr>
        <w:trPr>
          <w:trHeight w:val="20"/>
        </w:trPr>
        <w:tc>
          <w:tcPr>
            <w:tcW w:w="20" w:type="dxa"/>
            <w:vAlign w:val="bottom"/>
          </w:tcPr>
          <w:p>
            <w:pPr>
              <w:spacing w:after="0" w:line="20" w:lineRule="exact"/>
              <w:rPr>
                <w:sz w:val="1"/>
                <w:szCs w:val="1"/>
                <w:color w:val="auto"/>
              </w:rPr>
            </w:pPr>
          </w:p>
        </w:tc>
        <w:tc>
          <w:tcPr>
            <w:tcW w:w="6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386"/>
        </w:trPr>
        <w:tc>
          <w:tcPr>
            <w:tcW w:w="6400" w:type="dxa"/>
            <w:vAlign w:val="bottom"/>
            <w:gridSpan w:val="2"/>
          </w:tcPr>
          <w:p>
            <w:pPr>
              <w:spacing w:after="0"/>
              <w:rPr>
                <w:sz w:val="20"/>
                <w:szCs w:val="20"/>
                <w:color w:val="auto"/>
              </w:rPr>
            </w:pPr>
            <w:r>
              <w:rPr>
                <w:rFonts w:ascii="Arial" w:cs="Arial" w:eastAsia="Arial" w:hAnsi="Arial"/>
                <w:sz w:val="18"/>
                <w:szCs w:val="18"/>
                <w:color w:val="auto"/>
              </w:rPr>
              <w:t>LIABILITIES AND SHAREHOLDERS' EQUITY</w:t>
            </w:r>
          </w:p>
        </w:tc>
        <w:tc>
          <w:tcPr>
            <w:tcW w:w="9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BFBFBF"/>
          </w:tcPr>
          <w:p>
            <w:pPr>
              <w:ind w:left="80"/>
              <w:spacing w:after="0" w:line="202" w:lineRule="exact"/>
              <w:rPr>
                <w:sz w:val="20"/>
                <w:szCs w:val="20"/>
                <w:color w:val="auto"/>
              </w:rPr>
            </w:pPr>
            <w:r>
              <w:rPr>
                <w:rFonts w:ascii="Arial" w:cs="Arial" w:eastAsia="Arial" w:hAnsi="Arial"/>
                <w:sz w:val="18"/>
                <w:szCs w:val="18"/>
                <w:color w:val="auto"/>
              </w:rPr>
              <w:t>Notes and loans payable</w:t>
            </w:r>
          </w:p>
        </w:tc>
        <w:tc>
          <w:tcPr>
            <w:tcW w:w="2540" w:type="dxa"/>
            <w:vAlign w:val="bottom"/>
            <w:gridSpan w:val="2"/>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$543</w:t>
            </w:r>
          </w:p>
        </w:tc>
        <w:tc>
          <w:tcPr>
            <w:tcW w:w="2480" w:type="dxa"/>
            <w:vAlign w:val="bottom"/>
            <w:gridSpan w:val="2"/>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$661</w:t>
            </w:r>
          </w:p>
        </w:tc>
      </w:tr>
      <w:tr>
        <w:trPr>
          <w:trHeight w:val="203"/>
        </w:trPr>
        <w:tc>
          <w:tcPr>
            <w:tcW w:w="20" w:type="dxa"/>
            <w:vAlign w:val="bottom"/>
          </w:tcPr>
          <w:p>
            <w:pPr>
              <w:spacing w:after="0"/>
              <w:rPr>
                <w:sz w:val="17"/>
                <w:szCs w:val="17"/>
                <w:color w:val="auto"/>
              </w:rPr>
            </w:pPr>
          </w:p>
        </w:tc>
        <w:tc>
          <w:tcPr>
            <w:tcW w:w="6380" w:type="dxa"/>
            <w:vAlign w:val="bottom"/>
          </w:tcPr>
          <w:p>
            <w:pPr>
              <w:ind w:left="80"/>
              <w:spacing w:after="0" w:line="202" w:lineRule="exact"/>
              <w:rPr>
                <w:sz w:val="20"/>
                <w:szCs w:val="20"/>
                <w:color w:val="auto"/>
              </w:rPr>
            </w:pPr>
            <w:r>
              <w:rPr>
                <w:rFonts w:ascii="Arial" w:cs="Arial" w:eastAsia="Arial" w:hAnsi="Arial"/>
                <w:sz w:val="18"/>
                <w:szCs w:val="18"/>
                <w:color w:val="auto"/>
              </w:rPr>
              <w:t>Accounts payable</w:t>
            </w:r>
          </w:p>
        </w:tc>
        <w:tc>
          <w:tcPr>
            <w:tcW w:w="25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32,258</w:t>
            </w:r>
          </w:p>
        </w:tc>
        <w:tc>
          <w:tcPr>
            <w:tcW w:w="24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34,787</w:t>
            </w:r>
          </w:p>
        </w:tc>
      </w:tr>
      <w:tr>
        <w:trPr>
          <w:trHeight w:val="203"/>
        </w:trPr>
        <w:tc>
          <w:tcPr>
            <w:tcW w:w="20" w:type="dxa"/>
            <w:vAlign w:val="bottom"/>
          </w:tcPr>
          <w:p>
            <w:pPr>
              <w:spacing w:after="0"/>
              <w:rPr>
                <w:sz w:val="17"/>
                <w:szCs w:val="17"/>
                <w:color w:val="auto"/>
              </w:rPr>
            </w:pPr>
          </w:p>
        </w:tc>
        <w:tc>
          <w:tcPr>
            <w:tcW w:w="6380" w:type="dxa"/>
            <w:vAlign w:val="bottom"/>
            <w:shd w:val="clear" w:color="auto" w:fill="BFBFBF"/>
          </w:tcPr>
          <w:p>
            <w:pPr>
              <w:ind w:left="80"/>
              <w:spacing w:after="0" w:line="202" w:lineRule="exact"/>
              <w:rPr>
                <w:sz w:val="20"/>
                <w:szCs w:val="20"/>
                <w:color w:val="auto"/>
              </w:rPr>
            </w:pPr>
            <w:r>
              <w:rPr>
                <w:rFonts w:ascii="Arial" w:cs="Arial" w:eastAsia="Arial" w:hAnsi="Arial"/>
                <w:sz w:val="18"/>
                <w:szCs w:val="18"/>
                <w:color w:val="auto"/>
              </w:rPr>
              <w:t>Accrued liabilities</w:t>
            </w:r>
          </w:p>
        </w:tc>
        <w:tc>
          <w:tcPr>
            <w:tcW w:w="920" w:type="dxa"/>
            <w:vAlign w:val="bottom"/>
            <w:shd w:val="clear" w:color="auto" w:fill="BFBFBF"/>
          </w:tcPr>
          <w:p>
            <w:pPr>
              <w:spacing w:after="0"/>
              <w:rPr>
                <w:sz w:val="17"/>
                <w:szCs w:val="17"/>
                <w:color w:val="auto"/>
              </w:rPr>
            </w:pPr>
          </w:p>
        </w:tc>
        <w:tc>
          <w:tcPr>
            <w:tcW w:w="1620" w:type="dxa"/>
            <w:vAlign w:val="bottom"/>
            <w:shd w:val="clear" w:color="auto" w:fill="C0C0C0"/>
          </w:tcPr>
          <w:p>
            <w:pPr>
              <w:jc w:val="right"/>
              <w:ind w:right="30"/>
              <w:spacing w:after="0" w:line="202" w:lineRule="exact"/>
              <w:rPr>
                <w:sz w:val="20"/>
                <w:szCs w:val="20"/>
                <w:color w:val="auto"/>
              </w:rPr>
            </w:pPr>
            <w:r>
              <w:rPr>
                <w:rFonts w:ascii="Arial" w:cs="Arial" w:eastAsia="Arial" w:hAnsi="Arial"/>
                <w:sz w:val="18"/>
                <w:szCs w:val="18"/>
                <w:color w:val="auto"/>
              </w:rPr>
              <w:t>89,544</w:t>
            </w:r>
          </w:p>
        </w:tc>
        <w:tc>
          <w:tcPr>
            <w:tcW w:w="2480" w:type="dxa"/>
            <w:vAlign w:val="bottom"/>
            <w:gridSpan w:val="2"/>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95,149</w:t>
            </w:r>
          </w:p>
        </w:tc>
      </w:tr>
      <w:tr>
        <w:trPr>
          <w:trHeight w:val="203"/>
        </w:trPr>
        <w:tc>
          <w:tcPr>
            <w:tcW w:w="20" w:type="dxa"/>
            <w:vAlign w:val="bottom"/>
          </w:tcPr>
          <w:p>
            <w:pPr>
              <w:spacing w:after="0"/>
              <w:rPr>
                <w:sz w:val="17"/>
                <w:szCs w:val="17"/>
                <w:color w:val="auto"/>
              </w:rPr>
            </w:pPr>
          </w:p>
        </w:tc>
        <w:tc>
          <w:tcPr>
            <w:tcW w:w="6380" w:type="dxa"/>
            <w:vAlign w:val="bottom"/>
          </w:tcPr>
          <w:p>
            <w:pPr>
              <w:ind w:left="80"/>
              <w:spacing w:after="0" w:line="202" w:lineRule="exact"/>
              <w:rPr>
                <w:sz w:val="20"/>
                <w:szCs w:val="20"/>
                <w:color w:val="auto"/>
              </w:rPr>
            </w:pPr>
            <w:r>
              <w:rPr>
                <w:rFonts w:ascii="Arial" w:cs="Arial" w:eastAsia="Arial" w:hAnsi="Arial"/>
                <w:sz w:val="18"/>
                <w:szCs w:val="18"/>
                <w:color w:val="auto"/>
              </w:rPr>
              <w:t>Current maturities of long-term debt</w:t>
            </w:r>
          </w:p>
        </w:tc>
        <w:tc>
          <w:tcPr>
            <w:tcW w:w="920" w:type="dxa"/>
            <w:vAlign w:val="bottom"/>
          </w:tcPr>
          <w:p>
            <w:pPr>
              <w:spacing w:after="0"/>
              <w:rPr>
                <w:sz w:val="17"/>
                <w:szCs w:val="17"/>
                <w:color w:val="auto"/>
              </w:rPr>
            </w:pPr>
          </w:p>
        </w:tc>
        <w:tc>
          <w:tcPr>
            <w:tcW w:w="16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50,015</w:t>
            </w:r>
          </w:p>
        </w:tc>
        <w:tc>
          <w:tcPr>
            <w:tcW w:w="24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50,015</w:t>
            </w:r>
          </w:p>
        </w:tc>
      </w:tr>
      <w:tr>
        <w:trPr>
          <w:trHeight w:val="203"/>
        </w:trPr>
        <w:tc>
          <w:tcPr>
            <w:tcW w:w="20" w:type="dxa"/>
            <w:vAlign w:val="bottom"/>
          </w:tcPr>
          <w:p>
            <w:pPr>
              <w:spacing w:after="0"/>
              <w:rPr>
                <w:sz w:val="17"/>
                <w:szCs w:val="17"/>
                <w:color w:val="auto"/>
              </w:rPr>
            </w:pPr>
          </w:p>
        </w:tc>
        <w:tc>
          <w:tcPr>
            <w:tcW w:w="6380" w:type="dxa"/>
            <w:vAlign w:val="bottom"/>
            <w:tcBorders>
              <w:bottom w:val="single" w:sz="8" w:color="auto"/>
            </w:tcBorders>
            <w:shd w:val="clear" w:color="auto" w:fill="BFBFBF"/>
          </w:tcPr>
          <w:p>
            <w:pPr>
              <w:ind w:left="80"/>
              <w:spacing w:after="0" w:line="202" w:lineRule="exact"/>
              <w:rPr>
                <w:sz w:val="20"/>
                <w:szCs w:val="20"/>
                <w:color w:val="auto"/>
              </w:rPr>
            </w:pPr>
            <w:r>
              <w:rPr>
                <w:rFonts w:ascii="Arial" w:cs="Arial" w:eastAsia="Arial" w:hAnsi="Arial"/>
                <w:sz w:val="18"/>
                <w:szCs w:val="18"/>
                <w:color w:val="auto"/>
              </w:rPr>
              <w:t>Income taxes payable and deferred</w:t>
            </w:r>
          </w:p>
        </w:tc>
        <w:tc>
          <w:tcPr>
            <w:tcW w:w="920" w:type="dxa"/>
            <w:vAlign w:val="bottom"/>
            <w:tcBorders>
              <w:bottom w:val="single" w:sz="8" w:color="auto"/>
            </w:tcBorders>
            <w:shd w:val="clear" w:color="auto" w:fill="BFBFBF"/>
          </w:tcPr>
          <w:p>
            <w:pPr>
              <w:spacing w:after="0"/>
              <w:rPr>
                <w:sz w:val="17"/>
                <w:szCs w:val="17"/>
                <w:color w:val="auto"/>
              </w:rPr>
            </w:pPr>
          </w:p>
        </w:tc>
        <w:tc>
          <w:tcPr>
            <w:tcW w:w="1620" w:type="dxa"/>
            <w:vAlign w:val="bottom"/>
            <w:tcBorders>
              <w:bottom w:val="single" w:sz="8" w:color="auto"/>
            </w:tcBorders>
            <w:shd w:val="clear" w:color="auto" w:fill="C0C0C0"/>
          </w:tcPr>
          <w:p>
            <w:pPr>
              <w:jc w:val="right"/>
              <w:ind w:right="30"/>
              <w:spacing w:after="0" w:line="202" w:lineRule="exact"/>
              <w:rPr>
                <w:sz w:val="20"/>
                <w:szCs w:val="20"/>
                <w:color w:val="auto"/>
              </w:rPr>
            </w:pPr>
            <w:r>
              <w:rPr>
                <w:rFonts w:ascii="Arial" w:cs="Arial" w:eastAsia="Arial" w:hAnsi="Arial"/>
                <w:sz w:val="18"/>
                <w:szCs w:val="18"/>
                <w:color w:val="auto"/>
              </w:rPr>
              <w:t>1,742</w:t>
            </w:r>
          </w:p>
        </w:tc>
        <w:tc>
          <w:tcPr>
            <w:tcW w:w="900" w:type="dxa"/>
            <w:vAlign w:val="bottom"/>
            <w:tcBorders>
              <w:bottom w:val="single" w:sz="8" w:color="auto"/>
            </w:tcBorders>
            <w:shd w:val="clear" w:color="auto" w:fill="BFBFBF"/>
          </w:tcPr>
          <w:p>
            <w:pPr>
              <w:spacing w:after="0"/>
              <w:rPr>
                <w:sz w:val="17"/>
                <w:szCs w:val="17"/>
                <w:color w:val="auto"/>
              </w:rPr>
            </w:pPr>
          </w:p>
        </w:tc>
        <w:tc>
          <w:tcPr>
            <w:tcW w:w="1580" w:type="dxa"/>
            <w:vAlign w:val="bottom"/>
            <w:tcBorders>
              <w:bottom w:val="single" w:sz="8" w:color="auto"/>
            </w:tcBorders>
            <w:shd w:val="clear" w:color="auto" w:fill="C0C0C0"/>
          </w:tcPr>
          <w:p>
            <w:pPr>
              <w:jc w:val="right"/>
              <w:ind w:right="10"/>
              <w:spacing w:after="0" w:line="202" w:lineRule="exact"/>
              <w:rPr>
                <w:sz w:val="20"/>
                <w:szCs w:val="20"/>
                <w:color w:val="auto"/>
              </w:rPr>
            </w:pPr>
            <w:r>
              <w:rPr>
                <w:rFonts w:ascii="Arial" w:cs="Arial" w:eastAsia="Arial" w:hAnsi="Arial"/>
                <w:sz w:val="18"/>
                <w:szCs w:val="18"/>
                <w:color w:val="auto"/>
              </w:rPr>
              <w:t>2,786</w:t>
            </w:r>
          </w:p>
        </w:tc>
      </w:tr>
      <w:tr>
        <w:trPr>
          <w:trHeight w:val="236"/>
        </w:trPr>
        <w:tc>
          <w:tcPr>
            <w:tcW w:w="20" w:type="dxa"/>
            <w:vAlign w:val="bottom"/>
          </w:tcPr>
          <w:p>
            <w:pPr>
              <w:spacing w:after="0"/>
              <w:rPr>
                <w:sz w:val="20"/>
                <w:szCs w:val="20"/>
                <w:color w:val="auto"/>
              </w:rPr>
            </w:pPr>
          </w:p>
        </w:tc>
        <w:tc>
          <w:tcPr>
            <w:tcW w:w="6380" w:type="dxa"/>
            <w:vAlign w:val="bottom"/>
          </w:tcPr>
          <w:p>
            <w:pPr>
              <w:ind w:left="280"/>
              <w:spacing w:after="0"/>
              <w:rPr>
                <w:sz w:val="20"/>
                <w:szCs w:val="20"/>
                <w:color w:val="auto"/>
              </w:rPr>
            </w:pPr>
            <w:r>
              <w:rPr>
                <w:rFonts w:ascii="Arial" w:cs="Arial" w:eastAsia="Arial" w:hAnsi="Arial"/>
                <w:sz w:val="18"/>
                <w:szCs w:val="18"/>
                <w:color w:val="auto"/>
              </w:rPr>
              <w:t>Total current liabilities</w:t>
            </w:r>
          </w:p>
        </w:tc>
        <w:tc>
          <w:tcPr>
            <w:tcW w:w="920" w:type="dxa"/>
            <w:vAlign w:val="bottom"/>
          </w:tcPr>
          <w:p>
            <w:pPr>
              <w:spacing w:after="0"/>
              <w:rPr>
                <w:sz w:val="20"/>
                <w:szCs w:val="20"/>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174,102</w:t>
            </w:r>
          </w:p>
        </w:tc>
        <w:tc>
          <w:tcPr>
            <w:tcW w:w="900" w:type="dxa"/>
            <w:vAlign w:val="bottom"/>
          </w:tcPr>
          <w:p>
            <w:pPr>
              <w:spacing w:after="0"/>
              <w:rPr>
                <w:sz w:val="20"/>
                <w:szCs w:val="20"/>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183,398</w:t>
            </w:r>
          </w:p>
        </w:tc>
      </w:tr>
      <w:tr>
        <w:trPr>
          <w:trHeight w:val="162"/>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480" w:type="dxa"/>
            <w:vAlign w:val="bottom"/>
            <w:gridSpan w:val="2"/>
          </w:tcPr>
          <w:p>
            <w:pPr>
              <w:spacing w:after="0"/>
              <w:rPr>
                <w:sz w:val="14"/>
                <w:szCs w:val="14"/>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BFBFBF"/>
          </w:tcPr>
          <w:p>
            <w:pPr>
              <w:ind w:left="80"/>
              <w:spacing w:after="0" w:line="202" w:lineRule="exact"/>
              <w:rPr>
                <w:sz w:val="20"/>
                <w:szCs w:val="20"/>
                <w:color w:val="auto"/>
              </w:rPr>
            </w:pPr>
            <w:r>
              <w:rPr>
                <w:rFonts w:ascii="Arial" w:cs="Arial" w:eastAsia="Arial" w:hAnsi="Arial"/>
                <w:sz w:val="18"/>
                <w:szCs w:val="18"/>
                <w:color w:val="auto"/>
              </w:rPr>
              <w:t>Long-term debt</w:t>
            </w:r>
          </w:p>
        </w:tc>
        <w:tc>
          <w:tcPr>
            <w:tcW w:w="920" w:type="dxa"/>
            <w:vAlign w:val="bottom"/>
            <w:shd w:val="clear" w:color="auto" w:fill="BFBFBF"/>
          </w:tcPr>
          <w:p>
            <w:pPr>
              <w:spacing w:after="0"/>
              <w:rPr>
                <w:sz w:val="17"/>
                <w:szCs w:val="17"/>
                <w:color w:val="auto"/>
              </w:rPr>
            </w:pPr>
          </w:p>
        </w:tc>
        <w:tc>
          <w:tcPr>
            <w:tcW w:w="1620" w:type="dxa"/>
            <w:vAlign w:val="bottom"/>
            <w:shd w:val="clear" w:color="auto" w:fill="C0C0C0"/>
          </w:tcPr>
          <w:p>
            <w:pPr>
              <w:jc w:val="right"/>
              <w:ind w:right="30"/>
              <w:spacing w:after="0" w:line="202" w:lineRule="exact"/>
              <w:rPr>
                <w:sz w:val="20"/>
                <w:szCs w:val="20"/>
                <w:color w:val="auto"/>
              </w:rPr>
            </w:pPr>
            <w:r>
              <w:rPr>
                <w:rFonts w:ascii="Arial" w:cs="Arial" w:eastAsia="Arial" w:hAnsi="Arial"/>
                <w:sz w:val="18"/>
                <w:szCs w:val="18"/>
                <w:color w:val="auto"/>
              </w:rPr>
              <w:t>252,088</w:t>
            </w:r>
          </w:p>
        </w:tc>
        <w:tc>
          <w:tcPr>
            <w:tcW w:w="2480" w:type="dxa"/>
            <w:vAlign w:val="bottom"/>
            <w:gridSpan w:val="2"/>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222,096</w:t>
            </w:r>
          </w:p>
        </w:tc>
      </w:tr>
      <w:tr>
        <w:trPr>
          <w:trHeight w:val="203"/>
        </w:trPr>
        <w:tc>
          <w:tcPr>
            <w:tcW w:w="20" w:type="dxa"/>
            <w:vAlign w:val="bottom"/>
          </w:tcPr>
          <w:p>
            <w:pPr>
              <w:spacing w:after="0"/>
              <w:rPr>
                <w:sz w:val="17"/>
                <w:szCs w:val="17"/>
                <w:color w:val="auto"/>
              </w:rPr>
            </w:pPr>
          </w:p>
        </w:tc>
        <w:tc>
          <w:tcPr>
            <w:tcW w:w="6380" w:type="dxa"/>
            <w:vAlign w:val="bottom"/>
          </w:tcPr>
          <w:p>
            <w:pPr>
              <w:ind w:left="80"/>
              <w:spacing w:after="0" w:line="202" w:lineRule="exact"/>
              <w:rPr>
                <w:sz w:val="20"/>
                <w:szCs w:val="20"/>
                <w:color w:val="auto"/>
              </w:rPr>
            </w:pPr>
            <w:r>
              <w:rPr>
                <w:rFonts w:ascii="Arial" w:cs="Arial" w:eastAsia="Arial" w:hAnsi="Arial"/>
                <w:sz w:val="18"/>
                <w:szCs w:val="18"/>
                <w:color w:val="auto"/>
              </w:rPr>
              <w:t>Other noncurrent liabilities</w:t>
            </w:r>
          </w:p>
        </w:tc>
        <w:tc>
          <w:tcPr>
            <w:tcW w:w="920" w:type="dxa"/>
            <w:vAlign w:val="bottom"/>
          </w:tcPr>
          <w:p>
            <w:pPr>
              <w:spacing w:after="0"/>
              <w:rPr>
                <w:sz w:val="17"/>
                <w:szCs w:val="17"/>
                <w:color w:val="auto"/>
              </w:rPr>
            </w:pPr>
          </w:p>
        </w:tc>
        <w:tc>
          <w:tcPr>
            <w:tcW w:w="16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98,589</w:t>
            </w:r>
          </w:p>
        </w:tc>
        <w:tc>
          <w:tcPr>
            <w:tcW w:w="24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103,079</w:t>
            </w:r>
          </w:p>
        </w:tc>
      </w:tr>
      <w:tr>
        <w:trPr>
          <w:trHeight w:val="203"/>
        </w:trPr>
        <w:tc>
          <w:tcPr>
            <w:tcW w:w="20" w:type="dxa"/>
            <w:vAlign w:val="bottom"/>
          </w:tcPr>
          <w:p>
            <w:pPr>
              <w:spacing w:after="0"/>
              <w:rPr>
                <w:sz w:val="17"/>
                <w:szCs w:val="17"/>
                <w:color w:val="auto"/>
              </w:rPr>
            </w:pPr>
          </w:p>
        </w:tc>
        <w:tc>
          <w:tcPr>
            <w:tcW w:w="6380" w:type="dxa"/>
            <w:vAlign w:val="bottom"/>
            <w:tcBorders>
              <w:bottom w:val="single" w:sz="8" w:color="auto"/>
            </w:tcBorders>
            <w:shd w:val="clear" w:color="auto" w:fill="BFBFBF"/>
          </w:tcPr>
          <w:p>
            <w:pPr>
              <w:ind w:left="80"/>
              <w:spacing w:after="0" w:line="202" w:lineRule="exact"/>
              <w:rPr>
                <w:sz w:val="20"/>
                <w:szCs w:val="20"/>
                <w:color w:val="auto"/>
              </w:rPr>
            </w:pPr>
            <w:r>
              <w:rPr>
                <w:rFonts w:ascii="Arial" w:cs="Arial" w:eastAsia="Arial" w:hAnsi="Arial"/>
                <w:sz w:val="18"/>
                <w:szCs w:val="18"/>
                <w:color w:val="auto"/>
              </w:rPr>
              <w:t>Deferred taxes and other credits</w:t>
            </w:r>
          </w:p>
        </w:tc>
        <w:tc>
          <w:tcPr>
            <w:tcW w:w="920" w:type="dxa"/>
            <w:vAlign w:val="bottom"/>
            <w:tcBorders>
              <w:bottom w:val="single" w:sz="8" w:color="auto"/>
            </w:tcBorders>
            <w:shd w:val="clear" w:color="auto" w:fill="BFBFBF"/>
          </w:tcPr>
          <w:p>
            <w:pPr>
              <w:spacing w:after="0"/>
              <w:rPr>
                <w:sz w:val="17"/>
                <w:szCs w:val="17"/>
                <w:color w:val="auto"/>
              </w:rPr>
            </w:pPr>
          </w:p>
        </w:tc>
        <w:tc>
          <w:tcPr>
            <w:tcW w:w="1620" w:type="dxa"/>
            <w:vAlign w:val="bottom"/>
            <w:tcBorders>
              <w:bottom w:val="single" w:sz="8" w:color="auto"/>
            </w:tcBorders>
            <w:shd w:val="clear" w:color="auto" w:fill="C0C0C0"/>
          </w:tcPr>
          <w:p>
            <w:pPr>
              <w:jc w:val="right"/>
              <w:ind w:right="30"/>
              <w:spacing w:after="0" w:line="202" w:lineRule="exact"/>
              <w:rPr>
                <w:sz w:val="20"/>
                <w:szCs w:val="20"/>
                <w:color w:val="auto"/>
              </w:rPr>
            </w:pPr>
            <w:r>
              <w:rPr>
                <w:rFonts w:ascii="Arial" w:cs="Arial" w:eastAsia="Arial" w:hAnsi="Arial"/>
                <w:sz w:val="18"/>
                <w:szCs w:val="18"/>
                <w:color w:val="auto"/>
              </w:rPr>
              <w:t>6,783</w:t>
            </w:r>
          </w:p>
        </w:tc>
        <w:tc>
          <w:tcPr>
            <w:tcW w:w="900" w:type="dxa"/>
            <w:vAlign w:val="bottom"/>
            <w:tcBorders>
              <w:bottom w:val="single" w:sz="8" w:color="auto"/>
            </w:tcBorders>
            <w:shd w:val="clear" w:color="auto" w:fill="BFBFBF"/>
          </w:tcPr>
          <w:p>
            <w:pPr>
              <w:spacing w:after="0"/>
              <w:rPr>
                <w:sz w:val="17"/>
                <w:szCs w:val="17"/>
                <w:color w:val="auto"/>
              </w:rPr>
            </w:pPr>
          </w:p>
        </w:tc>
        <w:tc>
          <w:tcPr>
            <w:tcW w:w="1580" w:type="dxa"/>
            <w:vAlign w:val="bottom"/>
            <w:tcBorders>
              <w:bottom w:val="single" w:sz="8" w:color="auto"/>
            </w:tcBorders>
            <w:shd w:val="clear" w:color="auto" w:fill="C0C0C0"/>
          </w:tcPr>
          <w:p>
            <w:pPr>
              <w:jc w:val="right"/>
              <w:ind w:right="10"/>
              <w:spacing w:after="0" w:line="202" w:lineRule="exact"/>
              <w:rPr>
                <w:sz w:val="20"/>
                <w:szCs w:val="20"/>
                <w:color w:val="auto"/>
              </w:rPr>
            </w:pPr>
            <w:r>
              <w:rPr>
                <w:rFonts w:ascii="Arial" w:cs="Arial" w:eastAsia="Arial" w:hAnsi="Arial"/>
                <w:sz w:val="18"/>
                <w:szCs w:val="18"/>
                <w:color w:val="auto"/>
              </w:rPr>
              <w:t>7,163</w:t>
            </w:r>
          </w:p>
        </w:tc>
      </w:tr>
      <w:tr>
        <w:trPr>
          <w:trHeight w:val="196"/>
        </w:trPr>
        <w:tc>
          <w:tcPr>
            <w:tcW w:w="20" w:type="dxa"/>
            <w:vAlign w:val="bottom"/>
          </w:tcPr>
          <w:p>
            <w:pPr>
              <w:spacing w:after="0"/>
              <w:rPr>
                <w:sz w:val="17"/>
                <w:szCs w:val="17"/>
                <w:color w:val="auto"/>
              </w:rPr>
            </w:pPr>
          </w:p>
        </w:tc>
        <w:tc>
          <w:tcPr>
            <w:tcW w:w="6380" w:type="dxa"/>
            <w:vAlign w:val="bottom"/>
            <w:tcBorders>
              <w:bottom w:val="single" w:sz="8" w:color="auto"/>
            </w:tcBorders>
          </w:tcPr>
          <w:p>
            <w:pPr>
              <w:ind w:left="280"/>
              <w:spacing w:after="0" w:line="196" w:lineRule="exact"/>
              <w:rPr>
                <w:sz w:val="20"/>
                <w:szCs w:val="20"/>
                <w:color w:val="auto"/>
              </w:rPr>
            </w:pPr>
            <w:r>
              <w:rPr>
                <w:rFonts w:ascii="Arial" w:cs="Arial" w:eastAsia="Arial" w:hAnsi="Arial"/>
                <w:sz w:val="18"/>
                <w:szCs w:val="18"/>
                <w:color w:val="auto"/>
              </w:rPr>
              <w:t>Total liabilities</w:t>
            </w:r>
          </w:p>
        </w:tc>
        <w:tc>
          <w:tcPr>
            <w:tcW w:w="9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531,562</w:t>
            </w:r>
          </w:p>
        </w:tc>
        <w:tc>
          <w:tcPr>
            <w:tcW w:w="9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515,736</w:t>
            </w:r>
          </w:p>
        </w:tc>
      </w:tr>
      <w:tr>
        <w:trPr>
          <w:trHeight w:val="376"/>
        </w:trPr>
        <w:tc>
          <w:tcPr>
            <w:tcW w:w="640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9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6380" w:type="dxa"/>
            <w:vAlign w:val="bottom"/>
          </w:tcPr>
          <w:p>
            <w:pPr>
              <w:ind w:left="80"/>
              <w:spacing w:after="0" w:line="202" w:lineRule="exact"/>
              <w:rPr>
                <w:sz w:val="20"/>
                <w:szCs w:val="20"/>
                <w:color w:val="auto"/>
              </w:rPr>
            </w:pPr>
            <w:r>
              <w:rPr>
                <w:rFonts w:ascii="Arial" w:cs="Arial" w:eastAsia="Arial" w:hAnsi="Arial"/>
                <w:sz w:val="18"/>
                <w:szCs w:val="18"/>
                <w:color w:val="auto"/>
              </w:rPr>
              <w:t>Preferred stock, par value $5.00 per share;</w:t>
            </w:r>
          </w:p>
        </w:tc>
        <w:tc>
          <w:tcPr>
            <w:tcW w:w="9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authorized 2,000,000 shares; none issued</w:t>
            </w:r>
          </w:p>
        </w:tc>
        <w:tc>
          <w:tcPr>
            <w:tcW w:w="920" w:type="dxa"/>
            <w:vAlign w:val="bottom"/>
          </w:tcPr>
          <w:p>
            <w:pPr>
              <w:spacing w:after="0"/>
              <w:rPr>
                <w:sz w:val="19"/>
                <w:szCs w:val="19"/>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180"/>
        </w:trPr>
        <w:tc>
          <w:tcPr>
            <w:tcW w:w="20" w:type="dxa"/>
            <w:vAlign w:val="bottom"/>
          </w:tcPr>
          <w:p>
            <w:pPr>
              <w:spacing w:after="0"/>
              <w:rPr>
                <w:sz w:val="15"/>
                <w:szCs w:val="15"/>
                <w:color w:val="auto"/>
              </w:rPr>
            </w:pPr>
          </w:p>
        </w:tc>
        <w:tc>
          <w:tcPr>
            <w:tcW w:w="6380" w:type="dxa"/>
            <w:vAlign w:val="bottom"/>
            <w:shd w:val="clear" w:color="auto" w:fill="BFBFBF"/>
          </w:tcPr>
          <w:p>
            <w:pPr>
              <w:ind w:left="80"/>
              <w:spacing w:after="0" w:line="180" w:lineRule="exact"/>
              <w:rPr>
                <w:sz w:val="20"/>
                <w:szCs w:val="20"/>
                <w:color w:val="auto"/>
              </w:rPr>
            </w:pPr>
            <w:r>
              <w:rPr>
                <w:rFonts w:ascii="Arial" w:cs="Arial" w:eastAsia="Arial" w:hAnsi="Arial"/>
                <w:sz w:val="18"/>
                <w:szCs w:val="18"/>
                <w:color w:val="auto"/>
              </w:rPr>
              <w:t>Class A Common Stock, par value $.001 per share;</w:t>
            </w:r>
          </w:p>
        </w:tc>
        <w:tc>
          <w:tcPr>
            <w:tcW w:w="920" w:type="dxa"/>
            <w:vAlign w:val="bottom"/>
            <w:shd w:val="clear" w:color="auto" w:fill="BFBFBF"/>
          </w:tcPr>
          <w:p>
            <w:pPr>
              <w:spacing w:after="0"/>
              <w:rPr>
                <w:sz w:val="15"/>
                <w:szCs w:val="15"/>
                <w:color w:val="auto"/>
              </w:rPr>
            </w:pPr>
          </w:p>
        </w:tc>
        <w:tc>
          <w:tcPr>
            <w:tcW w:w="1620" w:type="dxa"/>
            <w:vAlign w:val="bottom"/>
            <w:shd w:val="clear" w:color="auto" w:fill="BFBFBF"/>
          </w:tcPr>
          <w:p>
            <w:pPr>
              <w:spacing w:after="0"/>
              <w:rPr>
                <w:sz w:val="15"/>
                <w:szCs w:val="15"/>
                <w:color w:val="auto"/>
              </w:rPr>
            </w:pPr>
          </w:p>
        </w:tc>
        <w:tc>
          <w:tcPr>
            <w:tcW w:w="900" w:type="dxa"/>
            <w:vAlign w:val="bottom"/>
            <w:shd w:val="clear" w:color="auto" w:fill="BFBFBF"/>
          </w:tcPr>
          <w:p>
            <w:pPr>
              <w:spacing w:after="0"/>
              <w:rPr>
                <w:sz w:val="15"/>
                <w:szCs w:val="15"/>
                <w:color w:val="auto"/>
              </w:rPr>
            </w:pPr>
          </w:p>
        </w:tc>
        <w:tc>
          <w:tcPr>
            <w:tcW w:w="1580" w:type="dxa"/>
            <w:vAlign w:val="bottom"/>
            <w:shd w:val="clear" w:color="auto" w:fill="BFBFBF"/>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BFBFBF"/>
          </w:tcPr>
          <w:p>
            <w:pPr>
              <w:ind w:left="180"/>
              <w:spacing w:after="0" w:line="202" w:lineRule="exact"/>
              <w:rPr>
                <w:sz w:val="20"/>
                <w:szCs w:val="20"/>
                <w:color w:val="auto"/>
              </w:rPr>
            </w:pPr>
            <w:r>
              <w:rPr>
                <w:rFonts w:ascii="Arial" w:cs="Arial" w:eastAsia="Arial" w:hAnsi="Arial"/>
                <w:sz w:val="18"/>
                <w:szCs w:val="18"/>
                <w:color w:val="auto"/>
              </w:rPr>
              <w:t>authorized 100,000,000 shares; issued 37,230,013</w:t>
            </w:r>
          </w:p>
        </w:tc>
        <w:tc>
          <w:tcPr>
            <w:tcW w:w="920" w:type="dxa"/>
            <w:vAlign w:val="bottom"/>
            <w:shd w:val="clear" w:color="auto" w:fill="BFBFBF"/>
          </w:tcPr>
          <w:p>
            <w:pPr>
              <w:spacing w:after="0"/>
              <w:rPr>
                <w:sz w:val="17"/>
                <w:szCs w:val="17"/>
                <w:color w:val="auto"/>
              </w:rPr>
            </w:pPr>
          </w:p>
        </w:tc>
        <w:tc>
          <w:tcPr>
            <w:tcW w:w="1620" w:type="dxa"/>
            <w:vAlign w:val="bottom"/>
            <w:shd w:val="clear" w:color="auto" w:fill="BFBFBF"/>
          </w:tcPr>
          <w:p>
            <w:pPr>
              <w:spacing w:after="0"/>
              <w:rPr>
                <w:sz w:val="17"/>
                <w:szCs w:val="17"/>
                <w:color w:val="auto"/>
              </w:rPr>
            </w:pPr>
          </w:p>
        </w:tc>
        <w:tc>
          <w:tcPr>
            <w:tcW w:w="900" w:type="dxa"/>
            <w:vAlign w:val="bottom"/>
            <w:shd w:val="clear" w:color="auto" w:fill="BFBFBF"/>
          </w:tcPr>
          <w:p>
            <w:pPr>
              <w:spacing w:after="0"/>
              <w:rPr>
                <w:sz w:val="17"/>
                <w:szCs w:val="17"/>
                <w:color w:val="auto"/>
              </w:rPr>
            </w:pPr>
          </w:p>
        </w:tc>
        <w:tc>
          <w:tcPr>
            <w:tcW w:w="1580" w:type="dxa"/>
            <w:vAlign w:val="bottom"/>
            <w:shd w:val="clear" w:color="auto" w:fill="BFBFBF"/>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6380" w:type="dxa"/>
            <w:vAlign w:val="bottom"/>
            <w:shd w:val="clear" w:color="auto" w:fill="BFBFBF"/>
          </w:tcPr>
          <w:p>
            <w:pPr>
              <w:ind w:left="240"/>
              <w:spacing w:after="0"/>
              <w:rPr>
                <w:sz w:val="20"/>
                <w:szCs w:val="20"/>
                <w:color w:val="auto"/>
              </w:rPr>
            </w:pPr>
            <w:r>
              <w:rPr>
                <w:rFonts w:ascii="Arial" w:cs="Arial" w:eastAsia="Arial" w:hAnsi="Arial"/>
                <w:sz w:val="18"/>
                <w:szCs w:val="18"/>
                <w:color w:val="auto"/>
              </w:rPr>
              <w:t>in 2015 and 37,085,489 in 2014</w:t>
            </w:r>
          </w:p>
        </w:tc>
        <w:tc>
          <w:tcPr>
            <w:tcW w:w="920" w:type="dxa"/>
            <w:vAlign w:val="bottom"/>
            <w:shd w:val="clear" w:color="auto" w:fill="BFBFBF"/>
          </w:tcPr>
          <w:p>
            <w:pPr>
              <w:spacing w:after="0"/>
              <w:rPr>
                <w:sz w:val="19"/>
                <w:szCs w:val="19"/>
                <w:color w:val="auto"/>
              </w:rPr>
            </w:pPr>
          </w:p>
        </w:tc>
        <w:tc>
          <w:tcPr>
            <w:tcW w:w="1620" w:type="dxa"/>
            <w:vAlign w:val="bottom"/>
            <w:shd w:val="clear" w:color="auto" w:fill="BFBFBF"/>
          </w:tcPr>
          <w:p>
            <w:pPr>
              <w:jc w:val="right"/>
              <w:ind w:right="30"/>
              <w:spacing w:after="0"/>
              <w:rPr>
                <w:sz w:val="20"/>
                <w:szCs w:val="20"/>
                <w:color w:val="auto"/>
              </w:rPr>
            </w:pPr>
            <w:r>
              <w:rPr>
                <w:rFonts w:ascii="Arial" w:cs="Arial" w:eastAsia="Arial" w:hAnsi="Arial"/>
                <w:sz w:val="18"/>
                <w:szCs w:val="18"/>
                <w:color w:val="auto"/>
              </w:rPr>
              <w:t>37</w:t>
            </w:r>
          </w:p>
        </w:tc>
        <w:tc>
          <w:tcPr>
            <w:tcW w:w="2480" w:type="dxa"/>
            <w:vAlign w:val="bottom"/>
            <w:gridSpan w:val="2"/>
            <w:shd w:val="clear" w:color="auto" w:fill="BFBFBF"/>
          </w:tcPr>
          <w:p>
            <w:pPr>
              <w:jc w:val="right"/>
              <w:ind w:right="10"/>
              <w:spacing w:after="0"/>
              <w:rPr>
                <w:sz w:val="20"/>
                <w:szCs w:val="20"/>
                <w:color w:val="auto"/>
              </w:rPr>
            </w:pPr>
            <w:r>
              <w:rPr>
                <w:rFonts w:ascii="Arial" w:cs="Arial" w:eastAsia="Arial" w:hAnsi="Arial"/>
                <w:sz w:val="18"/>
                <w:szCs w:val="18"/>
                <w:color w:val="auto"/>
              </w:rPr>
              <w:t>37</w:t>
            </w:r>
          </w:p>
        </w:tc>
      </w:tr>
      <w:tr>
        <w:trPr>
          <w:trHeight w:val="180"/>
        </w:trPr>
        <w:tc>
          <w:tcPr>
            <w:tcW w:w="20" w:type="dxa"/>
            <w:vAlign w:val="bottom"/>
          </w:tcPr>
          <w:p>
            <w:pPr>
              <w:spacing w:after="0"/>
              <w:rPr>
                <w:sz w:val="15"/>
                <w:szCs w:val="15"/>
                <w:color w:val="auto"/>
              </w:rPr>
            </w:pPr>
          </w:p>
        </w:tc>
        <w:tc>
          <w:tcPr>
            <w:tcW w:w="6380" w:type="dxa"/>
            <w:vAlign w:val="bottom"/>
          </w:tcPr>
          <w:p>
            <w:pPr>
              <w:ind w:left="80"/>
              <w:spacing w:after="0" w:line="180" w:lineRule="exact"/>
              <w:rPr>
                <w:sz w:val="20"/>
                <w:szCs w:val="20"/>
                <w:color w:val="auto"/>
              </w:rPr>
            </w:pPr>
            <w:r>
              <w:rPr>
                <w:rFonts w:ascii="Arial" w:cs="Arial" w:eastAsia="Arial" w:hAnsi="Arial"/>
                <w:sz w:val="18"/>
                <w:szCs w:val="18"/>
                <w:color w:val="auto"/>
              </w:rPr>
              <w:t>Class B Common Stock, par value $.001 per share;</w:t>
            </w:r>
          </w:p>
        </w:tc>
        <w:tc>
          <w:tcPr>
            <w:tcW w:w="9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6380" w:type="dxa"/>
            <w:vAlign w:val="bottom"/>
          </w:tcPr>
          <w:p>
            <w:pPr>
              <w:ind w:left="180"/>
              <w:spacing w:after="0" w:line="202" w:lineRule="exact"/>
              <w:rPr>
                <w:sz w:val="20"/>
                <w:szCs w:val="20"/>
                <w:color w:val="auto"/>
              </w:rPr>
            </w:pPr>
            <w:r>
              <w:rPr>
                <w:rFonts w:ascii="Arial" w:cs="Arial" w:eastAsia="Arial" w:hAnsi="Arial"/>
                <w:sz w:val="18"/>
                <w:szCs w:val="18"/>
                <w:color w:val="auto"/>
              </w:rPr>
              <w:t>authorized 25,000,000 shares; issued and</w:t>
            </w:r>
          </w:p>
        </w:tc>
        <w:tc>
          <w:tcPr>
            <w:tcW w:w="9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6380" w:type="dxa"/>
            <w:vAlign w:val="bottom"/>
          </w:tcPr>
          <w:p>
            <w:pPr>
              <w:ind w:left="180"/>
              <w:spacing w:after="0"/>
              <w:rPr>
                <w:sz w:val="20"/>
                <w:szCs w:val="20"/>
                <w:color w:val="auto"/>
              </w:rPr>
            </w:pPr>
            <w:r>
              <w:rPr>
                <w:rFonts w:ascii="Arial" w:cs="Arial" w:eastAsia="Arial" w:hAnsi="Arial"/>
                <w:sz w:val="18"/>
                <w:szCs w:val="18"/>
                <w:color w:val="auto"/>
              </w:rPr>
              <w:t>outstanding 3,235,048 in 2015 and 2014</w:t>
            </w:r>
          </w:p>
        </w:tc>
        <w:tc>
          <w:tcPr>
            <w:tcW w:w="2540" w:type="dxa"/>
            <w:vAlign w:val="bottom"/>
            <w:gridSpan w:val="2"/>
          </w:tcPr>
          <w:p>
            <w:pPr>
              <w:jc w:val="right"/>
              <w:ind w:right="30"/>
              <w:spacing w:after="0"/>
              <w:rPr>
                <w:sz w:val="20"/>
                <w:szCs w:val="20"/>
                <w:color w:val="auto"/>
              </w:rPr>
            </w:pPr>
            <w:r>
              <w:rPr>
                <w:rFonts w:ascii="Arial" w:cs="Arial" w:eastAsia="Arial" w:hAnsi="Arial"/>
                <w:sz w:val="18"/>
                <w:szCs w:val="18"/>
                <w:color w:val="auto"/>
              </w:rPr>
              <w:t>3</w:t>
            </w:r>
          </w:p>
        </w:tc>
        <w:tc>
          <w:tcPr>
            <w:tcW w:w="2480" w:type="dxa"/>
            <w:vAlign w:val="bottom"/>
            <w:gridSpan w:val="2"/>
          </w:tcPr>
          <w:p>
            <w:pPr>
              <w:jc w:val="right"/>
              <w:ind w:right="10"/>
              <w:spacing w:after="0"/>
              <w:rPr>
                <w:sz w:val="20"/>
                <w:szCs w:val="20"/>
                <w:color w:val="auto"/>
              </w:rPr>
            </w:pPr>
            <w:r>
              <w:rPr>
                <w:rFonts w:ascii="Arial" w:cs="Arial" w:eastAsia="Arial" w:hAnsi="Arial"/>
                <w:sz w:val="18"/>
                <w:szCs w:val="18"/>
                <w:color w:val="auto"/>
              </w:rPr>
              <w:t>3</w:t>
            </w:r>
          </w:p>
        </w:tc>
      </w:tr>
      <w:tr>
        <w:trPr>
          <w:trHeight w:val="203"/>
        </w:trPr>
        <w:tc>
          <w:tcPr>
            <w:tcW w:w="20" w:type="dxa"/>
            <w:vAlign w:val="bottom"/>
          </w:tcPr>
          <w:p>
            <w:pPr>
              <w:spacing w:after="0"/>
              <w:rPr>
                <w:sz w:val="17"/>
                <w:szCs w:val="17"/>
                <w:color w:val="auto"/>
              </w:rPr>
            </w:pPr>
          </w:p>
        </w:tc>
        <w:tc>
          <w:tcPr>
            <w:tcW w:w="6380" w:type="dxa"/>
            <w:vAlign w:val="bottom"/>
            <w:shd w:val="clear" w:color="auto" w:fill="BFBFBF"/>
          </w:tcPr>
          <w:p>
            <w:pPr>
              <w:ind w:left="80"/>
              <w:spacing w:after="0" w:line="202" w:lineRule="exact"/>
              <w:rPr>
                <w:sz w:val="20"/>
                <w:szCs w:val="20"/>
                <w:color w:val="auto"/>
              </w:rPr>
            </w:pPr>
            <w:r>
              <w:rPr>
                <w:rFonts w:ascii="Arial" w:cs="Arial" w:eastAsia="Arial" w:hAnsi="Arial"/>
                <w:sz w:val="18"/>
                <w:szCs w:val="18"/>
                <w:color w:val="auto"/>
              </w:rPr>
              <w:t>Additional paid in capital</w:t>
            </w:r>
          </w:p>
        </w:tc>
        <w:tc>
          <w:tcPr>
            <w:tcW w:w="2540" w:type="dxa"/>
            <w:vAlign w:val="bottom"/>
            <w:gridSpan w:val="2"/>
            <w:shd w:val="clear" w:color="auto" w:fill="BFBFBF"/>
          </w:tcPr>
          <w:p>
            <w:pPr>
              <w:jc w:val="right"/>
              <w:ind w:right="30"/>
              <w:spacing w:after="0" w:line="202" w:lineRule="exact"/>
              <w:rPr>
                <w:sz w:val="20"/>
                <w:szCs w:val="20"/>
                <w:color w:val="auto"/>
              </w:rPr>
            </w:pPr>
            <w:r>
              <w:rPr>
                <w:rFonts w:ascii="Arial" w:cs="Arial" w:eastAsia="Arial" w:hAnsi="Arial"/>
                <w:sz w:val="18"/>
                <w:szCs w:val="18"/>
                <w:color w:val="auto"/>
              </w:rPr>
              <w:t>422,204</w:t>
            </w:r>
          </w:p>
        </w:tc>
        <w:tc>
          <w:tcPr>
            <w:tcW w:w="2480" w:type="dxa"/>
            <w:vAlign w:val="bottom"/>
            <w:gridSpan w:val="2"/>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418,972</w:t>
            </w:r>
          </w:p>
        </w:tc>
      </w:tr>
      <w:tr>
        <w:trPr>
          <w:trHeight w:val="180"/>
        </w:trPr>
        <w:tc>
          <w:tcPr>
            <w:tcW w:w="20" w:type="dxa"/>
            <w:vAlign w:val="bottom"/>
          </w:tcPr>
          <w:p>
            <w:pPr>
              <w:spacing w:after="0"/>
              <w:rPr>
                <w:sz w:val="15"/>
                <w:szCs w:val="15"/>
                <w:color w:val="auto"/>
              </w:rPr>
            </w:pPr>
          </w:p>
        </w:tc>
        <w:tc>
          <w:tcPr>
            <w:tcW w:w="6380" w:type="dxa"/>
            <w:vAlign w:val="bottom"/>
          </w:tcPr>
          <w:p>
            <w:pPr>
              <w:ind w:left="80"/>
              <w:spacing w:after="0" w:line="180" w:lineRule="exact"/>
              <w:rPr>
                <w:sz w:val="20"/>
                <w:szCs w:val="20"/>
                <w:color w:val="auto"/>
              </w:rPr>
            </w:pPr>
            <w:r>
              <w:rPr>
                <w:rFonts w:ascii="Arial" w:cs="Arial" w:eastAsia="Arial" w:hAnsi="Arial"/>
                <w:sz w:val="18"/>
                <w:szCs w:val="18"/>
                <w:color w:val="auto"/>
              </w:rPr>
              <w:t>Retained earnings</w:t>
            </w:r>
          </w:p>
        </w:tc>
        <w:tc>
          <w:tcPr>
            <w:tcW w:w="2540" w:type="dxa"/>
            <w:vAlign w:val="bottom"/>
            <w:gridSpan w:val="2"/>
          </w:tcPr>
          <w:p>
            <w:pPr>
              <w:jc w:val="right"/>
              <w:ind w:right="30"/>
              <w:spacing w:after="0" w:line="180" w:lineRule="exact"/>
              <w:rPr>
                <w:sz w:val="20"/>
                <w:szCs w:val="20"/>
                <w:color w:val="auto"/>
              </w:rPr>
            </w:pPr>
            <w:r>
              <w:rPr>
                <w:rFonts w:ascii="Arial" w:cs="Arial" w:eastAsia="Arial" w:hAnsi="Arial"/>
                <w:sz w:val="18"/>
                <w:szCs w:val="18"/>
                <w:color w:val="auto"/>
              </w:rPr>
              <w:t>455,597</w:t>
            </w:r>
          </w:p>
        </w:tc>
        <w:tc>
          <w:tcPr>
            <w:tcW w:w="2480" w:type="dxa"/>
            <w:vAlign w:val="bottom"/>
            <w:gridSpan w:val="2"/>
          </w:tcPr>
          <w:p>
            <w:pPr>
              <w:jc w:val="right"/>
              <w:ind w:right="10"/>
              <w:spacing w:after="0" w:line="180" w:lineRule="exact"/>
              <w:rPr>
                <w:sz w:val="20"/>
                <w:szCs w:val="20"/>
                <w:color w:val="auto"/>
              </w:rPr>
            </w:pPr>
            <w:r>
              <w:rPr>
                <w:rFonts w:ascii="Arial" w:cs="Arial" w:eastAsia="Arial" w:hAnsi="Arial"/>
                <w:sz w:val="18"/>
                <w:szCs w:val="18"/>
                <w:color w:val="auto"/>
              </w:rPr>
              <w:t>456,105</w:t>
            </w:r>
          </w:p>
        </w:tc>
      </w:tr>
      <w:tr>
        <w:trPr>
          <w:trHeight w:val="225"/>
        </w:trPr>
        <w:tc>
          <w:tcPr>
            <w:tcW w:w="20" w:type="dxa"/>
            <w:vAlign w:val="bottom"/>
          </w:tcPr>
          <w:p>
            <w:pPr>
              <w:spacing w:after="0"/>
              <w:rPr>
                <w:sz w:val="19"/>
                <w:szCs w:val="19"/>
                <w:color w:val="auto"/>
              </w:rPr>
            </w:pPr>
          </w:p>
        </w:tc>
        <w:tc>
          <w:tcPr>
            <w:tcW w:w="6380" w:type="dxa"/>
            <w:vAlign w:val="bottom"/>
          </w:tcPr>
          <w:p>
            <w:pPr>
              <w:ind w:left="80"/>
              <w:spacing w:after="0"/>
              <w:rPr>
                <w:sz w:val="20"/>
                <w:szCs w:val="20"/>
                <w:color w:val="auto"/>
              </w:rPr>
            </w:pPr>
            <w:r>
              <w:rPr>
                <w:rFonts w:ascii="Arial" w:cs="Arial" w:eastAsia="Arial" w:hAnsi="Arial"/>
                <w:sz w:val="18"/>
                <w:szCs w:val="18"/>
                <w:color w:val="auto"/>
              </w:rPr>
              <w:t>Accumulated items of other comprehensive income:</w:t>
            </w:r>
          </w:p>
        </w:tc>
        <w:tc>
          <w:tcPr>
            <w:tcW w:w="9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BFBFBF"/>
          </w:tcPr>
          <w:p>
            <w:pPr>
              <w:ind w:left="180"/>
              <w:spacing w:after="0" w:line="202" w:lineRule="exact"/>
              <w:rPr>
                <w:sz w:val="20"/>
                <w:szCs w:val="20"/>
                <w:color w:val="auto"/>
              </w:rPr>
            </w:pPr>
            <w:r>
              <w:rPr>
                <w:rFonts w:ascii="Arial" w:cs="Arial" w:eastAsia="Arial" w:hAnsi="Arial"/>
                <w:sz w:val="18"/>
                <w:szCs w:val="18"/>
                <w:color w:val="auto"/>
              </w:rPr>
              <w:t>Translation adjustments</w:t>
            </w:r>
          </w:p>
        </w:tc>
        <w:tc>
          <w:tcPr>
            <w:tcW w:w="254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(81,263)</w:t>
            </w:r>
          </w:p>
        </w:tc>
        <w:tc>
          <w:tcPr>
            <w:tcW w:w="248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(55,240)</w:t>
            </w:r>
          </w:p>
        </w:tc>
      </w:tr>
      <w:tr>
        <w:trPr>
          <w:trHeight w:val="203"/>
        </w:trPr>
        <w:tc>
          <w:tcPr>
            <w:tcW w:w="20" w:type="dxa"/>
            <w:vAlign w:val="bottom"/>
          </w:tcPr>
          <w:p>
            <w:pPr>
              <w:spacing w:after="0"/>
              <w:rPr>
                <w:sz w:val="17"/>
                <w:szCs w:val="17"/>
                <w:color w:val="auto"/>
              </w:rPr>
            </w:pPr>
          </w:p>
        </w:tc>
        <w:tc>
          <w:tcPr>
            <w:tcW w:w="6380" w:type="dxa"/>
            <w:vAlign w:val="bottom"/>
          </w:tcPr>
          <w:p>
            <w:pPr>
              <w:ind w:left="180"/>
              <w:spacing w:after="0" w:line="202" w:lineRule="exact"/>
              <w:rPr>
                <w:sz w:val="20"/>
                <w:szCs w:val="20"/>
                <w:color w:val="auto"/>
              </w:rPr>
            </w:pPr>
            <w:r>
              <w:rPr>
                <w:rFonts w:ascii="Arial" w:cs="Arial" w:eastAsia="Arial" w:hAnsi="Arial"/>
                <w:sz w:val="18"/>
                <w:szCs w:val="18"/>
                <w:color w:val="auto"/>
              </w:rPr>
              <w:t>Pension and postretirement liability adjustments</w:t>
            </w:r>
          </w:p>
        </w:tc>
        <w:tc>
          <w:tcPr>
            <w:tcW w:w="2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(50,056)</w:t>
            </w:r>
          </w:p>
        </w:tc>
        <w:tc>
          <w:tcPr>
            <w:tcW w:w="2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(51,666)</w:t>
            </w:r>
          </w:p>
        </w:tc>
      </w:tr>
      <w:tr>
        <w:trPr>
          <w:trHeight w:val="203"/>
        </w:trPr>
        <w:tc>
          <w:tcPr>
            <w:tcW w:w="20" w:type="dxa"/>
            <w:vAlign w:val="bottom"/>
          </w:tcPr>
          <w:p>
            <w:pPr>
              <w:spacing w:after="0"/>
              <w:rPr>
                <w:sz w:val="17"/>
                <w:szCs w:val="17"/>
                <w:color w:val="auto"/>
              </w:rPr>
            </w:pPr>
          </w:p>
        </w:tc>
        <w:tc>
          <w:tcPr>
            <w:tcW w:w="6380" w:type="dxa"/>
            <w:vAlign w:val="bottom"/>
            <w:shd w:val="clear" w:color="auto" w:fill="BFBFBF"/>
          </w:tcPr>
          <w:p>
            <w:pPr>
              <w:ind w:left="180"/>
              <w:spacing w:after="0" w:line="202" w:lineRule="exact"/>
              <w:rPr>
                <w:sz w:val="20"/>
                <w:szCs w:val="20"/>
                <w:color w:val="auto"/>
              </w:rPr>
            </w:pPr>
            <w:r>
              <w:rPr>
                <w:rFonts w:ascii="Arial" w:cs="Arial" w:eastAsia="Arial" w:hAnsi="Arial"/>
                <w:sz w:val="18"/>
                <w:szCs w:val="18"/>
                <w:color w:val="auto"/>
              </w:rPr>
              <w:t>Derivative valuation adjustment</w:t>
            </w:r>
          </w:p>
        </w:tc>
        <w:tc>
          <w:tcPr>
            <w:tcW w:w="254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(1,024)</w:t>
            </w:r>
          </w:p>
        </w:tc>
        <w:tc>
          <w:tcPr>
            <w:tcW w:w="248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(861)</w:t>
            </w:r>
          </w:p>
        </w:tc>
      </w:tr>
      <w:tr>
        <w:trPr>
          <w:trHeight w:val="180"/>
        </w:trPr>
        <w:tc>
          <w:tcPr>
            <w:tcW w:w="20" w:type="dxa"/>
            <w:vAlign w:val="bottom"/>
          </w:tcPr>
          <w:p>
            <w:pPr>
              <w:spacing w:after="0"/>
              <w:rPr>
                <w:sz w:val="15"/>
                <w:szCs w:val="15"/>
                <w:color w:val="auto"/>
              </w:rPr>
            </w:pPr>
          </w:p>
        </w:tc>
        <w:tc>
          <w:tcPr>
            <w:tcW w:w="6380" w:type="dxa"/>
            <w:vAlign w:val="bottom"/>
          </w:tcPr>
          <w:p>
            <w:pPr>
              <w:ind w:left="80"/>
              <w:spacing w:after="0" w:line="180" w:lineRule="exact"/>
              <w:rPr>
                <w:sz w:val="20"/>
                <w:szCs w:val="20"/>
                <w:color w:val="auto"/>
              </w:rPr>
            </w:pPr>
            <w:r>
              <w:rPr>
                <w:rFonts w:ascii="Arial" w:cs="Arial" w:eastAsia="Arial" w:hAnsi="Arial"/>
                <w:sz w:val="18"/>
                <w:szCs w:val="18"/>
                <w:color w:val="auto"/>
              </w:rPr>
              <w:t>Treasury stock (Class A), at cost 8,455,293 shares</w:t>
            </w:r>
          </w:p>
        </w:tc>
        <w:tc>
          <w:tcPr>
            <w:tcW w:w="9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25"/>
        </w:trPr>
        <w:tc>
          <w:tcPr>
            <w:tcW w:w="20" w:type="dxa"/>
            <w:vAlign w:val="bottom"/>
          </w:tcPr>
          <w:p>
            <w:pPr>
              <w:spacing w:after="0"/>
              <w:rPr>
                <w:sz w:val="19"/>
                <w:szCs w:val="19"/>
                <w:color w:val="auto"/>
              </w:rPr>
            </w:pPr>
          </w:p>
        </w:tc>
        <w:tc>
          <w:tcPr>
            <w:tcW w:w="63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 2015 and 8,459,498 in 2014</w:t>
            </w:r>
          </w:p>
        </w:tc>
        <w:tc>
          <w:tcPr>
            <w:tcW w:w="2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(257,391)</w:t>
            </w:r>
          </w:p>
        </w:tc>
        <w:tc>
          <w:tcPr>
            <w:tcW w:w="2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(257,481)</w:t>
            </w:r>
          </w:p>
        </w:tc>
      </w:tr>
      <w:tr>
        <w:trPr>
          <w:trHeight w:val="196"/>
        </w:trPr>
        <w:tc>
          <w:tcPr>
            <w:tcW w:w="20" w:type="dxa"/>
            <w:vAlign w:val="bottom"/>
          </w:tcPr>
          <w:p>
            <w:pPr>
              <w:spacing w:after="0"/>
              <w:rPr>
                <w:sz w:val="17"/>
                <w:szCs w:val="17"/>
                <w:color w:val="auto"/>
              </w:rPr>
            </w:pPr>
          </w:p>
        </w:tc>
        <w:tc>
          <w:tcPr>
            <w:tcW w:w="6380" w:type="dxa"/>
            <w:vAlign w:val="bottom"/>
            <w:shd w:val="clear" w:color="auto" w:fill="BFBFBF"/>
          </w:tcPr>
          <w:p>
            <w:pPr>
              <w:ind w:left="280"/>
              <w:spacing w:after="0" w:line="196" w:lineRule="exact"/>
              <w:rPr>
                <w:sz w:val="20"/>
                <w:szCs w:val="20"/>
                <w:color w:val="auto"/>
              </w:rPr>
            </w:pPr>
            <w:r>
              <w:rPr>
                <w:rFonts w:ascii="Arial" w:cs="Arial" w:eastAsia="Arial" w:hAnsi="Arial"/>
                <w:sz w:val="18"/>
                <w:szCs w:val="18"/>
                <w:color w:val="auto"/>
              </w:rPr>
              <w:t>Total Company shareholders' equity</w:t>
            </w:r>
          </w:p>
        </w:tc>
        <w:tc>
          <w:tcPr>
            <w:tcW w:w="2540" w:type="dxa"/>
            <w:vAlign w:val="bottom"/>
            <w:gridSpan w:val="2"/>
            <w:shd w:val="clear" w:color="auto" w:fill="BFBFBF"/>
          </w:tcPr>
          <w:p>
            <w:pPr>
              <w:jc w:val="right"/>
              <w:ind w:right="30"/>
              <w:spacing w:after="0" w:line="196" w:lineRule="exact"/>
              <w:rPr>
                <w:sz w:val="20"/>
                <w:szCs w:val="20"/>
                <w:color w:val="auto"/>
              </w:rPr>
            </w:pPr>
            <w:r>
              <w:rPr>
                <w:rFonts w:ascii="Arial" w:cs="Arial" w:eastAsia="Arial" w:hAnsi="Arial"/>
                <w:sz w:val="18"/>
                <w:szCs w:val="18"/>
                <w:color w:val="auto"/>
              </w:rPr>
              <w:t>488,107</w:t>
            </w:r>
          </w:p>
        </w:tc>
        <w:tc>
          <w:tcPr>
            <w:tcW w:w="2480" w:type="dxa"/>
            <w:vAlign w:val="bottom"/>
            <w:gridSpan w:val="2"/>
            <w:shd w:val="clear" w:color="auto" w:fill="BFBFBF"/>
          </w:tcPr>
          <w:p>
            <w:pPr>
              <w:jc w:val="right"/>
              <w:ind w:right="10"/>
              <w:spacing w:after="0" w:line="196" w:lineRule="exact"/>
              <w:rPr>
                <w:sz w:val="20"/>
                <w:szCs w:val="20"/>
                <w:color w:val="auto"/>
              </w:rPr>
            </w:pPr>
            <w:r>
              <w:rPr>
                <w:rFonts w:ascii="Arial" w:cs="Arial" w:eastAsia="Arial" w:hAnsi="Arial"/>
                <w:sz w:val="18"/>
                <w:szCs w:val="18"/>
                <w:color w:val="auto"/>
              </w:rPr>
              <w:t>509,869</w:t>
            </w:r>
          </w:p>
        </w:tc>
      </w:tr>
      <w:tr>
        <w:trPr>
          <w:trHeight w:val="203"/>
        </w:trPr>
        <w:tc>
          <w:tcPr>
            <w:tcW w:w="20" w:type="dxa"/>
            <w:vAlign w:val="bottom"/>
          </w:tcPr>
          <w:p>
            <w:pPr>
              <w:spacing w:after="0"/>
              <w:rPr>
                <w:sz w:val="17"/>
                <w:szCs w:val="17"/>
                <w:color w:val="auto"/>
              </w:rPr>
            </w:pPr>
          </w:p>
        </w:tc>
        <w:tc>
          <w:tcPr>
            <w:tcW w:w="6380" w:type="dxa"/>
            <w:vAlign w:val="bottom"/>
            <w:tcBorders>
              <w:bottom w:val="single" w:sz="8" w:color="auto"/>
            </w:tcBorders>
          </w:tcPr>
          <w:p>
            <w:pPr>
              <w:ind w:left="80"/>
              <w:spacing w:after="0" w:line="202" w:lineRule="exact"/>
              <w:rPr>
                <w:sz w:val="20"/>
                <w:szCs w:val="20"/>
                <w:color w:val="auto"/>
              </w:rPr>
            </w:pPr>
            <w:r>
              <w:rPr>
                <w:rFonts w:ascii="Arial" w:cs="Arial" w:eastAsia="Arial" w:hAnsi="Arial"/>
                <w:sz w:val="18"/>
                <w:szCs w:val="18"/>
                <w:color w:val="auto"/>
              </w:rPr>
              <w:t>Noncontrolling interest</w:t>
            </w:r>
          </w:p>
        </w:tc>
        <w:tc>
          <w:tcPr>
            <w:tcW w:w="2540" w:type="dxa"/>
            <w:vAlign w:val="bottom"/>
            <w:tcBorders>
              <w:bottom w:val="single" w:sz="8" w:color="auto"/>
            </w:tcBorders>
            <w:gridSpan w:val="2"/>
          </w:tcPr>
          <w:p>
            <w:pPr>
              <w:jc w:val="right"/>
              <w:ind w:right="30"/>
              <w:spacing w:after="0" w:line="202" w:lineRule="exact"/>
              <w:rPr>
                <w:sz w:val="20"/>
                <w:szCs w:val="20"/>
                <w:color w:val="auto"/>
              </w:rPr>
            </w:pPr>
            <w:r>
              <w:rPr>
                <w:rFonts w:ascii="Arial" w:cs="Arial" w:eastAsia="Arial" w:hAnsi="Arial"/>
                <w:sz w:val="18"/>
                <w:szCs w:val="18"/>
                <w:color w:val="auto"/>
              </w:rPr>
              <w:t>3,778</w:t>
            </w:r>
          </w:p>
        </w:tc>
        <w:tc>
          <w:tcPr>
            <w:tcW w:w="2480" w:type="dxa"/>
            <w:vAlign w:val="bottom"/>
            <w:tcBorders>
              <w:bottom w:val="single" w:sz="8" w:color="auto"/>
            </w:tcBorders>
            <w:gridSpan w:val="2"/>
          </w:tcPr>
          <w:p>
            <w:pPr>
              <w:jc w:val="right"/>
              <w:ind w:right="10"/>
              <w:spacing w:after="0" w:line="202" w:lineRule="exact"/>
              <w:rPr>
                <w:sz w:val="20"/>
                <w:szCs w:val="20"/>
                <w:color w:val="auto"/>
              </w:rPr>
            </w:pPr>
            <w:r>
              <w:rPr>
                <w:rFonts w:ascii="Arial" w:cs="Arial" w:eastAsia="Arial" w:hAnsi="Arial"/>
                <w:sz w:val="18"/>
                <w:szCs w:val="18"/>
                <w:color w:val="auto"/>
              </w:rPr>
              <w:t>3,699</w:t>
            </w:r>
          </w:p>
        </w:tc>
      </w:tr>
      <w:tr>
        <w:trPr>
          <w:trHeight w:val="196"/>
        </w:trPr>
        <w:tc>
          <w:tcPr>
            <w:tcW w:w="20" w:type="dxa"/>
            <w:vAlign w:val="bottom"/>
          </w:tcPr>
          <w:p>
            <w:pPr>
              <w:spacing w:after="0"/>
              <w:rPr>
                <w:sz w:val="17"/>
                <w:szCs w:val="17"/>
                <w:color w:val="auto"/>
              </w:rPr>
            </w:pPr>
          </w:p>
        </w:tc>
        <w:tc>
          <w:tcPr>
            <w:tcW w:w="6380" w:type="dxa"/>
            <w:vAlign w:val="bottom"/>
            <w:tcBorders>
              <w:bottom w:val="single" w:sz="8" w:color="auto"/>
            </w:tcBorders>
            <w:shd w:val="clear" w:color="auto" w:fill="BFBFBF"/>
          </w:tcPr>
          <w:p>
            <w:pPr>
              <w:ind w:left="40"/>
              <w:spacing w:after="0" w:line="196" w:lineRule="exact"/>
              <w:rPr>
                <w:sz w:val="20"/>
                <w:szCs w:val="20"/>
                <w:color w:val="auto"/>
              </w:rPr>
            </w:pPr>
            <w:r>
              <w:rPr>
                <w:rFonts w:ascii="Arial" w:cs="Arial" w:eastAsia="Arial" w:hAnsi="Arial"/>
                <w:sz w:val="18"/>
                <w:szCs w:val="18"/>
                <w:color w:val="auto"/>
              </w:rPr>
              <w:t>Total equity</w:t>
            </w:r>
          </w:p>
        </w:tc>
        <w:tc>
          <w:tcPr>
            <w:tcW w:w="2540" w:type="dxa"/>
            <w:vAlign w:val="bottom"/>
            <w:tcBorders>
              <w:bottom w:val="single" w:sz="8" w:color="auto"/>
            </w:tcBorders>
            <w:gridSpan w:val="2"/>
            <w:shd w:val="clear" w:color="auto" w:fill="BFBFBF"/>
          </w:tcPr>
          <w:p>
            <w:pPr>
              <w:jc w:val="right"/>
              <w:ind w:right="30"/>
              <w:spacing w:after="0" w:line="196" w:lineRule="exact"/>
              <w:rPr>
                <w:sz w:val="20"/>
                <w:szCs w:val="20"/>
                <w:color w:val="auto"/>
              </w:rPr>
            </w:pPr>
            <w:r>
              <w:rPr>
                <w:rFonts w:ascii="Arial" w:cs="Arial" w:eastAsia="Arial" w:hAnsi="Arial"/>
                <w:sz w:val="18"/>
                <w:szCs w:val="18"/>
                <w:color w:val="auto"/>
              </w:rPr>
              <w:t>491,885</w:t>
            </w:r>
          </w:p>
        </w:tc>
        <w:tc>
          <w:tcPr>
            <w:tcW w:w="2480" w:type="dxa"/>
            <w:vAlign w:val="bottom"/>
            <w:tcBorders>
              <w:bottom w:val="single" w:sz="8" w:color="auto"/>
            </w:tcBorders>
            <w:gridSpan w:val="2"/>
            <w:shd w:val="clear" w:color="auto" w:fill="BFBFBF"/>
          </w:tcPr>
          <w:p>
            <w:pPr>
              <w:jc w:val="right"/>
              <w:ind w:right="10"/>
              <w:spacing w:after="0" w:line="196" w:lineRule="exact"/>
              <w:rPr>
                <w:sz w:val="20"/>
                <w:szCs w:val="20"/>
                <w:color w:val="auto"/>
              </w:rPr>
            </w:pPr>
            <w:r>
              <w:rPr>
                <w:rFonts w:ascii="Arial" w:cs="Arial" w:eastAsia="Arial" w:hAnsi="Arial"/>
                <w:sz w:val="18"/>
                <w:szCs w:val="18"/>
                <w:color w:val="auto"/>
              </w:rPr>
              <w:t>513,568</w:t>
            </w:r>
          </w:p>
        </w:tc>
      </w:tr>
      <w:tr>
        <w:trPr>
          <w:trHeight w:val="196"/>
        </w:trPr>
        <w:tc>
          <w:tcPr>
            <w:tcW w:w="20" w:type="dxa"/>
            <w:vAlign w:val="bottom"/>
          </w:tcPr>
          <w:p>
            <w:pPr>
              <w:spacing w:after="0"/>
              <w:rPr>
                <w:sz w:val="17"/>
                <w:szCs w:val="17"/>
                <w:color w:val="auto"/>
              </w:rPr>
            </w:pPr>
          </w:p>
        </w:tc>
        <w:tc>
          <w:tcPr>
            <w:tcW w:w="6380" w:type="dxa"/>
            <w:vAlign w:val="bottom"/>
            <w:tcBorders>
              <w:bottom w:val="single" w:sz="8" w:color="auto"/>
            </w:tcBorders>
          </w:tcPr>
          <w:p>
            <w:pPr>
              <w:ind w:left="280"/>
              <w:spacing w:after="0" w:line="196" w:lineRule="exact"/>
              <w:rPr>
                <w:sz w:val="20"/>
                <w:szCs w:val="20"/>
                <w:color w:val="auto"/>
              </w:rPr>
            </w:pPr>
            <w:r>
              <w:rPr>
                <w:rFonts w:ascii="Arial" w:cs="Arial" w:eastAsia="Arial" w:hAnsi="Arial"/>
                <w:sz w:val="18"/>
                <w:szCs w:val="18"/>
                <w:color w:val="auto"/>
              </w:rPr>
              <w:t>Total liabilities and shareholders' equity</w:t>
            </w:r>
          </w:p>
        </w:tc>
        <w:tc>
          <w:tcPr>
            <w:tcW w:w="2540" w:type="dxa"/>
            <w:vAlign w:val="bottom"/>
            <w:tcBorders>
              <w:bottom w:val="single" w:sz="8" w:color="auto"/>
            </w:tcBorders>
            <w:gridSpan w:val="2"/>
          </w:tcPr>
          <w:p>
            <w:pPr>
              <w:jc w:val="right"/>
              <w:ind w:right="30"/>
              <w:spacing w:after="0" w:line="196" w:lineRule="exact"/>
              <w:rPr>
                <w:sz w:val="20"/>
                <w:szCs w:val="20"/>
                <w:color w:val="auto"/>
              </w:rPr>
            </w:pPr>
            <w:r>
              <w:rPr>
                <w:rFonts w:ascii="Arial" w:cs="Arial" w:eastAsia="Arial" w:hAnsi="Arial"/>
                <w:sz w:val="18"/>
                <w:szCs w:val="18"/>
                <w:color w:val="auto"/>
              </w:rPr>
              <w:t>$1,023,447</w:t>
            </w:r>
          </w:p>
        </w:tc>
        <w:tc>
          <w:tcPr>
            <w:tcW w:w="2480" w:type="dxa"/>
            <w:vAlign w:val="bottom"/>
            <w:tcBorders>
              <w:bottom w:val="single" w:sz="8" w:color="auto"/>
            </w:tcBorders>
            <w:gridSpan w:val="2"/>
          </w:tcPr>
          <w:p>
            <w:pPr>
              <w:jc w:val="right"/>
              <w:ind w:right="10"/>
              <w:spacing w:after="0" w:line="196" w:lineRule="exact"/>
              <w:rPr>
                <w:sz w:val="20"/>
                <w:szCs w:val="20"/>
                <w:color w:val="auto"/>
              </w:rPr>
            </w:pPr>
            <w:r>
              <w:rPr>
                <w:rFonts w:ascii="Arial" w:cs="Arial" w:eastAsia="Arial" w:hAnsi="Arial"/>
                <w:sz w:val="18"/>
                <w:szCs w:val="18"/>
                <w:color w:val="auto"/>
              </w:rPr>
              <w:t>$1,029,304</w:t>
            </w:r>
          </w:p>
        </w:tc>
      </w:tr>
      <w:tr>
        <w:trPr>
          <w:trHeight w:val="20"/>
        </w:trPr>
        <w:tc>
          <w:tcPr>
            <w:tcW w:w="20" w:type="dxa"/>
            <w:vAlign w:val="bottom"/>
          </w:tcPr>
          <w:p>
            <w:pPr>
              <w:spacing w:after="0" w:line="20" w:lineRule="exact"/>
              <w:rPr>
                <w:sz w:val="1"/>
                <w:szCs w:val="1"/>
                <w:color w:val="auto"/>
              </w:rPr>
            </w:pPr>
          </w:p>
        </w:tc>
        <w:tc>
          <w:tcPr>
            <w:tcW w:w="6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43"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ALBANY INTERNATIONAL CORP.</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w:t>
      </w:r>
    </w:p>
    <w:p>
      <w:pPr>
        <w:jc w:val="center"/>
        <w:spacing w:after="0" w:line="234" w:lineRule="auto"/>
        <w:rPr>
          <w:sz w:val="20"/>
          <w:szCs w:val="20"/>
          <w:color w:val="auto"/>
        </w:rPr>
      </w:pPr>
      <w:r>
        <w:rPr>
          <w:rFonts w:ascii="Arial" w:cs="Arial" w:eastAsia="Arial" w:hAnsi="Arial"/>
          <w:sz w:val="18"/>
          <w:szCs w:val="18"/>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00" w:type="dxa"/>
            <w:vAlign w:val="bottom"/>
            <w:gridSpan w:val="4"/>
          </w:tcPr>
          <w:p>
            <w:pPr>
              <w:jc w:val="center"/>
              <w:spacing w:after="0"/>
              <w:rPr>
                <w:sz w:val="20"/>
                <w:szCs w:val="20"/>
                <w:color w:val="auto"/>
              </w:rPr>
            </w:pPr>
            <w:r>
              <w:rPr>
                <w:rFonts w:ascii="Arial" w:cs="Arial" w:eastAsia="Arial" w:hAnsi="Arial"/>
                <w:sz w:val="18"/>
                <w:szCs w:val="18"/>
                <w:color w:val="auto"/>
                <w:w w:val="99"/>
              </w:rPr>
              <w:t>Three Months Ended</w:t>
            </w:r>
          </w:p>
        </w:tc>
        <w:tc>
          <w:tcPr>
            <w:tcW w:w="6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0" w:type="dxa"/>
            <w:vAlign w:val="bottom"/>
            <w:gridSpan w:val="4"/>
          </w:tcPr>
          <w:p>
            <w:pPr>
              <w:jc w:val="center"/>
              <w:spacing w:after="0"/>
              <w:rPr>
                <w:sz w:val="20"/>
                <w:szCs w:val="20"/>
                <w:color w:val="auto"/>
              </w:rPr>
            </w:pPr>
            <w:r>
              <w:rPr>
                <w:rFonts w:ascii="Arial" w:cs="Arial" w:eastAsia="Arial" w:hAnsi="Arial"/>
                <w:sz w:val="18"/>
                <w:szCs w:val="18"/>
                <w:color w:val="auto"/>
                <w:w w:val="99"/>
              </w:rPr>
              <w:t>Six Months Ended</w:t>
            </w:r>
          </w:p>
        </w:tc>
        <w:tc>
          <w:tcPr>
            <w:tcW w:w="0" w:type="dxa"/>
            <w:vAlign w:val="bottom"/>
          </w:tcPr>
          <w:p>
            <w:pPr>
              <w:spacing w:after="0"/>
              <w:rPr>
                <w:sz w:val="1"/>
                <w:szCs w:val="1"/>
                <w:color w:val="auto"/>
              </w:rPr>
            </w:pPr>
          </w:p>
        </w:tc>
      </w:tr>
      <w:tr>
        <w:trPr>
          <w:trHeight w:val="216"/>
        </w:trPr>
        <w:tc>
          <w:tcPr>
            <w:tcW w:w="1500" w:type="dxa"/>
            <w:vAlign w:val="bottom"/>
            <w:gridSpan w:val="3"/>
          </w:tcPr>
          <w:p>
            <w:pPr>
              <w:jc w:val="center"/>
              <w:ind w:left="630"/>
              <w:spacing w:after="0"/>
              <w:rPr>
                <w:sz w:val="20"/>
                <w:szCs w:val="20"/>
                <w:color w:val="auto"/>
              </w:rPr>
            </w:pPr>
            <w:r>
              <w:rPr>
                <w:rFonts w:ascii="Arial" w:cs="Arial" w:eastAsia="Arial" w:hAnsi="Arial"/>
                <w:sz w:val="18"/>
                <w:szCs w:val="18"/>
                <w:color w:val="auto"/>
              </w:rPr>
              <w:t>June 30,</w:t>
            </w:r>
          </w:p>
        </w:tc>
        <w:tc>
          <w:tcPr>
            <w:tcW w:w="70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00" w:type="dxa"/>
            <w:vAlign w:val="bottom"/>
            <w:gridSpan w:val="3"/>
          </w:tcPr>
          <w:p>
            <w:pPr>
              <w:jc w:val="center"/>
              <w:ind w:left="610"/>
              <w:spacing w:after="0"/>
              <w:rPr>
                <w:sz w:val="20"/>
                <w:szCs w:val="20"/>
                <w:color w:val="auto"/>
              </w:rPr>
            </w:pPr>
            <w:r>
              <w:rPr>
                <w:rFonts w:ascii="Arial" w:cs="Arial" w:eastAsia="Arial" w:hAnsi="Arial"/>
                <w:sz w:val="18"/>
                <w:szCs w:val="18"/>
                <w:color w:val="auto"/>
                <w:w w:val="98"/>
              </w:rPr>
              <w:t>June 30,</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60" w:type="dxa"/>
            <w:vAlign w:val="bottom"/>
          </w:tcPr>
          <w:p>
            <w:pPr>
              <w:jc w:val="right"/>
              <w:ind w:right="130"/>
              <w:spacing w:after="0"/>
              <w:rPr>
                <w:sz w:val="20"/>
                <w:szCs w:val="20"/>
                <w:color w:val="auto"/>
              </w:rPr>
            </w:pPr>
            <w:r>
              <w:rPr>
                <w:rFonts w:ascii="Arial" w:cs="Arial" w:eastAsia="Arial" w:hAnsi="Arial"/>
                <w:sz w:val="18"/>
                <w:szCs w:val="18"/>
                <w:color w:val="auto"/>
              </w:rPr>
              <w:t>2015</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2014</w:t>
            </w:r>
          </w:p>
        </w:tc>
        <w:tc>
          <w:tcPr>
            <w:tcW w:w="6480" w:type="dxa"/>
            <w:vAlign w:val="bottom"/>
            <w:vMerge w:val="restart"/>
          </w:tcPr>
          <w:p>
            <w:pPr>
              <w:ind w:left="520"/>
              <w:spacing w:after="0"/>
              <w:rPr>
                <w:sz w:val="20"/>
                <w:szCs w:val="20"/>
                <w:color w:val="auto"/>
              </w:rPr>
            </w:pPr>
            <w:r>
              <w:rPr>
                <w:rFonts w:ascii="Arial" w:cs="Arial" w:eastAsia="Arial" w:hAnsi="Arial"/>
                <w:sz w:val="18"/>
                <w:szCs w:val="18"/>
                <w:color w:val="auto"/>
              </w:rPr>
              <w:t>OPERATING ACTIVITIES</w:t>
            </w:r>
          </w:p>
        </w:tc>
        <w:tc>
          <w:tcPr>
            <w:tcW w:w="1380" w:type="dxa"/>
            <w:vAlign w:val="bottom"/>
            <w:gridSpan w:val="2"/>
          </w:tcPr>
          <w:p>
            <w:pPr>
              <w:jc w:val="right"/>
              <w:ind w:right="130"/>
              <w:spacing w:after="0"/>
              <w:rPr>
                <w:sz w:val="20"/>
                <w:szCs w:val="20"/>
                <w:color w:val="auto"/>
              </w:rPr>
            </w:pPr>
            <w:r>
              <w:rPr>
                <w:rFonts w:ascii="Arial" w:cs="Arial" w:eastAsia="Arial" w:hAnsi="Arial"/>
                <w:sz w:val="18"/>
                <w:szCs w:val="18"/>
                <w:color w:val="auto"/>
              </w:rPr>
              <w:t>2015</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196"/>
        </w:trPr>
        <w:tc>
          <w:tcPr>
            <w:tcW w:w="860" w:type="dxa"/>
            <w:vAlign w:val="bottom"/>
            <w:tcBorders>
              <w:top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648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($2,120)</w:t>
            </w:r>
          </w:p>
        </w:tc>
        <w:tc>
          <w:tcPr>
            <w:tcW w:w="640" w:type="dxa"/>
            <w:vAlign w:val="bottom"/>
            <w:gridSpan w:val="2"/>
            <w:shd w:val="clear" w:color="auto" w:fill="BFBFB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11,177</w:t>
            </w:r>
          </w:p>
        </w:tc>
        <w:tc>
          <w:tcPr>
            <w:tcW w:w="6480" w:type="dxa"/>
            <w:vAlign w:val="bottom"/>
            <w:shd w:val="clear" w:color="auto" w:fill="BFBFBF"/>
          </w:tcPr>
          <w:p>
            <w:pPr>
              <w:ind w:left="520"/>
              <w:spacing w:after="0" w:line="202" w:lineRule="exact"/>
              <w:rPr>
                <w:sz w:val="20"/>
                <w:szCs w:val="20"/>
                <w:color w:val="auto"/>
              </w:rPr>
            </w:pPr>
            <w:r>
              <w:rPr>
                <w:rFonts w:ascii="Arial" w:cs="Arial" w:eastAsia="Arial" w:hAnsi="Arial"/>
                <w:sz w:val="18"/>
                <w:szCs w:val="18"/>
                <w:color w:val="auto"/>
              </w:rPr>
              <w:t>Net income/(loss)</w:t>
            </w:r>
          </w:p>
        </w:tc>
        <w:tc>
          <w:tcPr>
            <w:tcW w:w="138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  10,119</w:t>
            </w:r>
          </w:p>
        </w:tc>
        <w:tc>
          <w:tcPr>
            <w:tcW w:w="660" w:type="dxa"/>
            <w:vAlign w:val="bottom"/>
            <w:gridSpan w:val="2"/>
            <w:shd w:val="clear" w:color="auto" w:fill="BFBFB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21,870</w:t>
            </w:r>
          </w:p>
        </w:tc>
        <w:tc>
          <w:tcPr>
            <w:tcW w:w="0" w:type="dxa"/>
            <w:vAlign w:val="bottom"/>
          </w:tcPr>
          <w:p>
            <w:pPr>
              <w:spacing w:after="0"/>
              <w:rPr>
                <w:sz w:val="1"/>
                <w:szCs w:val="1"/>
                <w:color w:val="auto"/>
              </w:rPr>
            </w:pPr>
          </w:p>
        </w:tc>
      </w:tr>
      <w:tr>
        <w:trPr>
          <w:trHeight w:val="180"/>
        </w:trPr>
        <w:tc>
          <w:tcPr>
            <w:tcW w:w="8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80" w:type="dxa"/>
            <w:vAlign w:val="bottom"/>
          </w:tcPr>
          <w:p>
            <w:pPr>
              <w:ind w:left="520"/>
              <w:spacing w:after="0" w:line="180" w:lineRule="exact"/>
              <w:rPr>
                <w:sz w:val="20"/>
                <w:szCs w:val="20"/>
                <w:color w:val="auto"/>
              </w:rPr>
            </w:pPr>
            <w:r>
              <w:rPr>
                <w:rFonts w:ascii="Arial" w:cs="Arial" w:eastAsia="Arial" w:hAnsi="Arial"/>
                <w:sz w:val="18"/>
                <w:szCs w:val="18"/>
                <w:color w:val="auto"/>
              </w:rPr>
              <w:t>Adjustments to reconcile net income/(loss) to net cash provided by</w:t>
            </w:r>
          </w:p>
        </w:tc>
        <w:tc>
          <w:tcPr>
            <w:tcW w:w="5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80" w:type="dxa"/>
            <w:vAlign w:val="bottom"/>
          </w:tcPr>
          <w:p>
            <w:pPr>
              <w:ind w:left="520"/>
              <w:spacing w:after="0"/>
              <w:rPr>
                <w:sz w:val="20"/>
                <w:szCs w:val="20"/>
                <w:color w:val="auto"/>
              </w:rPr>
            </w:pPr>
            <w:r>
              <w:rPr>
                <w:rFonts w:ascii="Arial" w:cs="Arial" w:eastAsia="Arial" w:hAnsi="Arial"/>
                <w:sz w:val="18"/>
                <w:szCs w:val="18"/>
                <w:color w:val="auto"/>
              </w:rPr>
              <w:t>operating activities:</w:t>
            </w: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6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13,373</w:t>
            </w:r>
          </w:p>
        </w:tc>
        <w:tc>
          <w:tcPr>
            <w:tcW w:w="52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7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14,276</w:t>
            </w:r>
          </w:p>
        </w:tc>
        <w:tc>
          <w:tcPr>
            <w:tcW w:w="6480" w:type="dxa"/>
            <w:vAlign w:val="bottom"/>
            <w:shd w:val="clear" w:color="auto" w:fill="BFBFBF"/>
          </w:tcPr>
          <w:p>
            <w:pPr>
              <w:ind w:left="840"/>
              <w:spacing w:after="0" w:line="202" w:lineRule="exact"/>
              <w:rPr>
                <w:sz w:val="20"/>
                <w:szCs w:val="20"/>
                <w:color w:val="auto"/>
              </w:rPr>
            </w:pPr>
            <w:r>
              <w:rPr>
                <w:rFonts w:ascii="Arial" w:cs="Arial" w:eastAsia="Arial" w:hAnsi="Arial"/>
                <w:sz w:val="18"/>
                <w:szCs w:val="18"/>
                <w:color w:val="auto"/>
              </w:rPr>
              <w:t>Depreciation</w:t>
            </w:r>
          </w:p>
        </w:tc>
        <w:tc>
          <w:tcPr>
            <w:tcW w:w="138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26,897</w:t>
            </w:r>
          </w:p>
        </w:tc>
        <w:tc>
          <w:tcPr>
            <w:tcW w:w="520" w:type="dxa"/>
            <w:vAlign w:val="bottom"/>
            <w:shd w:val="clear" w:color="auto" w:fill="BFBFBF"/>
          </w:tcPr>
          <w:p>
            <w:pPr>
              <w:spacing w:after="0"/>
              <w:rPr>
                <w:sz w:val="17"/>
                <w:szCs w:val="17"/>
                <w:color w:val="auto"/>
              </w:rPr>
            </w:pPr>
          </w:p>
        </w:tc>
        <w:tc>
          <w:tcPr>
            <w:tcW w:w="140" w:type="dxa"/>
            <w:vAlign w:val="bottom"/>
            <w:shd w:val="clear" w:color="auto" w:fill="BFBFBF"/>
          </w:tcPr>
          <w:p>
            <w:pPr>
              <w:spacing w:after="0"/>
              <w:rPr>
                <w:sz w:val="17"/>
                <w:szCs w:val="17"/>
                <w:color w:val="auto"/>
              </w:rPr>
            </w:pPr>
          </w:p>
        </w:tc>
        <w:tc>
          <w:tcPr>
            <w:tcW w:w="7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28,383</w:t>
            </w:r>
          </w:p>
        </w:tc>
        <w:tc>
          <w:tcPr>
            <w:tcW w:w="0" w:type="dxa"/>
            <w:vAlign w:val="bottom"/>
          </w:tcPr>
          <w:p>
            <w:pPr>
              <w:spacing w:after="0"/>
              <w:rPr>
                <w:sz w:val="1"/>
                <w:szCs w:val="1"/>
                <w:color w:val="auto"/>
              </w:rPr>
            </w:pPr>
          </w:p>
        </w:tc>
      </w:tr>
      <w:tr>
        <w:trPr>
          <w:trHeight w:val="203"/>
        </w:trPr>
        <w:tc>
          <w:tcPr>
            <w:tcW w:w="8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1,811</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1,821</w:t>
            </w:r>
          </w:p>
        </w:tc>
        <w:tc>
          <w:tcPr>
            <w:tcW w:w="6480" w:type="dxa"/>
            <w:vAlign w:val="bottom"/>
          </w:tcPr>
          <w:p>
            <w:pPr>
              <w:ind w:left="840"/>
              <w:spacing w:after="0" w:line="202" w:lineRule="exact"/>
              <w:rPr>
                <w:sz w:val="20"/>
                <w:szCs w:val="20"/>
                <w:color w:val="auto"/>
              </w:rPr>
            </w:pPr>
            <w:r>
              <w:rPr>
                <w:rFonts w:ascii="Arial" w:cs="Arial" w:eastAsia="Arial" w:hAnsi="Arial"/>
                <w:sz w:val="18"/>
                <w:szCs w:val="18"/>
                <w:color w:val="auto"/>
              </w:rPr>
              <w:t>Amortization</w:t>
            </w:r>
          </w:p>
        </w:tc>
        <w:tc>
          <w:tcPr>
            <w:tcW w:w="1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3,641</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3,622</w:t>
            </w:r>
          </w:p>
        </w:tc>
        <w:tc>
          <w:tcPr>
            <w:tcW w:w="0" w:type="dxa"/>
            <w:vAlign w:val="bottom"/>
          </w:tcPr>
          <w:p>
            <w:pPr>
              <w:spacing w:after="0"/>
              <w:rPr>
                <w:sz w:val="1"/>
                <w:szCs w:val="1"/>
                <w:color w:val="auto"/>
              </w:rPr>
            </w:pPr>
          </w:p>
        </w:tc>
      </w:tr>
      <w:tr>
        <w:trPr>
          <w:trHeight w:val="203"/>
        </w:trPr>
        <w:tc>
          <w:tcPr>
            <w:tcW w:w="8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(5,920)</w:t>
            </w:r>
          </w:p>
        </w:tc>
        <w:tc>
          <w:tcPr>
            <w:tcW w:w="52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7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2,946</w:t>
            </w:r>
          </w:p>
        </w:tc>
        <w:tc>
          <w:tcPr>
            <w:tcW w:w="6480" w:type="dxa"/>
            <w:vAlign w:val="bottom"/>
            <w:shd w:val="clear" w:color="auto" w:fill="BFBFBF"/>
          </w:tcPr>
          <w:p>
            <w:pPr>
              <w:ind w:left="840"/>
              <w:spacing w:after="0" w:line="202" w:lineRule="exact"/>
              <w:rPr>
                <w:sz w:val="20"/>
                <w:szCs w:val="20"/>
                <w:color w:val="auto"/>
              </w:rPr>
            </w:pPr>
            <w:r>
              <w:rPr>
                <w:rFonts w:ascii="Arial" w:cs="Arial" w:eastAsia="Arial" w:hAnsi="Arial"/>
                <w:sz w:val="18"/>
                <w:szCs w:val="18"/>
                <w:color w:val="auto"/>
              </w:rPr>
              <w:t>Change in long-term liabilities, deferred taxes and other credits</w:t>
            </w:r>
          </w:p>
        </w:tc>
        <w:tc>
          <w:tcPr>
            <w:tcW w:w="138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(6,197)</w:t>
            </w:r>
          </w:p>
        </w:tc>
        <w:tc>
          <w:tcPr>
            <w:tcW w:w="520" w:type="dxa"/>
            <w:vAlign w:val="bottom"/>
            <w:shd w:val="clear" w:color="auto" w:fill="BFBFBF"/>
          </w:tcPr>
          <w:p>
            <w:pPr>
              <w:spacing w:after="0"/>
              <w:rPr>
                <w:sz w:val="17"/>
                <w:szCs w:val="17"/>
                <w:color w:val="auto"/>
              </w:rPr>
            </w:pPr>
          </w:p>
        </w:tc>
        <w:tc>
          <w:tcPr>
            <w:tcW w:w="140" w:type="dxa"/>
            <w:vAlign w:val="bottom"/>
            <w:shd w:val="clear" w:color="auto" w:fill="BFBFBF"/>
          </w:tcPr>
          <w:p>
            <w:pPr>
              <w:spacing w:after="0"/>
              <w:rPr>
                <w:sz w:val="17"/>
                <w:szCs w:val="17"/>
                <w:color w:val="auto"/>
              </w:rPr>
            </w:pPr>
          </w:p>
        </w:tc>
        <w:tc>
          <w:tcPr>
            <w:tcW w:w="7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2,732</w:t>
            </w:r>
          </w:p>
        </w:tc>
        <w:tc>
          <w:tcPr>
            <w:tcW w:w="0" w:type="dxa"/>
            <w:vAlign w:val="bottom"/>
          </w:tcPr>
          <w:p>
            <w:pPr>
              <w:spacing w:after="0"/>
              <w:rPr>
                <w:sz w:val="1"/>
                <w:szCs w:val="1"/>
                <w:color w:val="auto"/>
              </w:rPr>
            </w:pPr>
          </w:p>
        </w:tc>
      </w:tr>
      <w:tr>
        <w:trPr>
          <w:trHeight w:val="203"/>
        </w:trPr>
        <w:tc>
          <w:tcPr>
            <w:tcW w:w="8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263</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728</w:t>
            </w:r>
          </w:p>
        </w:tc>
        <w:tc>
          <w:tcPr>
            <w:tcW w:w="6480" w:type="dxa"/>
            <w:vAlign w:val="bottom"/>
          </w:tcPr>
          <w:p>
            <w:pPr>
              <w:ind w:left="840"/>
              <w:spacing w:after="0" w:line="202" w:lineRule="exact"/>
              <w:rPr>
                <w:sz w:val="20"/>
                <w:szCs w:val="20"/>
                <w:color w:val="auto"/>
              </w:rPr>
            </w:pPr>
            <w:r>
              <w:rPr>
                <w:rFonts w:ascii="Arial" w:cs="Arial" w:eastAsia="Arial" w:hAnsi="Arial"/>
                <w:sz w:val="18"/>
                <w:szCs w:val="18"/>
                <w:color w:val="auto"/>
              </w:rPr>
              <w:t>Provision for write-off of property, plant and equipment</w:t>
            </w:r>
          </w:p>
        </w:tc>
        <w:tc>
          <w:tcPr>
            <w:tcW w:w="1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415</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03"/>
        </w:trPr>
        <w:tc>
          <w:tcPr>
            <w:tcW w:w="86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7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(961)</w:t>
            </w:r>
          </w:p>
        </w:tc>
        <w:tc>
          <w:tcPr>
            <w:tcW w:w="6480" w:type="dxa"/>
            <w:vAlign w:val="bottom"/>
            <w:shd w:val="clear" w:color="auto" w:fill="BFBFBF"/>
          </w:tcPr>
          <w:p>
            <w:pPr>
              <w:ind w:left="840"/>
              <w:spacing w:after="0" w:line="202" w:lineRule="exact"/>
              <w:rPr>
                <w:sz w:val="20"/>
                <w:szCs w:val="20"/>
                <w:color w:val="auto"/>
              </w:rPr>
            </w:pPr>
            <w:r>
              <w:rPr>
                <w:rFonts w:ascii="Arial" w:cs="Arial" w:eastAsia="Arial" w:hAnsi="Arial"/>
                <w:sz w:val="18"/>
                <w:szCs w:val="18"/>
                <w:color w:val="auto"/>
              </w:rPr>
              <w:t>Gain on disposition or involuntary conversion of assets</w:t>
            </w:r>
          </w:p>
        </w:tc>
        <w:tc>
          <w:tcPr>
            <w:tcW w:w="138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(1,056)</w:t>
            </w:r>
          </w:p>
        </w:tc>
        <w:tc>
          <w:tcPr>
            <w:tcW w:w="520" w:type="dxa"/>
            <w:vAlign w:val="bottom"/>
            <w:shd w:val="clear" w:color="auto" w:fill="BFBFBF"/>
          </w:tcPr>
          <w:p>
            <w:pPr>
              <w:spacing w:after="0"/>
              <w:rPr>
                <w:sz w:val="17"/>
                <w:szCs w:val="17"/>
                <w:color w:val="auto"/>
              </w:rPr>
            </w:pPr>
          </w:p>
        </w:tc>
        <w:tc>
          <w:tcPr>
            <w:tcW w:w="140" w:type="dxa"/>
            <w:vAlign w:val="bottom"/>
            <w:shd w:val="clear" w:color="auto" w:fill="BFBFBF"/>
          </w:tcPr>
          <w:p>
            <w:pPr>
              <w:spacing w:after="0"/>
              <w:rPr>
                <w:sz w:val="17"/>
                <w:szCs w:val="17"/>
                <w:color w:val="auto"/>
              </w:rPr>
            </w:pPr>
          </w:p>
        </w:tc>
        <w:tc>
          <w:tcPr>
            <w:tcW w:w="7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03"/>
        </w:trPr>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(342)</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(106)</w:t>
            </w:r>
          </w:p>
        </w:tc>
        <w:tc>
          <w:tcPr>
            <w:tcW w:w="6480" w:type="dxa"/>
            <w:vAlign w:val="bottom"/>
          </w:tcPr>
          <w:p>
            <w:pPr>
              <w:ind w:left="840"/>
              <w:spacing w:after="0" w:line="202" w:lineRule="exact"/>
              <w:rPr>
                <w:sz w:val="20"/>
                <w:szCs w:val="20"/>
                <w:color w:val="auto"/>
              </w:rPr>
            </w:pPr>
            <w:r>
              <w:rPr>
                <w:rFonts w:ascii="Arial" w:cs="Arial" w:eastAsia="Arial" w:hAnsi="Arial"/>
                <w:sz w:val="18"/>
                <w:szCs w:val="18"/>
                <w:color w:val="auto"/>
              </w:rPr>
              <w:t>Excess tax benefit of options exercised</w:t>
            </w:r>
          </w:p>
        </w:tc>
        <w:tc>
          <w:tcPr>
            <w:tcW w:w="1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(603)</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180"/>
        </w:trPr>
        <w:tc>
          <w:tcPr>
            <w:tcW w:w="860" w:type="dxa"/>
            <w:vAlign w:val="bottom"/>
            <w:shd w:val="clear" w:color="auto" w:fill="BFBFBF"/>
          </w:tcPr>
          <w:p>
            <w:pPr>
              <w:spacing w:after="0"/>
              <w:rPr>
                <w:sz w:val="15"/>
                <w:szCs w:val="15"/>
                <w:color w:val="auto"/>
              </w:rPr>
            </w:pPr>
          </w:p>
        </w:tc>
        <w:tc>
          <w:tcPr>
            <w:tcW w:w="520" w:type="dxa"/>
            <w:vAlign w:val="bottom"/>
            <w:shd w:val="clear" w:color="auto" w:fill="BFBFBF"/>
          </w:tcPr>
          <w:p>
            <w:pPr>
              <w:spacing w:after="0"/>
              <w:rPr>
                <w:sz w:val="15"/>
                <w:szCs w:val="15"/>
                <w:color w:val="auto"/>
              </w:rPr>
            </w:pPr>
          </w:p>
        </w:tc>
        <w:tc>
          <w:tcPr>
            <w:tcW w:w="120" w:type="dxa"/>
            <w:vAlign w:val="bottom"/>
            <w:shd w:val="clear" w:color="auto" w:fill="BFBFBF"/>
          </w:tcPr>
          <w:p>
            <w:pPr>
              <w:spacing w:after="0"/>
              <w:rPr>
                <w:sz w:val="15"/>
                <w:szCs w:val="15"/>
                <w:color w:val="auto"/>
              </w:rPr>
            </w:pPr>
          </w:p>
        </w:tc>
        <w:tc>
          <w:tcPr>
            <w:tcW w:w="700" w:type="dxa"/>
            <w:vAlign w:val="bottom"/>
            <w:shd w:val="clear" w:color="auto" w:fill="BFBFBF"/>
          </w:tcPr>
          <w:p>
            <w:pPr>
              <w:spacing w:after="0"/>
              <w:rPr>
                <w:sz w:val="15"/>
                <w:szCs w:val="15"/>
                <w:color w:val="auto"/>
              </w:rPr>
            </w:pPr>
          </w:p>
        </w:tc>
        <w:tc>
          <w:tcPr>
            <w:tcW w:w="6480" w:type="dxa"/>
            <w:vAlign w:val="bottom"/>
            <w:shd w:val="clear" w:color="auto" w:fill="BFBFBF"/>
          </w:tcPr>
          <w:p>
            <w:pPr>
              <w:ind w:left="840"/>
              <w:spacing w:after="0" w:line="180" w:lineRule="exact"/>
              <w:rPr>
                <w:sz w:val="20"/>
                <w:szCs w:val="20"/>
                <w:color w:val="auto"/>
              </w:rPr>
            </w:pPr>
            <w:r>
              <w:rPr>
                <w:rFonts w:ascii="Arial" w:cs="Arial" w:eastAsia="Arial" w:hAnsi="Arial"/>
                <w:sz w:val="18"/>
                <w:szCs w:val="18"/>
                <w:color w:val="auto"/>
              </w:rPr>
              <w:t>Compensation and benefits paid or payable in Class A Common</w:t>
            </w:r>
          </w:p>
        </w:tc>
        <w:tc>
          <w:tcPr>
            <w:tcW w:w="540" w:type="dxa"/>
            <w:vAlign w:val="bottom"/>
            <w:shd w:val="clear" w:color="auto" w:fill="BFBFBF"/>
          </w:tcPr>
          <w:p>
            <w:pPr>
              <w:spacing w:after="0"/>
              <w:rPr>
                <w:sz w:val="15"/>
                <w:szCs w:val="15"/>
                <w:color w:val="auto"/>
              </w:rPr>
            </w:pPr>
          </w:p>
        </w:tc>
        <w:tc>
          <w:tcPr>
            <w:tcW w:w="840" w:type="dxa"/>
            <w:vAlign w:val="bottom"/>
            <w:shd w:val="clear" w:color="auto" w:fill="BFBFBF"/>
          </w:tcPr>
          <w:p>
            <w:pPr>
              <w:spacing w:after="0"/>
              <w:rPr>
                <w:sz w:val="15"/>
                <w:szCs w:val="15"/>
                <w:color w:val="auto"/>
              </w:rPr>
            </w:pPr>
          </w:p>
        </w:tc>
        <w:tc>
          <w:tcPr>
            <w:tcW w:w="520" w:type="dxa"/>
            <w:vAlign w:val="bottom"/>
            <w:shd w:val="clear" w:color="auto" w:fill="BFBFBF"/>
          </w:tcPr>
          <w:p>
            <w:pPr>
              <w:spacing w:after="0"/>
              <w:rPr>
                <w:sz w:val="15"/>
                <w:szCs w:val="15"/>
                <w:color w:val="auto"/>
              </w:rPr>
            </w:pPr>
          </w:p>
        </w:tc>
        <w:tc>
          <w:tcPr>
            <w:tcW w:w="140" w:type="dxa"/>
            <w:vAlign w:val="bottom"/>
            <w:shd w:val="clear" w:color="auto" w:fill="BFBFBF"/>
          </w:tcPr>
          <w:p>
            <w:pPr>
              <w:spacing w:after="0"/>
              <w:rPr>
                <w:sz w:val="15"/>
                <w:szCs w:val="15"/>
                <w:color w:val="auto"/>
              </w:rPr>
            </w:pPr>
          </w:p>
        </w:tc>
        <w:tc>
          <w:tcPr>
            <w:tcW w:w="700" w:type="dxa"/>
            <w:vAlign w:val="bottom"/>
            <w:shd w:val="clear" w:color="auto" w:fill="BFBFB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860" w:type="dxa"/>
            <w:vAlign w:val="bottom"/>
            <w:shd w:val="clear" w:color="auto" w:fill="BFBFBF"/>
          </w:tcPr>
          <w:p>
            <w:pPr>
              <w:jc w:val="right"/>
              <w:ind w:right="10"/>
              <w:spacing w:after="0"/>
              <w:rPr>
                <w:sz w:val="20"/>
                <w:szCs w:val="20"/>
                <w:color w:val="auto"/>
              </w:rPr>
            </w:pPr>
            <w:r>
              <w:rPr>
                <w:rFonts w:ascii="Arial" w:cs="Arial" w:eastAsia="Arial" w:hAnsi="Arial"/>
                <w:sz w:val="18"/>
                <w:szCs w:val="18"/>
                <w:color w:val="auto"/>
              </w:rPr>
              <w:t>419</w:t>
            </w:r>
          </w:p>
        </w:tc>
        <w:tc>
          <w:tcPr>
            <w:tcW w:w="520" w:type="dxa"/>
            <w:vAlign w:val="bottom"/>
            <w:shd w:val="clear" w:color="auto" w:fill="BFBFBF"/>
          </w:tcPr>
          <w:p>
            <w:pPr>
              <w:spacing w:after="0"/>
              <w:rPr>
                <w:sz w:val="19"/>
                <w:szCs w:val="19"/>
                <w:color w:val="auto"/>
              </w:rPr>
            </w:pPr>
          </w:p>
        </w:tc>
        <w:tc>
          <w:tcPr>
            <w:tcW w:w="120" w:type="dxa"/>
            <w:vAlign w:val="bottom"/>
            <w:shd w:val="clear" w:color="auto" w:fill="BFBFBF"/>
          </w:tcPr>
          <w:p>
            <w:pPr>
              <w:spacing w:after="0"/>
              <w:rPr>
                <w:sz w:val="19"/>
                <w:szCs w:val="19"/>
                <w:color w:val="auto"/>
              </w:rPr>
            </w:pPr>
          </w:p>
        </w:tc>
        <w:tc>
          <w:tcPr>
            <w:tcW w:w="700" w:type="dxa"/>
            <w:vAlign w:val="bottom"/>
            <w:shd w:val="clear" w:color="auto" w:fill="BFBFBF"/>
          </w:tcPr>
          <w:p>
            <w:pPr>
              <w:jc w:val="right"/>
              <w:spacing w:after="0"/>
              <w:rPr>
                <w:sz w:val="20"/>
                <w:szCs w:val="20"/>
                <w:color w:val="auto"/>
              </w:rPr>
            </w:pPr>
            <w:r>
              <w:rPr>
                <w:rFonts w:ascii="Arial" w:cs="Arial" w:eastAsia="Arial" w:hAnsi="Arial"/>
                <w:sz w:val="18"/>
                <w:szCs w:val="18"/>
                <w:color w:val="auto"/>
              </w:rPr>
              <w:t>405</w:t>
            </w:r>
          </w:p>
        </w:tc>
        <w:tc>
          <w:tcPr>
            <w:tcW w:w="6480" w:type="dxa"/>
            <w:vAlign w:val="bottom"/>
            <w:shd w:val="clear" w:color="auto" w:fill="BFBFBF"/>
          </w:tcPr>
          <w:p>
            <w:pPr>
              <w:ind w:left="840"/>
              <w:spacing w:after="0"/>
              <w:rPr>
                <w:sz w:val="20"/>
                <w:szCs w:val="20"/>
                <w:color w:val="auto"/>
              </w:rPr>
            </w:pPr>
            <w:r>
              <w:rPr>
                <w:rFonts w:ascii="Arial" w:cs="Arial" w:eastAsia="Arial" w:hAnsi="Arial"/>
                <w:sz w:val="18"/>
                <w:szCs w:val="18"/>
                <w:color w:val="auto"/>
              </w:rPr>
              <w:t>Stock</w:t>
            </w:r>
          </w:p>
        </w:tc>
        <w:tc>
          <w:tcPr>
            <w:tcW w:w="1380" w:type="dxa"/>
            <w:vAlign w:val="bottom"/>
            <w:gridSpan w:val="2"/>
            <w:shd w:val="clear" w:color="auto" w:fill="BFBFBF"/>
          </w:tcPr>
          <w:p>
            <w:pPr>
              <w:jc w:val="right"/>
              <w:spacing w:after="0"/>
              <w:rPr>
                <w:sz w:val="20"/>
                <w:szCs w:val="20"/>
                <w:color w:val="auto"/>
              </w:rPr>
            </w:pPr>
            <w:r>
              <w:rPr>
                <w:rFonts w:ascii="Arial" w:cs="Arial" w:eastAsia="Arial" w:hAnsi="Arial"/>
                <w:sz w:val="18"/>
                <w:szCs w:val="18"/>
                <w:color w:val="auto"/>
              </w:rPr>
              <w:t>995</w:t>
            </w:r>
          </w:p>
        </w:tc>
        <w:tc>
          <w:tcPr>
            <w:tcW w:w="520" w:type="dxa"/>
            <w:vAlign w:val="bottom"/>
            <w:shd w:val="clear" w:color="auto" w:fill="BFBFBF"/>
          </w:tcPr>
          <w:p>
            <w:pPr>
              <w:spacing w:after="0"/>
              <w:rPr>
                <w:sz w:val="19"/>
                <w:szCs w:val="19"/>
                <w:color w:val="auto"/>
              </w:rPr>
            </w:pPr>
          </w:p>
        </w:tc>
        <w:tc>
          <w:tcPr>
            <w:tcW w:w="140" w:type="dxa"/>
            <w:vAlign w:val="bottom"/>
            <w:shd w:val="clear" w:color="auto" w:fill="BFBFBF"/>
          </w:tcPr>
          <w:p>
            <w:pPr>
              <w:spacing w:after="0"/>
              <w:rPr>
                <w:sz w:val="19"/>
                <w:szCs w:val="19"/>
                <w:color w:val="auto"/>
              </w:rPr>
            </w:pPr>
          </w:p>
        </w:tc>
        <w:tc>
          <w:tcPr>
            <w:tcW w:w="700" w:type="dxa"/>
            <w:vAlign w:val="bottom"/>
            <w:shd w:val="clear" w:color="auto" w:fill="BFBFBF"/>
          </w:tcPr>
          <w:p>
            <w:pPr>
              <w:jc w:val="right"/>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405"/>
        </w:trPr>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80" w:type="dxa"/>
            <w:vAlign w:val="bottom"/>
          </w:tcPr>
          <w:p>
            <w:pPr>
              <w:ind w:left="520"/>
              <w:spacing w:after="0"/>
              <w:rPr>
                <w:sz w:val="20"/>
                <w:szCs w:val="20"/>
                <w:color w:val="auto"/>
              </w:rPr>
            </w:pPr>
            <w:r>
              <w:rPr>
                <w:rFonts w:ascii="Arial" w:cs="Arial" w:eastAsia="Arial" w:hAnsi="Arial"/>
                <w:sz w:val="18"/>
                <w:szCs w:val="18"/>
                <w:color w:val="auto"/>
              </w:rPr>
              <w:t>Changes in operating assets and liabilities that provide/(use) cash:</w:t>
            </w: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6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4,212</w:t>
            </w:r>
          </w:p>
        </w:tc>
        <w:tc>
          <w:tcPr>
            <w:tcW w:w="52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7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3,333</w:t>
            </w:r>
          </w:p>
        </w:tc>
        <w:tc>
          <w:tcPr>
            <w:tcW w:w="6480" w:type="dxa"/>
            <w:vAlign w:val="bottom"/>
            <w:shd w:val="clear" w:color="auto" w:fill="BFBFBF"/>
          </w:tcPr>
          <w:p>
            <w:pPr>
              <w:ind w:left="840"/>
              <w:spacing w:after="0" w:line="202" w:lineRule="exact"/>
              <w:rPr>
                <w:sz w:val="20"/>
                <w:szCs w:val="20"/>
                <w:color w:val="auto"/>
              </w:rPr>
            </w:pPr>
            <w:r>
              <w:rPr>
                <w:rFonts w:ascii="Arial" w:cs="Arial" w:eastAsia="Arial" w:hAnsi="Arial"/>
                <w:sz w:val="18"/>
                <w:szCs w:val="18"/>
                <w:color w:val="auto"/>
              </w:rPr>
              <w:t>Accounts receivable</w:t>
            </w:r>
          </w:p>
        </w:tc>
        <w:tc>
          <w:tcPr>
            <w:tcW w:w="138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(9,487)</w:t>
            </w:r>
          </w:p>
        </w:tc>
        <w:tc>
          <w:tcPr>
            <w:tcW w:w="520" w:type="dxa"/>
            <w:vAlign w:val="bottom"/>
            <w:shd w:val="clear" w:color="auto" w:fill="BFBFBF"/>
          </w:tcPr>
          <w:p>
            <w:pPr>
              <w:spacing w:after="0"/>
              <w:rPr>
                <w:sz w:val="17"/>
                <w:szCs w:val="17"/>
                <w:color w:val="auto"/>
              </w:rPr>
            </w:pPr>
          </w:p>
        </w:tc>
        <w:tc>
          <w:tcPr>
            <w:tcW w:w="140" w:type="dxa"/>
            <w:vAlign w:val="bottom"/>
            <w:shd w:val="clear" w:color="auto" w:fill="BFBFBF"/>
          </w:tcPr>
          <w:p>
            <w:pPr>
              <w:spacing w:after="0"/>
              <w:rPr>
                <w:sz w:val="17"/>
                <w:szCs w:val="17"/>
                <w:color w:val="auto"/>
              </w:rPr>
            </w:pPr>
          </w:p>
        </w:tc>
        <w:tc>
          <w:tcPr>
            <w:tcW w:w="7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14,297</w:t>
            </w:r>
          </w:p>
        </w:tc>
        <w:tc>
          <w:tcPr>
            <w:tcW w:w="0" w:type="dxa"/>
            <w:vAlign w:val="bottom"/>
          </w:tcPr>
          <w:p>
            <w:pPr>
              <w:spacing w:after="0"/>
              <w:rPr>
                <w:sz w:val="1"/>
                <w:szCs w:val="1"/>
                <w:color w:val="auto"/>
              </w:rPr>
            </w:pPr>
          </w:p>
        </w:tc>
      </w:tr>
      <w:tr>
        <w:trPr>
          <w:trHeight w:val="203"/>
        </w:trPr>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(4,061)</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(1,963)</w:t>
            </w:r>
          </w:p>
        </w:tc>
        <w:tc>
          <w:tcPr>
            <w:tcW w:w="6480" w:type="dxa"/>
            <w:vAlign w:val="bottom"/>
          </w:tcPr>
          <w:p>
            <w:pPr>
              <w:ind w:left="840"/>
              <w:spacing w:after="0" w:line="202" w:lineRule="exact"/>
              <w:rPr>
                <w:sz w:val="20"/>
                <w:szCs w:val="20"/>
                <w:color w:val="auto"/>
              </w:rPr>
            </w:pPr>
            <w:r>
              <w:rPr>
                <w:rFonts w:ascii="Arial" w:cs="Arial" w:eastAsia="Arial" w:hAnsi="Arial"/>
                <w:sz w:val="18"/>
                <w:szCs w:val="18"/>
                <w:color w:val="auto"/>
              </w:rPr>
              <w:t>Inventories</w:t>
            </w:r>
          </w:p>
        </w:tc>
        <w:tc>
          <w:tcPr>
            <w:tcW w:w="1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(7,131)</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(10,959)</w:t>
            </w:r>
          </w:p>
        </w:tc>
        <w:tc>
          <w:tcPr>
            <w:tcW w:w="0" w:type="dxa"/>
            <w:vAlign w:val="bottom"/>
          </w:tcPr>
          <w:p>
            <w:pPr>
              <w:spacing w:after="0"/>
              <w:rPr>
                <w:sz w:val="1"/>
                <w:szCs w:val="1"/>
                <w:color w:val="auto"/>
              </w:rPr>
            </w:pPr>
          </w:p>
        </w:tc>
      </w:tr>
      <w:tr>
        <w:trPr>
          <w:trHeight w:val="203"/>
        </w:trPr>
        <w:tc>
          <w:tcPr>
            <w:tcW w:w="86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1,715</w:t>
            </w:r>
          </w:p>
        </w:tc>
        <w:tc>
          <w:tcPr>
            <w:tcW w:w="52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7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1,762</w:t>
            </w:r>
          </w:p>
        </w:tc>
        <w:tc>
          <w:tcPr>
            <w:tcW w:w="6480" w:type="dxa"/>
            <w:vAlign w:val="bottom"/>
            <w:shd w:val="clear" w:color="auto" w:fill="BFBFBF"/>
          </w:tcPr>
          <w:p>
            <w:pPr>
              <w:ind w:left="84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38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(990)</w:t>
            </w:r>
          </w:p>
        </w:tc>
        <w:tc>
          <w:tcPr>
            <w:tcW w:w="520" w:type="dxa"/>
            <w:vAlign w:val="bottom"/>
            <w:shd w:val="clear" w:color="auto" w:fill="BFBFBF"/>
          </w:tcPr>
          <w:p>
            <w:pPr>
              <w:spacing w:after="0"/>
              <w:rPr>
                <w:sz w:val="17"/>
                <w:szCs w:val="17"/>
                <w:color w:val="auto"/>
              </w:rPr>
            </w:pPr>
          </w:p>
        </w:tc>
        <w:tc>
          <w:tcPr>
            <w:tcW w:w="140" w:type="dxa"/>
            <w:vAlign w:val="bottom"/>
            <w:shd w:val="clear" w:color="auto" w:fill="BFBFBF"/>
          </w:tcPr>
          <w:p>
            <w:pPr>
              <w:spacing w:after="0"/>
              <w:rPr>
                <w:sz w:val="17"/>
                <w:szCs w:val="17"/>
                <w:color w:val="auto"/>
              </w:rPr>
            </w:pPr>
          </w:p>
        </w:tc>
        <w:tc>
          <w:tcPr>
            <w:tcW w:w="7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03"/>
        </w:trPr>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(158)</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6480" w:type="dxa"/>
            <w:vAlign w:val="bottom"/>
          </w:tcPr>
          <w:p>
            <w:pPr>
              <w:ind w:left="840"/>
              <w:spacing w:after="0" w:line="202" w:lineRule="exact"/>
              <w:rPr>
                <w:sz w:val="20"/>
                <w:szCs w:val="20"/>
                <w:color w:val="auto"/>
              </w:rPr>
            </w:pPr>
            <w:r>
              <w:rPr>
                <w:rFonts w:ascii="Arial" w:cs="Arial" w:eastAsia="Arial" w:hAnsi="Arial"/>
                <w:sz w:val="18"/>
                <w:szCs w:val="18"/>
                <w:color w:val="auto"/>
              </w:rPr>
              <w:t>Income taxes prepaid and receivable</w:t>
            </w:r>
          </w:p>
        </w:tc>
        <w:tc>
          <w:tcPr>
            <w:tcW w:w="1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(74)</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3"/>
        </w:trPr>
        <w:tc>
          <w:tcPr>
            <w:tcW w:w="8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(4,853)</w:t>
            </w:r>
          </w:p>
        </w:tc>
        <w:tc>
          <w:tcPr>
            <w:tcW w:w="52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7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555</w:t>
            </w:r>
          </w:p>
        </w:tc>
        <w:tc>
          <w:tcPr>
            <w:tcW w:w="6480" w:type="dxa"/>
            <w:vAlign w:val="bottom"/>
            <w:shd w:val="clear" w:color="auto" w:fill="BFBFBF"/>
          </w:tcPr>
          <w:p>
            <w:pPr>
              <w:ind w:left="840"/>
              <w:spacing w:after="0" w:line="202" w:lineRule="exact"/>
              <w:rPr>
                <w:sz w:val="20"/>
                <w:szCs w:val="20"/>
                <w:color w:val="auto"/>
              </w:rPr>
            </w:pPr>
            <w:r>
              <w:rPr>
                <w:rFonts w:ascii="Arial" w:cs="Arial" w:eastAsia="Arial" w:hAnsi="Arial"/>
                <w:sz w:val="18"/>
                <w:szCs w:val="18"/>
                <w:color w:val="auto"/>
              </w:rPr>
              <w:t>Accounts payable</w:t>
            </w:r>
          </w:p>
        </w:tc>
        <w:tc>
          <w:tcPr>
            <w:tcW w:w="138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(1,341)</w:t>
            </w:r>
          </w:p>
        </w:tc>
        <w:tc>
          <w:tcPr>
            <w:tcW w:w="520" w:type="dxa"/>
            <w:vAlign w:val="bottom"/>
            <w:shd w:val="clear" w:color="auto" w:fill="BFBFBF"/>
          </w:tcPr>
          <w:p>
            <w:pPr>
              <w:spacing w:after="0"/>
              <w:rPr>
                <w:sz w:val="17"/>
                <w:szCs w:val="17"/>
                <w:color w:val="auto"/>
              </w:rPr>
            </w:pPr>
          </w:p>
        </w:tc>
        <w:tc>
          <w:tcPr>
            <w:tcW w:w="140" w:type="dxa"/>
            <w:vAlign w:val="bottom"/>
            <w:shd w:val="clear" w:color="auto" w:fill="BFBFBF"/>
          </w:tcPr>
          <w:p>
            <w:pPr>
              <w:spacing w:after="0"/>
              <w:rPr>
                <w:sz w:val="17"/>
                <w:szCs w:val="17"/>
                <w:color w:val="auto"/>
              </w:rPr>
            </w:pPr>
          </w:p>
        </w:tc>
        <w:tc>
          <w:tcPr>
            <w:tcW w:w="7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03"/>
        </w:trPr>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(933)</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170</w:t>
            </w:r>
          </w:p>
        </w:tc>
        <w:tc>
          <w:tcPr>
            <w:tcW w:w="6480" w:type="dxa"/>
            <w:vAlign w:val="bottom"/>
          </w:tcPr>
          <w:p>
            <w:pPr>
              <w:ind w:left="840"/>
              <w:spacing w:after="0" w:line="202" w:lineRule="exact"/>
              <w:rPr>
                <w:sz w:val="20"/>
                <w:szCs w:val="20"/>
                <w:color w:val="auto"/>
              </w:rPr>
            </w:pPr>
            <w:r>
              <w:rPr>
                <w:rFonts w:ascii="Arial" w:cs="Arial" w:eastAsia="Arial" w:hAnsi="Arial"/>
                <w:sz w:val="18"/>
                <w:szCs w:val="18"/>
                <w:color w:val="auto"/>
              </w:rPr>
              <w:t>Accrued liabilities</w:t>
            </w:r>
          </w:p>
        </w:tc>
        <w:tc>
          <w:tcPr>
            <w:tcW w:w="1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(2,520)</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(12,679)</w:t>
            </w:r>
          </w:p>
        </w:tc>
        <w:tc>
          <w:tcPr>
            <w:tcW w:w="0" w:type="dxa"/>
            <w:vAlign w:val="bottom"/>
          </w:tcPr>
          <w:p>
            <w:pPr>
              <w:spacing w:after="0"/>
              <w:rPr>
                <w:sz w:val="1"/>
                <w:szCs w:val="1"/>
                <w:color w:val="auto"/>
              </w:rPr>
            </w:pPr>
          </w:p>
        </w:tc>
      </w:tr>
      <w:tr>
        <w:trPr>
          <w:trHeight w:val="203"/>
        </w:trPr>
        <w:tc>
          <w:tcPr>
            <w:tcW w:w="86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475</w:t>
            </w:r>
          </w:p>
        </w:tc>
        <w:tc>
          <w:tcPr>
            <w:tcW w:w="52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7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651</w:t>
            </w:r>
          </w:p>
        </w:tc>
        <w:tc>
          <w:tcPr>
            <w:tcW w:w="6480" w:type="dxa"/>
            <w:vAlign w:val="bottom"/>
            <w:shd w:val="clear" w:color="auto" w:fill="BFBFBF"/>
          </w:tcPr>
          <w:p>
            <w:pPr>
              <w:ind w:left="840"/>
              <w:spacing w:after="0" w:line="202" w:lineRule="exact"/>
              <w:rPr>
                <w:sz w:val="20"/>
                <w:szCs w:val="20"/>
                <w:color w:val="auto"/>
              </w:rPr>
            </w:pPr>
            <w:r>
              <w:rPr>
                <w:rFonts w:ascii="Arial" w:cs="Arial" w:eastAsia="Arial" w:hAnsi="Arial"/>
                <w:sz w:val="18"/>
                <w:szCs w:val="18"/>
                <w:color w:val="auto"/>
              </w:rPr>
              <w:t>Income taxes payable</w:t>
            </w:r>
          </w:p>
        </w:tc>
        <w:tc>
          <w:tcPr>
            <w:tcW w:w="138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77</w:t>
            </w:r>
          </w:p>
        </w:tc>
        <w:tc>
          <w:tcPr>
            <w:tcW w:w="520" w:type="dxa"/>
            <w:vAlign w:val="bottom"/>
            <w:shd w:val="clear" w:color="auto" w:fill="BFBFBF"/>
          </w:tcPr>
          <w:p>
            <w:pPr>
              <w:spacing w:after="0"/>
              <w:rPr>
                <w:sz w:val="17"/>
                <w:szCs w:val="17"/>
                <w:color w:val="auto"/>
              </w:rPr>
            </w:pPr>
          </w:p>
        </w:tc>
        <w:tc>
          <w:tcPr>
            <w:tcW w:w="140" w:type="dxa"/>
            <w:vAlign w:val="bottom"/>
            <w:shd w:val="clear" w:color="auto" w:fill="BFBFBF"/>
          </w:tcPr>
          <w:p>
            <w:pPr>
              <w:spacing w:after="0"/>
              <w:rPr>
                <w:sz w:val="17"/>
                <w:szCs w:val="17"/>
                <w:color w:val="auto"/>
              </w:rPr>
            </w:pPr>
          </w:p>
        </w:tc>
        <w:tc>
          <w:tcPr>
            <w:tcW w:w="7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(1,059)</w:t>
            </w:r>
          </w:p>
        </w:tc>
        <w:tc>
          <w:tcPr>
            <w:tcW w:w="0" w:type="dxa"/>
            <w:vAlign w:val="bottom"/>
          </w:tcPr>
          <w:p>
            <w:pPr>
              <w:spacing w:after="0"/>
              <w:rPr>
                <w:sz w:val="1"/>
                <w:szCs w:val="1"/>
                <w:color w:val="auto"/>
              </w:rPr>
            </w:pPr>
          </w:p>
        </w:tc>
      </w:tr>
      <w:tr>
        <w:trPr>
          <w:trHeight w:val="193"/>
        </w:trPr>
        <w:tc>
          <w:tcPr>
            <w:tcW w:w="860" w:type="dxa"/>
            <w:vAlign w:val="bottom"/>
          </w:tcPr>
          <w:p>
            <w:pPr>
              <w:jc w:val="right"/>
              <w:ind w:right="10"/>
              <w:spacing w:after="0" w:line="194" w:lineRule="exact"/>
              <w:rPr>
                <w:sz w:val="20"/>
                <w:szCs w:val="20"/>
                <w:color w:val="auto"/>
              </w:rPr>
            </w:pPr>
            <w:r>
              <w:rPr>
                <w:rFonts w:ascii="Arial" w:cs="Arial" w:eastAsia="Arial" w:hAnsi="Arial"/>
                <w:sz w:val="18"/>
                <w:szCs w:val="18"/>
                <w:color w:val="auto"/>
              </w:rPr>
              <w:t>7,062</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line="194" w:lineRule="exact"/>
              <w:rPr>
                <w:sz w:val="20"/>
                <w:szCs w:val="20"/>
                <w:color w:val="auto"/>
              </w:rPr>
            </w:pPr>
            <w:r>
              <w:rPr>
                <w:rFonts w:ascii="Arial" w:cs="Arial" w:eastAsia="Arial" w:hAnsi="Arial"/>
                <w:sz w:val="18"/>
                <w:szCs w:val="18"/>
                <w:color w:val="auto"/>
              </w:rPr>
              <w:t>(2,098)</w:t>
            </w:r>
          </w:p>
        </w:tc>
        <w:tc>
          <w:tcPr>
            <w:tcW w:w="6480" w:type="dxa"/>
            <w:vAlign w:val="bottom"/>
          </w:tcPr>
          <w:p>
            <w:pPr>
              <w:ind w:left="840"/>
              <w:spacing w:after="0" w:line="194" w:lineRule="exact"/>
              <w:rPr>
                <w:sz w:val="20"/>
                <w:szCs w:val="20"/>
                <w:color w:val="auto"/>
              </w:rPr>
            </w:pPr>
            <w:r>
              <w:rPr>
                <w:rFonts w:ascii="Arial" w:cs="Arial" w:eastAsia="Arial" w:hAnsi="Arial"/>
                <w:sz w:val="18"/>
                <w:szCs w:val="18"/>
                <w:color w:val="auto"/>
              </w:rPr>
              <w:t>Other, net</w:t>
            </w:r>
          </w:p>
        </w:tc>
        <w:tc>
          <w:tcPr>
            <w:tcW w:w="1380" w:type="dxa"/>
            <w:vAlign w:val="bottom"/>
            <w:gridSpan w:val="2"/>
          </w:tcPr>
          <w:p>
            <w:pPr>
              <w:jc w:val="right"/>
              <w:spacing w:after="0" w:line="194" w:lineRule="exact"/>
              <w:rPr>
                <w:sz w:val="20"/>
                <w:szCs w:val="20"/>
                <w:color w:val="auto"/>
              </w:rPr>
            </w:pPr>
            <w:r>
              <w:rPr>
                <w:rFonts w:ascii="Arial" w:cs="Arial" w:eastAsia="Arial" w:hAnsi="Arial"/>
                <w:sz w:val="18"/>
                <w:szCs w:val="18"/>
                <w:color w:val="auto"/>
              </w:rPr>
              <w:t>4,607</w:t>
            </w: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line="194" w:lineRule="exact"/>
              <w:rPr>
                <w:sz w:val="20"/>
                <w:szCs w:val="20"/>
                <w:color w:val="auto"/>
              </w:rPr>
            </w:pPr>
            <w:r>
              <w:rPr>
                <w:rFonts w:ascii="Arial" w:cs="Arial" w:eastAsia="Arial" w:hAnsi="Arial"/>
                <w:sz w:val="18"/>
                <w:szCs w:val="18"/>
                <w:color w:val="auto"/>
              </w:rPr>
              <w:t>(4,129)</w:t>
            </w:r>
          </w:p>
        </w:tc>
        <w:tc>
          <w:tcPr>
            <w:tcW w:w="0" w:type="dxa"/>
            <w:vAlign w:val="bottom"/>
          </w:tcPr>
          <w:p>
            <w:pPr>
              <w:spacing w:after="0"/>
              <w:rPr>
                <w:sz w:val="1"/>
                <w:szCs w:val="1"/>
                <w:color w:val="auto"/>
              </w:rPr>
            </w:pPr>
          </w:p>
        </w:tc>
      </w:tr>
      <w:tr>
        <w:trPr>
          <w:trHeight w:val="23"/>
        </w:trPr>
        <w:tc>
          <w:tcPr>
            <w:tcW w:w="8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480" w:type="dxa"/>
            <w:vAlign w:val="bottom"/>
            <w:vMerge w:val="restart"/>
          </w:tcPr>
          <w:p>
            <w:pPr>
              <w:ind w:left="840"/>
              <w:spacing w:after="0"/>
              <w:rPr>
                <w:sz w:val="20"/>
                <w:szCs w:val="20"/>
                <w:color w:val="auto"/>
              </w:rPr>
            </w:pPr>
            <w:r>
              <w:rPr>
                <w:rFonts w:ascii="Arial" w:cs="Arial" w:eastAsia="Arial" w:hAnsi="Arial"/>
                <w:sz w:val="18"/>
                <w:szCs w:val="18"/>
                <w:color w:val="auto"/>
              </w:rPr>
              <w:t>Net cash provided by operating activities</w:t>
            </w:r>
          </w:p>
        </w:tc>
        <w:tc>
          <w:tcPr>
            <w:tcW w:w="540" w:type="dxa"/>
            <w:vAlign w:val="bottom"/>
            <w:vMerge w:val="restart"/>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8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10,943</w:t>
            </w:r>
          </w:p>
        </w:tc>
        <w:tc>
          <w:tcPr>
            <w:tcW w:w="5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32,689</w:t>
            </w:r>
          </w:p>
        </w:tc>
        <w:tc>
          <w:tcPr>
            <w:tcW w:w="6480" w:type="dxa"/>
            <w:vAlign w:val="bottom"/>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17,352</w:t>
            </w:r>
          </w:p>
        </w:tc>
        <w:tc>
          <w:tcPr>
            <w:tcW w:w="5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41,537</w:t>
            </w:r>
          </w:p>
        </w:tc>
        <w:tc>
          <w:tcPr>
            <w:tcW w:w="0" w:type="dxa"/>
            <w:vAlign w:val="bottom"/>
          </w:tcPr>
          <w:p>
            <w:pPr>
              <w:spacing w:after="0"/>
              <w:rPr>
                <w:sz w:val="1"/>
                <w:szCs w:val="1"/>
                <w:color w:val="auto"/>
              </w:rPr>
            </w:pPr>
          </w:p>
        </w:tc>
      </w:tr>
      <w:tr>
        <w:trPr>
          <w:trHeight w:val="399"/>
        </w:trPr>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80" w:type="dxa"/>
            <w:vAlign w:val="bottom"/>
          </w:tcPr>
          <w:p>
            <w:pPr>
              <w:ind w:left="520"/>
              <w:spacing w:after="0"/>
              <w:rPr>
                <w:sz w:val="20"/>
                <w:szCs w:val="20"/>
                <w:color w:val="auto"/>
              </w:rPr>
            </w:pPr>
            <w:r>
              <w:rPr>
                <w:rFonts w:ascii="Arial" w:cs="Arial" w:eastAsia="Arial" w:hAnsi="Arial"/>
                <w:sz w:val="18"/>
                <w:szCs w:val="18"/>
                <w:color w:val="auto"/>
              </w:rPr>
              <w:t>INVESTING ACTIVITIES</w:t>
            </w: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(18,455)</w:t>
            </w:r>
          </w:p>
        </w:tc>
        <w:tc>
          <w:tcPr>
            <w:tcW w:w="52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7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(12,799)</w:t>
            </w:r>
          </w:p>
        </w:tc>
        <w:tc>
          <w:tcPr>
            <w:tcW w:w="6480" w:type="dxa"/>
            <w:vAlign w:val="bottom"/>
            <w:shd w:val="clear" w:color="auto" w:fill="BFBFBF"/>
          </w:tcPr>
          <w:p>
            <w:pPr>
              <w:ind w:left="840"/>
              <w:spacing w:after="0" w:line="202" w:lineRule="exact"/>
              <w:rPr>
                <w:sz w:val="20"/>
                <w:szCs w:val="20"/>
                <w:color w:val="auto"/>
              </w:rPr>
            </w:pPr>
            <w:r>
              <w:rPr>
                <w:rFonts w:ascii="Arial" w:cs="Arial" w:eastAsia="Arial" w:hAnsi="Arial"/>
                <w:sz w:val="18"/>
                <w:szCs w:val="18"/>
                <w:color w:val="auto"/>
              </w:rPr>
              <w:t>Purchases of property, plant and equipment</w:t>
            </w:r>
          </w:p>
        </w:tc>
        <w:tc>
          <w:tcPr>
            <w:tcW w:w="138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(30,666)</w:t>
            </w:r>
          </w:p>
        </w:tc>
        <w:tc>
          <w:tcPr>
            <w:tcW w:w="520" w:type="dxa"/>
            <w:vAlign w:val="bottom"/>
            <w:shd w:val="clear" w:color="auto" w:fill="BFBFBF"/>
          </w:tcPr>
          <w:p>
            <w:pPr>
              <w:spacing w:after="0"/>
              <w:rPr>
                <w:sz w:val="17"/>
                <w:szCs w:val="17"/>
                <w:color w:val="auto"/>
              </w:rPr>
            </w:pPr>
          </w:p>
        </w:tc>
        <w:tc>
          <w:tcPr>
            <w:tcW w:w="140" w:type="dxa"/>
            <w:vAlign w:val="bottom"/>
            <w:shd w:val="clear" w:color="auto" w:fill="BFBFBF"/>
          </w:tcPr>
          <w:p>
            <w:pPr>
              <w:spacing w:after="0"/>
              <w:rPr>
                <w:sz w:val="17"/>
                <w:szCs w:val="17"/>
                <w:color w:val="auto"/>
              </w:rPr>
            </w:pPr>
          </w:p>
        </w:tc>
        <w:tc>
          <w:tcPr>
            <w:tcW w:w="7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(27,402)</w:t>
            </w:r>
          </w:p>
        </w:tc>
        <w:tc>
          <w:tcPr>
            <w:tcW w:w="0" w:type="dxa"/>
            <w:vAlign w:val="bottom"/>
          </w:tcPr>
          <w:p>
            <w:pPr>
              <w:spacing w:after="0"/>
              <w:rPr>
                <w:sz w:val="1"/>
                <w:szCs w:val="1"/>
                <w:color w:val="auto"/>
              </w:rPr>
            </w:pPr>
          </w:p>
        </w:tc>
      </w:tr>
      <w:tr>
        <w:trPr>
          <w:trHeight w:val="203"/>
        </w:trPr>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(304)</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c>
          <w:tcPr>
            <w:tcW w:w="6480" w:type="dxa"/>
            <w:vAlign w:val="bottom"/>
          </w:tcPr>
          <w:p>
            <w:pPr>
              <w:ind w:left="840"/>
              <w:spacing w:after="0" w:line="202" w:lineRule="exact"/>
              <w:rPr>
                <w:sz w:val="20"/>
                <w:szCs w:val="20"/>
                <w:color w:val="auto"/>
              </w:rPr>
            </w:pPr>
            <w:r>
              <w:rPr>
                <w:rFonts w:ascii="Arial" w:cs="Arial" w:eastAsia="Arial" w:hAnsi="Arial"/>
                <w:sz w:val="18"/>
                <w:szCs w:val="18"/>
                <w:color w:val="auto"/>
              </w:rPr>
              <w:t>Purchased software</w:t>
            </w:r>
          </w:p>
        </w:tc>
        <w:tc>
          <w:tcPr>
            <w:tcW w:w="1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(337)</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6"/>
        </w:trPr>
        <w:tc>
          <w:tcPr>
            <w:tcW w:w="860" w:type="dxa"/>
            <w:vAlign w:val="bottom"/>
            <w:shd w:val="clear" w:color="auto" w:fill="BFBFBF"/>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shd w:val="clear" w:color="auto" w:fill="BFBFBF"/>
          </w:tcPr>
          <w:p>
            <w:pPr>
              <w:spacing w:after="0"/>
              <w:rPr>
                <w:sz w:val="18"/>
                <w:szCs w:val="18"/>
                <w:color w:val="auto"/>
              </w:rPr>
            </w:pPr>
          </w:p>
        </w:tc>
        <w:tc>
          <w:tcPr>
            <w:tcW w:w="120" w:type="dxa"/>
            <w:vAlign w:val="bottom"/>
            <w:shd w:val="clear" w:color="auto" w:fill="BFBFBF"/>
          </w:tcPr>
          <w:p>
            <w:pPr>
              <w:spacing w:after="0"/>
              <w:rPr>
                <w:sz w:val="18"/>
                <w:szCs w:val="18"/>
                <w:color w:val="auto"/>
              </w:rPr>
            </w:pPr>
          </w:p>
        </w:tc>
        <w:tc>
          <w:tcPr>
            <w:tcW w:w="700" w:type="dxa"/>
            <w:vAlign w:val="bottom"/>
            <w:shd w:val="clear" w:color="auto" w:fill="BFBFBF"/>
          </w:tcPr>
          <w:p>
            <w:pPr>
              <w:jc w:val="right"/>
              <w:spacing w:after="0"/>
              <w:rPr>
                <w:sz w:val="20"/>
                <w:szCs w:val="20"/>
                <w:color w:val="auto"/>
              </w:rPr>
            </w:pPr>
            <w:r>
              <w:rPr>
                <w:rFonts w:ascii="Arial" w:cs="Arial" w:eastAsia="Arial" w:hAnsi="Arial"/>
                <w:sz w:val="18"/>
                <w:szCs w:val="18"/>
                <w:color w:val="auto"/>
              </w:rPr>
              <w:t>961</w:t>
            </w:r>
          </w:p>
        </w:tc>
        <w:tc>
          <w:tcPr>
            <w:tcW w:w="6480" w:type="dxa"/>
            <w:vAlign w:val="bottom"/>
            <w:shd w:val="clear" w:color="auto" w:fill="BFBFBF"/>
          </w:tcPr>
          <w:p>
            <w:pPr>
              <w:ind w:left="840"/>
              <w:spacing w:after="0"/>
              <w:rPr>
                <w:sz w:val="20"/>
                <w:szCs w:val="20"/>
                <w:color w:val="auto"/>
              </w:rPr>
            </w:pPr>
            <w:r>
              <w:rPr>
                <w:rFonts w:ascii="Arial" w:cs="Arial" w:eastAsia="Arial" w:hAnsi="Arial"/>
                <w:sz w:val="18"/>
                <w:szCs w:val="18"/>
                <w:color w:val="auto"/>
              </w:rPr>
              <w:t>Proceeds from sale or involuntary conversion of assets</w:t>
            </w:r>
          </w:p>
        </w:tc>
        <w:tc>
          <w:tcPr>
            <w:tcW w:w="1380" w:type="dxa"/>
            <w:vAlign w:val="bottom"/>
            <w:gridSpan w:val="2"/>
            <w:shd w:val="clear" w:color="auto" w:fill="BFBFBF"/>
          </w:tcPr>
          <w:p>
            <w:pPr>
              <w:jc w:val="right"/>
              <w:spacing w:after="0"/>
              <w:rPr>
                <w:sz w:val="20"/>
                <w:szCs w:val="20"/>
                <w:color w:val="auto"/>
              </w:rPr>
            </w:pPr>
            <w:r>
              <w:rPr>
                <w:rFonts w:ascii="Arial" w:cs="Arial" w:eastAsia="Arial" w:hAnsi="Arial"/>
                <w:sz w:val="18"/>
                <w:szCs w:val="18"/>
                <w:color w:val="auto"/>
              </w:rPr>
              <w:t>2,797</w:t>
            </w:r>
          </w:p>
        </w:tc>
        <w:tc>
          <w:tcPr>
            <w:tcW w:w="520" w:type="dxa"/>
            <w:vAlign w:val="bottom"/>
            <w:shd w:val="clear" w:color="auto" w:fill="BFBFBF"/>
          </w:tcPr>
          <w:p>
            <w:pPr>
              <w:spacing w:after="0"/>
              <w:rPr>
                <w:sz w:val="18"/>
                <w:szCs w:val="18"/>
                <w:color w:val="auto"/>
              </w:rPr>
            </w:pPr>
          </w:p>
        </w:tc>
        <w:tc>
          <w:tcPr>
            <w:tcW w:w="140" w:type="dxa"/>
            <w:vAlign w:val="bottom"/>
            <w:shd w:val="clear" w:color="auto" w:fill="BFBFBF"/>
          </w:tcPr>
          <w:p>
            <w:pPr>
              <w:spacing w:after="0"/>
              <w:rPr>
                <w:sz w:val="18"/>
                <w:szCs w:val="18"/>
                <w:color w:val="auto"/>
              </w:rPr>
            </w:pPr>
          </w:p>
        </w:tc>
        <w:tc>
          <w:tcPr>
            <w:tcW w:w="700" w:type="dxa"/>
            <w:vAlign w:val="bottom"/>
            <w:shd w:val="clear" w:color="auto" w:fill="BFBFBF"/>
          </w:tcPr>
          <w:p>
            <w:pPr>
              <w:jc w:val="right"/>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196"/>
        </w:trPr>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(18,759)</w:t>
            </w:r>
          </w:p>
        </w:tc>
        <w:tc>
          <w:tcPr>
            <w:tcW w:w="5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(11,859)</w:t>
            </w:r>
          </w:p>
        </w:tc>
        <w:tc>
          <w:tcPr>
            <w:tcW w:w="6480" w:type="dxa"/>
            <w:vAlign w:val="bottom"/>
          </w:tcPr>
          <w:p>
            <w:pPr>
              <w:ind w:left="840"/>
              <w:spacing w:after="0" w:line="196" w:lineRule="exact"/>
              <w:rPr>
                <w:sz w:val="20"/>
                <w:szCs w:val="20"/>
                <w:color w:val="auto"/>
              </w:rPr>
            </w:pPr>
            <w:r>
              <w:rPr>
                <w:rFonts w:ascii="Arial" w:cs="Arial" w:eastAsia="Arial" w:hAnsi="Arial"/>
                <w:sz w:val="18"/>
                <w:szCs w:val="18"/>
                <w:color w:val="auto"/>
              </w:rPr>
              <w:t>Net cash used in investing activities</w:t>
            </w:r>
          </w:p>
        </w:tc>
        <w:tc>
          <w:tcPr>
            <w:tcW w:w="54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(28,206)</w:t>
            </w:r>
          </w:p>
        </w:tc>
        <w:tc>
          <w:tcPr>
            <w:tcW w:w="5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(26,756)</w:t>
            </w:r>
          </w:p>
        </w:tc>
        <w:tc>
          <w:tcPr>
            <w:tcW w:w="0" w:type="dxa"/>
            <w:vAlign w:val="bottom"/>
          </w:tcPr>
          <w:p>
            <w:pPr>
              <w:spacing w:after="0"/>
              <w:rPr>
                <w:sz w:val="1"/>
                <w:szCs w:val="1"/>
                <w:color w:val="auto"/>
              </w:rPr>
            </w:pPr>
          </w:p>
        </w:tc>
      </w:tr>
      <w:tr>
        <w:trPr>
          <w:trHeight w:val="399"/>
        </w:trPr>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80" w:type="dxa"/>
            <w:vAlign w:val="bottom"/>
          </w:tcPr>
          <w:p>
            <w:pPr>
              <w:ind w:left="520"/>
              <w:spacing w:after="0"/>
              <w:rPr>
                <w:sz w:val="20"/>
                <w:szCs w:val="20"/>
                <w:color w:val="auto"/>
              </w:rPr>
            </w:pPr>
            <w:r>
              <w:rPr>
                <w:rFonts w:ascii="Arial" w:cs="Arial" w:eastAsia="Arial" w:hAnsi="Arial"/>
                <w:sz w:val="18"/>
                <w:szCs w:val="18"/>
                <w:color w:val="auto"/>
              </w:rPr>
              <w:t>FINANCING ACTIVITIES</w:t>
            </w: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6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24,346</w:t>
            </w:r>
          </w:p>
        </w:tc>
        <w:tc>
          <w:tcPr>
            <w:tcW w:w="52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7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235</w:t>
            </w:r>
          </w:p>
        </w:tc>
        <w:tc>
          <w:tcPr>
            <w:tcW w:w="6480" w:type="dxa"/>
            <w:vAlign w:val="bottom"/>
            <w:shd w:val="clear" w:color="auto" w:fill="BFBFBF"/>
          </w:tcPr>
          <w:p>
            <w:pPr>
              <w:ind w:left="840"/>
              <w:spacing w:after="0" w:line="202" w:lineRule="exact"/>
              <w:rPr>
                <w:sz w:val="20"/>
                <w:szCs w:val="20"/>
                <w:color w:val="auto"/>
              </w:rPr>
            </w:pPr>
            <w:r>
              <w:rPr>
                <w:rFonts w:ascii="Arial" w:cs="Arial" w:eastAsia="Arial" w:hAnsi="Arial"/>
                <w:sz w:val="18"/>
                <w:szCs w:val="18"/>
                <w:color w:val="auto"/>
              </w:rPr>
              <w:t>Proceeds from borrowings</w:t>
            </w:r>
          </w:p>
        </w:tc>
        <w:tc>
          <w:tcPr>
            <w:tcW w:w="138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39,620</w:t>
            </w:r>
          </w:p>
        </w:tc>
        <w:tc>
          <w:tcPr>
            <w:tcW w:w="520" w:type="dxa"/>
            <w:vAlign w:val="bottom"/>
            <w:shd w:val="clear" w:color="auto" w:fill="BFBFBF"/>
          </w:tcPr>
          <w:p>
            <w:pPr>
              <w:spacing w:after="0"/>
              <w:rPr>
                <w:sz w:val="17"/>
                <w:szCs w:val="17"/>
                <w:color w:val="auto"/>
              </w:rPr>
            </w:pPr>
          </w:p>
        </w:tc>
        <w:tc>
          <w:tcPr>
            <w:tcW w:w="140" w:type="dxa"/>
            <w:vAlign w:val="bottom"/>
            <w:shd w:val="clear" w:color="auto" w:fill="BFBFBF"/>
          </w:tcPr>
          <w:p>
            <w:pPr>
              <w:spacing w:after="0"/>
              <w:rPr>
                <w:sz w:val="17"/>
                <w:szCs w:val="17"/>
                <w:color w:val="auto"/>
              </w:rPr>
            </w:pPr>
          </w:p>
        </w:tc>
        <w:tc>
          <w:tcPr>
            <w:tcW w:w="7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4,670</w:t>
            </w:r>
          </w:p>
        </w:tc>
        <w:tc>
          <w:tcPr>
            <w:tcW w:w="0" w:type="dxa"/>
            <w:vAlign w:val="bottom"/>
          </w:tcPr>
          <w:p>
            <w:pPr>
              <w:spacing w:after="0"/>
              <w:rPr>
                <w:sz w:val="1"/>
                <w:szCs w:val="1"/>
                <w:color w:val="auto"/>
              </w:rPr>
            </w:pPr>
          </w:p>
        </w:tc>
      </w:tr>
      <w:tr>
        <w:trPr>
          <w:trHeight w:val="203"/>
        </w:trPr>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(4,303)</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(17,593)</w:t>
            </w:r>
          </w:p>
        </w:tc>
        <w:tc>
          <w:tcPr>
            <w:tcW w:w="6480" w:type="dxa"/>
            <w:vAlign w:val="bottom"/>
          </w:tcPr>
          <w:p>
            <w:pPr>
              <w:ind w:left="840"/>
              <w:spacing w:after="0" w:line="202" w:lineRule="exact"/>
              <w:rPr>
                <w:sz w:val="20"/>
                <w:szCs w:val="20"/>
                <w:color w:val="auto"/>
              </w:rPr>
            </w:pPr>
            <w:r>
              <w:rPr>
                <w:rFonts w:ascii="Arial" w:cs="Arial" w:eastAsia="Arial" w:hAnsi="Arial"/>
                <w:sz w:val="18"/>
                <w:szCs w:val="18"/>
                <w:color w:val="auto"/>
              </w:rPr>
              <w:t>Principal payments on debt</w:t>
            </w:r>
          </w:p>
        </w:tc>
        <w:tc>
          <w:tcPr>
            <w:tcW w:w="1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(9,746)</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(24,109)</w:t>
            </w:r>
          </w:p>
        </w:tc>
        <w:tc>
          <w:tcPr>
            <w:tcW w:w="0" w:type="dxa"/>
            <w:vAlign w:val="bottom"/>
          </w:tcPr>
          <w:p>
            <w:pPr>
              <w:spacing w:after="0"/>
              <w:rPr>
                <w:sz w:val="1"/>
                <w:szCs w:val="1"/>
                <w:color w:val="auto"/>
              </w:rPr>
            </w:pPr>
          </w:p>
        </w:tc>
      </w:tr>
      <w:tr>
        <w:trPr>
          <w:trHeight w:val="203"/>
        </w:trPr>
        <w:tc>
          <w:tcPr>
            <w:tcW w:w="8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(1,630)</w:t>
            </w:r>
          </w:p>
        </w:tc>
        <w:tc>
          <w:tcPr>
            <w:tcW w:w="52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7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w:t>
            </w:r>
          </w:p>
        </w:tc>
        <w:tc>
          <w:tcPr>
            <w:tcW w:w="6480" w:type="dxa"/>
            <w:vAlign w:val="bottom"/>
            <w:shd w:val="clear" w:color="auto" w:fill="BFBFBF"/>
          </w:tcPr>
          <w:p>
            <w:pPr>
              <w:ind w:left="840"/>
              <w:spacing w:after="0" w:line="202" w:lineRule="exact"/>
              <w:rPr>
                <w:sz w:val="20"/>
                <w:szCs w:val="20"/>
                <w:color w:val="auto"/>
              </w:rPr>
            </w:pPr>
            <w:r>
              <w:rPr>
                <w:rFonts w:ascii="Arial" w:cs="Arial" w:eastAsia="Arial" w:hAnsi="Arial"/>
                <w:sz w:val="18"/>
                <w:szCs w:val="18"/>
                <w:color w:val="auto"/>
              </w:rPr>
              <w:t>Debt acquisition costs</w:t>
            </w:r>
          </w:p>
        </w:tc>
        <w:tc>
          <w:tcPr>
            <w:tcW w:w="138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(1,630)</w:t>
            </w:r>
          </w:p>
        </w:tc>
        <w:tc>
          <w:tcPr>
            <w:tcW w:w="520" w:type="dxa"/>
            <w:vAlign w:val="bottom"/>
            <w:shd w:val="clear" w:color="auto" w:fill="BFBFBF"/>
          </w:tcPr>
          <w:p>
            <w:pPr>
              <w:spacing w:after="0"/>
              <w:rPr>
                <w:sz w:val="17"/>
                <w:szCs w:val="17"/>
                <w:color w:val="auto"/>
              </w:rPr>
            </w:pPr>
          </w:p>
        </w:tc>
        <w:tc>
          <w:tcPr>
            <w:tcW w:w="140" w:type="dxa"/>
            <w:vAlign w:val="bottom"/>
            <w:shd w:val="clear" w:color="auto" w:fill="BFBFBF"/>
          </w:tcPr>
          <w:p>
            <w:pPr>
              <w:spacing w:after="0"/>
              <w:rPr>
                <w:sz w:val="17"/>
                <w:szCs w:val="17"/>
                <w:color w:val="auto"/>
              </w:rPr>
            </w:pPr>
          </w:p>
        </w:tc>
        <w:tc>
          <w:tcPr>
            <w:tcW w:w="7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1,039</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261</w:t>
            </w:r>
          </w:p>
        </w:tc>
        <w:tc>
          <w:tcPr>
            <w:tcW w:w="6480" w:type="dxa"/>
            <w:vAlign w:val="bottom"/>
          </w:tcPr>
          <w:p>
            <w:pPr>
              <w:ind w:left="840"/>
              <w:spacing w:after="0" w:line="202" w:lineRule="exact"/>
              <w:rPr>
                <w:sz w:val="20"/>
                <w:szCs w:val="20"/>
                <w:color w:val="auto"/>
              </w:rPr>
            </w:pPr>
            <w:r>
              <w:rPr>
                <w:rFonts w:ascii="Arial" w:cs="Arial" w:eastAsia="Arial" w:hAnsi="Arial"/>
                <w:sz w:val="18"/>
                <w:szCs w:val="18"/>
                <w:color w:val="auto"/>
              </w:rPr>
              <w:t>Proceeds from options exercised</w:t>
            </w:r>
          </w:p>
        </w:tc>
        <w:tc>
          <w:tcPr>
            <w:tcW w:w="1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1,724</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03"/>
        </w:trPr>
        <w:tc>
          <w:tcPr>
            <w:tcW w:w="86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342</w:t>
            </w:r>
          </w:p>
        </w:tc>
        <w:tc>
          <w:tcPr>
            <w:tcW w:w="520" w:type="dxa"/>
            <w:vAlign w:val="bottom"/>
            <w:shd w:val="clear" w:color="auto" w:fill="BFBFBF"/>
          </w:tcPr>
          <w:p>
            <w:pPr>
              <w:spacing w:after="0"/>
              <w:rPr>
                <w:sz w:val="17"/>
                <w:szCs w:val="17"/>
                <w:color w:val="auto"/>
              </w:rPr>
            </w:pPr>
          </w:p>
        </w:tc>
        <w:tc>
          <w:tcPr>
            <w:tcW w:w="120" w:type="dxa"/>
            <w:vAlign w:val="bottom"/>
            <w:shd w:val="clear" w:color="auto" w:fill="BFBFBF"/>
          </w:tcPr>
          <w:p>
            <w:pPr>
              <w:spacing w:after="0"/>
              <w:rPr>
                <w:sz w:val="17"/>
                <w:szCs w:val="17"/>
                <w:color w:val="auto"/>
              </w:rPr>
            </w:pPr>
          </w:p>
        </w:tc>
        <w:tc>
          <w:tcPr>
            <w:tcW w:w="7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106</w:t>
            </w:r>
          </w:p>
        </w:tc>
        <w:tc>
          <w:tcPr>
            <w:tcW w:w="6480" w:type="dxa"/>
            <w:vAlign w:val="bottom"/>
            <w:shd w:val="clear" w:color="auto" w:fill="BFBFBF"/>
          </w:tcPr>
          <w:p>
            <w:pPr>
              <w:ind w:left="840"/>
              <w:spacing w:after="0" w:line="202" w:lineRule="exact"/>
              <w:rPr>
                <w:sz w:val="20"/>
                <w:szCs w:val="20"/>
                <w:color w:val="auto"/>
              </w:rPr>
            </w:pPr>
            <w:r>
              <w:rPr>
                <w:rFonts w:ascii="Arial" w:cs="Arial" w:eastAsia="Arial" w:hAnsi="Arial"/>
                <w:sz w:val="18"/>
                <w:szCs w:val="18"/>
                <w:color w:val="auto"/>
              </w:rPr>
              <w:t>Excess tax benefit of options exercised</w:t>
            </w:r>
          </w:p>
        </w:tc>
        <w:tc>
          <w:tcPr>
            <w:tcW w:w="138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603</w:t>
            </w:r>
          </w:p>
        </w:tc>
        <w:tc>
          <w:tcPr>
            <w:tcW w:w="520" w:type="dxa"/>
            <w:vAlign w:val="bottom"/>
            <w:shd w:val="clear" w:color="auto" w:fill="BFBFBF"/>
          </w:tcPr>
          <w:p>
            <w:pPr>
              <w:spacing w:after="0"/>
              <w:rPr>
                <w:sz w:val="17"/>
                <w:szCs w:val="17"/>
                <w:color w:val="auto"/>
              </w:rPr>
            </w:pPr>
          </w:p>
        </w:tc>
        <w:tc>
          <w:tcPr>
            <w:tcW w:w="140" w:type="dxa"/>
            <w:vAlign w:val="bottom"/>
            <w:shd w:val="clear" w:color="auto" w:fill="BFBFBF"/>
          </w:tcPr>
          <w:p>
            <w:pPr>
              <w:spacing w:after="0"/>
              <w:rPr>
                <w:sz w:val="17"/>
                <w:szCs w:val="17"/>
                <w:color w:val="auto"/>
              </w:rPr>
            </w:pPr>
          </w:p>
        </w:tc>
        <w:tc>
          <w:tcPr>
            <w:tcW w:w="7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193"/>
        </w:trPr>
        <w:tc>
          <w:tcPr>
            <w:tcW w:w="860" w:type="dxa"/>
            <w:vAlign w:val="bottom"/>
          </w:tcPr>
          <w:p>
            <w:pPr>
              <w:jc w:val="right"/>
              <w:spacing w:after="0" w:line="194" w:lineRule="exact"/>
              <w:rPr>
                <w:sz w:val="20"/>
                <w:szCs w:val="20"/>
                <w:color w:val="auto"/>
              </w:rPr>
            </w:pPr>
            <w:r>
              <w:rPr>
                <w:rFonts w:ascii="Arial" w:cs="Arial" w:eastAsia="Arial" w:hAnsi="Arial"/>
                <w:sz w:val="18"/>
                <w:szCs w:val="18"/>
                <w:color w:val="auto"/>
              </w:rPr>
              <w:t>(5,107)</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line="194" w:lineRule="exact"/>
              <w:rPr>
                <w:sz w:val="20"/>
                <w:szCs w:val="20"/>
                <w:color w:val="auto"/>
              </w:rPr>
            </w:pPr>
            <w:r>
              <w:rPr>
                <w:rFonts w:ascii="Arial" w:cs="Arial" w:eastAsia="Arial" w:hAnsi="Arial"/>
                <w:sz w:val="18"/>
                <w:szCs w:val="18"/>
                <w:color w:val="auto"/>
              </w:rPr>
              <w:t>(4,774)</w:t>
            </w:r>
          </w:p>
        </w:tc>
        <w:tc>
          <w:tcPr>
            <w:tcW w:w="6480" w:type="dxa"/>
            <w:vAlign w:val="bottom"/>
          </w:tcPr>
          <w:p>
            <w:pPr>
              <w:ind w:left="840"/>
              <w:spacing w:after="0" w:line="194" w:lineRule="exact"/>
              <w:rPr>
                <w:sz w:val="20"/>
                <w:szCs w:val="20"/>
                <w:color w:val="auto"/>
              </w:rPr>
            </w:pPr>
            <w:r>
              <w:rPr>
                <w:rFonts w:ascii="Arial" w:cs="Arial" w:eastAsia="Arial" w:hAnsi="Arial"/>
                <w:sz w:val="18"/>
                <w:szCs w:val="18"/>
                <w:color w:val="auto"/>
              </w:rPr>
              <w:t>Dividends paid</w:t>
            </w:r>
          </w:p>
        </w:tc>
        <w:tc>
          <w:tcPr>
            <w:tcW w:w="1380" w:type="dxa"/>
            <w:vAlign w:val="bottom"/>
            <w:gridSpan w:val="2"/>
          </w:tcPr>
          <w:p>
            <w:pPr>
              <w:jc w:val="right"/>
              <w:spacing w:after="0" w:line="194" w:lineRule="exact"/>
              <w:rPr>
                <w:sz w:val="20"/>
                <w:szCs w:val="20"/>
                <w:color w:val="auto"/>
              </w:rPr>
            </w:pPr>
            <w:r>
              <w:rPr>
                <w:rFonts w:ascii="Arial" w:cs="Arial" w:eastAsia="Arial" w:hAnsi="Arial"/>
                <w:sz w:val="18"/>
                <w:szCs w:val="18"/>
                <w:color w:val="auto"/>
              </w:rPr>
              <w:t>(10,205)</w:t>
            </w: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line="194" w:lineRule="exact"/>
              <w:rPr>
                <w:sz w:val="20"/>
                <w:szCs w:val="20"/>
                <w:color w:val="auto"/>
              </w:rPr>
            </w:pPr>
            <w:r>
              <w:rPr>
                <w:rFonts w:ascii="Arial" w:cs="Arial" w:eastAsia="Arial" w:hAnsi="Arial"/>
                <w:sz w:val="18"/>
                <w:szCs w:val="18"/>
                <w:color w:val="auto"/>
              </w:rPr>
              <w:t>(9,539)</w:t>
            </w:r>
          </w:p>
        </w:tc>
        <w:tc>
          <w:tcPr>
            <w:tcW w:w="0" w:type="dxa"/>
            <w:vAlign w:val="bottom"/>
          </w:tcPr>
          <w:p>
            <w:pPr>
              <w:spacing w:after="0"/>
              <w:rPr>
                <w:sz w:val="1"/>
                <w:szCs w:val="1"/>
                <w:color w:val="auto"/>
              </w:rPr>
            </w:pPr>
          </w:p>
        </w:tc>
      </w:tr>
      <w:tr>
        <w:trPr>
          <w:trHeight w:val="23"/>
        </w:trPr>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80" w:type="dxa"/>
            <w:vAlign w:val="bottom"/>
            <w:vMerge w:val="restart"/>
          </w:tcPr>
          <w:p>
            <w:pPr>
              <w:ind w:left="840"/>
              <w:spacing w:after="0"/>
              <w:rPr>
                <w:sz w:val="20"/>
                <w:szCs w:val="20"/>
                <w:color w:val="auto"/>
              </w:rPr>
            </w:pPr>
            <w:r>
              <w:rPr>
                <w:rFonts w:ascii="Arial" w:cs="Arial" w:eastAsia="Arial" w:hAnsi="Arial"/>
                <w:sz w:val="18"/>
                <w:szCs w:val="18"/>
                <w:color w:val="auto"/>
              </w:rPr>
              <w:t>Net cash provided by/(used in) financing activities</w:t>
            </w:r>
          </w:p>
        </w:tc>
        <w:tc>
          <w:tcPr>
            <w:tcW w:w="13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14,687</w:t>
            </w:r>
          </w:p>
        </w:tc>
        <w:tc>
          <w:tcPr>
            <w:tcW w:w="5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(21,765)</w:t>
            </w:r>
          </w:p>
        </w:tc>
        <w:tc>
          <w:tcPr>
            <w:tcW w:w="648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20,366</w:t>
            </w:r>
          </w:p>
        </w:tc>
        <w:tc>
          <w:tcPr>
            <w:tcW w:w="5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(28,446)</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0" w:type="dxa"/>
            <w:vAlign w:val="bottom"/>
            <w:tcBorders>
              <w:bottom w:val="single" w:sz="8" w:color="auto"/>
            </w:tcBorders>
            <w:shd w:val="clear" w:color="auto" w:fill="BFBFBF"/>
          </w:tcPr>
          <w:p>
            <w:pPr>
              <w:jc w:val="right"/>
              <w:ind w:right="10"/>
              <w:spacing w:after="0"/>
              <w:rPr>
                <w:sz w:val="20"/>
                <w:szCs w:val="20"/>
                <w:color w:val="auto"/>
              </w:rPr>
            </w:pPr>
            <w:r>
              <w:rPr>
                <w:rFonts w:ascii="Arial" w:cs="Arial" w:eastAsia="Arial" w:hAnsi="Arial"/>
                <w:sz w:val="18"/>
                <w:szCs w:val="18"/>
                <w:color w:val="auto"/>
              </w:rPr>
              <w:t>4,765</w:t>
            </w:r>
          </w:p>
        </w:tc>
        <w:tc>
          <w:tcPr>
            <w:tcW w:w="520" w:type="dxa"/>
            <w:vAlign w:val="bottom"/>
            <w:shd w:val="clear" w:color="auto" w:fill="BFBFBF"/>
          </w:tcPr>
          <w:p>
            <w:pPr>
              <w:spacing w:after="0"/>
              <w:rPr>
                <w:sz w:val="18"/>
                <w:szCs w:val="18"/>
                <w:color w:val="auto"/>
              </w:rPr>
            </w:pPr>
          </w:p>
        </w:tc>
        <w:tc>
          <w:tcPr>
            <w:tcW w:w="120" w:type="dxa"/>
            <w:vAlign w:val="bottom"/>
            <w:tcBorders>
              <w:bottom w:val="single" w:sz="8" w:color="auto"/>
            </w:tcBorders>
            <w:shd w:val="clear" w:color="auto" w:fill="BFBFBF"/>
          </w:tcPr>
          <w:p>
            <w:pPr>
              <w:spacing w:after="0"/>
              <w:rPr>
                <w:sz w:val="18"/>
                <w:szCs w:val="18"/>
                <w:color w:val="auto"/>
              </w:rPr>
            </w:pPr>
          </w:p>
        </w:tc>
        <w:tc>
          <w:tcPr>
            <w:tcW w:w="70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8"/>
                <w:szCs w:val="18"/>
                <w:color w:val="auto"/>
              </w:rPr>
              <w:t>(608)</w:t>
            </w:r>
          </w:p>
        </w:tc>
        <w:tc>
          <w:tcPr>
            <w:tcW w:w="6480" w:type="dxa"/>
            <w:vAlign w:val="bottom"/>
            <w:shd w:val="clear" w:color="auto" w:fill="BFBFBF"/>
          </w:tcPr>
          <w:p>
            <w:pPr>
              <w:ind w:left="840"/>
              <w:spacing w:after="0"/>
              <w:rPr>
                <w:sz w:val="20"/>
                <w:szCs w:val="20"/>
                <w:color w:val="auto"/>
              </w:rPr>
            </w:pPr>
            <w:r>
              <w:rPr>
                <w:rFonts w:ascii="Arial" w:cs="Arial" w:eastAsia="Arial" w:hAnsi="Arial"/>
                <w:sz w:val="18"/>
                <w:szCs w:val="18"/>
                <w:color w:val="auto"/>
              </w:rPr>
              <w:t>Effect of exchange rate changes on cash and cash equivalents</w:t>
            </w:r>
          </w:p>
        </w:tc>
        <w:tc>
          <w:tcPr>
            <w:tcW w:w="540" w:type="dxa"/>
            <w:vAlign w:val="bottom"/>
            <w:shd w:val="clear" w:color="auto" w:fill="BFBFBF"/>
          </w:tcPr>
          <w:p>
            <w:pPr>
              <w:spacing w:after="0"/>
              <w:rPr>
                <w:sz w:val="18"/>
                <w:szCs w:val="18"/>
                <w:color w:val="auto"/>
              </w:rPr>
            </w:pPr>
          </w:p>
        </w:tc>
        <w:tc>
          <w:tcPr>
            <w:tcW w:w="84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8"/>
                <w:szCs w:val="18"/>
                <w:color w:val="auto"/>
              </w:rPr>
              <w:t>(6,840)</w:t>
            </w:r>
          </w:p>
        </w:tc>
        <w:tc>
          <w:tcPr>
            <w:tcW w:w="520" w:type="dxa"/>
            <w:vAlign w:val="bottom"/>
            <w:shd w:val="clear" w:color="auto" w:fill="BFBFBF"/>
          </w:tcPr>
          <w:p>
            <w:pPr>
              <w:spacing w:after="0"/>
              <w:rPr>
                <w:sz w:val="18"/>
                <w:szCs w:val="18"/>
                <w:color w:val="auto"/>
              </w:rPr>
            </w:pPr>
          </w:p>
        </w:tc>
        <w:tc>
          <w:tcPr>
            <w:tcW w:w="140" w:type="dxa"/>
            <w:vAlign w:val="bottom"/>
            <w:tcBorders>
              <w:bottom w:val="single" w:sz="8" w:color="auto"/>
            </w:tcBorders>
            <w:shd w:val="clear" w:color="auto" w:fill="BFBFBF"/>
          </w:tcPr>
          <w:p>
            <w:pPr>
              <w:spacing w:after="0"/>
              <w:rPr>
                <w:sz w:val="18"/>
                <w:szCs w:val="18"/>
                <w:color w:val="auto"/>
              </w:rPr>
            </w:pPr>
          </w:p>
        </w:tc>
        <w:tc>
          <w:tcPr>
            <w:tcW w:w="70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8"/>
                <w:szCs w:val="18"/>
                <w:color w:val="auto"/>
              </w:rPr>
              <w:t>(2,165)</w:t>
            </w:r>
          </w:p>
        </w:tc>
        <w:tc>
          <w:tcPr>
            <w:tcW w:w="0" w:type="dxa"/>
            <w:vAlign w:val="bottom"/>
          </w:tcPr>
          <w:p>
            <w:pPr>
              <w:spacing w:after="0"/>
              <w:rPr>
                <w:sz w:val="1"/>
                <w:szCs w:val="1"/>
                <w:color w:val="auto"/>
              </w:rPr>
            </w:pPr>
          </w:p>
        </w:tc>
      </w:tr>
    </w:tbl>
    <w:p>
      <w:pPr>
        <w:spacing w:after="0" w:line="180" w:lineRule="exact"/>
        <w:rPr>
          <w:sz w:val="20"/>
          <w:szCs w:val="20"/>
          <w:color w:val="auto"/>
        </w:rPr>
      </w:pPr>
    </w:p>
    <w:p>
      <w:pPr>
        <w:sectPr>
          <w:pgSz w:w="11900" w:h="16838" w:orient="portrait"/>
          <w:cols w:equalWidth="0" w:num="1">
            <w:col w:w="11420"/>
          </w:cols>
          <w:pgMar w:left="240" w:top="643" w:right="239" w:bottom="1440" w:gutter="0" w:footer="0" w:header="0"/>
        </w:sectPr>
      </w:pPr>
    </w:p>
    <w:p>
      <w:pPr>
        <w:ind w:left="220"/>
        <w:spacing w:after="0"/>
        <w:tabs>
          <w:tab w:leader="none" w:pos="1620" w:val="left"/>
        </w:tabs>
        <w:rPr>
          <w:sz w:val="20"/>
          <w:szCs w:val="20"/>
          <w:color w:val="auto"/>
        </w:rPr>
      </w:pPr>
      <w:r>
        <w:rPr>
          <w:rFonts w:ascii="Arial" w:cs="Arial" w:eastAsia="Arial" w:hAnsi="Arial"/>
          <w:sz w:val="17"/>
          <w:szCs w:val="17"/>
          <w:color w:val="auto"/>
        </w:rPr>
        <w:t>11,636</w:t>
      </w:r>
      <w:r>
        <w:rPr>
          <w:sz w:val="20"/>
          <w:szCs w:val="20"/>
          <w:color w:val="auto"/>
        </w:rPr>
        <w:tab/>
      </w:r>
      <w:r>
        <w:rPr>
          <w:rFonts w:ascii="Arial" w:cs="Arial" w:eastAsia="Arial" w:hAnsi="Arial"/>
          <w:sz w:val="17"/>
          <w:szCs w:val="17"/>
          <w:color w:val="auto"/>
        </w:rPr>
        <w:t>(1,543)</w:t>
      </w:r>
    </w:p>
    <w:p>
      <w:pPr>
        <w:spacing w:after="0" w:line="43" w:lineRule="exact"/>
        <w:rPr>
          <w:sz w:val="20"/>
          <w:szCs w:val="20"/>
          <w:color w:val="auto"/>
        </w:rPr>
      </w:pPr>
    </w:p>
    <w:p>
      <w:pPr>
        <w:ind w:left="100"/>
        <w:spacing w:after="0"/>
        <w:tabs>
          <w:tab w:leader="none" w:pos="1480" w:val="left"/>
        </w:tabs>
        <w:rPr>
          <w:sz w:val="20"/>
          <w:szCs w:val="20"/>
          <w:color w:val="auto"/>
        </w:rPr>
      </w:pPr>
      <w:r>
        <w:rPr>
          <w:rFonts w:ascii="Arial" w:cs="Arial" w:eastAsia="Arial" w:hAnsi="Arial"/>
          <w:sz w:val="18"/>
          <w:szCs w:val="18"/>
          <w:color w:val="auto"/>
        </w:rPr>
        <w:t>170,838</w:t>
      </w:r>
      <w:r>
        <w:rPr>
          <w:sz w:val="20"/>
          <w:szCs w:val="20"/>
          <w:color w:val="auto"/>
        </w:rPr>
        <w:tab/>
      </w:r>
      <w:r>
        <w:rPr>
          <w:rFonts w:ascii="Arial" w:cs="Arial" w:eastAsia="Arial" w:hAnsi="Arial"/>
          <w:sz w:val="18"/>
          <w:szCs w:val="18"/>
          <w:color w:val="auto"/>
        </w:rPr>
        <w:t>208,379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3976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tabs>
          <w:tab w:leader="none" w:pos="1360" w:val="left"/>
        </w:tabs>
        <w:rPr>
          <w:sz w:val="20"/>
          <w:szCs w:val="20"/>
          <w:color w:val="auto"/>
        </w:rPr>
      </w:pPr>
      <w:r>
        <w:rPr>
          <w:rFonts w:ascii="Arial" w:cs="Arial" w:eastAsia="Arial" w:hAnsi="Arial"/>
          <w:sz w:val="18"/>
          <w:szCs w:val="18"/>
          <w:u w:val="single" w:color="auto"/>
          <w:color w:val="auto"/>
        </w:rPr>
        <w:t>$182,474</w:t>
      </w:r>
      <w:r>
        <w:rPr>
          <w:sz w:val="20"/>
          <w:szCs w:val="20"/>
          <w:color w:val="auto"/>
        </w:rPr>
        <w:tab/>
      </w:r>
      <w:r>
        <w:rPr>
          <w:rFonts w:ascii="Arial" w:cs="Arial" w:eastAsia="Arial" w:hAnsi="Arial"/>
          <w:sz w:val="18"/>
          <w:szCs w:val="18"/>
          <w:u w:val="single" w:color="auto"/>
          <w:color w:val="auto"/>
        </w:rPr>
        <w:t>$206,836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13976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720"/>
        <w:spacing w:after="0"/>
        <w:rPr>
          <w:sz w:val="20"/>
          <w:szCs w:val="20"/>
          <w:color w:val="auto"/>
        </w:rPr>
      </w:pPr>
      <w:r>
        <w:rPr>
          <w:rFonts w:ascii="Arial" w:cs="Arial" w:eastAsia="Arial" w:hAnsi="Arial"/>
          <w:sz w:val="18"/>
          <w:szCs w:val="18"/>
          <w:color w:val="auto"/>
        </w:rPr>
        <w:t>Increase/(decrease) in cash and cash equivalents</w:t>
      </w:r>
    </w:p>
    <w:p>
      <w:pPr>
        <w:spacing w:after="0" w:line="1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Cash and cash equivalents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-1467485</wp:posOffset>
            </wp:positionH>
            <wp:positionV relativeFrom="paragraph">
              <wp:posOffset>-130175</wp:posOffset>
            </wp:positionV>
            <wp:extent cx="72466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720"/>
        <w:spacing w:after="0"/>
        <w:rPr>
          <w:sz w:val="20"/>
          <w:szCs w:val="20"/>
          <w:color w:val="auto"/>
        </w:rPr>
      </w:pPr>
      <w:r>
        <w:rPr>
          <w:rFonts w:ascii="Arial" w:cs="Arial" w:eastAsia="Arial" w:hAnsi="Arial"/>
          <w:sz w:val="18"/>
          <w:szCs w:val="18"/>
          <w:color w:val="auto"/>
        </w:rPr>
        <w:t>Cash and cash equivalents at end of period</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840" w:type="dxa"/>
            <w:vAlign w:val="bottom"/>
            <w:gridSpan w:val="2"/>
          </w:tcPr>
          <w:p>
            <w:pPr>
              <w:jc w:val="right"/>
              <w:spacing w:after="0"/>
              <w:rPr>
                <w:sz w:val="20"/>
                <w:szCs w:val="20"/>
                <w:color w:val="auto"/>
              </w:rPr>
            </w:pPr>
            <w:r>
              <w:rPr>
                <w:rFonts w:ascii="Arial" w:cs="Arial" w:eastAsia="Arial" w:hAnsi="Arial"/>
                <w:sz w:val="18"/>
                <w:szCs w:val="18"/>
                <w:color w:val="auto"/>
              </w:rPr>
              <w:t>2,672</w:t>
            </w:r>
          </w:p>
        </w:tc>
        <w:tc>
          <w:tcPr>
            <w:tcW w:w="5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(15,830)</w:t>
            </w:r>
          </w:p>
        </w:tc>
      </w:tr>
      <w:tr>
        <w:trPr>
          <w:trHeight w:val="225"/>
        </w:trPr>
        <w:tc>
          <w:tcPr>
            <w:tcW w:w="840" w:type="dxa"/>
            <w:vAlign w:val="bottom"/>
            <w:gridSpan w:val="2"/>
          </w:tcPr>
          <w:p>
            <w:pPr>
              <w:jc w:val="right"/>
              <w:spacing w:after="0"/>
              <w:rPr>
                <w:sz w:val="20"/>
                <w:szCs w:val="20"/>
                <w:color w:val="auto"/>
              </w:rPr>
            </w:pPr>
            <w:r>
              <w:rPr>
                <w:rFonts w:ascii="Arial" w:cs="Arial" w:eastAsia="Arial" w:hAnsi="Arial"/>
                <w:sz w:val="18"/>
                <w:szCs w:val="18"/>
                <w:color w:val="auto"/>
              </w:rPr>
              <w:t>179,802</w:t>
            </w:r>
          </w:p>
        </w:tc>
        <w:tc>
          <w:tcPr>
            <w:tcW w:w="5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222,666</w:t>
            </w:r>
          </w:p>
        </w:tc>
      </w:tr>
      <w:tr>
        <w:trPr>
          <w:trHeight w:val="210"/>
        </w:trPr>
        <w:tc>
          <w:tcPr>
            <w:tcW w:w="2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182,474</w:t>
            </w:r>
          </w:p>
        </w:tc>
        <w:tc>
          <w:tcPr>
            <w:tcW w:w="5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206,836</w:t>
            </w:r>
          </w:p>
        </w:tc>
      </w:tr>
      <w:tr>
        <w:trPr>
          <w:trHeight w:val="20"/>
        </w:trPr>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600" w:lineRule="exact"/>
        <w:rPr>
          <w:sz w:val="20"/>
          <w:szCs w:val="20"/>
          <w:color w:val="auto"/>
        </w:rPr>
      </w:pPr>
    </w:p>
    <w:p>
      <w:pPr>
        <w:sectPr>
          <w:pgSz w:w="11900" w:h="16838" w:orient="portrait"/>
          <w:cols w:equalWidth="0" w:num="3">
            <w:col w:w="2200" w:space="120"/>
            <w:col w:w="6780" w:space="120"/>
            <w:col w:w="2200"/>
          </w:cols>
          <w:pgMar w:left="240" w:top="643" w:right="239" w:bottom="1440" w:gutter="0" w:footer="0" w:header="0"/>
          <w:type w:val="continuous"/>
        </w:sect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43" w:right="239" w:bottom="1440" w:gutter="0" w:footer="0" w:header="0"/>
          <w:type w:val="continuous"/>
        </w:sectPr>
      </w:pPr>
    </w:p>
    <w:bookmarkStart w:id="6" w:name="page7"/>
    <w:bookmarkEnd w:id="6"/>
    <w:p>
      <w:pPr>
        <w:jc w:val="center"/>
        <w:ind w:left="1300"/>
        <w:spacing w:after="0"/>
        <w:rPr>
          <w:sz w:val="20"/>
          <w:szCs w:val="20"/>
          <w:color w:val="auto"/>
        </w:rPr>
      </w:pPr>
      <w:r>
        <w:rPr>
          <w:rFonts w:ascii="Arial" w:cs="Arial" w:eastAsia="Arial" w:hAnsi="Arial"/>
          <w:sz w:val="18"/>
          <w:szCs w:val="18"/>
          <w:color w:val="auto"/>
        </w:rPr>
        <w:t>ALBANY INTERNATIONAL CORP.</w:t>
      </w:r>
    </w:p>
    <w:p>
      <w:pPr>
        <w:spacing w:after="0" w:line="1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NOTES TO CONSOLIDATED FINANCIAL STATEMENTS</w:t>
      </w:r>
    </w:p>
    <w:p>
      <w:pPr>
        <w:ind w:left="558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 Basis of Presentation</w:t>
      </w:r>
    </w:p>
    <w:p>
      <w:pPr>
        <w:spacing w:after="0" w:line="171" w:lineRule="exact"/>
        <w:rPr>
          <w:sz w:val="20"/>
          <w:szCs w:val="20"/>
          <w:color w:val="auto"/>
        </w:rPr>
      </w:pPr>
    </w:p>
    <w:p>
      <w:pPr>
        <w:ind w:right="160" w:firstLine="648"/>
        <w:spacing w:after="0"/>
        <w:rPr>
          <w:sz w:val="20"/>
          <w:szCs w:val="20"/>
          <w:color w:val="auto"/>
        </w:rPr>
      </w:pPr>
      <w:r>
        <w:rPr>
          <w:rFonts w:ascii="Arial" w:cs="Arial" w:eastAsia="Arial" w:hAnsi="Arial"/>
          <w:sz w:val="18"/>
          <w:szCs w:val="18"/>
          <w:color w:val="auto"/>
        </w:rPr>
        <w:t>In the opinion of management, the accompanying unaudited consolidated financial statements contain all adjustments, consisting of only normal recurring adjustments and elimination of intercompany transactions necessary for a fair presentation of results for such periods. Albany International Corp. (“Albany”) consolidates the financial results of its subsidiaries for all periods presented. The results for any interim period are not necessarily indicative of results for the full year. The information included in this Quarterly Report on Form 10-Q should be read in conjunction with “Risk Factors,” “Legal Proceedings,” “Management’s Discussion and Analysis of Financial Condition and Results of Operation,” “Quantitative and Qualitative Disclosures about Market Risk” and the Consolidated Financial Statements and Notes thereto included in Items 1A, 3, 7, 7A and 8, respectively, of the Albany International Corp. Annual Report on Form 10-K for the fiscal year ended December 31, 2014.</w:t>
      </w:r>
    </w:p>
    <w:p>
      <w:pPr>
        <w:spacing w:after="0" w:line="140" w:lineRule="exact"/>
        <w:rPr>
          <w:sz w:val="20"/>
          <w:szCs w:val="20"/>
          <w:color w:val="auto"/>
        </w:rPr>
      </w:pPr>
    </w:p>
    <w:p>
      <w:pPr>
        <w:ind w:right="520" w:firstLine="648"/>
        <w:spacing w:after="0" w:line="255" w:lineRule="auto"/>
        <w:rPr>
          <w:sz w:val="20"/>
          <w:szCs w:val="20"/>
          <w:color w:val="auto"/>
        </w:rPr>
      </w:pPr>
      <w:r>
        <w:rPr>
          <w:rFonts w:ascii="Arial" w:cs="Arial" w:eastAsia="Arial" w:hAnsi="Arial"/>
          <w:sz w:val="18"/>
          <w:szCs w:val="18"/>
          <w:color w:val="auto"/>
        </w:rPr>
        <w:t>The preparation of financial statements in accordance with U.S. generally accepted accounting principles (“GAAP”) requires management to make estimates and assumptions that affect the amounts reported in Albany International Corp.’s Consolidated Financial Statements and accompanying Notes. Actual results could differ materially from those estimates.</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 Noncontrolling Interest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a reconciliation of income attributable to the noncontrolling interest and noncontrolling equity:</w:t>
      </w: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700" w:type="dxa"/>
            <w:vAlign w:val="bottom"/>
            <w:tcBorders>
              <w:top w:val="single" w:sz="8" w:color="auto"/>
            </w:tcBorders>
          </w:tcPr>
          <w:p>
            <w:pPr>
              <w:spacing w:after="0"/>
              <w:rPr>
                <w:sz w:val="16"/>
                <w:szCs w:val="16"/>
                <w:color w:val="auto"/>
              </w:rPr>
            </w:pPr>
          </w:p>
        </w:tc>
        <w:tc>
          <w:tcPr>
            <w:tcW w:w="3720" w:type="dxa"/>
            <w:vAlign w:val="bottom"/>
            <w:tcBorders>
              <w:top w:val="single" w:sz="8" w:color="auto"/>
            </w:tcBorders>
            <w:gridSpan w:val="2"/>
          </w:tcPr>
          <w:p>
            <w:pPr>
              <w:jc w:val="right"/>
              <w:ind w:right="350"/>
              <w:spacing w:after="0" w:line="191" w:lineRule="exact"/>
              <w:rPr>
                <w:sz w:val="20"/>
                <w:szCs w:val="20"/>
                <w:color w:val="auto"/>
              </w:rPr>
            </w:pPr>
            <w:r>
              <w:rPr>
                <w:rFonts w:ascii="Arial" w:cs="Arial" w:eastAsia="Arial" w:hAnsi="Arial"/>
                <w:sz w:val="18"/>
                <w:szCs w:val="18"/>
                <w:b w:val="1"/>
                <w:bCs w:val="1"/>
                <w:color w:val="auto"/>
              </w:rPr>
              <w:t>Six months ended</w:t>
            </w:r>
          </w:p>
        </w:tc>
      </w:tr>
      <w:tr>
        <w:trPr>
          <w:trHeight w:val="203"/>
        </w:trPr>
        <w:tc>
          <w:tcPr>
            <w:tcW w:w="7700" w:type="dxa"/>
            <w:vAlign w:val="bottom"/>
          </w:tcPr>
          <w:p>
            <w:pPr>
              <w:spacing w:after="0"/>
              <w:rPr>
                <w:sz w:val="17"/>
                <w:szCs w:val="17"/>
                <w:color w:val="auto"/>
              </w:rPr>
            </w:pPr>
          </w:p>
        </w:tc>
        <w:tc>
          <w:tcPr>
            <w:tcW w:w="292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June 30,</w:t>
            </w:r>
          </w:p>
        </w:tc>
        <w:tc>
          <w:tcPr>
            <w:tcW w:w="800" w:type="dxa"/>
            <w:vAlign w:val="bottom"/>
          </w:tcPr>
          <w:p>
            <w:pPr>
              <w:spacing w:after="0"/>
              <w:rPr>
                <w:sz w:val="17"/>
                <w:szCs w:val="17"/>
                <w:color w:val="auto"/>
              </w:rPr>
            </w:pPr>
          </w:p>
        </w:tc>
      </w:tr>
      <w:tr>
        <w:trPr>
          <w:trHeight w:val="227"/>
        </w:trPr>
        <w:tc>
          <w:tcPr>
            <w:tcW w:w="7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percentages)</w:t>
            </w:r>
          </w:p>
        </w:tc>
        <w:tc>
          <w:tcPr>
            <w:tcW w:w="292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2015</w:t>
            </w: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2014</w:t>
            </w:r>
          </w:p>
        </w:tc>
      </w:tr>
      <w:tr>
        <w:trPr>
          <w:trHeight w:val="171"/>
        </w:trPr>
        <w:tc>
          <w:tcPr>
            <w:tcW w:w="7700" w:type="dxa"/>
            <w:vAlign w:val="bottom"/>
          </w:tcPr>
          <w:p>
            <w:pPr>
              <w:spacing w:after="0" w:line="171" w:lineRule="exact"/>
              <w:rPr>
                <w:sz w:val="20"/>
                <w:szCs w:val="20"/>
                <w:color w:val="auto"/>
              </w:rPr>
            </w:pPr>
            <w:r>
              <w:rPr>
                <w:rFonts w:ascii="Arial" w:cs="Arial" w:eastAsia="Arial" w:hAnsi="Arial"/>
                <w:sz w:val="18"/>
                <w:szCs w:val="18"/>
                <w:color w:val="auto"/>
              </w:rPr>
              <w:t>Net income of Albany Safran Composites, LLC (ASC)</w:t>
            </w:r>
          </w:p>
        </w:tc>
        <w:tc>
          <w:tcPr>
            <w:tcW w:w="2920" w:type="dxa"/>
            <w:vAlign w:val="bottom"/>
          </w:tcPr>
          <w:p>
            <w:pPr>
              <w:jc w:val="right"/>
              <w:ind w:right="790"/>
              <w:spacing w:after="0" w:line="171" w:lineRule="exact"/>
              <w:rPr>
                <w:sz w:val="20"/>
                <w:szCs w:val="20"/>
                <w:color w:val="auto"/>
              </w:rPr>
            </w:pPr>
            <w:r>
              <w:rPr>
                <w:rFonts w:ascii="Arial" w:cs="Arial" w:eastAsia="Arial" w:hAnsi="Arial"/>
                <w:sz w:val="18"/>
                <w:szCs w:val="18"/>
                <w:b w:val="1"/>
                <w:bCs w:val="1"/>
                <w:color w:val="auto"/>
              </w:rPr>
              <w:t>$1,282</w:t>
            </w:r>
          </w:p>
        </w:tc>
        <w:tc>
          <w:tcPr>
            <w:tcW w:w="800" w:type="dxa"/>
            <w:vAlign w:val="bottom"/>
          </w:tcPr>
          <w:p>
            <w:pPr>
              <w:jc w:val="right"/>
              <w:ind w:right="50"/>
              <w:spacing w:after="0" w:line="171" w:lineRule="exact"/>
              <w:rPr>
                <w:sz w:val="20"/>
                <w:szCs w:val="20"/>
                <w:color w:val="auto"/>
              </w:rPr>
            </w:pPr>
            <w:r>
              <w:rPr>
                <w:rFonts w:ascii="Arial" w:cs="Arial" w:eastAsia="Arial" w:hAnsi="Arial"/>
                <w:sz w:val="18"/>
                <w:szCs w:val="18"/>
                <w:color w:val="auto"/>
              </w:rPr>
              <w:t>$801</w:t>
            </w:r>
          </w:p>
        </w:tc>
      </w:tr>
      <w:tr>
        <w:trPr>
          <w:trHeight w:val="227"/>
        </w:trPr>
        <w:tc>
          <w:tcPr>
            <w:tcW w:w="7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Return attributable to the Company's preferred holding</w:t>
            </w:r>
          </w:p>
        </w:tc>
        <w:tc>
          <w:tcPr>
            <w:tcW w:w="29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(507)</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w:t>
            </w:r>
          </w:p>
        </w:tc>
      </w:tr>
      <w:tr>
        <w:trPr>
          <w:trHeight w:val="171"/>
        </w:trPr>
        <w:tc>
          <w:tcPr>
            <w:tcW w:w="7700" w:type="dxa"/>
            <w:vAlign w:val="bottom"/>
          </w:tcPr>
          <w:p>
            <w:pPr>
              <w:spacing w:after="0" w:line="171" w:lineRule="exact"/>
              <w:rPr>
                <w:sz w:val="20"/>
                <w:szCs w:val="20"/>
                <w:color w:val="auto"/>
              </w:rPr>
            </w:pPr>
            <w:r>
              <w:rPr>
                <w:rFonts w:ascii="Arial" w:cs="Arial" w:eastAsia="Arial" w:hAnsi="Arial"/>
                <w:sz w:val="18"/>
                <w:szCs w:val="18"/>
                <w:color w:val="auto"/>
              </w:rPr>
              <w:t>Net income of ASC available for common ownership</w:t>
            </w:r>
          </w:p>
        </w:tc>
        <w:tc>
          <w:tcPr>
            <w:tcW w:w="2920" w:type="dxa"/>
            <w:vAlign w:val="bottom"/>
          </w:tcPr>
          <w:p>
            <w:pPr>
              <w:jc w:val="right"/>
              <w:ind w:right="790"/>
              <w:spacing w:after="0" w:line="171" w:lineRule="exact"/>
              <w:rPr>
                <w:sz w:val="20"/>
                <w:szCs w:val="20"/>
                <w:color w:val="auto"/>
              </w:rPr>
            </w:pPr>
            <w:r>
              <w:rPr>
                <w:rFonts w:ascii="Arial" w:cs="Arial" w:eastAsia="Arial" w:hAnsi="Arial"/>
                <w:sz w:val="18"/>
                <w:szCs w:val="18"/>
                <w:b w:val="1"/>
                <w:bCs w:val="1"/>
                <w:color w:val="auto"/>
              </w:rPr>
              <w:t>775</w:t>
            </w:r>
          </w:p>
        </w:tc>
        <w:tc>
          <w:tcPr>
            <w:tcW w:w="800" w:type="dxa"/>
            <w:vAlign w:val="bottom"/>
          </w:tcPr>
          <w:p>
            <w:pPr>
              <w:jc w:val="right"/>
              <w:ind w:right="50"/>
              <w:spacing w:after="0" w:line="171" w:lineRule="exact"/>
              <w:rPr>
                <w:sz w:val="20"/>
                <w:szCs w:val="20"/>
                <w:color w:val="auto"/>
              </w:rPr>
            </w:pPr>
            <w:r>
              <w:rPr>
                <w:rFonts w:ascii="Arial" w:cs="Arial" w:eastAsia="Arial" w:hAnsi="Arial"/>
                <w:sz w:val="18"/>
                <w:szCs w:val="18"/>
                <w:color w:val="auto"/>
              </w:rPr>
              <w:t>300</w:t>
            </w:r>
          </w:p>
        </w:tc>
      </w:tr>
      <w:tr>
        <w:trPr>
          <w:trHeight w:val="227"/>
        </w:trPr>
        <w:tc>
          <w:tcPr>
            <w:tcW w:w="7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Ownership percentage of noncontrolling shareholder</w:t>
            </w:r>
          </w:p>
        </w:tc>
        <w:tc>
          <w:tcPr>
            <w:tcW w:w="292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10%</w:t>
            </w: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w:t>
            </w:r>
          </w:p>
        </w:tc>
      </w:tr>
      <w:tr>
        <w:trPr>
          <w:trHeight w:val="196"/>
        </w:trPr>
        <w:tc>
          <w:tcPr>
            <w:tcW w:w="77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income attributable to noncontrolling interest</w:t>
            </w:r>
          </w:p>
        </w:tc>
        <w:tc>
          <w:tcPr>
            <w:tcW w:w="2920" w:type="dxa"/>
            <w:vAlign w:val="bottom"/>
            <w:tcBorders>
              <w:bottom w:val="single" w:sz="8" w:color="auto"/>
            </w:tcBorders>
          </w:tcPr>
          <w:p>
            <w:pPr>
              <w:jc w:val="right"/>
              <w:ind w:right="790"/>
              <w:spacing w:after="0" w:line="196" w:lineRule="exact"/>
              <w:rPr>
                <w:sz w:val="20"/>
                <w:szCs w:val="20"/>
                <w:color w:val="auto"/>
              </w:rPr>
            </w:pPr>
            <w:r>
              <w:rPr>
                <w:rFonts w:ascii="Arial" w:cs="Arial" w:eastAsia="Arial" w:hAnsi="Arial"/>
                <w:sz w:val="18"/>
                <w:szCs w:val="18"/>
                <w:b w:val="1"/>
                <w:bCs w:val="1"/>
                <w:color w:val="auto"/>
              </w:rPr>
              <w:t>$78</w:t>
            </w:r>
          </w:p>
        </w:tc>
        <w:tc>
          <w:tcPr>
            <w:tcW w:w="80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$30</w:t>
            </w:r>
          </w:p>
        </w:tc>
      </w:tr>
      <w:tr>
        <w:trPr>
          <w:trHeight w:val="196"/>
        </w:trPr>
        <w:tc>
          <w:tcPr>
            <w:tcW w:w="770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r>
      <w:tr>
        <w:trPr>
          <w:trHeight w:val="171"/>
        </w:trPr>
        <w:tc>
          <w:tcPr>
            <w:tcW w:w="7700" w:type="dxa"/>
            <w:vAlign w:val="bottom"/>
          </w:tcPr>
          <w:p>
            <w:pPr>
              <w:spacing w:after="0" w:line="171" w:lineRule="exact"/>
              <w:rPr>
                <w:sz w:val="20"/>
                <w:szCs w:val="20"/>
                <w:color w:val="auto"/>
              </w:rPr>
            </w:pPr>
            <w:r>
              <w:rPr>
                <w:rFonts w:ascii="Arial" w:cs="Arial" w:eastAsia="Arial" w:hAnsi="Arial"/>
                <w:sz w:val="18"/>
                <w:szCs w:val="18"/>
                <w:color w:val="auto"/>
              </w:rPr>
              <w:t>Noncontrolling interest, beginning of year</w:t>
            </w:r>
          </w:p>
        </w:tc>
        <w:tc>
          <w:tcPr>
            <w:tcW w:w="2920" w:type="dxa"/>
            <w:vAlign w:val="bottom"/>
          </w:tcPr>
          <w:p>
            <w:pPr>
              <w:jc w:val="right"/>
              <w:ind w:right="790"/>
              <w:spacing w:after="0" w:line="171" w:lineRule="exact"/>
              <w:rPr>
                <w:sz w:val="20"/>
                <w:szCs w:val="20"/>
                <w:color w:val="auto"/>
              </w:rPr>
            </w:pPr>
            <w:r>
              <w:rPr>
                <w:rFonts w:ascii="Arial" w:cs="Arial" w:eastAsia="Arial" w:hAnsi="Arial"/>
                <w:sz w:val="18"/>
                <w:szCs w:val="18"/>
                <w:b w:val="1"/>
                <w:bCs w:val="1"/>
                <w:color w:val="auto"/>
              </w:rPr>
              <w:t>$3,699</w:t>
            </w:r>
          </w:p>
        </w:tc>
        <w:tc>
          <w:tcPr>
            <w:tcW w:w="800" w:type="dxa"/>
            <w:vAlign w:val="bottom"/>
          </w:tcPr>
          <w:p>
            <w:pPr>
              <w:jc w:val="right"/>
              <w:ind w:right="50"/>
              <w:spacing w:after="0" w:line="171" w:lineRule="exact"/>
              <w:rPr>
                <w:sz w:val="20"/>
                <w:szCs w:val="20"/>
                <w:color w:val="auto"/>
              </w:rPr>
            </w:pPr>
            <w:r>
              <w:rPr>
                <w:rFonts w:ascii="Arial" w:cs="Arial" w:eastAsia="Arial" w:hAnsi="Arial"/>
                <w:sz w:val="18"/>
                <w:szCs w:val="18"/>
                <w:color w:val="auto"/>
              </w:rPr>
              <w:t>$3,482</w:t>
            </w:r>
          </w:p>
        </w:tc>
      </w:tr>
      <w:tr>
        <w:trPr>
          <w:trHeight w:val="203"/>
        </w:trPr>
        <w:tc>
          <w:tcPr>
            <w:tcW w:w="7700" w:type="dxa"/>
            <w:vAlign w:val="bottom"/>
          </w:tcPr>
          <w:p>
            <w:pPr>
              <w:spacing w:after="0" w:line="202" w:lineRule="exact"/>
              <w:rPr>
                <w:sz w:val="20"/>
                <w:szCs w:val="20"/>
                <w:color w:val="auto"/>
              </w:rPr>
            </w:pPr>
            <w:r>
              <w:rPr>
                <w:rFonts w:ascii="Arial" w:cs="Arial" w:eastAsia="Arial" w:hAnsi="Arial"/>
                <w:sz w:val="18"/>
                <w:szCs w:val="18"/>
                <w:color w:val="auto"/>
              </w:rPr>
              <w:t>Net income attributable to noncontrolling interest</w:t>
            </w:r>
          </w:p>
        </w:tc>
        <w:tc>
          <w:tcPr>
            <w:tcW w:w="2920" w:type="dxa"/>
            <w:vAlign w:val="bottom"/>
          </w:tcPr>
          <w:p>
            <w:pPr>
              <w:jc w:val="right"/>
              <w:ind w:right="790"/>
              <w:spacing w:after="0" w:line="202" w:lineRule="exact"/>
              <w:rPr>
                <w:sz w:val="20"/>
                <w:szCs w:val="20"/>
                <w:color w:val="auto"/>
              </w:rPr>
            </w:pPr>
            <w:r>
              <w:rPr>
                <w:rFonts w:ascii="Arial" w:cs="Arial" w:eastAsia="Arial" w:hAnsi="Arial"/>
                <w:sz w:val="18"/>
                <w:szCs w:val="18"/>
                <w:b w:val="1"/>
                <w:bCs w:val="1"/>
                <w:color w:val="auto"/>
              </w:rPr>
              <w:t>78</w:t>
            </w:r>
          </w:p>
        </w:tc>
        <w:tc>
          <w:tcPr>
            <w:tcW w:w="8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30</w:t>
            </w:r>
          </w:p>
        </w:tc>
      </w:tr>
      <w:tr>
        <w:trPr>
          <w:trHeight w:val="227"/>
        </w:trPr>
        <w:tc>
          <w:tcPr>
            <w:tcW w:w="7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Changes in other comprehensive income attributable to noncontrolling interest</w:t>
            </w:r>
          </w:p>
        </w:tc>
        <w:tc>
          <w:tcPr>
            <w:tcW w:w="292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1</w:t>
            </w: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r>
      <w:tr>
        <w:trPr>
          <w:trHeight w:val="196"/>
        </w:trPr>
        <w:tc>
          <w:tcPr>
            <w:tcW w:w="77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Noncontrolling interest, end of period</w:t>
            </w:r>
          </w:p>
        </w:tc>
        <w:tc>
          <w:tcPr>
            <w:tcW w:w="2920" w:type="dxa"/>
            <w:vAlign w:val="bottom"/>
            <w:tcBorders>
              <w:bottom w:val="single" w:sz="8" w:color="auto"/>
            </w:tcBorders>
          </w:tcPr>
          <w:p>
            <w:pPr>
              <w:jc w:val="right"/>
              <w:ind w:right="790"/>
              <w:spacing w:after="0" w:line="196" w:lineRule="exact"/>
              <w:rPr>
                <w:sz w:val="20"/>
                <w:szCs w:val="20"/>
                <w:color w:val="auto"/>
              </w:rPr>
            </w:pPr>
            <w:r>
              <w:rPr>
                <w:rFonts w:ascii="Arial" w:cs="Arial" w:eastAsia="Arial" w:hAnsi="Arial"/>
                <w:sz w:val="18"/>
                <w:szCs w:val="18"/>
                <w:b w:val="1"/>
                <w:bCs w:val="1"/>
                <w:color w:val="auto"/>
              </w:rPr>
              <w:t>$3,778</w:t>
            </w:r>
          </w:p>
        </w:tc>
        <w:tc>
          <w:tcPr>
            <w:tcW w:w="80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$3,512</w:t>
            </w:r>
          </w:p>
        </w:tc>
      </w:tr>
      <w:tr>
        <w:trPr>
          <w:trHeight w:val="736"/>
        </w:trPr>
        <w:tc>
          <w:tcPr>
            <w:tcW w:w="7700" w:type="dxa"/>
            <w:vAlign w:val="bottom"/>
          </w:tcPr>
          <w:p>
            <w:pPr>
              <w:ind w:left="5660"/>
              <w:spacing w:after="0"/>
              <w:rPr>
                <w:sz w:val="20"/>
                <w:szCs w:val="20"/>
                <w:color w:val="auto"/>
              </w:rPr>
            </w:pPr>
            <w:r>
              <w:rPr>
                <w:rFonts w:ascii="Times New Roman" w:cs="Times New Roman" w:eastAsia="Times New Roman" w:hAnsi="Times New Roman"/>
                <w:sz w:val="18"/>
                <w:szCs w:val="18"/>
                <w:color w:val="auto"/>
              </w:rPr>
              <w:t>7</w:t>
            </w:r>
          </w:p>
        </w:tc>
        <w:tc>
          <w:tcPr>
            <w:tcW w:w="29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42"/>
        </w:trPr>
        <w:tc>
          <w:tcPr>
            <w:tcW w:w="7700" w:type="dxa"/>
            <w:vAlign w:val="bottom"/>
            <w:tcBorders>
              <w:bottom w:val="single" w:sz="8" w:color="auto"/>
            </w:tcBorders>
          </w:tcPr>
          <w:p>
            <w:pPr>
              <w:spacing w:after="0"/>
              <w:rPr>
                <w:sz w:val="12"/>
                <w:szCs w:val="12"/>
                <w:color w:val="auto"/>
              </w:rPr>
            </w:pPr>
          </w:p>
        </w:tc>
        <w:tc>
          <w:tcPr>
            <w:tcW w:w="29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r>
    </w:tbl>
    <w:p>
      <w:pPr>
        <w:sectPr>
          <w:pgSz w:w="11900" w:h="16838" w:orient="portrait"/>
          <w:cols w:equalWidth="0" w:num="1">
            <w:col w:w="11420"/>
          </w:cols>
          <w:pgMar w:left="240" w:top="643"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3. Reportable Segments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show data by reportable segment, reconciled to consolidated totals included in the financial statements:</w:t>
      </w: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4520" w:type="dxa"/>
            <w:vAlign w:val="bottom"/>
            <w:tcBorders>
              <w:top w:val="single" w:sz="8" w:color="auto"/>
            </w:tcBorders>
          </w:tcPr>
          <w:p>
            <w:pPr>
              <w:spacing w:after="0"/>
              <w:rPr>
                <w:sz w:val="16"/>
                <w:szCs w:val="16"/>
                <w:color w:val="auto"/>
              </w:rPr>
            </w:pPr>
          </w:p>
        </w:tc>
        <w:tc>
          <w:tcPr>
            <w:tcW w:w="3960" w:type="dxa"/>
            <w:vAlign w:val="bottom"/>
            <w:tcBorders>
              <w:top w:val="single" w:sz="8" w:color="auto"/>
            </w:tcBorders>
            <w:gridSpan w:val="2"/>
          </w:tcPr>
          <w:p>
            <w:pPr>
              <w:jc w:val="right"/>
              <w:ind w:right="670"/>
              <w:spacing w:after="0" w:line="191" w:lineRule="exact"/>
              <w:rPr>
                <w:sz w:val="20"/>
                <w:szCs w:val="20"/>
                <w:color w:val="auto"/>
              </w:rPr>
            </w:pPr>
            <w:r>
              <w:rPr>
                <w:rFonts w:ascii="Arial" w:cs="Arial" w:eastAsia="Arial" w:hAnsi="Arial"/>
                <w:sz w:val="18"/>
                <w:szCs w:val="18"/>
                <w:b w:val="1"/>
                <w:bCs w:val="1"/>
                <w:color w:val="auto"/>
              </w:rPr>
              <w:t>Three months ended</w:t>
            </w:r>
          </w:p>
        </w:tc>
        <w:tc>
          <w:tcPr>
            <w:tcW w:w="2920" w:type="dxa"/>
            <w:vAlign w:val="bottom"/>
            <w:tcBorders>
              <w:top w:val="single" w:sz="8" w:color="auto"/>
            </w:tcBorders>
            <w:gridSpan w:val="2"/>
          </w:tcPr>
          <w:p>
            <w:pPr>
              <w:jc w:val="right"/>
              <w:ind w:right="470"/>
              <w:spacing w:after="0" w:line="191" w:lineRule="exact"/>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00" w:type="dxa"/>
            <w:vAlign w:val="bottom"/>
          </w:tcPr>
          <w:p>
            <w:pPr>
              <w:jc w:val="right"/>
              <w:ind w:right="1170"/>
              <w:spacing w:after="0" w:line="202" w:lineRule="exact"/>
              <w:rPr>
                <w:sz w:val="20"/>
                <w:szCs w:val="20"/>
                <w:color w:val="auto"/>
              </w:rPr>
            </w:pPr>
            <w:r>
              <w:rPr>
                <w:rFonts w:ascii="Arial" w:cs="Arial" w:eastAsia="Arial" w:hAnsi="Arial"/>
                <w:sz w:val="18"/>
                <w:szCs w:val="18"/>
                <w:b w:val="1"/>
                <w:bCs w:val="1"/>
                <w:color w:val="auto"/>
                <w:w w:val="99"/>
              </w:rPr>
              <w:t>June 30,</w:t>
            </w:r>
          </w:p>
        </w:tc>
        <w:tc>
          <w:tcPr>
            <w:tcW w:w="1240" w:type="dxa"/>
            <w:vAlign w:val="bottom"/>
          </w:tcPr>
          <w:p>
            <w:pPr>
              <w:spacing w:after="0"/>
              <w:rPr>
                <w:sz w:val="17"/>
                <w:szCs w:val="17"/>
                <w:color w:val="auto"/>
              </w:rPr>
            </w:pPr>
          </w:p>
        </w:tc>
        <w:tc>
          <w:tcPr>
            <w:tcW w:w="1680" w:type="dxa"/>
            <w:vAlign w:val="bottom"/>
          </w:tcPr>
          <w:p>
            <w:pPr>
              <w:jc w:val="right"/>
              <w:ind w:right="850"/>
              <w:spacing w:after="0" w:line="202" w:lineRule="exact"/>
              <w:rPr>
                <w:sz w:val="20"/>
                <w:szCs w:val="20"/>
                <w:color w:val="auto"/>
              </w:rPr>
            </w:pPr>
            <w:r>
              <w:rPr>
                <w:rFonts w:ascii="Arial" w:cs="Arial" w:eastAsia="Arial" w:hAnsi="Arial"/>
                <w:sz w:val="18"/>
                <w:szCs w:val="18"/>
                <w:b w:val="1"/>
                <w:bCs w:val="1"/>
                <w:color w:val="auto"/>
                <w:w w:val="99"/>
              </w:rPr>
              <w:t>June 30,</w:t>
            </w:r>
          </w:p>
        </w:tc>
        <w:tc>
          <w:tcPr>
            <w:tcW w:w="0" w:type="dxa"/>
            <w:vAlign w:val="bottom"/>
          </w:tcPr>
          <w:p>
            <w:pPr>
              <w:spacing w:after="0"/>
              <w:rPr>
                <w:sz w:val="1"/>
                <w:szCs w:val="1"/>
                <w:color w:val="auto"/>
              </w:rPr>
            </w:pPr>
          </w:p>
        </w:tc>
      </w:tr>
      <w:tr>
        <w:trPr>
          <w:trHeight w:val="227"/>
        </w:trPr>
        <w:tc>
          <w:tcPr>
            <w:tcW w:w="4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1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2015</w:t>
            </w:r>
          </w:p>
        </w:tc>
        <w:tc>
          <w:tcPr>
            <w:tcW w:w="20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2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2015</w:t>
            </w:r>
          </w:p>
        </w:tc>
        <w:tc>
          <w:tcPr>
            <w:tcW w:w="16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173"/>
        </w:trPr>
        <w:tc>
          <w:tcPr>
            <w:tcW w:w="4540" w:type="dxa"/>
            <w:vAlign w:val="bottom"/>
            <w:gridSpan w:val="2"/>
          </w:tcPr>
          <w:p>
            <w:pPr>
              <w:spacing w:after="0" w:line="173" w:lineRule="exact"/>
              <w:rPr>
                <w:sz w:val="20"/>
                <w:szCs w:val="20"/>
                <w:color w:val="auto"/>
              </w:rPr>
            </w:pPr>
            <w:r>
              <w:rPr>
                <w:rFonts w:ascii="Arial" w:cs="Arial" w:eastAsia="Arial" w:hAnsi="Arial"/>
                <w:sz w:val="18"/>
                <w:szCs w:val="18"/>
                <w:b w:val="1"/>
                <w:bCs w:val="1"/>
                <w:color w:val="auto"/>
              </w:rPr>
              <w:t>Net sales</w:t>
            </w:r>
          </w:p>
        </w:tc>
        <w:tc>
          <w:tcPr>
            <w:tcW w:w="1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$150,561</w:t>
            </w:r>
          </w:p>
        </w:tc>
        <w:tc>
          <w:tcPr>
            <w:tcW w:w="20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$309,055</w:t>
            </w: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540" w:type="dxa"/>
            <w:vAlign w:val="bottom"/>
            <w:gridSpan w:val="2"/>
          </w:tcPr>
          <w:p>
            <w:pPr>
              <w:spacing w:after="0" w:line="201" w:lineRule="exact"/>
              <w:rPr>
                <w:sz w:val="20"/>
                <w:szCs w:val="20"/>
                <w:color w:val="auto"/>
              </w:rPr>
            </w:pPr>
            <w:r>
              <w:rPr>
                <w:rFonts w:ascii="Arial" w:cs="Arial" w:eastAsia="Arial" w:hAnsi="Arial"/>
                <w:sz w:val="18"/>
                <w:szCs w:val="18"/>
                <w:color w:val="auto"/>
              </w:rPr>
              <w:t>Machine Clothing</w:t>
            </w:r>
          </w:p>
        </w:tc>
        <w:tc>
          <w:tcPr>
            <w:tcW w:w="1960" w:type="dxa"/>
            <w:vAlign w:val="bottom"/>
            <w:vMerge w:val="continue"/>
          </w:tcPr>
          <w:p>
            <w:pPr>
              <w:spacing w:after="0"/>
              <w:rPr>
                <w:sz w:val="17"/>
                <w:szCs w:val="17"/>
                <w:color w:val="auto"/>
              </w:rPr>
            </w:pPr>
          </w:p>
        </w:tc>
        <w:tc>
          <w:tcPr>
            <w:tcW w:w="2000" w:type="dxa"/>
            <w:vAlign w:val="bottom"/>
          </w:tcPr>
          <w:p>
            <w:pPr>
              <w:jc w:val="right"/>
              <w:ind w:right="370"/>
              <w:spacing w:after="0" w:line="201" w:lineRule="exact"/>
              <w:rPr>
                <w:sz w:val="20"/>
                <w:szCs w:val="20"/>
                <w:color w:val="auto"/>
              </w:rPr>
            </w:pPr>
            <w:r>
              <w:rPr>
                <w:rFonts w:ascii="Arial" w:cs="Arial" w:eastAsia="Arial" w:hAnsi="Arial"/>
                <w:sz w:val="18"/>
                <w:szCs w:val="18"/>
                <w:color w:val="auto"/>
              </w:rPr>
              <w:t>$172,809</w:t>
            </w:r>
          </w:p>
        </w:tc>
        <w:tc>
          <w:tcPr>
            <w:tcW w:w="1240" w:type="dxa"/>
            <w:vAlign w:val="bottom"/>
            <w:vMerge w:val="continue"/>
          </w:tcPr>
          <w:p>
            <w:pPr>
              <w:spacing w:after="0"/>
              <w:rPr>
                <w:sz w:val="17"/>
                <w:szCs w:val="17"/>
                <w:color w:val="auto"/>
              </w:rPr>
            </w:pPr>
          </w:p>
        </w:tc>
        <w:tc>
          <w:tcPr>
            <w:tcW w:w="1680" w:type="dxa"/>
            <w:vAlign w:val="bottom"/>
          </w:tcPr>
          <w:p>
            <w:pPr>
              <w:jc w:val="right"/>
              <w:ind w:right="50"/>
              <w:spacing w:after="0" w:line="201" w:lineRule="exact"/>
              <w:rPr>
                <w:sz w:val="20"/>
                <w:szCs w:val="20"/>
                <w:color w:val="auto"/>
              </w:rPr>
            </w:pPr>
            <w:r>
              <w:rPr>
                <w:rFonts w:ascii="Arial" w:cs="Arial" w:eastAsia="Arial" w:hAnsi="Arial"/>
                <w:sz w:val="18"/>
                <w:szCs w:val="18"/>
                <w:color w:val="auto"/>
              </w:rPr>
              <w:t>$336,897</w:t>
            </w:r>
          </w:p>
        </w:tc>
        <w:tc>
          <w:tcPr>
            <w:tcW w:w="0" w:type="dxa"/>
            <w:vAlign w:val="bottom"/>
          </w:tcPr>
          <w:p>
            <w:pPr>
              <w:spacing w:after="0"/>
              <w:rPr>
                <w:sz w:val="1"/>
                <w:szCs w:val="1"/>
                <w:color w:val="auto"/>
              </w:rPr>
            </w:pPr>
          </w:p>
        </w:tc>
      </w:tr>
      <w:tr>
        <w:trPr>
          <w:trHeight w:val="227"/>
        </w:trPr>
        <w:tc>
          <w:tcPr>
            <w:tcW w:w="4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Albany Engineered Composites</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21,728</w:t>
            </w:r>
          </w:p>
        </w:tc>
        <w:tc>
          <w:tcPr>
            <w:tcW w:w="2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20,709</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44,558</w:t>
            </w:r>
          </w:p>
        </w:tc>
        <w:tc>
          <w:tcPr>
            <w:tcW w:w="1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36,928</w:t>
            </w:r>
          </w:p>
        </w:tc>
        <w:tc>
          <w:tcPr>
            <w:tcW w:w="0" w:type="dxa"/>
            <w:vAlign w:val="bottom"/>
          </w:tcPr>
          <w:p>
            <w:pPr>
              <w:spacing w:after="0"/>
              <w:rPr>
                <w:sz w:val="1"/>
                <w:szCs w:val="1"/>
                <w:color w:val="auto"/>
              </w:rPr>
            </w:pPr>
          </w:p>
        </w:tc>
      </w:tr>
      <w:tr>
        <w:trPr>
          <w:trHeight w:val="196"/>
        </w:trPr>
        <w:tc>
          <w:tcPr>
            <w:tcW w:w="454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Consolidated total</w:t>
            </w:r>
          </w:p>
        </w:tc>
        <w:tc>
          <w:tcPr>
            <w:tcW w:w="1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$172,289</w:t>
            </w:r>
          </w:p>
        </w:tc>
        <w:tc>
          <w:tcPr>
            <w:tcW w:w="200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color w:val="auto"/>
              </w:rPr>
              <w:t>$193,518</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$353,613</w:t>
            </w:r>
          </w:p>
        </w:tc>
        <w:tc>
          <w:tcPr>
            <w:tcW w:w="168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$373,825</w:t>
            </w:r>
          </w:p>
        </w:tc>
        <w:tc>
          <w:tcPr>
            <w:tcW w:w="0" w:type="dxa"/>
            <w:vAlign w:val="bottom"/>
          </w:tcPr>
          <w:p>
            <w:pPr>
              <w:spacing w:after="0"/>
              <w:rPr>
                <w:sz w:val="1"/>
                <w:szCs w:val="1"/>
                <w:color w:val="auto"/>
              </w:rPr>
            </w:pPr>
          </w:p>
        </w:tc>
      </w:tr>
      <w:tr>
        <w:trPr>
          <w:trHeight w:val="173"/>
        </w:trPr>
        <w:tc>
          <w:tcPr>
            <w:tcW w:w="4540" w:type="dxa"/>
            <w:vAlign w:val="bottom"/>
            <w:gridSpan w:val="2"/>
          </w:tcPr>
          <w:p>
            <w:pPr>
              <w:spacing w:after="0" w:line="173" w:lineRule="exact"/>
              <w:rPr>
                <w:sz w:val="20"/>
                <w:szCs w:val="20"/>
                <w:color w:val="auto"/>
              </w:rPr>
            </w:pPr>
            <w:r>
              <w:rPr>
                <w:rFonts w:ascii="Arial" w:cs="Arial" w:eastAsia="Arial" w:hAnsi="Arial"/>
                <w:sz w:val="18"/>
                <w:szCs w:val="18"/>
                <w:b w:val="1"/>
                <w:bCs w:val="1"/>
                <w:color w:val="auto"/>
              </w:rPr>
              <w:t>Operating income/(loss)</w:t>
            </w:r>
          </w:p>
        </w:tc>
        <w:tc>
          <w:tcPr>
            <w:tcW w:w="1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$33,323</w:t>
            </w:r>
          </w:p>
        </w:tc>
        <w:tc>
          <w:tcPr>
            <w:tcW w:w="20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$69,013</w:t>
            </w: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540" w:type="dxa"/>
            <w:vAlign w:val="bottom"/>
            <w:gridSpan w:val="2"/>
          </w:tcPr>
          <w:p>
            <w:pPr>
              <w:spacing w:after="0" w:line="201" w:lineRule="exact"/>
              <w:rPr>
                <w:sz w:val="20"/>
                <w:szCs w:val="20"/>
                <w:color w:val="auto"/>
              </w:rPr>
            </w:pPr>
            <w:r>
              <w:rPr>
                <w:rFonts w:ascii="Arial" w:cs="Arial" w:eastAsia="Arial" w:hAnsi="Arial"/>
                <w:sz w:val="18"/>
                <w:szCs w:val="18"/>
                <w:color w:val="auto"/>
              </w:rPr>
              <w:t>Machine Clothing</w:t>
            </w:r>
          </w:p>
        </w:tc>
        <w:tc>
          <w:tcPr>
            <w:tcW w:w="1960" w:type="dxa"/>
            <w:vAlign w:val="bottom"/>
            <w:vMerge w:val="continue"/>
          </w:tcPr>
          <w:p>
            <w:pPr>
              <w:spacing w:after="0"/>
              <w:rPr>
                <w:sz w:val="17"/>
                <w:szCs w:val="17"/>
                <w:color w:val="auto"/>
              </w:rPr>
            </w:pPr>
          </w:p>
        </w:tc>
        <w:tc>
          <w:tcPr>
            <w:tcW w:w="2000" w:type="dxa"/>
            <w:vAlign w:val="bottom"/>
          </w:tcPr>
          <w:p>
            <w:pPr>
              <w:jc w:val="right"/>
              <w:ind w:right="370"/>
              <w:spacing w:after="0" w:line="201" w:lineRule="exact"/>
              <w:rPr>
                <w:sz w:val="20"/>
                <w:szCs w:val="20"/>
                <w:color w:val="auto"/>
              </w:rPr>
            </w:pPr>
            <w:r>
              <w:rPr>
                <w:rFonts w:ascii="Arial" w:cs="Arial" w:eastAsia="Arial" w:hAnsi="Arial"/>
                <w:sz w:val="18"/>
                <w:szCs w:val="18"/>
                <w:color w:val="auto"/>
              </w:rPr>
              <w:t>$33,879</w:t>
            </w:r>
          </w:p>
        </w:tc>
        <w:tc>
          <w:tcPr>
            <w:tcW w:w="1240" w:type="dxa"/>
            <w:vAlign w:val="bottom"/>
            <w:vMerge w:val="continue"/>
          </w:tcPr>
          <w:p>
            <w:pPr>
              <w:spacing w:after="0"/>
              <w:rPr>
                <w:sz w:val="17"/>
                <w:szCs w:val="17"/>
                <w:color w:val="auto"/>
              </w:rPr>
            </w:pPr>
          </w:p>
        </w:tc>
        <w:tc>
          <w:tcPr>
            <w:tcW w:w="1680" w:type="dxa"/>
            <w:vAlign w:val="bottom"/>
          </w:tcPr>
          <w:p>
            <w:pPr>
              <w:jc w:val="right"/>
              <w:ind w:right="50"/>
              <w:spacing w:after="0" w:line="201" w:lineRule="exact"/>
              <w:rPr>
                <w:sz w:val="20"/>
                <w:szCs w:val="20"/>
                <w:color w:val="auto"/>
              </w:rPr>
            </w:pPr>
            <w:r>
              <w:rPr>
                <w:rFonts w:ascii="Arial" w:cs="Arial" w:eastAsia="Arial" w:hAnsi="Arial"/>
                <w:sz w:val="18"/>
                <w:szCs w:val="18"/>
                <w:color w:val="auto"/>
              </w:rPr>
              <w:t>$70,022</w:t>
            </w: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1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(18,633)</w:t>
            </w:r>
          </w:p>
        </w:tc>
        <w:tc>
          <w:tcPr>
            <w:tcW w:w="200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(3,545)</w:t>
            </w:r>
          </w:p>
        </w:tc>
        <w:tc>
          <w:tcPr>
            <w:tcW w:w="1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(22,444)</w:t>
            </w: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(7,021)</w:t>
            </w:r>
          </w:p>
        </w:tc>
        <w:tc>
          <w:tcPr>
            <w:tcW w:w="0" w:type="dxa"/>
            <w:vAlign w:val="bottom"/>
          </w:tcPr>
          <w:p>
            <w:pPr>
              <w:spacing w:after="0"/>
              <w:rPr>
                <w:sz w:val="1"/>
                <w:szCs w:val="1"/>
                <w:color w:val="auto"/>
              </w:rPr>
            </w:pPr>
          </w:p>
        </w:tc>
      </w:tr>
      <w:tr>
        <w:trPr>
          <w:trHeight w:val="227"/>
        </w:trPr>
        <w:tc>
          <w:tcPr>
            <w:tcW w:w="4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Corporate expenses</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(11,652)</w:t>
            </w:r>
          </w:p>
        </w:tc>
        <w:tc>
          <w:tcPr>
            <w:tcW w:w="2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(11,357)</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(23,382)</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(23,423)</w:t>
            </w:r>
          </w:p>
        </w:tc>
        <w:tc>
          <w:tcPr>
            <w:tcW w:w="0" w:type="dxa"/>
            <w:vAlign w:val="bottom"/>
          </w:tcPr>
          <w:p>
            <w:pPr>
              <w:spacing w:after="0"/>
              <w:rPr>
                <w:sz w:val="1"/>
                <w:szCs w:val="1"/>
                <w:color w:val="auto"/>
              </w:rPr>
            </w:pPr>
          </w:p>
        </w:tc>
      </w:tr>
      <w:tr>
        <w:trPr>
          <w:trHeight w:val="173"/>
        </w:trPr>
        <w:tc>
          <w:tcPr>
            <w:tcW w:w="4540" w:type="dxa"/>
            <w:vAlign w:val="bottom"/>
            <w:gridSpan w:val="2"/>
          </w:tcPr>
          <w:p>
            <w:pPr>
              <w:spacing w:after="0" w:line="173" w:lineRule="exact"/>
              <w:rPr>
                <w:sz w:val="20"/>
                <w:szCs w:val="20"/>
                <w:color w:val="auto"/>
              </w:rPr>
            </w:pPr>
            <w:r>
              <w:rPr>
                <w:rFonts w:ascii="Arial" w:cs="Arial" w:eastAsia="Arial" w:hAnsi="Arial"/>
                <w:sz w:val="18"/>
                <w:szCs w:val="18"/>
                <w:color w:val="auto"/>
              </w:rPr>
              <w:t>Operating income before reconciling items</w:t>
            </w:r>
          </w:p>
        </w:tc>
        <w:tc>
          <w:tcPr>
            <w:tcW w:w="1960" w:type="dxa"/>
            <w:vAlign w:val="bottom"/>
          </w:tcPr>
          <w:p>
            <w:pPr>
              <w:jc w:val="right"/>
              <w:spacing w:after="0" w:line="173" w:lineRule="exact"/>
              <w:rPr>
                <w:sz w:val="20"/>
                <w:szCs w:val="20"/>
                <w:color w:val="auto"/>
              </w:rPr>
            </w:pPr>
            <w:r>
              <w:rPr>
                <w:rFonts w:ascii="Arial" w:cs="Arial" w:eastAsia="Arial" w:hAnsi="Arial"/>
                <w:sz w:val="18"/>
                <w:szCs w:val="18"/>
                <w:b w:val="1"/>
                <w:bCs w:val="1"/>
                <w:color w:val="auto"/>
              </w:rPr>
              <w:t>3,038</w:t>
            </w:r>
          </w:p>
        </w:tc>
        <w:tc>
          <w:tcPr>
            <w:tcW w:w="2000" w:type="dxa"/>
            <w:vAlign w:val="bottom"/>
          </w:tcPr>
          <w:p>
            <w:pPr>
              <w:jc w:val="right"/>
              <w:ind w:right="370"/>
              <w:spacing w:after="0" w:line="173" w:lineRule="exact"/>
              <w:rPr>
                <w:sz w:val="20"/>
                <w:szCs w:val="20"/>
                <w:color w:val="auto"/>
              </w:rPr>
            </w:pPr>
            <w:r>
              <w:rPr>
                <w:rFonts w:ascii="Arial" w:cs="Arial" w:eastAsia="Arial" w:hAnsi="Arial"/>
                <w:sz w:val="18"/>
                <w:szCs w:val="18"/>
                <w:color w:val="auto"/>
              </w:rPr>
              <w:t>18,977</w:t>
            </w:r>
          </w:p>
        </w:tc>
        <w:tc>
          <w:tcPr>
            <w:tcW w:w="1240" w:type="dxa"/>
            <w:vAlign w:val="bottom"/>
          </w:tcPr>
          <w:p>
            <w:pPr>
              <w:jc w:val="right"/>
              <w:spacing w:after="0" w:line="173" w:lineRule="exact"/>
              <w:rPr>
                <w:sz w:val="20"/>
                <w:szCs w:val="20"/>
                <w:color w:val="auto"/>
              </w:rPr>
            </w:pPr>
            <w:r>
              <w:rPr>
                <w:rFonts w:ascii="Arial" w:cs="Arial" w:eastAsia="Arial" w:hAnsi="Arial"/>
                <w:sz w:val="18"/>
                <w:szCs w:val="18"/>
                <w:b w:val="1"/>
                <w:bCs w:val="1"/>
                <w:color w:val="auto"/>
              </w:rPr>
              <w:t>23,187</w:t>
            </w:r>
          </w:p>
        </w:tc>
        <w:tc>
          <w:tcPr>
            <w:tcW w:w="1680" w:type="dxa"/>
            <w:vAlign w:val="bottom"/>
          </w:tcPr>
          <w:p>
            <w:pPr>
              <w:jc w:val="right"/>
              <w:ind w:right="50"/>
              <w:spacing w:after="0" w:line="173" w:lineRule="exact"/>
              <w:rPr>
                <w:sz w:val="20"/>
                <w:szCs w:val="20"/>
                <w:color w:val="auto"/>
              </w:rPr>
            </w:pPr>
            <w:r>
              <w:rPr>
                <w:rFonts w:ascii="Arial" w:cs="Arial" w:eastAsia="Arial" w:hAnsi="Arial"/>
                <w:sz w:val="18"/>
                <w:szCs w:val="18"/>
                <w:color w:val="auto"/>
              </w:rPr>
              <w:t>39,578</w:t>
            </w: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line="202" w:lineRule="exact"/>
              <w:rPr>
                <w:sz w:val="20"/>
                <w:szCs w:val="20"/>
                <w:color w:val="auto"/>
              </w:rPr>
            </w:pPr>
            <w:r>
              <w:rPr>
                <w:rFonts w:ascii="Arial" w:cs="Arial" w:eastAsia="Arial" w:hAnsi="Arial"/>
                <w:sz w:val="18"/>
                <w:szCs w:val="18"/>
                <w:color w:val="auto"/>
              </w:rPr>
              <w:t>Reconciling items:</w:t>
            </w:r>
          </w:p>
        </w:tc>
        <w:tc>
          <w:tcPr>
            <w:tcW w:w="1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(437)</w:t>
            </w:r>
          </w:p>
        </w:tc>
        <w:tc>
          <w:tcPr>
            <w:tcW w:w="200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(777)</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520" w:type="dxa"/>
            <w:vAlign w:val="bottom"/>
          </w:tcPr>
          <w:p>
            <w:pPr>
              <w:ind w:left="340"/>
              <w:spacing w:after="0" w:line="201" w:lineRule="exact"/>
              <w:rPr>
                <w:sz w:val="20"/>
                <w:szCs w:val="20"/>
                <w:color w:val="auto"/>
              </w:rPr>
            </w:pPr>
            <w:r>
              <w:rPr>
                <w:rFonts w:ascii="Arial" w:cs="Arial" w:eastAsia="Arial" w:hAnsi="Arial"/>
                <w:sz w:val="18"/>
                <w:szCs w:val="18"/>
                <w:color w:val="auto"/>
              </w:rPr>
              <w:t>Interest income</w:t>
            </w:r>
          </w:p>
        </w:tc>
        <w:tc>
          <w:tcPr>
            <w:tcW w:w="1960" w:type="dxa"/>
            <w:vAlign w:val="bottom"/>
            <w:vMerge w:val="continue"/>
          </w:tcPr>
          <w:p>
            <w:pPr>
              <w:spacing w:after="0"/>
              <w:rPr>
                <w:sz w:val="17"/>
                <w:szCs w:val="17"/>
                <w:color w:val="auto"/>
              </w:rPr>
            </w:pPr>
          </w:p>
        </w:tc>
        <w:tc>
          <w:tcPr>
            <w:tcW w:w="2000" w:type="dxa"/>
            <w:vAlign w:val="bottom"/>
          </w:tcPr>
          <w:p>
            <w:pPr>
              <w:jc w:val="right"/>
              <w:ind w:right="310"/>
              <w:spacing w:after="0" w:line="201" w:lineRule="exact"/>
              <w:rPr>
                <w:sz w:val="20"/>
                <w:szCs w:val="20"/>
                <w:color w:val="auto"/>
              </w:rPr>
            </w:pPr>
            <w:r>
              <w:rPr>
                <w:rFonts w:ascii="Arial" w:cs="Arial" w:eastAsia="Arial" w:hAnsi="Arial"/>
                <w:sz w:val="18"/>
                <w:szCs w:val="18"/>
                <w:color w:val="auto"/>
              </w:rPr>
              <w:t>(356)</w:t>
            </w:r>
          </w:p>
        </w:tc>
        <w:tc>
          <w:tcPr>
            <w:tcW w:w="1240" w:type="dxa"/>
            <w:vAlign w:val="bottom"/>
            <w:vMerge w:val="continue"/>
          </w:tcPr>
          <w:p>
            <w:pPr>
              <w:spacing w:after="0"/>
              <w:rPr>
                <w:sz w:val="17"/>
                <w:szCs w:val="17"/>
                <w:color w:val="auto"/>
              </w:rPr>
            </w:pPr>
          </w:p>
        </w:tc>
        <w:tc>
          <w:tcPr>
            <w:tcW w:w="1680" w:type="dxa"/>
            <w:vAlign w:val="bottom"/>
          </w:tcPr>
          <w:p>
            <w:pPr>
              <w:jc w:val="right"/>
              <w:spacing w:after="0" w:line="201" w:lineRule="exact"/>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tcPr>
          <w:p>
            <w:pPr>
              <w:ind w:left="340"/>
              <w:spacing w:after="0" w:line="202" w:lineRule="exact"/>
              <w:rPr>
                <w:sz w:val="20"/>
                <w:szCs w:val="20"/>
                <w:color w:val="auto"/>
              </w:rPr>
            </w:pPr>
            <w:r>
              <w:rPr>
                <w:rFonts w:ascii="Arial" w:cs="Arial" w:eastAsia="Arial" w:hAnsi="Arial"/>
                <w:sz w:val="18"/>
                <w:szCs w:val="18"/>
                <w:color w:val="auto"/>
              </w:rPr>
              <w:t>Interest expense</w:t>
            </w:r>
          </w:p>
        </w:tc>
        <w:tc>
          <w:tcPr>
            <w:tcW w:w="1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3,139</w:t>
            </w:r>
          </w:p>
        </w:tc>
        <w:tc>
          <w:tcPr>
            <w:tcW w:w="200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3,073</w:t>
            </w:r>
          </w:p>
        </w:tc>
        <w:tc>
          <w:tcPr>
            <w:tcW w:w="1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6,155</w:t>
            </w:r>
          </w:p>
        </w:tc>
        <w:tc>
          <w:tcPr>
            <w:tcW w:w="16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6,187</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5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Other expense/(income), net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2,820</w:t>
            </w:r>
          </w:p>
        </w:tc>
        <w:tc>
          <w:tcPr>
            <w:tcW w:w="2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(2,133)</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(465)</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(2,600)</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45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Income/(loss) before income taxes</w:t>
            </w:r>
          </w:p>
        </w:tc>
        <w:tc>
          <w:tcPr>
            <w:tcW w:w="1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($2,484)</w:t>
            </w:r>
          </w:p>
        </w:tc>
        <w:tc>
          <w:tcPr>
            <w:tcW w:w="200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color w:val="auto"/>
              </w:rPr>
              <w:t>$18,393</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$18,274</w:t>
            </w:r>
          </w:p>
        </w:tc>
        <w:tc>
          <w:tcPr>
            <w:tcW w:w="168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$36,543</w:t>
            </w:r>
          </w:p>
        </w:tc>
        <w:tc>
          <w:tcPr>
            <w:tcW w:w="0" w:type="dxa"/>
            <w:vAlign w:val="bottom"/>
          </w:tcPr>
          <w:p>
            <w:pPr>
              <w:spacing w:after="0"/>
              <w:rPr>
                <w:sz w:val="1"/>
                <w:szCs w:val="1"/>
                <w:color w:val="auto"/>
              </w:rPr>
            </w:pPr>
          </w:p>
        </w:tc>
      </w:tr>
    </w:tbl>
    <w:p>
      <w:pPr>
        <w:spacing w:after="0" w:line="3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restructuring costs by reportable segment (also see Note 5):</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320" w:type="dxa"/>
            <w:vAlign w:val="bottom"/>
            <w:tcBorders>
              <w:top w:val="single" w:sz="8" w:color="auto"/>
            </w:tcBorders>
          </w:tcPr>
          <w:p>
            <w:pPr>
              <w:spacing w:after="0"/>
              <w:rPr>
                <w:sz w:val="16"/>
                <w:szCs w:val="16"/>
                <w:color w:val="auto"/>
              </w:rPr>
            </w:pPr>
          </w:p>
        </w:tc>
        <w:tc>
          <w:tcPr>
            <w:tcW w:w="4300" w:type="dxa"/>
            <w:vAlign w:val="bottom"/>
            <w:tcBorders>
              <w:top w:val="single" w:sz="8" w:color="auto"/>
            </w:tcBorders>
            <w:gridSpan w:val="2"/>
          </w:tcPr>
          <w:p>
            <w:pPr>
              <w:jc w:val="right"/>
              <w:ind w:right="570"/>
              <w:spacing w:after="0" w:line="191" w:lineRule="exact"/>
              <w:rPr>
                <w:sz w:val="20"/>
                <w:szCs w:val="20"/>
                <w:color w:val="auto"/>
              </w:rPr>
            </w:pPr>
            <w:r>
              <w:rPr>
                <w:rFonts w:ascii="Arial" w:cs="Arial" w:eastAsia="Arial" w:hAnsi="Arial"/>
                <w:sz w:val="18"/>
                <w:szCs w:val="18"/>
                <w:b w:val="1"/>
                <w:bCs w:val="1"/>
                <w:color w:val="auto"/>
              </w:rPr>
              <w:t>Three months ended</w:t>
            </w:r>
          </w:p>
        </w:tc>
        <w:tc>
          <w:tcPr>
            <w:tcW w:w="2800" w:type="dxa"/>
            <w:vAlign w:val="bottom"/>
            <w:tcBorders>
              <w:top w:val="single" w:sz="8" w:color="auto"/>
            </w:tcBorders>
            <w:gridSpan w:val="2"/>
          </w:tcPr>
          <w:p>
            <w:pPr>
              <w:jc w:val="right"/>
              <w:ind w:right="390"/>
              <w:spacing w:after="0" w:line="191" w:lineRule="exact"/>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03"/>
        </w:trPr>
        <w:tc>
          <w:tcPr>
            <w:tcW w:w="43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920" w:type="dxa"/>
            <w:vAlign w:val="bottom"/>
          </w:tcPr>
          <w:p>
            <w:pPr>
              <w:jc w:val="right"/>
              <w:ind w:right="1070"/>
              <w:spacing w:after="0" w:line="202" w:lineRule="exact"/>
              <w:rPr>
                <w:sz w:val="20"/>
                <w:szCs w:val="20"/>
                <w:color w:val="auto"/>
              </w:rPr>
            </w:pPr>
            <w:r>
              <w:rPr>
                <w:rFonts w:ascii="Arial" w:cs="Arial" w:eastAsia="Arial" w:hAnsi="Arial"/>
                <w:sz w:val="18"/>
                <w:szCs w:val="18"/>
                <w:b w:val="1"/>
                <w:bCs w:val="1"/>
                <w:color w:val="auto"/>
              </w:rPr>
              <w:t>June 30,</w:t>
            </w:r>
          </w:p>
        </w:tc>
        <w:tc>
          <w:tcPr>
            <w:tcW w:w="1160" w:type="dxa"/>
            <w:vAlign w:val="bottom"/>
          </w:tcPr>
          <w:p>
            <w:pPr>
              <w:spacing w:after="0"/>
              <w:rPr>
                <w:sz w:val="17"/>
                <w:szCs w:val="17"/>
                <w:color w:val="auto"/>
              </w:rPr>
            </w:pPr>
          </w:p>
        </w:tc>
        <w:tc>
          <w:tcPr>
            <w:tcW w:w="1640" w:type="dxa"/>
            <w:vAlign w:val="bottom"/>
          </w:tcPr>
          <w:p>
            <w:pPr>
              <w:jc w:val="right"/>
              <w:ind w:right="790"/>
              <w:spacing w:after="0" w:line="202" w:lineRule="exact"/>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27"/>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2015</w:t>
            </w:r>
          </w:p>
        </w:tc>
        <w:tc>
          <w:tcPr>
            <w:tcW w:w="19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2015</w:t>
            </w:r>
          </w:p>
        </w:tc>
        <w:tc>
          <w:tcPr>
            <w:tcW w:w="1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173"/>
        </w:trPr>
        <w:tc>
          <w:tcPr>
            <w:tcW w:w="4320" w:type="dxa"/>
            <w:vAlign w:val="bottom"/>
          </w:tcPr>
          <w:p>
            <w:pPr>
              <w:spacing w:after="0" w:line="173" w:lineRule="exact"/>
              <w:rPr>
                <w:sz w:val="20"/>
                <w:szCs w:val="20"/>
                <w:color w:val="auto"/>
              </w:rPr>
            </w:pPr>
            <w:r>
              <w:rPr>
                <w:rFonts w:ascii="Arial" w:cs="Arial" w:eastAsia="Arial" w:hAnsi="Arial"/>
                <w:sz w:val="18"/>
                <w:szCs w:val="18"/>
                <w:b w:val="1"/>
                <w:bCs w:val="1"/>
                <w:color w:val="auto"/>
              </w:rPr>
              <w:t>Restructuring expense</w:t>
            </w:r>
          </w:p>
        </w:tc>
        <w:tc>
          <w:tcPr>
            <w:tcW w:w="23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$1,211</w:t>
            </w:r>
          </w:p>
        </w:tc>
        <w:tc>
          <w:tcPr>
            <w:tcW w:w="19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$10,212</w:t>
            </w: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320" w:type="dxa"/>
            <w:vAlign w:val="bottom"/>
          </w:tcPr>
          <w:p>
            <w:pPr>
              <w:spacing w:after="0" w:line="201" w:lineRule="exact"/>
              <w:rPr>
                <w:sz w:val="20"/>
                <w:szCs w:val="20"/>
                <w:color w:val="auto"/>
              </w:rPr>
            </w:pPr>
            <w:r>
              <w:rPr>
                <w:rFonts w:ascii="Arial" w:cs="Arial" w:eastAsia="Arial" w:hAnsi="Arial"/>
                <w:sz w:val="18"/>
                <w:szCs w:val="18"/>
                <w:color w:val="auto"/>
              </w:rPr>
              <w:t>Machine Clothing</w:t>
            </w:r>
          </w:p>
        </w:tc>
        <w:tc>
          <w:tcPr>
            <w:tcW w:w="2380" w:type="dxa"/>
            <w:vAlign w:val="bottom"/>
            <w:vMerge w:val="continue"/>
          </w:tcPr>
          <w:p>
            <w:pPr>
              <w:spacing w:after="0"/>
              <w:rPr>
                <w:sz w:val="17"/>
                <w:szCs w:val="17"/>
                <w:color w:val="auto"/>
              </w:rPr>
            </w:pPr>
          </w:p>
        </w:tc>
        <w:tc>
          <w:tcPr>
            <w:tcW w:w="1920" w:type="dxa"/>
            <w:vAlign w:val="bottom"/>
          </w:tcPr>
          <w:p>
            <w:pPr>
              <w:jc w:val="right"/>
              <w:ind w:right="390"/>
              <w:spacing w:after="0" w:line="201" w:lineRule="exact"/>
              <w:rPr>
                <w:sz w:val="20"/>
                <w:szCs w:val="20"/>
                <w:color w:val="auto"/>
              </w:rPr>
            </w:pPr>
            <w:r>
              <w:rPr>
                <w:rFonts w:ascii="Arial" w:cs="Arial" w:eastAsia="Arial" w:hAnsi="Arial"/>
                <w:sz w:val="18"/>
                <w:szCs w:val="18"/>
                <w:color w:val="auto"/>
              </w:rPr>
              <w:t>$1,297</w:t>
            </w:r>
          </w:p>
        </w:tc>
        <w:tc>
          <w:tcPr>
            <w:tcW w:w="1160" w:type="dxa"/>
            <w:vAlign w:val="bottom"/>
            <w:vMerge w:val="continue"/>
          </w:tcPr>
          <w:p>
            <w:pPr>
              <w:spacing w:after="0"/>
              <w:rPr>
                <w:sz w:val="17"/>
                <w:szCs w:val="17"/>
                <w:color w:val="auto"/>
              </w:rPr>
            </w:pPr>
          </w:p>
        </w:tc>
        <w:tc>
          <w:tcPr>
            <w:tcW w:w="1640" w:type="dxa"/>
            <w:vAlign w:val="bottom"/>
          </w:tcPr>
          <w:p>
            <w:pPr>
              <w:jc w:val="right"/>
              <w:ind w:right="50"/>
              <w:spacing w:after="0" w:line="201" w:lineRule="exact"/>
              <w:rPr>
                <w:sz w:val="20"/>
                <w:szCs w:val="20"/>
                <w:color w:val="auto"/>
              </w:rPr>
            </w:pPr>
            <w:r>
              <w:rPr>
                <w:rFonts w:ascii="Arial" w:cs="Arial" w:eastAsia="Arial" w:hAnsi="Arial"/>
                <w:sz w:val="18"/>
                <w:szCs w:val="18"/>
                <w:color w:val="auto"/>
              </w:rPr>
              <w:t>$2,159</w:t>
            </w:r>
          </w:p>
        </w:tc>
        <w:tc>
          <w:tcPr>
            <w:tcW w:w="0" w:type="dxa"/>
            <w:vAlign w:val="bottom"/>
          </w:tcPr>
          <w:p>
            <w:pPr>
              <w:spacing w:after="0"/>
              <w:rPr>
                <w:sz w:val="1"/>
                <w:szCs w:val="1"/>
                <w:color w:val="auto"/>
              </w:rPr>
            </w:pPr>
          </w:p>
        </w:tc>
      </w:tr>
      <w:tr>
        <w:trPr>
          <w:trHeight w:val="227"/>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Albany Engineered Composites</w:t>
            </w: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660</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196"/>
        </w:trPr>
        <w:tc>
          <w:tcPr>
            <w:tcW w:w="43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Consolidated total</w:t>
            </w:r>
          </w:p>
        </w:tc>
        <w:tc>
          <w:tcPr>
            <w:tcW w:w="2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$1,211</w:t>
            </w:r>
          </w:p>
        </w:tc>
        <w:tc>
          <w:tcPr>
            <w:tcW w:w="192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color w:val="auto"/>
              </w:rPr>
              <w:t>$1,957</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$10,212</w:t>
            </w:r>
          </w:p>
        </w:tc>
        <w:tc>
          <w:tcPr>
            <w:tcW w:w="16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$3,139</w:t>
            </w:r>
          </w:p>
        </w:tc>
        <w:tc>
          <w:tcPr>
            <w:tcW w:w="0" w:type="dxa"/>
            <w:vAlign w:val="bottom"/>
          </w:tcPr>
          <w:p>
            <w:pPr>
              <w:spacing w:after="0"/>
              <w:rPr>
                <w:sz w:val="1"/>
                <w:szCs w:val="1"/>
                <w:color w:val="auto"/>
              </w:rPr>
            </w:pPr>
          </w:p>
        </w:tc>
      </w:tr>
    </w:tbl>
    <w:p>
      <w:pPr>
        <w:spacing w:after="0" w:line="35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the second quarter of 2015, the Company recorded a charge of $14.0 million associated with a revision in the profitability of a contract in the AEC segment. AEC has a long-term contract for the manufacture of composite components for the Rolls-Royce BR 725 engine (BR 725), which powers the Gulfstream G-650 business jet. These components are manufactured in AEC’s Boerne, Texas, facility. The contract for this program was signed in 2007 and contains a very aggressive approach to pricing compared to AEC’s other contracts. AEC was required to fund certain development costs for nonrecurring engineering and tooling and expected to recover those costs over the duration of the contract, which is anticipated to be more than 20 years. The deferred costs were included in Other assets on the Company’s Consolidated Balance Sheets and, as of June 30, 2015, the Company had accumulated deferred contract expenses of approximately $10.9 million. The Company tests the recoverability of these deferred costs each quarter. During the second quarter of 2015, the Company revised its estimate of the profitability of this contract and determined that the entire balance of these deferred costs should be written off. Additionally, the Company has determined</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43" w:right="239" w:bottom="1440" w:gutter="0" w:footer="0" w:header="0"/>
        </w:sectPr>
      </w:pPr>
    </w:p>
    <w:bookmarkStart w:id="8" w:name="page9"/>
    <w:bookmarkEnd w:id="8"/>
    <w:p>
      <w:pPr>
        <w:ind w:right="280"/>
        <w:spacing w:after="0" w:line="255" w:lineRule="auto"/>
        <w:rPr>
          <w:sz w:val="20"/>
          <w:szCs w:val="20"/>
          <w:color w:val="auto"/>
        </w:rPr>
      </w:pPr>
      <w:r>
        <w:rPr>
          <w:rFonts w:ascii="Arial" w:cs="Arial" w:eastAsia="Arial" w:hAnsi="Arial"/>
          <w:sz w:val="18"/>
          <w:szCs w:val="18"/>
          <w:color w:val="auto"/>
        </w:rPr>
        <w:t>that an additional charge of approximately $3.1 million should be recorded as a provision for anticipated contract losses. The total charge of $14.0 million is included in Cost of goods sold. In the Consolidated Statements of Cash Flows, the write-off of previously deferred costs is included in Other, net.</w:t>
      </w:r>
    </w:p>
    <w:p>
      <w:pPr>
        <w:spacing w:after="0" w:line="12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2015 Machine Clothing restructuring expense was principally related to the discontinuation of manufacturing operations at its press fabric manufacturing facility in Germany in April. Machine Clothing restructuring costs in 2014 were principally related to restructuring actions in France. Albany Engineered Composites restructuring expense in 2014 was related to organizational changes.</w:t>
      </w:r>
    </w:p>
    <w:p>
      <w:pPr>
        <w:spacing w:after="0" w:line="137" w:lineRule="exact"/>
        <w:rPr>
          <w:sz w:val="20"/>
          <w:szCs w:val="20"/>
          <w:color w:val="auto"/>
        </w:rPr>
      </w:pPr>
    </w:p>
    <w:p>
      <w:pPr>
        <w:ind w:right="320" w:firstLine="648"/>
        <w:spacing w:after="0" w:line="248" w:lineRule="auto"/>
        <w:rPr>
          <w:sz w:val="20"/>
          <w:szCs w:val="20"/>
          <w:color w:val="auto"/>
        </w:rPr>
      </w:pPr>
      <w:r>
        <w:rPr>
          <w:rFonts w:ascii="Arial" w:cs="Arial" w:eastAsia="Arial" w:hAnsi="Arial"/>
          <w:sz w:val="18"/>
          <w:szCs w:val="18"/>
          <w:color w:val="auto"/>
        </w:rPr>
        <w:t>Land and building related to the former manufacturing facility in Germany has been reclassified as Asset held for sale in the accompanying Consolidated Balance Sheets. We reclassified to Asset held for sale the net book value of $8.3 million and $9.1 million as of June 30, 2015 and December 31, 2014, respectively. There were no other material changes in the total assets of the reportable segments during this period.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 Pensions and Other Postretirement Benefit Plans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Plans</w:t>
      </w:r>
    </w:p>
    <w:p>
      <w:pPr>
        <w:spacing w:after="0" w:line="183" w:lineRule="exact"/>
        <w:rPr>
          <w:sz w:val="20"/>
          <w:szCs w:val="20"/>
          <w:color w:val="auto"/>
        </w:rPr>
      </w:pPr>
    </w:p>
    <w:p>
      <w:pPr>
        <w:ind w:right="80" w:firstLine="648"/>
        <w:spacing w:after="0" w:line="245" w:lineRule="auto"/>
        <w:rPr>
          <w:sz w:val="20"/>
          <w:szCs w:val="20"/>
          <w:color w:val="auto"/>
        </w:rPr>
      </w:pPr>
      <w:r>
        <w:rPr>
          <w:rFonts w:ascii="Arial" w:cs="Arial" w:eastAsia="Arial" w:hAnsi="Arial"/>
          <w:sz w:val="18"/>
          <w:szCs w:val="18"/>
          <w:color w:val="auto"/>
        </w:rPr>
        <w:t>The Company has defined benefit pension plans covering certain U.S. and non-U.S. employees. The U.S. qualified defined benefit pension plan has been closed to new participants since October 1998 and, as of February 2009, benefits accrued under this plan were frozen. As a result of the freeze, employees covered by the pension plan will receive, at retirement, benefits already accrued through February 2009, but no new benefits accrue after that date. Benefit accruals under the U.S. Supplemental Executive Retirement Plan ("SERP") were similarly frozen. The eligibility, benefit formulas, and contribution requirements for plans outside of the U.S. vary by location.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Postretirement Benefits</w:t>
      </w:r>
    </w:p>
    <w:p>
      <w:pPr>
        <w:spacing w:after="0" w:line="169" w:lineRule="exact"/>
        <w:rPr>
          <w:sz w:val="20"/>
          <w:szCs w:val="20"/>
          <w:color w:val="auto"/>
        </w:rPr>
      </w:pPr>
    </w:p>
    <w:p>
      <w:pPr>
        <w:jc w:val="both"/>
        <w:ind w:right="60" w:firstLine="648"/>
        <w:spacing w:after="0" w:line="255" w:lineRule="auto"/>
        <w:rPr>
          <w:sz w:val="20"/>
          <w:szCs w:val="20"/>
          <w:color w:val="auto"/>
        </w:rPr>
      </w:pPr>
      <w:r>
        <w:rPr>
          <w:rFonts w:ascii="Arial" w:cs="Arial" w:eastAsia="Arial" w:hAnsi="Arial"/>
          <w:sz w:val="18"/>
          <w:szCs w:val="18"/>
          <w:color w:val="auto"/>
        </w:rPr>
        <w:t>The Company also provides certain postretirement life insurance benefits to retired employees in the U.S. and Canada. The Company accrues the cost of providing postretirement benefits during the active service period of the employees. The Company currently funds the plan as claims are paid.</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composition of the net periodic benefit plan cost for the six months ended June 30, 2015 and 2014 was as follows:</w:t>
      </w:r>
    </w:p>
    <w:p>
      <w:pPr>
        <w:spacing w:after="0" w:line="3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643" w:right="27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91"/>
        </w:trPr>
        <w:tc>
          <w:tcPr>
            <w:tcW w:w="4680" w:type="dxa"/>
            <w:vAlign w:val="bottom"/>
            <w:tcBorders>
              <w:top w:val="single" w:sz="8" w:color="auto"/>
            </w:tcBorders>
          </w:tcPr>
          <w:p>
            <w:pPr>
              <w:spacing w:after="0"/>
              <w:rPr>
                <w:sz w:val="16"/>
                <w:szCs w:val="16"/>
                <w:color w:val="auto"/>
              </w:rPr>
            </w:pPr>
          </w:p>
        </w:tc>
        <w:tc>
          <w:tcPr>
            <w:tcW w:w="252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2660" w:type="dxa"/>
            <w:vAlign w:val="bottom"/>
            <w:tcBorders>
              <w:top w:val="single" w:sz="8" w:color="auto"/>
            </w:tcBorders>
            <w:gridSpan w:val="2"/>
          </w:tcPr>
          <w:p>
            <w:pPr>
              <w:jc w:val="right"/>
              <w:ind w:right="230"/>
              <w:spacing w:after="0" w:line="191" w:lineRule="exact"/>
              <w:rPr>
                <w:sz w:val="20"/>
                <w:szCs w:val="20"/>
                <w:color w:val="auto"/>
              </w:rPr>
            </w:pPr>
            <w:r>
              <w:rPr>
                <w:rFonts w:ascii="Arial" w:cs="Arial" w:eastAsia="Arial" w:hAnsi="Arial"/>
                <w:sz w:val="18"/>
                <w:szCs w:val="18"/>
                <w:b w:val="1"/>
                <w:bCs w:val="1"/>
                <w:color w:val="auto"/>
              </w:rPr>
              <w:t>Other postretirement</w:t>
            </w:r>
          </w:p>
        </w:tc>
        <w:tc>
          <w:tcPr>
            <w:tcW w:w="0" w:type="dxa"/>
            <w:vAlign w:val="bottom"/>
          </w:tcPr>
          <w:p>
            <w:pPr>
              <w:spacing w:after="0"/>
              <w:rPr>
                <w:sz w:val="1"/>
                <w:szCs w:val="1"/>
                <w:color w:val="auto"/>
              </w:rPr>
            </w:pPr>
          </w:p>
        </w:tc>
      </w:tr>
      <w:tr>
        <w:trPr>
          <w:trHeight w:val="203"/>
        </w:trPr>
        <w:tc>
          <w:tcPr>
            <w:tcW w:w="4680" w:type="dxa"/>
            <w:vAlign w:val="bottom"/>
          </w:tcPr>
          <w:p>
            <w:pPr>
              <w:spacing w:after="0"/>
              <w:rPr>
                <w:sz w:val="17"/>
                <w:szCs w:val="17"/>
                <w:color w:val="auto"/>
              </w:rPr>
            </w:pPr>
          </w:p>
        </w:tc>
        <w:tc>
          <w:tcPr>
            <w:tcW w:w="4080" w:type="dxa"/>
            <w:vAlign w:val="bottom"/>
            <w:gridSpan w:val="2"/>
          </w:tcPr>
          <w:p>
            <w:pPr>
              <w:jc w:val="right"/>
              <w:ind w:right="890"/>
              <w:spacing w:after="0" w:line="202" w:lineRule="exact"/>
              <w:rPr>
                <w:sz w:val="20"/>
                <w:szCs w:val="20"/>
                <w:color w:val="auto"/>
              </w:rPr>
            </w:pPr>
            <w:r>
              <w:rPr>
                <w:rFonts w:ascii="Arial" w:cs="Arial" w:eastAsia="Arial" w:hAnsi="Arial"/>
                <w:sz w:val="18"/>
                <w:szCs w:val="18"/>
                <w:b w:val="1"/>
                <w:bCs w:val="1"/>
                <w:color w:val="auto"/>
              </w:rPr>
              <w:t>Pension plans</w:t>
            </w:r>
          </w:p>
        </w:tc>
        <w:tc>
          <w:tcPr>
            <w:tcW w:w="1080" w:type="dxa"/>
            <w:vAlign w:val="bottom"/>
          </w:tcPr>
          <w:p>
            <w:pPr>
              <w:spacing w:after="0"/>
              <w:rPr>
                <w:sz w:val="17"/>
                <w:szCs w:val="17"/>
                <w:color w:val="auto"/>
              </w:rPr>
            </w:pPr>
          </w:p>
        </w:tc>
        <w:tc>
          <w:tcPr>
            <w:tcW w:w="1580" w:type="dxa"/>
            <w:vAlign w:val="bottom"/>
          </w:tcPr>
          <w:p>
            <w:pPr>
              <w:jc w:val="right"/>
              <w:ind w:right="750"/>
              <w:spacing w:after="0" w:line="202" w:lineRule="exact"/>
              <w:rPr>
                <w:sz w:val="20"/>
                <w:szCs w:val="20"/>
                <w:color w:val="auto"/>
              </w:rPr>
            </w:pPr>
            <w:r>
              <w:rPr>
                <w:rFonts w:ascii="Arial" w:cs="Arial" w:eastAsia="Arial" w:hAnsi="Arial"/>
                <w:sz w:val="18"/>
                <w:szCs w:val="18"/>
                <w:b w:val="1"/>
                <w:bCs w:val="1"/>
                <w:color w:val="auto"/>
              </w:rPr>
              <w:t>benefits</w:t>
            </w:r>
          </w:p>
        </w:tc>
        <w:tc>
          <w:tcPr>
            <w:tcW w:w="0" w:type="dxa"/>
            <w:vAlign w:val="bottom"/>
          </w:tcPr>
          <w:p>
            <w:pPr>
              <w:spacing w:after="0"/>
              <w:rPr>
                <w:sz w:val="1"/>
                <w:szCs w:val="1"/>
                <w:color w:val="auto"/>
              </w:rPr>
            </w:pPr>
          </w:p>
        </w:tc>
      </w:tr>
      <w:tr>
        <w:trPr>
          <w:trHeight w:val="227"/>
        </w:trPr>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5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5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1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173"/>
        </w:trPr>
        <w:tc>
          <w:tcPr>
            <w:tcW w:w="4680" w:type="dxa"/>
            <w:vAlign w:val="bottom"/>
          </w:tcPr>
          <w:p>
            <w:pPr>
              <w:spacing w:after="0" w:line="173" w:lineRule="exact"/>
              <w:rPr>
                <w:sz w:val="20"/>
                <w:szCs w:val="20"/>
                <w:color w:val="auto"/>
              </w:rPr>
            </w:pPr>
            <w:r>
              <w:rPr>
                <w:rFonts w:ascii="Arial" w:cs="Arial" w:eastAsia="Arial" w:hAnsi="Arial"/>
                <w:sz w:val="18"/>
                <w:szCs w:val="18"/>
                <w:color w:val="auto"/>
              </w:rPr>
              <w:t>Components of net periodic benefit cost:</w:t>
            </w:r>
          </w:p>
        </w:tc>
        <w:tc>
          <w:tcPr>
            <w:tcW w:w="252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$1,529</w:t>
            </w:r>
          </w:p>
        </w:tc>
        <w:tc>
          <w:tcPr>
            <w:tcW w:w="1560" w:type="dxa"/>
            <w:vAlign w:val="bottom"/>
          </w:tcPr>
          <w:p>
            <w:pPr>
              <w:spacing w:after="0"/>
              <w:rPr>
                <w:sz w:val="15"/>
                <w:szCs w:val="15"/>
                <w:color w:val="auto"/>
              </w:rPr>
            </w:pPr>
          </w:p>
        </w:tc>
        <w:tc>
          <w:tcPr>
            <w:tcW w:w="108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$166</w:t>
            </w: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680" w:type="dxa"/>
            <w:vAlign w:val="bottom"/>
          </w:tcPr>
          <w:p>
            <w:pPr>
              <w:spacing w:after="0" w:line="201" w:lineRule="exact"/>
              <w:rPr>
                <w:sz w:val="20"/>
                <w:szCs w:val="20"/>
                <w:color w:val="auto"/>
              </w:rPr>
            </w:pPr>
            <w:r>
              <w:rPr>
                <w:rFonts w:ascii="Arial" w:cs="Arial" w:eastAsia="Arial" w:hAnsi="Arial"/>
                <w:sz w:val="18"/>
                <w:szCs w:val="18"/>
                <w:color w:val="auto"/>
              </w:rPr>
              <w:t>Service cost</w:t>
            </w:r>
          </w:p>
        </w:tc>
        <w:tc>
          <w:tcPr>
            <w:tcW w:w="2520" w:type="dxa"/>
            <w:vAlign w:val="bottom"/>
            <w:vMerge w:val="continue"/>
          </w:tcPr>
          <w:p>
            <w:pPr>
              <w:spacing w:after="0"/>
              <w:rPr>
                <w:sz w:val="17"/>
                <w:szCs w:val="17"/>
                <w:color w:val="auto"/>
              </w:rPr>
            </w:pPr>
          </w:p>
        </w:tc>
        <w:tc>
          <w:tcPr>
            <w:tcW w:w="1560" w:type="dxa"/>
            <w:vAlign w:val="bottom"/>
          </w:tcPr>
          <w:p>
            <w:pPr>
              <w:jc w:val="right"/>
              <w:ind w:right="470"/>
              <w:spacing w:after="0" w:line="201" w:lineRule="exact"/>
              <w:rPr>
                <w:sz w:val="20"/>
                <w:szCs w:val="20"/>
                <w:color w:val="auto"/>
              </w:rPr>
            </w:pPr>
            <w:r>
              <w:rPr>
                <w:rFonts w:ascii="Arial" w:cs="Arial" w:eastAsia="Arial" w:hAnsi="Arial"/>
                <w:sz w:val="18"/>
                <w:szCs w:val="18"/>
                <w:color w:val="auto"/>
              </w:rPr>
              <w:t>$1,683</w:t>
            </w:r>
          </w:p>
        </w:tc>
        <w:tc>
          <w:tcPr>
            <w:tcW w:w="1080" w:type="dxa"/>
            <w:vAlign w:val="bottom"/>
            <w:vMerge w:val="continue"/>
          </w:tcPr>
          <w:p>
            <w:pPr>
              <w:spacing w:after="0"/>
              <w:rPr>
                <w:sz w:val="17"/>
                <w:szCs w:val="17"/>
                <w:color w:val="auto"/>
              </w:rPr>
            </w:pPr>
          </w:p>
        </w:tc>
        <w:tc>
          <w:tcPr>
            <w:tcW w:w="1580" w:type="dxa"/>
            <w:vAlign w:val="bottom"/>
          </w:tcPr>
          <w:p>
            <w:pPr>
              <w:jc w:val="right"/>
              <w:ind w:right="50"/>
              <w:spacing w:after="0" w:line="201" w:lineRule="exact"/>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3"/>
        </w:trPr>
        <w:tc>
          <w:tcPr>
            <w:tcW w:w="4680" w:type="dxa"/>
            <w:vAlign w:val="bottom"/>
          </w:tcPr>
          <w:p>
            <w:pPr>
              <w:spacing w:after="0" w:line="202" w:lineRule="exact"/>
              <w:rPr>
                <w:sz w:val="20"/>
                <w:szCs w:val="20"/>
                <w:color w:val="auto"/>
              </w:rPr>
            </w:pPr>
            <w:r>
              <w:rPr>
                <w:rFonts w:ascii="Arial" w:cs="Arial" w:eastAsia="Arial" w:hAnsi="Arial"/>
                <w:sz w:val="18"/>
                <w:szCs w:val="18"/>
                <w:color w:val="auto"/>
              </w:rPr>
              <w:t>Interest cost</w:t>
            </w:r>
          </w:p>
        </w:tc>
        <w:tc>
          <w:tcPr>
            <w:tcW w:w="2520" w:type="dxa"/>
            <w:vAlign w:val="bottom"/>
          </w:tcPr>
          <w:p>
            <w:pPr>
              <w:jc w:val="right"/>
              <w:ind w:right="410"/>
              <w:spacing w:after="0" w:line="202" w:lineRule="exact"/>
              <w:rPr>
                <w:sz w:val="20"/>
                <w:szCs w:val="20"/>
                <w:color w:val="auto"/>
              </w:rPr>
            </w:pPr>
            <w:r>
              <w:rPr>
                <w:rFonts w:ascii="Arial" w:cs="Arial" w:eastAsia="Arial" w:hAnsi="Arial"/>
                <w:sz w:val="18"/>
                <w:szCs w:val="18"/>
                <w:b w:val="1"/>
                <w:bCs w:val="1"/>
                <w:color w:val="auto"/>
              </w:rPr>
              <w:t>3,895</w:t>
            </w:r>
          </w:p>
        </w:tc>
        <w:tc>
          <w:tcPr>
            <w:tcW w:w="156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4,815</w:t>
            </w: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1,220</w:t>
            </w:r>
          </w:p>
        </w:tc>
        <w:tc>
          <w:tcPr>
            <w:tcW w:w="15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03"/>
        </w:trPr>
        <w:tc>
          <w:tcPr>
            <w:tcW w:w="4680" w:type="dxa"/>
            <w:vAlign w:val="bottom"/>
          </w:tcPr>
          <w:p>
            <w:pPr>
              <w:spacing w:after="0" w:line="202" w:lineRule="exact"/>
              <w:rPr>
                <w:sz w:val="20"/>
                <w:szCs w:val="20"/>
                <w:color w:val="auto"/>
              </w:rPr>
            </w:pPr>
            <w:r>
              <w:rPr>
                <w:rFonts w:ascii="Arial" w:cs="Arial" w:eastAsia="Arial" w:hAnsi="Arial"/>
                <w:sz w:val="18"/>
                <w:szCs w:val="18"/>
                <w:color w:val="auto"/>
              </w:rPr>
              <w:t>Expected return on assets</w:t>
            </w:r>
          </w:p>
        </w:tc>
        <w:tc>
          <w:tcPr>
            <w:tcW w:w="2520" w:type="dxa"/>
            <w:vAlign w:val="bottom"/>
          </w:tcPr>
          <w:p>
            <w:pPr>
              <w:jc w:val="right"/>
              <w:ind w:right="350"/>
              <w:spacing w:after="0" w:line="202" w:lineRule="exact"/>
              <w:rPr>
                <w:sz w:val="20"/>
                <w:szCs w:val="20"/>
                <w:color w:val="auto"/>
              </w:rPr>
            </w:pPr>
            <w:r>
              <w:rPr>
                <w:rFonts w:ascii="Arial" w:cs="Arial" w:eastAsia="Arial" w:hAnsi="Arial"/>
                <w:sz w:val="18"/>
                <w:szCs w:val="18"/>
                <w:b w:val="1"/>
                <w:bCs w:val="1"/>
                <w:color w:val="auto"/>
              </w:rPr>
              <w:t>(4,326)</w:t>
            </w:r>
          </w:p>
        </w:tc>
        <w:tc>
          <w:tcPr>
            <w:tcW w:w="156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(4,846)</w:t>
            </w: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15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680" w:type="dxa"/>
            <w:vAlign w:val="bottom"/>
          </w:tcPr>
          <w:p>
            <w:pPr>
              <w:spacing w:after="0" w:line="202" w:lineRule="exact"/>
              <w:rPr>
                <w:sz w:val="20"/>
                <w:szCs w:val="20"/>
                <w:color w:val="auto"/>
              </w:rPr>
            </w:pPr>
            <w:r>
              <w:rPr>
                <w:rFonts w:ascii="Arial" w:cs="Arial" w:eastAsia="Arial" w:hAnsi="Arial"/>
                <w:sz w:val="18"/>
                <w:szCs w:val="18"/>
                <w:color w:val="auto"/>
              </w:rPr>
              <w:t>Amortization of prior service cost/(credit)</w:t>
            </w:r>
          </w:p>
        </w:tc>
        <w:tc>
          <w:tcPr>
            <w:tcW w:w="2520" w:type="dxa"/>
            <w:vAlign w:val="bottom"/>
          </w:tcPr>
          <w:p>
            <w:pPr>
              <w:jc w:val="right"/>
              <w:ind w:right="410"/>
              <w:spacing w:after="0" w:line="202" w:lineRule="exact"/>
              <w:rPr>
                <w:sz w:val="20"/>
                <w:szCs w:val="20"/>
                <w:color w:val="auto"/>
              </w:rPr>
            </w:pPr>
            <w:r>
              <w:rPr>
                <w:rFonts w:ascii="Arial" w:cs="Arial" w:eastAsia="Arial" w:hAnsi="Arial"/>
                <w:sz w:val="18"/>
                <w:szCs w:val="18"/>
                <w:b w:val="1"/>
                <w:bCs w:val="1"/>
                <w:color w:val="auto"/>
              </w:rPr>
              <w:t>24</w:t>
            </w:r>
          </w:p>
        </w:tc>
        <w:tc>
          <w:tcPr>
            <w:tcW w:w="156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27</w:t>
            </w:r>
          </w:p>
        </w:tc>
        <w:tc>
          <w:tcPr>
            <w:tcW w:w="10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(2,244)</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(2,244)</w:t>
            </w:r>
          </w:p>
        </w:tc>
        <w:tc>
          <w:tcPr>
            <w:tcW w:w="0" w:type="dxa"/>
            <w:vAlign w:val="bottom"/>
          </w:tcPr>
          <w:p>
            <w:pPr>
              <w:spacing w:after="0"/>
              <w:rPr>
                <w:sz w:val="1"/>
                <w:szCs w:val="1"/>
                <w:color w:val="auto"/>
              </w:rPr>
            </w:pPr>
          </w:p>
        </w:tc>
      </w:tr>
      <w:tr>
        <w:trPr>
          <w:trHeight w:val="203"/>
        </w:trPr>
        <w:tc>
          <w:tcPr>
            <w:tcW w:w="4680" w:type="dxa"/>
            <w:vAlign w:val="bottom"/>
          </w:tcPr>
          <w:p>
            <w:pPr>
              <w:spacing w:after="0" w:line="202" w:lineRule="exact"/>
              <w:rPr>
                <w:sz w:val="20"/>
                <w:szCs w:val="20"/>
                <w:color w:val="auto"/>
              </w:rPr>
            </w:pPr>
            <w:r>
              <w:rPr>
                <w:rFonts w:ascii="Arial" w:cs="Arial" w:eastAsia="Arial" w:hAnsi="Arial"/>
                <w:sz w:val="18"/>
                <w:szCs w:val="18"/>
                <w:color w:val="auto"/>
              </w:rPr>
              <w:t>Amortization of net actuarial loss</w:t>
            </w:r>
          </w:p>
        </w:tc>
        <w:tc>
          <w:tcPr>
            <w:tcW w:w="2520" w:type="dxa"/>
            <w:vAlign w:val="bottom"/>
          </w:tcPr>
          <w:p>
            <w:pPr>
              <w:jc w:val="right"/>
              <w:ind w:right="410"/>
              <w:spacing w:after="0" w:line="202" w:lineRule="exact"/>
              <w:rPr>
                <w:sz w:val="20"/>
                <w:szCs w:val="20"/>
                <w:color w:val="auto"/>
              </w:rPr>
            </w:pPr>
            <w:r>
              <w:rPr>
                <w:rFonts w:ascii="Arial" w:cs="Arial" w:eastAsia="Arial" w:hAnsi="Arial"/>
                <w:sz w:val="18"/>
                <w:szCs w:val="18"/>
                <w:b w:val="1"/>
                <w:bCs w:val="1"/>
                <w:color w:val="auto"/>
              </w:rPr>
              <w:t>1,297</w:t>
            </w:r>
          </w:p>
        </w:tc>
        <w:tc>
          <w:tcPr>
            <w:tcW w:w="156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1,229</w:t>
            </w: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1,669</w:t>
            </w:r>
          </w:p>
        </w:tc>
        <w:tc>
          <w:tcPr>
            <w:tcW w:w="15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1,454</w:t>
            </w:r>
          </w:p>
        </w:tc>
        <w:tc>
          <w:tcPr>
            <w:tcW w:w="0" w:type="dxa"/>
            <w:vAlign w:val="bottom"/>
          </w:tcPr>
          <w:p>
            <w:pPr>
              <w:spacing w:after="0"/>
              <w:rPr>
                <w:sz w:val="1"/>
                <w:szCs w:val="1"/>
                <w:color w:val="auto"/>
              </w:rPr>
            </w:pPr>
          </w:p>
        </w:tc>
      </w:tr>
      <w:tr>
        <w:trPr>
          <w:trHeight w:val="227"/>
        </w:trPr>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Curtailment gain</w:t>
            </w:r>
          </w:p>
        </w:tc>
        <w:tc>
          <w:tcPr>
            <w:tcW w:w="25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15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(710)</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6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periodic benefit cost</w:t>
            </w:r>
          </w:p>
        </w:tc>
        <w:tc>
          <w:tcPr>
            <w:tcW w:w="252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$2,419</w:t>
            </w:r>
          </w:p>
        </w:tc>
        <w:tc>
          <w:tcPr>
            <w:tcW w:w="156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color w:val="auto"/>
              </w:rPr>
              <w:t>$2,198</w:t>
            </w:r>
          </w:p>
        </w:tc>
        <w:tc>
          <w:tcPr>
            <w:tcW w:w="10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$811</w:t>
            </w:r>
          </w:p>
        </w:tc>
        <w:tc>
          <w:tcPr>
            <w:tcW w:w="158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 Restructuring</w:t>
      </w:r>
    </w:p>
    <w:p>
      <w:pPr>
        <w:spacing w:after="0" w:line="185" w:lineRule="exact"/>
        <w:rPr>
          <w:sz w:val="20"/>
          <w:szCs w:val="20"/>
          <w:color w:val="auto"/>
        </w:rPr>
      </w:pPr>
    </w:p>
    <w:p>
      <w:pPr>
        <w:ind w:right="40" w:firstLine="648"/>
        <w:spacing w:after="0" w:line="241" w:lineRule="auto"/>
        <w:rPr>
          <w:sz w:val="20"/>
          <w:szCs w:val="20"/>
          <w:color w:val="auto"/>
        </w:rPr>
      </w:pPr>
      <w:r>
        <w:rPr>
          <w:rFonts w:ascii="Arial" w:cs="Arial" w:eastAsia="Arial" w:hAnsi="Arial"/>
          <w:sz w:val="18"/>
          <w:szCs w:val="18"/>
          <w:color w:val="auto"/>
        </w:rPr>
        <w:t>During the first quarter of 2015, the Company announced a plan to discontinue manufacturing operations at its press fabric manufacturing facility in Göppingen, Germany. The restructuring program was driven by the Company’s need to balance manufacturing capacity with demand. In April 2015, we reached agreement on the restructuring plan with the Works Council and manufacturing operations discontinued during the second quarter. Approximately 50 employees were terminated under this plan, and the restructuring expense recorded in 2015 reflects our estimate of the severance costs. It is possible that we will incur additional charges for impairment of property, plant and equipment, but no impairment is presently determinable. Whereas the affected employees were related to manufacturing operations, cost savings associated with this action were recorded in Cost of goods sold.</w:t>
      </w:r>
    </w:p>
    <w:p>
      <w:pPr>
        <w:spacing w:after="0" w:line="139" w:lineRule="exact"/>
        <w:rPr>
          <w:sz w:val="20"/>
          <w:szCs w:val="20"/>
          <w:color w:val="auto"/>
        </w:rPr>
      </w:pPr>
    </w:p>
    <w:p>
      <w:pPr>
        <w:ind w:right="980" w:firstLine="648"/>
        <w:spacing w:after="0" w:line="276" w:lineRule="auto"/>
        <w:rPr>
          <w:sz w:val="20"/>
          <w:szCs w:val="20"/>
          <w:color w:val="auto"/>
        </w:rPr>
      </w:pPr>
      <w:r>
        <w:rPr>
          <w:rFonts w:ascii="Arial" w:cs="Arial" w:eastAsia="Arial" w:hAnsi="Arial"/>
          <w:sz w:val="18"/>
          <w:szCs w:val="18"/>
          <w:color w:val="auto"/>
        </w:rPr>
        <w:t>Machine Clothing restructuring costs in 2014 were principally related to restructuring actions in France. Albany Engineered Composites restructuring expense in 2014 was related to organizational changes.</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charges reported in the Statements of Income under “Restructuring expenses, net”: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080" w:type="dxa"/>
            <w:vAlign w:val="bottom"/>
            <w:tcBorders>
              <w:top w:val="single" w:sz="8" w:color="auto"/>
            </w:tcBorders>
          </w:tcPr>
          <w:p>
            <w:pPr>
              <w:spacing w:after="0"/>
              <w:rPr>
                <w:sz w:val="16"/>
                <w:szCs w:val="16"/>
                <w:color w:val="auto"/>
              </w:rPr>
            </w:pPr>
          </w:p>
        </w:tc>
        <w:tc>
          <w:tcPr>
            <w:tcW w:w="4540" w:type="dxa"/>
            <w:vAlign w:val="bottom"/>
            <w:tcBorders>
              <w:top w:val="single" w:sz="8" w:color="auto"/>
            </w:tcBorders>
            <w:gridSpan w:val="2"/>
          </w:tcPr>
          <w:p>
            <w:pPr>
              <w:jc w:val="right"/>
              <w:ind w:right="570"/>
              <w:spacing w:after="0" w:line="191" w:lineRule="exact"/>
              <w:rPr>
                <w:sz w:val="20"/>
                <w:szCs w:val="20"/>
                <w:color w:val="auto"/>
              </w:rPr>
            </w:pPr>
            <w:r>
              <w:rPr>
                <w:rFonts w:ascii="Arial" w:cs="Arial" w:eastAsia="Arial" w:hAnsi="Arial"/>
                <w:sz w:val="18"/>
                <w:szCs w:val="18"/>
                <w:b w:val="1"/>
                <w:bCs w:val="1"/>
                <w:color w:val="auto"/>
              </w:rPr>
              <w:t>Three months ended</w:t>
            </w:r>
          </w:p>
        </w:tc>
        <w:tc>
          <w:tcPr>
            <w:tcW w:w="2800" w:type="dxa"/>
            <w:vAlign w:val="bottom"/>
            <w:tcBorders>
              <w:top w:val="single" w:sz="8" w:color="auto"/>
            </w:tcBorders>
            <w:gridSpan w:val="2"/>
          </w:tcPr>
          <w:p>
            <w:pPr>
              <w:jc w:val="right"/>
              <w:ind w:right="370"/>
              <w:spacing w:after="0" w:line="191" w:lineRule="exact"/>
              <w:rPr>
                <w:sz w:val="20"/>
                <w:szCs w:val="20"/>
                <w:color w:val="auto"/>
              </w:rPr>
            </w:pPr>
            <w:r>
              <w:rPr>
                <w:rFonts w:ascii="Arial" w:cs="Arial" w:eastAsia="Arial" w:hAnsi="Arial"/>
                <w:sz w:val="18"/>
                <w:szCs w:val="18"/>
                <w:b w:val="1"/>
                <w:bCs w:val="1"/>
                <w:color w:val="auto"/>
              </w:rPr>
              <w:t>Six months ended</w:t>
            </w:r>
          </w:p>
        </w:tc>
      </w:tr>
      <w:tr>
        <w:trPr>
          <w:trHeight w:val="203"/>
        </w:trPr>
        <w:tc>
          <w:tcPr>
            <w:tcW w:w="408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920" w:type="dxa"/>
            <w:vAlign w:val="bottom"/>
          </w:tcPr>
          <w:p>
            <w:pPr>
              <w:jc w:val="right"/>
              <w:ind w:right="1070"/>
              <w:spacing w:after="0" w:line="202" w:lineRule="exact"/>
              <w:rPr>
                <w:sz w:val="20"/>
                <w:szCs w:val="20"/>
                <w:color w:val="auto"/>
              </w:rPr>
            </w:pPr>
            <w:r>
              <w:rPr>
                <w:rFonts w:ascii="Arial" w:cs="Arial" w:eastAsia="Arial" w:hAnsi="Arial"/>
                <w:sz w:val="18"/>
                <w:szCs w:val="18"/>
                <w:b w:val="1"/>
                <w:bCs w:val="1"/>
                <w:color w:val="auto"/>
              </w:rPr>
              <w:t>June 30,</w:t>
            </w:r>
          </w:p>
        </w:tc>
        <w:tc>
          <w:tcPr>
            <w:tcW w:w="1160" w:type="dxa"/>
            <w:vAlign w:val="bottom"/>
          </w:tcPr>
          <w:p>
            <w:pPr>
              <w:spacing w:after="0"/>
              <w:rPr>
                <w:sz w:val="17"/>
                <w:szCs w:val="17"/>
                <w:color w:val="auto"/>
              </w:rPr>
            </w:pPr>
          </w:p>
        </w:tc>
        <w:tc>
          <w:tcPr>
            <w:tcW w:w="1640" w:type="dxa"/>
            <w:vAlign w:val="bottom"/>
          </w:tcPr>
          <w:p>
            <w:pPr>
              <w:jc w:val="right"/>
              <w:ind w:right="790"/>
              <w:spacing w:after="0" w:line="202" w:lineRule="exact"/>
              <w:rPr>
                <w:sz w:val="20"/>
                <w:szCs w:val="20"/>
                <w:color w:val="auto"/>
              </w:rPr>
            </w:pPr>
            <w:r>
              <w:rPr>
                <w:rFonts w:ascii="Arial" w:cs="Arial" w:eastAsia="Arial" w:hAnsi="Arial"/>
                <w:sz w:val="18"/>
                <w:szCs w:val="18"/>
                <w:b w:val="1"/>
                <w:bCs w:val="1"/>
                <w:color w:val="auto"/>
              </w:rPr>
              <w:t>June 30,</w:t>
            </w:r>
          </w:p>
        </w:tc>
      </w:tr>
      <w:tr>
        <w:trPr>
          <w:trHeight w:val="227"/>
        </w:trPr>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2015</w:t>
            </w:r>
          </w:p>
        </w:tc>
        <w:tc>
          <w:tcPr>
            <w:tcW w:w="19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2015</w:t>
            </w:r>
          </w:p>
        </w:tc>
        <w:tc>
          <w:tcPr>
            <w:tcW w:w="1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2014</w:t>
            </w:r>
          </w:p>
        </w:tc>
      </w:tr>
      <w:tr>
        <w:trPr>
          <w:trHeight w:val="171"/>
        </w:trPr>
        <w:tc>
          <w:tcPr>
            <w:tcW w:w="4080" w:type="dxa"/>
            <w:vAlign w:val="bottom"/>
          </w:tcPr>
          <w:p>
            <w:pPr>
              <w:spacing w:after="0" w:line="171" w:lineRule="exact"/>
              <w:rPr>
                <w:sz w:val="20"/>
                <w:szCs w:val="20"/>
                <w:color w:val="auto"/>
              </w:rPr>
            </w:pPr>
            <w:r>
              <w:rPr>
                <w:rFonts w:ascii="Arial" w:cs="Arial" w:eastAsia="Arial" w:hAnsi="Arial"/>
                <w:sz w:val="18"/>
                <w:szCs w:val="18"/>
                <w:color w:val="auto"/>
              </w:rPr>
              <w:t>Machine Clothing</w:t>
            </w:r>
          </w:p>
        </w:tc>
        <w:tc>
          <w:tcPr>
            <w:tcW w:w="2620" w:type="dxa"/>
            <w:vAlign w:val="bottom"/>
          </w:tcPr>
          <w:p>
            <w:pPr>
              <w:jc w:val="right"/>
              <w:spacing w:after="0" w:line="171" w:lineRule="exact"/>
              <w:rPr>
                <w:sz w:val="20"/>
                <w:szCs w:val="20"/>
                <w:color w:val="auto"/>
              </w:rPr>
            </w:pPr>
            <w:r>
              <w:rPr>
                <w:rFonts w:ascii="Arial" w:cs="Arial" w:eastAsia="Arial" w:hAnsi="Arial"/>
                <w:sz w:val="18"/>
                <w:szCs w:val="18"/>
                <w:b w:val="1"/>
                <w:bCs w:val="1"/>
                <w:color w:val="auto"/>
              </w:rPr>
              <w:t>$1,211</w:t>
            </w:r>
          </w:p>
        </w:tc>
        <w:tc>
          <w:tcPr>
            <w:tcW w:w="1920" w:type="dxa"/>
            <w:vAlign w:val="bottom"/>
          </w:tcPr>
          <w:p>
            <w:pPr>
              <w:jc w:val="right"/>
              <w:ind w:right="390"/>
              <w:spacing w:after="0" w:line="171" w:lineRule="exact"/>
              <w:rPr>
                <w:sz w:val="20"/>
                <w:szCs w:val="20"/>
                <w:color w:val="auto"/>
              </w:rPr>
            </w:pPr>
            <w:r>
              <w:rPr>
                <w:rFonts w:ascii="Arial" w:cs="Arial" w:eastAsia="Arial" w:hAnsi="Arial"/>
                <w:sz w:val="18"/>
                <w:szCs w:val="18"/>
                <w:color w:val="auto"/>
              </w:rPr>
              <w:t>$1,297</w:t>
            </w:r>
          </w:p>
        </w:tc>
        <w:tc>
          <w:tcPr>
            <w:tcW w:w="1160" w:type="dxa"/>
            <w:vAlign w:val="bottom"/>
          </w:tcPr>
          <w:p>
            <w:pPr>
              <w:jc w:val="right"/>
              <w:spacing w:after="0" w:line="171" w:lineRule="exact"/>
              <w:rPr>
                <w:sz w:val="20"/>
                <w:szCs w:val="20"/>
                <w:color w:val="auto"/>
              </w:rPr>
            </w:pPr>
            <w:r>
              <w:rPr>
                <w:rFonts w:ascii="Arial" w:cs="Arial" w:eastAsia="Arial" w:hAnsi="Arial"/>
                <w:sz w:val="18"/>
                <w:szCs w:val="18"/>
                <w:b w:val="1"/>
                <w:bCs w:val="1"/>
                <w:color w:val="auto"/>
              </w:rPr>
              <w:t>$10,212</w:t>
            </w:r>
          </w:p>
        </w:tc>
        <w:tc>
          <w:tcPr>
            <w:tcW w:w="1640" w:type="dxa"/>
            <w:vAlign w:val="bottom"/>
          </w:tcPr>
          <w:p>
            <w:pPr>
              <w:jc w:val="right"/>
              <w:ind w:right="50"/>
              <w:spacing w:after="0" w:line="171" w:lineRule="exact"/>
              <w:rPr>
                <w:sz w:val="20"/>
                <w:szCs w:val="20"/>
                <w:color w:val="auto"/>
              </w:rPr>
            </w:pPr>
            <w:r>
              <w:rPr>
                <w:rFonts w:ascii="Arial" w:cs="Arial" w:eastAsia="Arial" w:hAnsi="Arial"/>
                <w:sz w:val="18"/>
                <w:szCs w:val="18"/>
                <w:color w:val="auto"/>
              </w:rPr>
              <w:t>$2,159</w:t>
            </w:r>
          </w:p>
        </w:tc>
      </w:tr>
      <w:tr>
        <w:trPr>
          <w:trHeight w:val="227"/>
        </w:trPr>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Albany Engineered Composites</w:t>
            </w:r>
          </w:p>
        </w:tc>
        <w:tc>
          <w:tcPr>
            <w:tcW w:w="2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660</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980</w:t>
            </w:r>
          </w:p>
        </w:tc>
      </w:tr>
      <w:tr>
        <w:trPr>
          <w:trHeight w:val="196"/>
        </w:trPr>
        <w:tc>
          <w:tcPr>
            <w:tcW w:w="408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Total</w:t>
            </w:r>
          </w:p>
        </w:tc>
        <w:tc>
          <w:tcPr>
            <w:tcW w:w="2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$1,211</w:t>
            </w:r>
          </w:p>
        </w:tc>
        <w:tc>
          <w:tcPr>
            <w:tcW w:w="192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color w:val="auto"/>
              </w:rPr>
              <w:t>$1,957</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$10,212</w:t>
            </w:r>
          </w:p>
        </w:tc>
        <w:tc>
          <w:tcPr>
            <w:tcW w:w="16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$3,139</w:t>
            </w:r>
          </w:p>
        </w:tc>
      </w:tr>
      <w:tr>
        <w:trPr>
          <w:trHeight w:val="736"/>
        </w:trPr>
        <w:tc>
          <w:tcPr>
            <w:tcW w:w="4080" w:type="dxa"/>
            <w:vAlign w:val="bottom"/>
          </w:tcPr>
          <w:p>
            <w:pPr>
              <w:spacing w:after="0"/>
              <w:rPr>
                <w:sz w:val="24"/>
                <w:szCs w:val="24"/>
                <w:color w:val="auto"/>
              </w:rPr>
            </w:pPr>
          </w:p>
        </w:tc>
        <w:tc>
          <w:tcPr>
            <w:tcW w:w="26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10</w:t>
            </w:r>
          </w:p>
        </w:tc>
        <w:tc>
          <w:tcPr>
            <w:tcW w:w="1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42"/>
        </w:trPr>
        <w:tc>
          <w:tcPr>
            <w:tcW w:w="4080" w:type="dxa"/>
            <w:vAlign w:val="bottom"/>
            <w:tcBorders>
              <w:bottom w:val="single" w:sz="8" w:color="auto"/>
            </w:tcBorders>
          </w:tcPr>
          <w:p>
            <w:pPr>
              <w:spacing w:after="0"/>
              <w:rPr>
                <w:sz w:val="12"/>
                <w:szCs w:val="12"/>
                <w:color w:val="auto"/>
              </w:rPr>
            </w:pPr>
          </w:p>
        </w:tc>
        <w:tc>
          <w:tcPr>
            <w:tcW w:w="262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spacing w:after="0"/>
              <w:rPr>
                <w:sz w:val="12"/>
                <w:szCs w:val="12"/>
                <w:color w:val="auto"/>
              </w:rPr>
            </w:pPr>
          </w:p>
        </w:tc>
      </w:tr>
    </w:tbl>
    <w:p>
      <w:pPr>
        <w:sectPr>
          <w:pgSz w:w="11900" w:h="16838" w:orient="portrait"/>
          <w:cols w:equalWidth="0" w:num="1">
            <w:col w:w="11420"/>
          </w:cols>
          <w:pgMar w:left="240" w:top="646" w:right="2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900" w:type="dxa"/>
            <w:vAlign w:val="bottom"/>
            <w:tcBorders>
              <w:top w:val="single" w:sz="8" w:color="auto"/>
            </w:tcBorders>
          </w:tcPr>
          <w:p>
            <w:pPr>
              <w:spacing w:after="0"/>
              <w:rPr>
                <w:sz w:val="16"/>
                <w:szCs w:val="16"/>
                <w:color w:val="auto"/>
              </w:rPr>
            </w:pPr>
          </w:p>
        </w:tc>
        <w:tc>
          <w:tcPr>
            <w:tcW w:w="2560" w:type="dxa"/>
            <w:vAlign w:val="bottom"/>
            <w:tcBorders>
              <w:top w:val="single" w:sz="8" w:color="auto"/>
            </w:tcBorders>
          </w:tcPr>
          <w:p>
            <w:pPr>
              <w:jc w:val="center"/>
              <w:ind w:left="810"/>
              <w:spacing w:after="0" w:line="191" w:lineRule="exact"/>
              <w:rPr>
                <w:sz w:val="20"/>
                <w:szCs w:val="20"/>
                <w:color w:val="auto"/>
              </w:rPr>
            </w:pPr>
            <w:r>
              <w:rPr>
                <w:rFonts w:ascii="Arial" w:cs="Arial" w:eastAsia="Arial" w:hAnsi="Arial"/>
                <w:sz w:val="18"/>
                <w:szCs w:val="18"/>
                <w:b w:val="1"/>
                <w:bCs w:val="1"/>
                <w:color w:val="auto"/>
                <w:w w:val="97"/>
              </w:rPr>
              <w:t>Total</w:t>
            </w:r>
          </w:p>
        </w:tc>
        <w:tc>
          <w:tcPr>
            <w:tcW w:w="1780" w:type="dxa"/>
            <w:vAlign w:val="bottom"/>
            <w:tcBorders>
              <w:top w:val="single" w:sz="8" w:color="auto"/>
            </w:tcBorders>
          </w:tcPr>
          <w:p>
            <w:pPr>
              <w:jc w:val="right"/>
              <w:ind w:right="270"/>
              <w:spacing w:after="0" w:line="191" w:lineRule="exact"/>
              <w:rPr>
                <w:sz w:val="20"/>
                <w:szCs w:val="20"/>
                <w:color w:val="auto"/>
              </w:rPr>
            </w:pPr>
            <w:r>
              <w:rPr>
                <w:rFonts w:ascii="Arial" w:cs="Arial" w:eastAsia="Arial" w:hAnsi="Arial"/>
                <w:sz w:val="18"/>
                <w:szCs w:val="18"/>
                <w:b w:val="1"/>
                <w:bCs w:val="1"/>
                <w:color w:val="auto"/>
              </w:rPr>
              <w:t>Termination</w:t>
            </w:r>
          </w:p>
        </w:tc>
        <w:tc>
          <w:tcPr>
            <w:tcW w:w="17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Impairment of</w:t>
            </w:r>
          </w:p>
        </w:tc>
        <w:tc>
          <w:tcPr>
            <w:tcW w:w="1480" w:type="dxa"/>
            <w:vAlign w:val="bottom"/>
            <w:tcBorders>
              <w:top w:val="single" w:sz="8" w:color="auto"/>
            </w:tcBorders>
          </w:tcPr>
          <w:p>
            <w:pPr>
              <w:ind w:left="320"/>
              <w:spacing w:after="0" w:line="191" w:lineRule="exact"/>
              <w:rPr>
                <w:sz w:val="20"/>
                <w:szCs w:val="20"/>
                <w:color w:val="auto"/>
              </w:rPr>
            </w:pPr>
            <w:r>
              <w:rPr>
                <w:rFonts w:ascii="Arial" w:cs="Arial" w:eastAsia="Arial" w:hAnsi="Arial"/>
                <w:sz w:val="18"/>
                <w:szCs w:val="18"/>
                <w:b w:val="1"/>
                <w:bCs w:val="1"/>
                <w:color w:val="auto"/>
              </w:rPr>
              <w:t>Benefit plan</w:t>
            </w:r>
          </w:p>
        </w:tc>
      </w:tr>
      <w:tr>
        <w:trPr>
          <w:trHeight w:val="203"/>
        </w:trPr>
        <w:tc>
          <w:tcPr>
            <w:tcW w:w="3900" w:type="dxa"/>
            <w:vAlign w:val="bottom"/>
          </w:tcPr>
          <w:p>
            <w:pPr>
              <w:spacing w:after="0" w:line="202" w:lineRule="exact"/>
              <w:rPr>
                <w:sz w:val="20"/>
                <w:szCs w:val="20"/>
                <w:color w:val="auto"/>
              </w:rPr>
            </w:pPr>
            <w:r>
              <w:rPr>
                <w:rFonts w:ascii="Arial" w:cs="Arial" w:eastAsia="Arial" w:hAnsi="Arial"/>
                <w:sz w:val="18"/>
                <w:szCs w:val="18"/>
                <w:b w:val="1"/>
                <w:bCs w:val="1"/>
                <w:color w:val="auto"/>
              </w:rPr>
              <w:t>Six months ended June 30, 2015</w:t>
            </w:r>
          </w:p>
        </w:tc>
        <w:tc>
          <w:tcPr>
            <w:tcW w:w="2560" w:type="dxa"/>
            <w:vAlign w:val="bottom"/>
          </w:tcPr>
          <w:p>
            <w:pPr>
              <w:jc w:val="center"/>
              <w:ind w:left="790"/>
              <w:spacing w:after="0" w:line="202" w:lineRule="exact"/>
              <w:rPr>
                <w:sz w:val="20"/>
                <w:szCs w:val="20"/>
                <w:color w:val="auto"/>
              </w:rPr>
            </w:pPr>
            <w:r>
              <w:rPr>
                <w:rFonts w:ascii="Arial" w:cs="Arial" w:eastAsia="Arial" w:hAnsi="Arial"/>
                <w:sz w:val="18"/>
                <w:szCs w:val="18"/>
                <w:b w:val="1"/>
                <w:bCs w:val="1"/>
                <w:color w:val="auto"/>
                <w:w w:val="99"/>
              </w:rPr>
              <w:t>restructuring</w:t>
            </w:r>
          </w:p>
        </w:tc>
        <w:tc>
          <w:tcPr>
            <w:tcW w:w="178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and other costs</w:t>
            </w:r>
          </w:p>
        </w:tc>
        <w:tc>
          <w:tcPr>
            <w:tcW w:w="17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plant and</w:t>
            </w:r>
          </w:p>
        </w:tc>
        <w:tc>
          <w:tcPr>
            <w:tcW w:w="1480" w:type="dxa"/>
            <w:vAlign w:val="bottom"/>
          </w:tcPr>
          <w:p>
            <w:pPr>
              <w:ind w:left="300"/>
              <w:spacing w:after="0" w:line="202" w:lineRule="exact"/>
              <w:rPr>
                <w:sz w:val="20"/>
                <w:szCs w:val="20"/>
                <w:color w:val="auto"/>
              </w:rPr>
            </w:pPr>
            <w:r>
              <w:rPr>
                <w:rFonts w:ascii="Arial" w:cs="Arial" w:eastAsia="Arial" w:hAnsi="Arial"/>
                <w:sz w:val="18"/>
                <w:szCs w:val="18"/>
                <w:b w:val="1"/>
                <w:bCs w:val="1"/>
                <w:color w:val="auto"/>
              </w:rPr>
              <w:t>curtailment/</w:t>
            </w:r>
          </w:p>
        </w:tc>
      </w:tr>
      <w:tr>
        <w:trPr>
          <w:trHeight w:val="227"/>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560" w:type="dxa"/>
            <w:vAlign w:val="bottom"/>
            <w:tcBorders>
              <w:bottom w:val="single" w:sz="8" w:color="auto"/>
            </w:tcBorders>
          </w:tcPr>
          <w:p>
            <w:pPr>
              <w:jc w:val="center"/>
              <w:ind w:left="790"/>
              <w:spacing w:after="0"/>
              <w:rPr>
                <w:sz w:val="20"/>
                <w:szCs w:val="20"/>
                <w:color w:val="auto"/>
              </w:rPr>
            </w:pPr>
            <w:r>
              <w:rPr>
                <w:rFonts w:ascii="Arial" w:cs="Arial" w:eastAsia="Arial" w:hAnsi="Arial"/>
                <w:sz w:val="18"/>
                <w:szCs w:val="18"/>
                <w:b w:val="1"/>
                <w:bCs w:val="1"/>
                <w:color w:val="auto"/>
                <w:w w:val="99"/>
              </w:rPr>
              <w:t>costs incurred</w:t>
            </w:r>
          </w:p>
        </w:tc>
        <w:tc>
          <w:tcPr>
            <w:tcW w:w="17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equipment</w:t>
            </w:r>
          </w:p>
        </w:tc>
        <w:tc>
          <w:tcPr>
            <w:tcW w:w="148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settlement</w:t>
            </w:r>
          </w:p>
        </w:tc>
      </w:tr>
      <w:tr>
        <w:trPr>
          <w:trHeight w:val="173"/>
        </w:trPr>
        <w:tc>
          <w:tcPr>
            <w:tcW w:w="3900" w:type="dxa"/>
            <w:vAlign w:val="bottom"/>
          </w:tcPr>
          <w:p>
            <w:pPr>
              <w:spacing w:after="0" w:line="173" w:lineRule="exact"/>
              <w:rPr>
                <w:sz w:val="20"/>
                <w:szCs w:val="20"/>
                <w:color w:val="auto"/>
              </w:rPr>
            </w:pPr>
            <w:r>
              <w:rPr>
                <w:rFonts w:ascii="Arial" w:cs="Arial" w:eastAsia="Arial" w:hAnsi="Arial"/>
                <w:sz w:val="18"/>
                <w:szCs w:val="18"/>
                <w:color w:val="auto"/>
              </w:rPr>
              <w:t>Machine Clothing</w:t>
            </w:r>
          </w:p>
        </w:tc>
        <w:tc>
          <w:tcPr>
            <w:tcW w:w="2560" w:type="dxa"/>
            <w:vAlign w:val="bottom"/>
          </w:tcPr>
          <w:p>
            <w:pPr>
              <w:jc w:val="right"/>
              <w:ind w:right="170"/>
              <w:spacing w:after="0" w:line="173" w:lineRule="exact"/>
              <w:rPr>
                <w:sz w:val="20"/>
                <w:szCs w:val="20"/>
                <w:color w:val="auto"/>
              </w:rPr>
            </w:pPr>
            <w:r>
              <w:rPr>
                <w:rFonts w:ascii="Arial" w:cs="Arial" w:eastAsia="Arial" w:hAnsi="Arial"/>
                <w:sz w:val="18"/>
                <w:szCs w:val="18"/>
                <w:color w:val="auto"/>
              </w:rPr>
              <w:t>$10,212</w:t>
            </w:r>
          </w:p>
        </w:tc>
        <w:tc>
          <w:tcPr>
            <w:tcW w:w="1780" w:type="dxa"/>
            <w:vAlign w:val="bottom"/>
          </w:tcPr>
          <w:p>
            <w:pPr>
              <w:jc w:val="right"/>
              <w:ind w:right="230"/>
              <w:spacing w:after="0" w:line="173" w:lineRule="exact"/>
              <w:rPr>
                <w:sz w:val="20"/>
                <w:szCs w:val="20"/>
                <w:color w:val="auto"/>
              </w:rPr>
            </w:pPr>
            <w:r>
              <w:rPr>
                <w:rFonts w:ascii="Arial" w:cs="Arial" w:eastAsia="Arial" w:hAnsi="Arial"/>
                <w:sz w:val="18"/>
                <w:szCs w:val="18"/>
                <w:color w:val="auto"/>
              </w:rPr>
              <w:t>$10,212</w:t>
            </w:r>
          </w:p>
        </w:tc>
        <w:tc>
          <w:tcPr>
            <w:tcW w:w="1700" w:type="dxa"/>
            <w:vAlign w:val="bottom"/>
          </w:tcPr>
          <w:p>
            <w:pPr>
              <w:jc w:val="right"/>
              <w:ind w:right="230"/>
              <w:spacing w:after="0" w:line="173"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line="173" w:lineRule="exact"/>
              <w:rPr>
                <w:sz w:val="20"/>
                <w:szCs w:val="20"/>
                <w:color w:val="auto"/>
              </w:rPr>
            </w:pPr>
            <w:r>
              <w:rPr>
                <w:rFonts w:ascii="Arial" w:cs="Arial" w:eastAsia="Arial" w:hAnsi="Arial"/>
                <w:sz w:val="18"/>
                <w:szCs w:val="18"/>
                <w:color w:val="auto"/>
              </w:rPr>
              <w:t>$-</w:t>
            </w:r>
          </w:p>
        </w:tc>
      </w:tr>
      <w:tr>
        <w:trPr>
          <w:trHeight w:val="225"/>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Albany Engineered Composites</w:t>
            </w:r>
          </w:p>
        </w:tc>
        <w:tc>
          <w:tcPr>
            <w:tcW w:w="25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196"/>
        </w:trPr>
        <w:tc>
          <w:tcPr>
            <w:tcW w:w="39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25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$10,212</w:t>
            </w:r>
          </w:p>
        </w:tc>
        <w:tc>
          <w:tcPr>
            <w:tcW w:w="178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$10,212</w:t>
            </w:r>
          </w:p>
        </w:tc>
        <w:tc>
          <w:tcPr>
            <w:tcW w:w="170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r>
    </w:tbl>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900" w:type="dxa"/>
            <w:vAlign w:val="bottom"/>
            <w:tcBorders>
              <w:top w:val="single" w:sz="8" w:color="auto"/>
            </w:tcBorders>
          </w:tcPr>
          <w:p>
            <w:pPr>
              <w:spacing w:after="0"/>
              <w:rPr>
                <w:sz w:val="16"/>
                <w:szCs w:val="16"/>
                <w:color w:val="auto"/>
              </w:rPr>
            </w:pPr>
          </w:p>
        </w:tc>
        <w:tc>
          <w:tcPr>
            <w:tcW w:w="2560" w:type="dxa"/>
            <w:vAlign w:val="bottom"/>
            <w:tcBorders>
              <w:top w:val="single" w:sz="8" w:color="auto"/>
            </w:tcBorders>
          </w:tcPr>
          <w:p>
            <w:pPr>
              <w:jc w:val="center"/>
              <w:ind w:left="810"/>
              <w:spacing w:after="0" w:line="191" w:lineRule="exact"/>
              <w:rPr>
                <w:sz w:val="20"/>
                <w:szCs w:val="20"/>
                <w:color w:val="auto"/>
              </w:rPr>
            </w:pPr>
            <w:r>
              <w:rPr>
                <w:rFonts w:ascii="Arial" w:cs="Arial" w:eastAsia="Arial" w:hAnsi="Arial"/>
                <w:sz w:val="18"/>
                <w:szCs w:val="18"/>
                <w:b w:val="1"/>
                <w:bCs w:val="1"/>
                <w:color w:val="auto"/>
                <w:w w:val="97"/>
              </w:rPr>
              <w:t>Total</w:t>
            </w:r>
          </w:p>
        </w:tc>
        <w:tc>
          <w:tcPr>
            <w:tcW w:w="1780" w:type="dxa"/>
            <w:vAlign w:val="bottom"/>
            <w:tcBorders>
              <w:top w:val="single" w:sz="8" w:color="auto"/>
            </w:tcBorders>
          </w:tcPr>
          <w:p>
            <w:pPr>
              <w:jc w:val="right"/>
              <w:ind w:right="270"/>
              <w:spacing w:after="0" w:line="191" w:lineRule="exact"/>
              <w:rPr>
                <w:sz w:val="20"/>
                <w:szCs w:val="20"/>
                <w:color w:val="auto"/>
              </w:rPr>
            </w:pPr>
            <w:r>
              <w:rPr>
                <w:rFonts w:ascii="Arial" w:cs="Arial" w:eastAsia="Arial" w:hAnsi="Arial"/>
                <w:sz w:val="18"/>
                <w:szCs w:val="18"/>
                <w:b w:val="1"/>
                <w:bCs w:val="1"/>
                <w:color w:val="auto"/>
              </w:rPr>
              <w:t>Termination</w:t>
            </w:r>
          </w:p>
        </w:tc>
        <w:tc>
          <w:tcPr>
            <w:tcW w:w="17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Impairment of</w:t>
            </w:r>
          </w:p>
        </w:tc>
        <w:tc>
          <w:tcPr>
            <w:tcW w:w="1480" w:type="dxa"/>
            <w:vAlign w:val="bottom"/>
            <w:tcBorders>
              <w:top w:val="single" w:sz="8" w:color="auto"/>
            </w:tcBorders>
          </w:tcPr>
          <w:p>
            <w:pPr>
              <w:ind w:left="320"/>
              <w:spacing w:after="0" w:line="191" w:lineRule="exact"/>
              <w:rPr>
                <w:sz w:val="20"/>
                <w:szCs w:val="20"/>
                <w:color w:val="auto"/>
              </w:rPr>
            </w:pPr>
            <w:r>
              <w:rPr>
                <w:rFonts w:ascii="Arial" w:cs="Arial" w:eastAsia="Arial" w:hAnsi="Arial"/>
                <w:sz w:val="18"/>
                <w:szCs w:val="18"/>
                <w:b w:val="1"/>
                <w:bCs w:val="1"/>
                <w:color w:val="auto"/>
              </w:rPr>
              <w:t>Benefit plan</w:t>
            </w:r>
          </w:p>
        </w:tc>
      </w:tr>
      <w:tr>
        <w:trPr>
          <w:trHeight w:val="203"/>
        </w:trPr>
        <w:tc>
          <w:tcPr>
            <w:tcW w:w="3900" w:type="dxa"/>
            <w:vAlign w:val="bottom"/>
          </w:tcPr>
          <w:p>
            <w:pPr>
              <w:spacing w:after="0" w:line="202" w:lineRule="exact"/>
              <w:rPr>
                <w:sz w:val="20"/>
                <w:szCs w:val="20"/>
                <w:color w:val="auto"/>
              </w:rPr>
            </w:pPr>
            <w:r>
              <w:rPr>
                <w:rFonts w:ascii="Arial" w:cs="Arial" w:eastAsia="Arial" w:hAnsi="Arial"/>
                <w:sz w:val="18"/>
                <w:szCs w:val="18"/>
                <w:b w:val="1"/>
                <w:bCs w:val="1"/>
                <w:color w:val="auto"/>
              </w:rPr>
              <w:t>Six months ended June 30, 2014</w:t>
            </w:r>
          </w:p>
        </w:tc>
        <w:tc>
          <w:tcPr>
            <w:tcW w:w="2560" w:type="dxa"/>
            <w:vAlign w:val="bottom"/>
          </w:tcPr>
          <w:p>
            <w:pPr>
              <w:jc w:val="center"/>
              <w:ind w:left="790"/>
              <w:spacing w:after="0" w:line="202" w:lineRule="exact"/>
              <w:rPr>
                <w:sz w:val="20"/>
                <w:szCs w:val="20"/>
                <w:color w:val="auto"/>
              </w:rPr>
            </w:pPr>
            <w:r>
              <w:rPr>
                <w:rFonts w:ascii="Arial" w:cs="Arial" w:eastAsia="Arial" w:hAnsi="Arial"/>
                <w:sz w:val="18"/>
                <w:szCs w:val="18"/>
                <w:b w:val="1"/>
                <w:bCs w:val="1"/>
                <w:color w:val="auto"/>
                <w:w w:val="99"/>
              </w:rPr>
              <w:t>restructuring</w:t>
            </w:r>
          </w:p>
        </w:tc>
        <w:tc>
          <w:tcPr>
            <w:tcW w:w="178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and other costs</w:t>
            </w:r>
          </w:p>
        </w:tc>
        <w:tc>
          <w:tcPr>
            <w:tcW w:w="17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plant and</w:t>
            </w:r>
          </w:p>
        </w:tc>
        <w:tc>
          <w:tcPr>
            <w:tcW w:w="1480" w:type="dxa"/>
            <w:vAlign w:val="bottom"/>
          </w:tcPr>
          <w:p>
            <w:pPr>
              <w:ind w:left="300"/>
              <w:spacing w:after="0" w:line="202" w:lineRule="exact"/>
              <w:rPr>
                <w:sz w:val="20"/>
                <w:szCs w:val="20"/>
                <w:color w:val="auto"/>
              </w:rPr>
            </w:pPr>
            <w:r>
              <w:rPr>
                <w:rFonts w:ascii="Arial" w:cs="Arial" w:eastAsia="Arial" w:hAnsi="Arial"/>
                <w:sz w:val="18"/>
                <w:szCs w:val="18"/>
                <w:b w:val="1"/>
                <w:bCs w:val="1"/>
                <w:color w:val="auto"/>
              </w:rPr>
              <w:t>curtailment/</w:t>
            </w:r>
          </w:p>
        </w:tc>
      </w:tr>
      <w:tr>
        <w:trPr>
          <w:trHeight w:val="227"/>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560" w:type="dxa"/>
            <w:vAlign w:val="bottom"/>
            <w:tcBorders>
              <w:bottom w:val="single" w:sz="8" w:color="auto"/>
            </w:tcBorders>
          </w:tcPr>
          <w:p>
            <w:pPr>
              <w:jc w:val="center"/>
              <w:ind w:left="790"/>
              <w:spacing w:after="0"/>
              <w:rPr>
                <w:sz w:val="20"/>
                <w:szCs w:val="20"/>
                <w:color w:val="auto"/>
              </w:rPr>
            </w:pPr>
            <w:r>
              <w:rPr>
                <w:rFonts w:ascii="Arial" w:cs="Arial" w:eastAsia="Arial" w:hAnsi="Arial"/>
                <w:sz w:val="18"/>
                <w:szCs w:val="18"/>
                <w:b w:val="1"/>
                <w:bCs w:val="1"/>
                <w:color w:val="auto"/>
                <w:w w:val="99"/>
              </w:rPr>
              <w:t>costs incurred</w:t>
            </w:r>
          </w:p>
        </w:tc>
        <w:tc>
          <w:tcPr>
            <w:tcW w:w="17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equipment</w:t>
            </w:r>
          </w:p>
        </w:tc>
        <w:tc>
          <w:tcPr>
            <w:tcW w:w="148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settlement</w:t>
            </w:r>
          </w:p>
        </w:tc>
      </w:tr>
      <w:tr>
        <w:trPr>
          <w:trHeight w:val="173"/>
        </w:trPr>
        <w:tc>
          <w:tcPr>
            <w:tcW w:w="3900" w:type="dxa"/>
            <w:vAlign w:val="bottom"/>
          </w:tcPr>
          <w:p>
            <w:pPr>
              <w:spacing w:after="0" w:line="173" w:lineRule="exact"/>
              <w:rPr>
                <w:sz w:val="20"/>
                <w:szCs w:val="20"/>
                <w:color w:val="auto"/>
              </w:rPr>
            </w:pPr>
            <w:r>
              <w:rPr>
                <w:rFonts w:ascii="Arial" w:cs="Arial" w:eastAsia="Arial" w:hAnsi="Arial"/>
                <w:sz w:val="18"/>
                <w:szCs w:val="18"/>
                <w:color w:val="auto"/>
              </w:rPr>
              <w:t>Machine Clothing</w:t>
            </w:r>
          </w:p>
        </w:tc>
        <w:tc>
          <w:tcPr>
            <w:tcW w:w="2560" w:type="dxa"/>
            <w:vAlign w:val="bottom"/>
          </w:tcPr>
          <w:p>
            <w:pPr>
              <w:jc w:val="right"/>
              <w:ind w:right="170"/>
              <w:spacing w:after="0" w:line="173" w:lineRule="exact"/>
              <w:rPr>
                <w:sz w:val="20"/>
                <w:szCs w:val="20"/>
                <w:color w:val="auto"/>
              </w:rPr>
            </w:pPr>
            <w:r>
              <w:rPr>
                <w:rFonts w:ascii="Arial" w:cs="Arial" w:eastAsia="Arial" w:hAnsi="Arial"/>
                <w:sz w:val="18"/>
                <w:szCs w:val="18"/>
                <w:color w:val="auto"/>
              </w:rPr>
              <w:t>$2,159</w:t>
            </w:r>
          </w:p>
        </w:tc>
        <w:tc>
          <w:tcPr>
            <w:tcW w:w="1780" w:type="dxa"/>
            <w:vAlign w:val="bottom"/>
          </w:tcPr>
          <w:p>
            <w:pPr>
              <w:jc w:val="right"/>
              <w:ind w:right="230"/>
              <w:spacing w:after="0" w:line="173" w:lineRule="exact"/>
              <w:rPr>
                <w:sz w:val="20"/>
                <w:szCs w:val="20"/>
                <w:color w:val="auto"/>
              </w:rPr>
            </w:pPr>
            <w:r>
              <w:rPr>
                <w:rFonts w:ascii="Arial" w:cs="Arial" w:eastAsia="Arial" w:hAnsi="Arial"/>
                <w:sz w:val="18"/>
                <w:szCs w:val="18"/>
                <w:color w:val="auto"/>
              </w:rPr>
              <w:t>$2,869</w:t>
            </w:r>
          </w:p>
        </w:tc>
        <w:tc>
          <w:tcPr>
            <w:tcW w:w="1700" w:type="dxa"/>
            <w:vAlign w:val="bottom"/>
          </w:tcPr>
          <w:p>
            <w:pPr>
              <w:jc w:val="right"/>
              <w:ind w:right="230"/>
              <w:spacing w:after="0" w:line="173" w:lineRule="exact"/>
              <w:rPr>
                <w:sz w:val="20"/>
                <w:szCs w:val="20"/>
                <w:color w:val="auto"/>
              </w:rPr>
            </w:pPr>
            <w:r>
              <w:rPr>
                <w:rFonts w:ascii="Arial" w:cs="Arial" w:eastAsia="Arial" w:hAnsi="Arial"/>
                <w:sz w:val="18"/>
                <w:szCs w:val="18"/>
                <w:color w:val="auto"/>
              </w:rPr>
              <w:t>$-</w:t>
            </w:r>
          </w:p>
        </w:tc>
        <w:tc>
          <w:tcPr>
            <w:tcW w:w="1480" w:type="dxa"/>
            <w:vAlign w:val="bottom"/>
          </w:tcPr>
          <w:p>
            <w:pPr>
              <w:jc w:val="right"/>
              <w:spacing w:after="0" w:line="173" w:lineRule="exact"/>
              <w:rPr>
                <w:sz w:val="20"/>
                <w:szCs w:val="20"/>
                <w:color w:val="auto"/>
              </w:rPr>
            </w:pPr>
            <w:r>
              <w:rPr>
                <w:rFonts w:ascii="Arial" w:cs="Arial" w:eastAsia="Arial" w:hAnsi="Arial"/>
                <w:sz w:val="18"/>
                <w:szCs w:val="18"/>
                <w:color w:val="auto"/>
              </w:rPr>
              <w:t>($710)</w:t>
            </w:r>
          </w:p>
        </w:tc>
      </w:tr>
      <w:tr>
        <w:trPr>
          <w:trHeight w:val="225"/>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Albany Engineered Composites</w:t>
            </w:r>
          </w:p>
        </w:tc>
        <w:tc>
          <w:tcPr>
            <w:tcW w:w="25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980</w:t>
            </w:r>
          </w:p>
        </w:tc>
        <w:tc>
          <w:tcPr>
            <w:tcW w:w="1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320</w:t>
            </w:r>
          </w:p>
        </w:tc>
        <w:tc>
          <w:tcPr>
            <w:tcW w:w="17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660</w:t>
            </w: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196"/>
        </w:trPr>
        <w:tc>
          <w:tcPr>
            <w:tcW w:w="39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25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$3,139</w:t>
            </w:r>
          </w:p>
        </w:tc>
        <w:tc>
          <w:tcPr>
            <w:tcW w:w="178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$3,189</w:t>
            </w:r>
          </w:p>
        </w:tc>
        <w:tc>
          <w:tcPr>
            <w:tcW w:w="170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$660</w:t>
            </w: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$(710)</w:t>
            </w:r>
          </w:p>
        </w:tc>
      </w:tr>
    </w:tbl>
    <w:p>
      <w:pPr>
        <w:spacing w:after="0" w:line="369" w:lineRule="exact"/>
        <w:rPr>
          <w:sz w:val="20"/>
          <w:szCs w:val="20"/>
          <w:color w:val="auto"/>
        </w:rPr>
      </w:pPr>
    </w:p>
    <w:p>
      <w:pPr>
        <w:ind w:right="220" w:firstLine="648"/>
        <w:spacing w:after="0" w:line="276" w:lineRule="auto"/>
        <w:rPr>
          <w:sz w:val="20"/>
          <w:szCs w:val="20"/>
          <w:color w:val="auto"/>
        </w:rPr>
      </w:pPr>
      <w:r>
        <w:rPr>
          <w:rFonts w:ascii="Arial" w:cs="Arial" w:eastAsia="Arial" w:hAnsi="Arial"/>
          <w:sz w:val="18"/>
          <w:szCs w:val="18"/>
          <w:color w:val="auto"/>
        </w:rPr>
        <w:t>We expect that substantially all Accrued liabilities for restructuring will be paid within one year. The table below presents year-to-date changes in restructuring liabilities for 2015 and 2014, all of which related to termination costs: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040" w:type="dxa"/>
            <w:vAlign w:val="bottom"/>
            <w:tcBorders>
              <w:top w:val="single" w:sz="8" w:color="auto"/>
            </w:tcBorders>
          </w:tcPr>
          <w:p>
            <w:pPr>
              <w:spacing w:after="0"/>
              <w:rPr>
                <w:sz w:val="16"/>
                <w:szCs w:val="16"/>
                <w:color w:val="auto"/>
              </w:rPr>
            </w:pPr>
          </w:p>
        </w:tc>
        <w:tc>
          <w:tcPr>
            <w:tcW w:w="258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9"/>
              </w:rPr>
              <w:t>Restructuring</w:t>
            </w:r>
          </w:p>
        </w:tc>
        <w:tc>
          <w:tcPr>
            <w:tcW w:w="144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center"/>
              <w:ind w:right="50"/>
              <w:spacing w:after="0" w:line="191" w:lineRule="exact"/>
              <w:rPr>
                <w:sz w:val="20"/>
                <w:szCs w:val="20"/>
                <w:color w:val="auto"/>
              </w:rPr>
            </w:pPr>
            <w:r>
              <w:rPr>
                <w:rFonts w:ascii="Arial" w:cs="Arial" w:eastAsia="Arial" w:hAnsi="Arial"/>
                <w:sz w:val="18"/>
                <w:szCs w:val="18"/>
                <w:b w:val="1"/>
                <w:bCs w:val="1"/>
                <w:color w:val="auto"/>
              </w:rPr>
              <w:t>Currency</w:t>
            </w:r>
          </w:p>
        </w:tc>
        <w:tc>
          <w:tcPr>
            <w:tcW w:w="1240" w:type="dxa"/>
            <w:vAlign w:val="bottom"/>
            <w:tcBorders>
              <w:top w:val="single" w:sz="8" w:color="auto"/>
            </w:tcBorders>
          </w:tcPr>
          <w:p>
            <w:pPr>
              <w:spacing w:after="0"/>
              <w:rPr>
                <w:sz w:val="16"/>
                <w:szCs w:val="16"/>
                <w:color w:val="auto"/>
              </w:rPr>
            </w:pPr>
          </w:p>
        </w:tc>
      </w:tr>
      <w:tr>
        <w:trPr>
          <w:trHeight w:val="203"/>
        </w:trPr>
        <w:tc>
          <w:tcPr>
            <w:tcW w:w="3040" w:type="dxa"/>
            <w:vAlign w:val="bottom"/>
          </w:tcPr>
          <w:p>
            <w:pPr>
              <w:spacing w:after="0"/>
              <w:rPr>
                <w:sz w:val="17"/>
                <w:szCs w:val="17"/>
                <w:color w:val="auto"/>
              </w:rPr>
            </w:pPr>
          </w:p>
        </w:tc>
        <w:tc>
          <w:tcPr>
            <w:tcW w:w="2580" w:type="dxa"/>
            <w:vAlign w:val="bottom"/>
          </w:tcPr>
          <w:p>
            <w:pPr>
              <w:jc w:val="center"/>
              <w:ind w:left="990"/>
              <w:spacing w:after="0" w:line="202" w:lineRule="exact"/>
              <w:rPr>
                <w:sz w:val="20"/>
                <w:szCs w:val="20"/>
                <w:color w:val="auto"/>
              </w:rPr>
            </w:pPr>
            <w:r>
              <w:rPr>
                <w:rFonts w:ascii="Arial" w:cs="Arial" w:eastAsia="Arial" w:hAnsi="Arial"/>
                <w:sz w:val="18"/>
                <w:szCs w:val="18"/>
                <w:b w:val="1"/>
                <w:bCs w:val="1"/>
                <w:color w:val="auto"/>
              </w:rPr>
              <w:t>December 31,</w:t>
            </w:r>
          </w:p>
        </w:tc>
        <w:tc>
          <w:tcPr>
            <w:tcW w:w="158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8"/>
              </w:rPr>
              <w:t>charges</w:t>
            </w:r>
          </w:p>
        </w:tc>
        <w:tc>
          <w:tcPr>
            <w:tcW w:w="1440" w:type="dxa"/>
            <w:vAlign w:val="bottom"/>
          </w:tcPr>
          <w:p>
            <w:pPr>
              <w:spacing w:after="0"/>
              <w:rPr>
                <w:sz w:val="17"/>
                <w:szCs w:val="17"/>
                <w:color w:val="auto"/>
              </w:rPr>
            </w:pPr>
          </w:p>
        </w:tc>
        <w:tc>
          <w:tcPr>
            <w:tcW w:w="154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8"/>
              </w:rPr>
              <w:t>translation/</w:t>
            </w:r>
          </w:p>
        </w:tc>
        <w:tc>
          <w:tcPr>
            <w:tcW w:w="12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June 30,</w:t>
            </w:r>
          </w:p>
        </w:tc>
      </w:tr>
      <w:tr>
        <w:trPr>
          <w:trHeight w:val="227"/>
        </w:trPr>
        <w:tc>
          <w:tcPr>
            <w:tcW w:w="3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580" w:type="dxa"/>
            <w:vAlign w:val="bottom"/>
            <w:tcBorders>
              <w:bottom w:val="single" w:sz="8" w:color="auto"/>
            </w:tcBorders>
          </w:tcPr>
          <w:p>
            <w:pPr>
              <w:jc w:val="center"/>
              <w:ind w:left="990"/>
              <w:spacing w:after="0"/>
              <w:rPr>
                <w:sz w:val="20"/>
                <w:szCs w:val="20"/>
                <w:color w:val="auto"/>
              </w:rPr>
            </w:pPr>
            <w:r>
              <w:rPr>
                <w:rFonts w:ascii="Arial" w:cs="Arial" w:eastAsia="Arial" w:hAnsi="Arial"/>
                <w:sz w:val="18"/>
                <w:szCs w:val="18"/>
                <w:b w:val="1"/>
                <w:bCs w:val="1"/>
                <w:color w:val="auto"/>
              </w:rPr>
              <w:t>2014</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accrued</w:t>
            </w:r>
          </w:p>
        </w:tc>
        <w:tc>
          <w:tcPr>
            <w:tcW w:w="1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Payments</w:t>
            </w:r>
          </w:p>
        </w:tc>
        <w:tc>
          <w:tcPr>
            <w:tcW w:w="15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7"/>
              </w:rPr>
              <w:t>other</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2015</w:t>
            </w:r>
          </w:p>
        </w:tc>
      </w:tr>
      <w:tr>
        <w:trPr>
          <w:trHeight w:val="399"/>
        </w:trPr>
        <w:tc>
          <w:tcPr>
            <w:tcW w:w="3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termination costs</w:t>
            </w:r>
          </w:p>
        </w:tc>
        <w:tc>
          <w:tcPr>
            <w:tcW w:w="25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$1,874</w:t>
            </w:r>
          </w:p>
        </w:tc>
        <w:tc>
          <w:tcPr>
            <w:tcW w:w="15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$10,212</w:t>
            </w:r>
          </w:p>
        </w:tc>
        <w:tc>
          <w:tcPr>
            <w:tcW w:w="1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$(9,229)</w:t>
            </w:r>
          </w:p>
        </w:tc>
        <w:tc>
          <w:tcPr>
            <w:tcW w:w="15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$(192)</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$2,665</w:t>
            </w:r>
          </w:p>
        </w:tc>
      </w:tr>
      <w:tr>
        <w:trPr>
          <w:trHeight w:val="196"/>
        </w:trPr>
        <w:tc>
          <w:tcPr>
            <w:tcW w:w="304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r>
      <w:tr>
        <w:trPr>
          <w:trHeight w:val="171"/>
        </w:trPr>
        <w:tc>
          <w:tcPr>
            <w:tcW w:w="30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580" w:type="dxa"/>
            <w:vAlign w:val="bottom"/>
          </w:tcPr>
          <w:p>
            <w:pPr>
              <w:jc w:val="center"/>
              <w:spacing w:after="0" w:line="171" w:lineRule="exact"/>
              <w:rPr>
                <w:sz w:val="20"/>
                <w:szCs w:val="20"/>
                <w:color w:val="auto"/>
              </w:rPr>
            </w:pPr>
            <w:r>
              <w:rPr>
                <w:rFonts w:ascii="Arial" w:cs="Arial" w:eastAsia="Arial" w:hAnsi="Arial"/>
                <w:sz w:val="18"/>
                <w:szCs w:val="18"/>
                <w:b w:val="1"/>
                <w:bCs w:val="1"/>
                <w:color w:val="auto"/>
                <w:w w:val="99"/>
              </w:rPr>
              <w:t>Restructuring</w:t>
            </w:r>
          </w:p>
        </w:tc>
        <w:tc>
          <w:tcPr>
            <w:tcW w:w="1440" w:type="dxa"/>
            <w:vAlign w:val="bottom"/>
          </w:tcPr>
          <w:p>
            <w:pPr>
              <w:spacing w:after="0"/>
              <w:rPr>
                <w:sz w:val="14"/>
                <w:szCs w:val="14"/>
                <w:color w:val="auto"/>
              </w:rPr>
            </w:pPr>
          </w:p>
        </w:tc>
        <w:tc>
          <w:tcPr>
            <w:tcW w:w="1540" w:type="dxa"/>
            <w:vAlign w:val="bottom"/>
          </w:tcPr>
          <w:p>
            <w:pPr>
              <w:jc w:val="center"/>
              <w:ind w:right="50"/>
              <w:spacing w:after="0" w:line="171" w:lineRule="exact"/>
              <w:rPr>
                <w:sz w:val="20"/>
                <w:szCs w:val="20"/>
                <w:color w:val="auto"/>
              </w:rPr>
            </w:pPr>
            <w:r>
              <w:rPr>
                <w:rFonts w:ascii="Arial" w:cs="Arial" w:eastAsia="Arial" w:hAnsi="Arial"/>
                <w:sz w:val="18"/>
                <w:szCs w:val="18"/>
                <w:b w:val="1"/>
                <w:bCs w:val="1"/>
                <w:color w:val="auto"/>
              </w:rPr>
              <w:t>Currency</w:t>
            </w:r>
          </w:p>
        </w:tc>
        <w:tc>
          <w:tcPr>
            <w:tcW w:w="1240" w:type="dxa"/>
            <w:vAlign w:val="bottom"/>
          </w:tcPr>
          <w:p>
            <w:pPr>
              <w:spacing w:after="0"/>
              <w:rPr>
                <w:sz w:val="14"/>
                <w:szCs w:val="14"/>
                <w:color w:val="auto"/>
              </w:rPr>
            </w:pPr>
          </w:p>
        </w:tc>
      </w:tr>
      <w:tr>
        <w:trPr>
          <w:trHeight w:val="203"/>
        </w:trPr>
        <w:tc>
          <w:tcPr>
            <w:tcW w:w="3040" w:type="dxa"/>
            <w:vAlign w:val="bottom"/>
          </w:tcPr>
          <w:p>
            <w:pPr>
              <w:spacing w:after="0"/>
              <w:rPr>
                <w:sz w:val="17"/>
                <w:szCs w:val="17"/>
                <w:color w:val="auto"/>
              </w:rPr>
            </w:pPr>
          </w:p>
        </w:tc>
        <w:tc>
          <w:tcPr>
            <w:tcW w:w="2580" w:type="dxa"/>
            <w:vAlign w:val="bottom"/>
          </w:tcPr>
          <w:p>
            <w:pPr>
              <w:jc w:val="center"/>
              <w:ind w:left="990"/>
              <w:spacing w:after="0" w:line="202" w:lineRule="exact"/>
              <w:rPr>
                <w:sz w:val="20"/>
                <w:szCs w:val="20"/>
                <w:color w:val="auto"/>
              </w:rPr>
            </w:pPr>
            <w:r>
              <w:rPr>
                <w:rFonts w:ascii="Arial" w:cs="Arial" w:eastAsia="Arial" w:hAnsi="Arial"/>
                <w:sz w:val="18"/>
                <w:szCs w:val="18"/>
                <w:b w:val="1"/>
                <w:bCs w:val="1"/>
                <w:color w:val="auto"/>
              </w:rPr>
              <w:t>December 31,</w:t>
            </w:r>
          </w:p>
        </w:tc>
        <w:tc>
          <w:tcPr>
            <w:tcW w:w="15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charges</w:t>
            </w:r>
          </w:p>
        </w:tc>
        <w:tc>
          <w:tcPr>
            <w:tcW w:w="1440" w:type="dxa"/>
            <w:vAlign w:val="bottom"/>
          </w:tcPr>
          <w:p>
            <w:pPr>
              <w:spacing w:after="0"/>
              <w:rPr>
                <w:sz w:val="17"/>
                <w:szCs w:val="17"/>
                <w:color w:val="auto"/>
              </w:rPr>
            </w:pPr>
          </w:p>
        </w:tc>
        <w:tc>
          <w:tcPr>
            <w:tcW w:w="154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8"/>
              </w:rPr>
              <w:t>translation/</w:t>
            </w:r>
          </w:p>
        </w:tc>
        <w:tc>
          <w:tcPr>
            <w:tcW w:w="12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June 30,</w:t>
            </w:r>
          </w:p>
        </w:tc>
      </w:tr>
      <w:tr>
        <w:trPr>
          <w:trHeight w:val="227"/>
        </w:trPr>
        <w:tc>
          <w:tcPr>
            <w:tcW w:w="3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580" w:type="dxa"/>
            <w:vAlign w:val="bottom"/>
            <w:tcBorders>
              <w:bottom w:val="single" w:sz="8" w:color="auto"/>
            </w:tcBorders>
          </w:tcPr>
          <w:p>
            <w:pPr>
              <w:jc w:val="center"/>
              <w:ind w:left="990"/>
              <w:spacing w:after="0"/>
              <w:rPr>
                <w:sz w:val="20"/>
                <w:szCs w:val="20"/>
                <w:color w:val="auto"/>
              </w:rPr>
            </w:pPr>
            <w:r>
              <w:rPr>
                <w:rFonts w:ascii="Arial" w:cs="Arial" w:eastAsia="Arial" w:hAnsi="Arial"/>
                <w:sz w:val="18"/>
                <w:szCs w:val="18"/>
                <w:b w:val="1"/>
                <w:bCs w:val="1"/>
                <w:color w:val="auto"/>
              </w:rPr>
              <w:t>2013</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accrued</w:t>
            </w:r>
          </w:p>
        </w:tc>
        <w:tc>
          <w:tcPr>
            <w:tcW w:w="1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Payments</w:t>
            </w:r>
          </w:p>
        </w:tc>
        <w:tc>
          <w:tcPr>
            <w:tcW w:w="15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7"/>
              </w:rPr>
              <w:t>other</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2014</w:t>
            </w:r>
          </w:p>
        </w:tc>
      </w:tr>
      <w:tr>
        <w:trPr>
          <w:trHeight w:val="399"/>
        </w:trPr>
        <w:tc>
          <w:tcPr>
            <w:tcW w:w="3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termination costs</w:t>
            </w:r>
          </w:p>
        </w:tc>
        <w:tc>
          <w:tcPr>
            <w:tcW w:w="25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$9,656</w:t>
            </w:r>
          </w:p>
        </w:tc>
        <w:tc>
          <w:tcPr>
            <w:tcW w:w="15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$3,189</w:t>
            </w:r>
          </w:p>
        </w:tc>
        <w:tc>
          <w:tcPr>
            <w:tcW w:w="1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($8,675)</w:t>
            </w:r>
          </w:p>
        </w:tc>
        <w:tc>
          <w:tcPr>
            <w:tcW w:w="15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($144)</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$4,026</w:t>
            </w: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 Other (Income)/Expenses, net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Other (income)/expenses, net, are:</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46"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91"/>
        </w:trPr>
        <w:tc>
          <w:tcPr>
            <w:tcW w:w="5480" w:type="dxa"/>
            <w:vAlign w:val="bottom"/>
            <w:tcBorders>
              <w:top w:val="single" w:sz="8" w:color="auto"/>
            </w:tcBorders>
          </w:tcPr>
          <w:p>
            <w:pPr>
              <w:spacing w:after="0"/>
              <w:rPr>
                <w:sz w:val="16"/>
                <w:szCs w:val="16"/>
                <w:color w:val="auto"/>
              </w:rPr>
            </w:pPr>
          </w:p>
        </w:tc>
        <w:tc>
          <w:tcPr>
            <w:tcW w:w="3720" w:type="dxa"/>
            <w:vAlign w:val="bottom"/>
            <w:tcBorders>
              <w:top w:val="single" w:sz="8" w:color="auto"/>
            </w:tcBorders>
            <w:gridSpan w:val="2"/>
          </w:tcPr>
          <w:p>
            <w:pPr>
              <w:jc w:val="right"/>
              <w:ind w:right="350"/>
              <w:spacing w:after="0" w:line="191" w:lineRule="exact"/>
              <w:rPr>
                <w:sz w:val="20"/>
                <w:szCs w:val="20"/>
                <w:color w:val="auto"/>
              </w:rPr>
            </w:pPr>
            <w:r>
              <w:rPr>
                <w:rFonts w:ascii="Arial" w:cs="Arial" w:eastAsia="Arial" w:hAnsi="Arial"/>
                <w:sz w:val="18"/>
                <w:szCs w:val="18"/>
                <w:b w:val="1"/>
                <w:bCs w:val="1"/>
                <w:color w:val="auto"/>
              </w:rPr>
              <w:t>Three months ended</w:t>
            </w:r>
          </w:p>
        </w:tc>
        <w:tc>
          <w:tcPr>
            <w:tcW w:w="2220" w:type="dxa"/>
            <w:vAlign w:val="bottom"/>
            <w:tcBorders>
              <w:top w:val="single" w:sz="8" w:color="auto"/>
            </w:tcBorders>
            <w:gridSpan w:val="2"/>
          </w:tcPr>
          <w:p>
            <w:pPr>
              <w:jc w:val="right"/>
              <w:ind w:right="150"/>
              <w:spacing w:after="0" w:line="191" w:lineRule="exact"/>
              <w:rPr>
                <w:sz w:val="20"/>
                <w:szCs w:val="20"/>
                <w:color w:val="auto"/>
              </w:rPr>
            </w:pPr>
            <w:r>
              <w:rPr>
                <w:rFonts w:ascii="Arial" w:cs="Arial" w:eastAsia="Arial" w:hAnsi="Arial"/>
                <w:sz w:val="18"/>
                <w:szCs w:val="18"/>
                <w:b w:val="1"/>
                <w:bCs w:val="1"/>
                <w:color w:val="auto"/>
              </w:rPr>
              <w:t>Six months ended</w:t>
            </w:r>
          </w:p>
        </w:tc>
      </w:tr>
      <w:tr>
        <w:trPr>
          <w:trHeight w:val="203"/>
        </w:trPr>
        <w:tc>
          <w:tcPr>
            <w:tcW w:w="54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700" w:type="dxa"/>
            <w:vAlign w:val="bottom"/>
          </w:tcPr>
          <w:p>
            <w:pPr>
              <w:jc w:val="right"/>
              <w:ind w:right="850"/>
              <w:spacing w:after="0" w:line="202" w:lineRule="exact"/>
              <w:rPr>
                <w:sz w:val="20"/>
                <w:szCs w:val="20"/>
                <w:color w:val="auto"/>
              </w:rPr>
            </w:pPr>
            <w:r>
              <w:rPr>
                <w:rFonts w:ascii="Arial" w:cs="Arial" w:eastAsia="Arial" w:hAnsi="Arial"/>
                <w:sz w:val="18"/>
                <w:szCs w:val="18"/>
                <w:b w:val="1"/>
                <w:bCs w:val="1"/>
                <w:color w:val="auto"/>
              </w:rPr>
              <w:t>June 30,</w:t>
            </w:r>
          </w:p>
        </w:tc>
        <w:tc>
          <w:tcPr>
            <w:tcW w:w="880" w:type="dxa"/>
            <w:vAlign w:val="bottom"/>
          </w:tcPr>
          <w:p>
            <w:pPr>
              <w:spacing w:after="0"/>
              <w:rPr>
                <w:sz w:val="17"/>
                <w:szCs w:val="17"/>
                <w:color w:val="auto"/>
              </w:rPr>
            </w:pPr>
          </w:p>
        </w:tc>
        <w:tc>
          <w:tcPr>
            <w:tcW w:w="1340" w:type="dxa"/>
            <w:vAlign w:val="bottom"/>
          </w:tcPr>
          <w:p>
            <w:pPr>
              <w:jc w:val="right"/>
              <w:ind w:right="530"/>
              <w:spacing w:after="0" w:line="202" w:lineRule="exact"/>
              <w:rPr>
                <w:sz w:val="20"/>
                <w:szCs w:val="20"/>
                <w:color w:val="auto"/>
              </w:rPr>
            </w:pPr>
            <w:r>
              <w:rPr>
                <w:rFonts w:ascii="Arial" w:cs="Arial" w:eastAsia="Arial" w:hAnsi="Arial"/>
                <w:sz w:val="18"/>
                <w:szCs w:val="18"/>
                <w:b w:val="1"/>
                <w:bCs w:val="1"/>
                <w:color w:val="auto"/>
                <w:w w:val="97"/>
              </w:rPr>
              <w:t>June 30,</w:t>
            </w:r>
          </w:p>
        </w:tc>
      </w:tr>
      <w:tr>
        <w:trPr>
          <w:trHeight w:val="227"/>
        </w:trPr>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17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1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2014</w:t>
            </w:r>
          </w:p>
        </w:tc>
      </w:tr>
      <w:tr>
        <w:trPr>
          <w:trHeight w:val="171"/>
        </w:trPr>
        <w:tc>
          <w:tcPr>
            <w:tcW w:w="5480" w:type="dxa"/>
            <w:vAlign w:val="bottom"/>
          </w:tcPr>
          <w:p>
            <w:pPr>
              <w:spacing w:after="0" w:line="171" w:lineRule="exact"/>
              <w:rPr>
                <w:sz w:val="20"/>
                <w:szCs w:val="20"/>
                <w:color w:val="auto"/>
              </w:rPr>
            </w:pPr>
            <w:r>
              <w:rPr>
                <w:rFonts w:ascii="Arial" w:cs="Arial" w:eastAsia="Arial" w:hAnsi="Arial"/>
                <w:sz w:val="18"/>
                <w:szCs w:val="18"/>
                <w:color w:val="auto"/>
              </w:rPr>
              <w:t>Currency transaction losses/(gains)</w:t>
            </w:r>
          </w:p>
        </w:tc>
        <w:tc>
          <w:tcPr>
            <w:tcW w:w="2020" w:type="dxa"/>
            <w:vAlign w:val="bottom"/>
          </w:tcPr>
          <w:p>
            <w:pPr>
              <w:jc w:val="right"/>
              <w:spacing w:after="0" w:line="171" w:lineRule="exact"/>
              <w:rPr>
                <w:sz w:val="20"/>
                <w:szCs w:val="20"/>
                <w:color w:val="auto"/>
              </w:rPr>
            </w:pPr>
            <w:r>
              <w:rPr>
                <w:rFonts w:ascii="Arial" w:cs="Arial" w:eastAsia="Arial" w:hAnsi="Arial"/>
                <w:sz w:val="18"/>
                <w:szCs w:val="18"/>
                <w:b w:val="1"/>
                <w:bCs w:val="1"/>
                <w:color w:val="auto"/>
              </w:rPr>
              <w:t>$1,878</w:t>
            </w:r>
          </w:p>
        </w:tc>
        <w:tc>
          <w:tcPr>
            <w:tcW w:w="1700" w:type="dxa"/>
            <w:vAlign w:val="bottom"/>
          </w:tcPr>
          <w:p>
            <w:pPr>
              <w:jc w:val="right"/>
              <w:ind w:right="270"/>
              <w:spacing w:after="0" w:line="171" w:lineRule="exact"/>
              <w:rPr>
                <w:sz w:val="20"/>
                <w:szCs w:val="20"/>
                <w:color w:val="auto"/>
              </w:rPr>
            </w:pPr>
            <w:r>
              <w:rPr>
                <w:rFonts w:ascii="Arial" w:cs="Arial" w:eastAsia="Arial" w:hAnsi="Arial"/>
                <w:sz w:val="18"/>
                <w:szCs w:val="18"/>
                <w:color w:val="auto"/>
              </w:rPr>
              <w:t>($1,397)</w:t>
            </w:r>
          </w:p>
        </w:tc>
        <w:tc>
          <w:tcPr>
            <w:tcW w:w="880" w:type="dxa"/>
            <w:vAlign w:val="bottom"/>
          </w:tcPr>
          <w:p>
            <w:pPr>
              <w:jc w:val="right"/>
              <w:spacing w:after="0" w:line="171" w:lineRule="exact"/>
              <w:rPr>
                <w:sz w:val="20"/>
                <w:szCs w:val="20"/>
                <w:color w:val="auto"/>
              </w:rPr>
            </w:pPr>
            <w:r>
              <w:rPr>
                <w:rFonts w:ascii="Arial" w:cs="Arial" w:eastAsia="Arial" w:hAnsi="Arial"/>
                <w:sz w:val="18"/>
                <w:szCs w:val="18"/>
                <w:b w:val="1"/>
                <w:bCs w:val="1"/>
                <w:color w:val="auto"/>
              </w:rPr>
              <w:t>($549)</w:t>
            </w:r>
          </w:p>
        </w:tc>
        <w:tc>
          <w:tcPr>
            <w:tcW w:w="1340" w:type="dxa"/>
            <w:vAlign w:val="bottom"/>
          </w:tcPr>
          <w:p>
            <w:pPr>
              <w:jc w:val="right"/>
              <w:spacing w:after="0" w:line="171" w:lineRule="exact"/>
              <w:rPr>
                <w:sz w:val="20"/>
                <w:szCs w:val="20"/>
                <w:color w:val="auto"/>
              </w:rPr>
            </w:pPr>
            <w:r>
              <w:rPr>
                <w:rFonts w:ascii="Arial" w:cs="Arial" w:eastAsia="Arial" w:hAnsi="Arial"/>
                <w:sz w:val="18"/>
                <w:szCs w:val="18"/>
                <w:color w:val="auto"/>
              </w:rPr>
              <w:t>($1,903)</w:t>
            </w:r>
          </w:p>
        </w:tc>
      </w:tr>
      <w:tr>
        <w:trPr>
          <w:trHeight w:val="203"/>
        </w:trPr>
        <w:tc>
          <w:tcPr>
            <w:tcW w:w="5480" w:type="dxa"/>
            <w:vAlign w:val="bottom"/>
          </w:tcPr>
          <w:p>
            <w:pPr>
              <w:spacing w:after="0" w:line="202" w:lineRule="exact"/>
              <w:rPr>
                <w:sz w:val="20"/>
                <w:szCs w:val="20"/>
                <w:color w:val="auto"/>
              </w:rPr>
            </w:pPr>
            <w:r>
              <w:rPr>
                <w:rFonts w:ascii="Arial" w:cs="Arial" w:eastAsia="Arial" w:hAnsi="Arial"/>
                <w:sz w:val="18"/>
                <w:szCs w:val="18"/>
                <w:color w:val="auto"/>
              </w:rPr>
              <w:t>Bank fees and amortization of debt issuance costs</w:t>
            </w:r>
          </w:p>
        </w:tc>
        <w:tc>
          <w:tcPr>
            <w:tcW w:w="20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234</w:t>
            </w:r>
          </w:p>
        </w:tc>
        <w:tc>
          <w:tcPr>
            <w:tcW w:w="170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285</w:t>
            </w: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545</w:t>
            </w:r>
          </w:p>
        </w:tc>
        <w:tc>
          <w:tcPr>
            <w:tcW w:w="13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597</w:t>
            </w:r>
          </w:p>
        </w:tc>
      </w:tr>
      <w:tr>
        <w:trPr>
          <w:trHeight w:val="203"/>
        </w:trPr>
        <w:tc>
          <w:tcPr>
            <w:tcW w:w="5480" w:type="dxa"/>
            <w:vAlign w:val="bottom"/>
          </w:tcPr>
          <w:p>
            <w:pPr>
              <w:spacing w:after="0" w:line="202" w:lineRule="exact"/>
              <w:rPr>
                <w:sz w:val="20"/>
                <w:szCs w:val="20"/>
                <w:color w:val="auto"/>
              </w:rPr>
            </w:pPr>
            <w:r>
              <w:rPr>
                <w:rFonts w:ascii="Arial" w:cs="Arial" w:eastAsia="Arial" w:hAnsi="Arial"/>
                <w:sz w:val="18"/>
                <w:szCs w:val="18"/>
                <w:color w:val="auto"/>
              </w:rPr>
              <w:t>Gain on sale of investment</w:t>
            </w:r>
          </w:p>
        </w:tc>
        <w:tc>
          <w:tcPr>
            <w:tcW w:w="20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70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(872)</w:t>
            </w:r>
          </w:p>
        </w:tc>
        <w:tc>
          <w:tcPr>
            <w:tcW w:w="13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5480" w:type="dxa"/>
            <w:vAlign w:val="bottom"/>
          </w:tcPr>
          <w:p>
            <w:pPr>
              <w:spacing w:after="0" w:line="202" w:lineRule="exact"/>
              <w:rPr>
                <w:sz w:val="20"/>
                <w:szCs w:val="20"/>
                <w:color w:val="auto"/>
              </w:rPr>
            </w:pPr>
            <w:r>
              <w:rPr>
                <w:rFonts w:ascii="Arial" w:cs="Arial" w:eastAsia="Arial" w:hAnsi="Arial"/>
                <w:sz w:val="18"/>
                <w:szCs w:val="18"/>
                <w:color w:val="auto"/>
              </w:rPr>
              <w:t>Gain on insurance recovery</w:t>
            </w:r>
          </w:p>
        </w:tc>
        <w:tc>
          <w:tcPr>
            <w:tcW w:w="20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70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(961)</w:t>
            </w: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(961)</w:t>
            </w:r>
          </w:p>
        </w:tc>
      </w:tr>
      <w:tr>
        <w:trPr>
          <w:trHeight w:val="227"/>
        </w:trPr>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708</w:t>
            </w:r>
          </w:p>
        </w:tc>
        <w:tc>
          <w:tcPr>
            <w:tcW w:w="17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(60)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411</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r>
      <w:tr>
        <w:trPr>
          <w:trHeight w:val="196"/>
        </w:trPr>
        <w:tc>
          <w:tcPr>
            <w:tcW w:w="54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2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$2,820</w:t>
            </w:r>
          </w:p>
        </w:tc>
        <w:tc>
          <w:tcPr>
            <w:tcW w:w="170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($2,133)</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($465)</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($2,600)</w:t>
            </w:r>
          </w:p>
        </w:tc>
      </w:tr>
    </w:tbl>
    <w:p>
      <w:pPr>
        <w:spacing w:after="0" w:line="355" w:lineRule="exact"/>
        <w:rPr>
          <w:sz w:val="20"/>
          <w:szCs w:val="20"/>
          <w:color w:val="auto"/>
        </w:rPr>
      </w:pPr>
    </w:p>
    <w:p>
      <w:pPr>
        <w:ind w:right="160" w:firstLine="648"/>
        <w:spacing w:after="0" w:line="276" w:lineRule="auto"/>
        <w:rPr>
          <w:sz w:val="20"/>
          <w:szCs w:val="20"/>
          <w:color w:val="auto"/>
        </w:rPr>
      </w:pPr>
      <w:r>
        <w:rPr>
          <w:rFonts w:ascii="Arial" w:cs="Arial" w:eastAsia="Arial" w:hAnsi="Arial"/>
          <w:sz w:val="18"/>
          <w:szCs w:val="18"/>
          <w:color w:val="auto"/>
        </w:rPr>
        <w:t>In March 2015, the Company sold its total equity investment in an unaffiliated company. The value of the investment was written off in 2004, resulting in a gain of $0.9 million in the first quarter of 2015.</w:t>
      </w:r>
    </w:p>
    <w:p>
      <w:pPr>
        <w:spacing w:after="0" w:line="118"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In July 2013, the Company’s manufacturing facility in Germany was damaged by severe weather. At that time, the Company expensed the remaining book value of the damaged property, but that value was minimal. In the second quarter of 2014, we recorded a gain equal to insurance proceeds received of $1.0 million.</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 Income Taxes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components of income tax expense for the three and six months ended June 30, 2015 and 2014:</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6580" w:type="dxa"/>
            <w:vAlign w:val="bottom"/>
            <w:tcBorders>
              <w:top w:val="single" w:sz="8" w:color="auto"/>
            </w:tcBorders>
          </w:tcPr>
          <w:p>
            <w:pPr>
              <w:spacing w:after="0"/>
              <w:rPr>
                <w:sz w:val="16"/>
                <w:szCs w:val="16"/>
                <w:color w:val="auto"/>
              </w:rPr>
            </w:pPr>
          </w:p>
        </w:tc>
        <w:tc>
          <w:tcPr>
            <w:tcW w:w="2480" w:type="dxa"/>
            <w:vAlign w:val="bottom"/>
            <w:tcBorders>
              <w:top w:val="single" w:sz="8" w:color="auto"/>
            </w:tcBorders>
            <w:gridSpan w:val="2"/>
          </w:tcPr>
          <w:p>
            <w:pPr>
              <w:jc w:val="right"/>
              <w:ind w:right="270"/>
              <w:spacing w:after="0" w:line="191" w:lineRule="exact"/>
              <w:rPr>
                <w:sz w:val="20"/>
                <w:szCs w:val="20"/>
                <w:color w:val="auto"/>
              </w:rPr>
            </w:pPr>
            <w:r>
              <w:rPr>
                <w:rFonts w:ascii="Arial" w:cs="Arial" w:eastAsia="Arial" w:hAnsi="Arial"/>
                <w:sz w:val="18"/>
                <w:szCs w:val="18"/>
                <w:b w:val="1"/>
                <w:bCs w:val="1"/>
                <w:color w:val="auto"/>
              </w:rPr>
              <w:t>Three months ended</w:t>
            </w:r>
          </w:p>
        </w:tc>
        <w:tc>
          <w:tcPr>
            <w:tcW w:w="2340" w:type="dxa"/>
            <w:vAlign w:val="bottom"/>
            <w:tcBorders>
              <w:top w:val="single" w:sz="8" w:color="auto"/>
            </w:tcBorders>
            <w:gridSpan w:val="2"/>
          </w:tcPr>
          <w:p>
            <w:pPr>
              <w:jc w:val="right"/>
              <w:ind w:right="170"/>
              <w:spacing w:after="0" w:line="191" w:lineRule="exact"/>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tcPr>
          <w:p>
            <w:pPr>
              <w:spacing w:after="0"/>
              <w:rPr>
                <w:sz w:val="17"/>
                <w:szCs w:val="17"/>
                <w:color w:val="auto"/>
              </w:rPr>
            </w:pPr>
          </w:p>
        </w:tc>
        <w:tc>
          <w:tcPr>
            <w:tcW w:w="2480" w:type="dxa"/>
            <w:vAlign w:val="bottom"/>
            <w:gridSpan w:val="2"/>
          </w:tcPr>
          <w:p>
            <w:pPr>
              <w:jc w:val="right"/>
              <w:ind w:right="770"/>
              <w:spacing w:after="0" w:line="202" w:lineRule="exact"/>
              <w:rPr>
                <w:sz w:val="20"/>
                <w:szCs w:val="20"/>
                <w:color w:val="auto"/>
              </w:rPr>
            </w:pPr>
            <w:r>
              <w:rPr>
                <w:rFonts w:ascii="Arial" w:cs="Arial" w:eastAsia="Arial" w:hAnsi="Arial"/>
                <w:sz w:val="18"/>
                <w:szCs w:val="18"/>
                <w:b w:val="1"/>
                <w:bCs w:val="1"/>
                <w:color w:val="auto"/>
              </w:rPr>
              <w:t>June 30,</w:t>
            </w:r>
          </w:p>
        </w:tc>
        <w:tc>
          <w:tcPr>
            <w:tcW w:w="960" w:type="dxa"/>
            <w:vAlign w:val="bottom"/>
          </w:tcPr>
          <w:p>
            <w:pPr>
              <w:spacing w:after="0"/>
              <w:rPr>
                <w:sz w:val="17"/>
                <w:szCs w:val="17"/>
                <w:color w:val="auto"/>
              </w:rPr>
            </w:pPr>
          </w:p>
        </w:tc>
        <w:tc>
          <w:tcPr>
            <w:tcW w:w="1380" w:type="dxa"/>
            <w:vAlign w:val="bottom"/>
          </w:tcPr>
          <w:p>
            <w:pPr>
              <w:jc w:val="right"/>
              <w:ind w:right="550"/>
              <w:spacing w:after="0" w:line="202" w:lineRule="exact"/>
              <w:rPr>
                <w:sz w:val="20"/>
                <w:szCs w:val="20"/>
                <w:color w:val="auto"/>
              </w:rPr>
            </w:pPr>
            <w:r>
              <w:rPr>
                <w:rFonts w:ascii="Arial" w:cs="Arial" w:eastAsia="Arial" w:hAnsi="Arial"/>
                <w:sz w:val="18"/>
                <w:szCs w:val="18"/>
                <w:b w:val="1"/>
                <w:bCs w:val="1"/>
                <w:color w:val="auto"/>
                <w:w w:val="99"/>
              </w:rPr>
              <w:t>June 30,</w:t>
            </w:r>
          </w:p>
        </w:tc>
        <w:tc>
          <w:tcPr>
            <w:tcW w:w="0" w:type="dxa"/>
            <w:vAlign w:val="bottom"/>
          </w:tcPr>
          <w:p>
            <w:pPr>
              <w:spacing w:after="0"/>
              <w:rPr>
                <w:sz w:val="1"/>
                <w:szCs w:val="1"/>
                <w:color w:val="auto"/>
              </w:rPr>
            </w:pPr>
          </w:p>
        </w:tc>
      </w:tr>
      <w:tr>
        <w:trPr>
          <w:trHeight w:val="227"/>
        </w:trPr>
        <w:tc>
          <w:tcPr>
            <w:tcW w:w="6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12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2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1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376"/>
        </w:trPr>
        <w:tc>
          <w:tcPr>
            <w:tcW w:w="6600" w:type="dxa"/>
            <w:vAlign w:val="bottom"/>
            <w:gridSpan w:val="2"/>
          </w:tcPr>
          <w:p>
            <w:pPr>
              <w:spacing w:after="0"/>
              <w:rPr>
                <w:sz w:val="20"/>
                <w:szCs w:val="20"/>
                <w:color w:val="auto"/>
              </w:rPr>
            </w:pPr>
            <w:r>
              <w:rPr>
                <w:rFonts w:ascii="Arial" w:cs="Arial" w:eastAsia="Arial" w:hAnsi="Arial"/>
                <w:sz w:val="18"/>
                <w:szCs w:val="18"/>
                <w:color w:val="auto"/>
              </w:rPr>
              <w:t>Income tax based on income from continuing operations, at estimated tax rates</w:t>
            </w:r>
          </w:p>
        </w:tc>
        <w:tc>
          <w:tcPr>
            <w:tcW w:w="126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($1,080)</w:t>
            </w:r>
          </w:p>
        </w:tc>
        <w:tc>
          <w:tcPr>
            <w:tcW w:w="1220" w:type="dxa"/>
            <w:vAlign w:val="bottom"/>
          </w:tcPr>
          <w:p>
            <w:pPr>
              <w:spacing w:after="0"/>
              <w:rPr>
                <w:sz w:val="24"/>
                <w:szCs w:val="24"/>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$7,956</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580" w:type="dxa"/>
            <w:vAlign w:val="bottom"/>
          </w:tcPr>
          <w:p>
            <w:pPr>
              <w:ind w:left="160"/>
              <w:spacing w:after="0" w:line="201" w:lineRule="exact"/>
              <w:rPr>
                <w:sz w:val="20"/>
                <w:szCs w:val="20"/>
                <w:color w:val="auto"/>
              </w:rPr>
            </w:pPr>
            <w:r>
              <w:rPr>
                <w:rFonts w:ascii="Arial" w:cs="Arial" w:eastAsia="Arial" w:hAnsi="Arial"/>
                <w:sz w:val="18"/>
                <w:szCs w:val="18"/>
                <w:color w:val="auto"/>
              </w:rPr>
              <w:t>of 43.5% and 36.5%, respectively</w:t>
            </w:r>
          </w:p>
        </w:tc>
        <w:tc>
          <w:tcPr>
            <w:tcW w:w="1260" w:type="dxa"/>
            <w:vAlign w:val="bottom"/>
            <w:vMerge w:val="continue"/>
          </w:tcPr>
          <w:p>
            <w:pPr>
              <w:spacing w:after="0"/>
              <w:rPr>
                <w:sz w:val="17"/>
                <w:szCs w:val="17"/>
                <w:color w:val="auto"/>
              </w:rPr>
            </w:pPr>
          </w:p>
        </w:tc>
        <w:tc>
          <w:tcPr>
            <w:tcW w:w="1220" w:type="dxa"/>
            <w:vAlign w:val="bottom"/>
          </w:tcPr>
          <w:p>
            <w:pPr>
              <w:jc w:val="right"/>
              <w:ind w:right="250"/>
              <w:spacing w:after="0" w:line="201" w:lineRule="exact"/>
              <w:rPr>
                <w:sz w:val="20"/>
                <w:szCs w:val="20"/>
                <w:color w:val="auto"/>
              </w:rPr>
            </w:pPr>
            <w:r>
              <w:rPr>
                <w:rFonts w:ascii="Arial" w:cs="Arial" w:eastAsia="Arial" w:hAnsi="Arial"/>
                <w:sz w:val="18"/>
                <w:szCs w:val="18"/>
                <w:color w:val="auto"/>
              </w:rPr>
              <w:t>$6,368</w:t>
            </w:r>
          </w:p>
        </w:tc>
        <w:tc>
          <w:tcPr>
            <w:tcW w:w="960" w:type="dxa"/>
            <w:vAlign w:val="bottom"/>
            <w:vMerge w:val="continue"/>
          </w:tcPr>
          <w:p>
            <w:pPr>
              <w:spacing w:after="0"/>
              <w:rPr>
                <w:sz w:val="17"/>
                <w:szCs w:val="17"/>
                <w:color w:val="auto"/>
              </w:rPr>
            </w:pPr>
          </w:p>
        </w:tc>
        <w:tc>
          <w:tcPr>
            <w:tcW w:w="1380" w:type="dxa"/>
            <w:vAlign w:val="bottom"/>
          </w:tcPr>
          <w:p>
            <w:pPr>
              <w:jc w:val="right"/>
              <w:ind w:right="10"/>
              <w:spacing w:after="0" w:line="201" w:lineRule="exact"/>
              <w:rPr>
                <w:sz w:val="20"/>
                <w:szCs w:val="20"/>
                <w:color w:val="auto"/>
              </w:rPr>
            </w:pPr>
            <w:r>
              <w:rPr>
                <w:rFonts w:ascii="Arial" w:cs="Arial" w:eastAsia="Arial" w:hAnsi="Arial"/>
                <w:sz w:val="18"/>
                <w:szCs w:val="18"/>
                <w:color w:val="auto"/>
              </w:rPr>
              <w:t>$12,999</w:t>
            </w:r>
          </w:p>
        </w:tc>
        <w:tc>
          <w:tcPr>
            <w:tcW w:w="0" w:type="dxa"/>
            <w:vAlign w:val="bottom"/>
          </w:tcPr>
          <w:p>
            <w:pPr>
              <w:spacing w:after="0"/>
              <w:rPr>
                <w:sz w:val="1"/>
                <w:szCs w:val="1"/>
                <w:color w:val="auto"/>
              </w:rPr>
            </w:pPr>
          </w:p>
        </w:tc>
      </w:tr>
      <w:tr>
        <w:trPr>
          <w:trHeight w:val="227"/>
        </w:trPr>
        <w:tc>
          <w:tcPr>
            <w:tcW w:w="6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Provision for change in estimated tax rates</w:t>
            </w:r>
          </w:p>
        </w:tc>
        <w:tc>
          <w:tcPr>
            <w:tcW w:w="12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736</w:t>
            </w:r>
          </w:p>
        </w:tc>
        <w:tc>
          <w:tcPr>
            <w:tcW w:w="12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278</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6600" w:type="dxa"/>
            <w:vAlign w:val="bottom"/>
            <w:gridSpan w:val="2"/>
          </w:tcPr>
          <w:p>
            <w:pPr>
              <w:spacing w:after="0"/>
              <w:rPr>
                <w:sz w:val="20"/>
                <w:szCs w:val="20"/>
                <w:color w:val="auto"/>
              </w:rPr>
            </w:pPr>
            <w:r>
              <w:rPr>
                <w:rFonts w:ascii="Arial" w:cs="Arial" w:eastAsia="Arial" w:hAnsi="Arial"/>
                <w:sz w:val="18"/>
                <w:szCs w:val="18"/>
                <w:color w:val="auto"/>
              </w:rPr>
              <w:t>Income tax before discrete items</w:t>
            </w:r>
          </w:p>
        </w:tc>
        <w:tc>
          <w:tcPr>
            <w:tcW w:w="1260" w:type="dxa"/>
            <w:vAlign w:val="bottom"/>
          </w:tcPr>
          <w:p>
            <w:pPr>
              <w:jc w:val="right"/>
              <w:ind w:right="230"/>
              <w:spacing w:after="0"/>
              <w:rPr>
                <w:sz w:val="20"/>
                <w:szCs w:val="20"/>
                <w:color w:val="auto"/>
              </w:rPr>
            </w:pPr>
            <w:r>
              <w:rPr>
                <w:rFonts w:ascii="Arial" w:cs="Arial" w:eastAsia="Arial" w:hAnsi="Arial"/>
                <w:sz w:val="18"/>
                <w:szCs w:val="18"/>
                <w:b w:val="1"/>
                <w:bCs w:val="1"/>
                <w:color w:val="auto"/>
              </w:rPr>
              <w:t>(344)</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6,646</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7,956</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12,999</w:t>
            </w:r>
          </w:p>
        </w:tc>
        <w:tc>
          <w:tcPr>
            <w:tcW w:w="0" w:type="dxa"/>
            <w:vAlign w:val="bottom"/>
          </w:tcPr>
          <w:p>
            <w:pPr>
              <w:spacing w:after="0"/>
              <w:rPr>
                <w:sz w:val="1"/>
                <w:szCs w:val="1"/>
                <w:color w:val="auto"/>
              </w:rPr>
            </w:pPr>
          </w:p>
        </w:tc>
      </w:tr>
      <w:tr>
        <w:trPr>
          <w:trHeight w:val="332"/>
        </w:trPr>
        <w:tc>
          <w:tcPr>
            <w:tcW w:w="6600" w:type="dxa"/>
            <w:vAlign w:val="bottom"/>
            <w:gridSpan w:val="2"/>
          </w:tcPr>
          <w:p>
            <w:pPr>
              <w:spacing w:after="0"/>
              <w:rPr>
                <w:sz w:val="20"/>
                <w:szCs w:val="20"/>
                <w:color w:val="auto"/>
              </w:rPr>
            </w:pPr>
            <w:r>
              <w:rPr>
                <w:rFonts w:ascii="Arial" w:cs="Arial" w:eastAsia="Arial" w:hAnsi="Arial"/>
                <w:sz w:val="18"/>
                <w:szCs w:val="18"/>
                <w:color w:val="auto"/>
              </w:rPr>
              <w:t>Discrete tax expense/(benefit):</w:t>
            </w:r>
          </w:p>
        </w:tc>
        <w:tc>
          <w:tcPr>
            <w:tcW w:w="126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spacing w:after="0"/>
              <w:rPr>
                <w:sz w:val="24"/>
                <w:szCs w:val="24"/>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580" w:type="dxa"/>
            <w:vAlign w:val="bottom"/>
          </w:tcPr>
          <w:p>
            <w:pPr>
              <w:ind w:left="340"/>
              <w:spacing w:after="0" w:line="201" w:lineRule="exact"/>
              <w:rPr>
                <w:sz w:val="20"/>
                <w:szCs w:val="20"/>
                <w:color w:val="auto"/>
              </w:rPr>
            </w:pPr>
            <w:r>
              <w:rPr>
                <w:rFonts w:ascii="Arial" w:cs="Arial" w:eastAsia="Arial" w:hAnsi="Arial"/>
                <w:sz w:val="18"/>
                <w:szCs w:val="18"/>
                <w:color w:val="auto"/>
              </w:rPr>
              <w:t>Provision for/adjustment to beginning of year valuation allowance</w:t>
            </w:r>
          </w:p>
        </w:tc>
        <w:tc>
          <w:tcPr>
            <w:tcW w:w="1260" w:type="dxa"/>
            <w:vAlign w:val="bottom"/>
            <w:vMerge w:val="continue"/>
          </w:tcPr>
          <w:p>
            <w:pPr>
              <w:spacing w:after="0"/>
              <w:rPr>
                <w:sz w:val="17"/>
                <w:szCs w:val="17"/>
                <w:color w:val="auto"/>
              </w:rPr>
            </w:pPr>
          </w:p>
        </w:tc>
        <w:tc>
          <w:tcPr>
            <w:tcW w:w="1220" w:type="dxa"/>
            <w:vAlign w:val="bottom"/>
          </w:tcPr>
          <w:p>
            <w:pPr>
              <w:jc w:val="right"/>
              <w:ind w:right="250"/>
              <w:spacing w:after="0" w:line="201" w:lineRule="exact"/>
              <w:rPr>
                <w:sz w:val="20"/>
                <w:szCs w:val="20"/>
                <w:color w:val="auto"/>
              </w:rPr>
            </w:pPr>
            <w:r>
              <w:rPr>
                <w:rFonts w:ascii="Arial" w:cs="Arial" w:eastAsia="Arial" w:hAnsi="Arial"/>
                <w:sz w:val="18"/>
                <w:szCs w:val="18"/>
                <w:color w:val="auto"/>
              </w:rPr>
              <w:t>437</w:t>
            </w:r>
          </w:p>
        </w:tc>
        <w:tc>
          <w:tcPr>
            <w:tcW w:w="960" w:type="dxa"/>
            <w:vAlign w:val="bottom"/>
            <w:vMerge w:val="continue"/>
          </w:tcPr>
          <w:p>
            <w:pPr>
              <w:spacing w:after="0"/>
              <w:rPr>
                <w:sz w:val="17"/>
                <w:szCs w:val="17"/>
                <w:color w:val="auto"/>
              </w:rPr>
            </w:pPr>
          </w:p>
        </w:tc>
        <w:tc>
          <w:tcPr>
            <w:tcW w:w="1380" w:type="dxa"/>
            <w:vAlign w:val="bottom"/>
          </w:tcPr>
          <w:p>
            <w:pPr>
              <w:jc w:val="right"/>
              <w:ind w:right="10"/>
              <w:spacing w:after="0" w:line="201" w:lineRule="exact"/>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tcPr>
          <w:p>
            <w:pPr>
              <w:ind w:left="340"/>
              <w:spacing w:after="0" w:line="202" w:lineRule="exact"/>
              <w:rPr>
                <w:sz w:val="20"/>
                <w:szCs w:val="20"/>
                <w:color w:val="auto"/>
              </w:rPr>
            </w:pPr>
            <w:r>
              <w:rPr>
                <w:rFonts w:ascii="Arial" w:cs="Arial" w:eastAsia="Arial" w:hAnsi="Arial"/>
                <w:sz w:val="18"/>
                <w:szCs w:val="18"/>
                <w:color w:val="auto"/>
              </w:rPr>
              <w:t>Provision for/resolution of tax audits and contingencies, net</w:t>
            </w:r>
          </w:p>
        </w:tc>
        <w:tc>
          <w:tcPr>
            <w:tcW w:w="1260" w:type="dxa"/>
            <w:vAlign w:val="bottom"/>
          </w:tcPr>
          <w:p>
            <w:pPr>
              <w:jc w:val="right"/>
              <w:ind w:right="270"/>
              <w:spacing w:after="0" w:line="202" w:lineRule="exact"/>
              <w:rPr>
                <w:sz w:val="20"/>
                <w:szCs w:val="20"/>
                <w:color w:val="auto"/>
              </w:rPr>
            </w:pPr>
            <w:r>
              <w:rPr>
                <w:rFonts w:ascii="Arial" w:cs="Arial" w:eastAsia="Arial" w:hAnsi="Arial"/>
                <w:sz w:val="18"/>
                <w:szCs w:val="18"/>
                <w:b w:val="1"/>
                <w:bCs w:val="1"/>
                <w:color w:val="auto"/>
              </w:rPr>
              <w:t>85</w:t>
            </w:r>
          </w:p>
        </w:tc>
        <w:tc>
          <w:tcPr>
            <w:tcW w:w="122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99</w:t>
            </w:r>
          </w:p>
        </w:tc>
        <w:tc>
          <w:tcPr>
            <w:tcW w:w="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168</w:t>
            </w:r>
          </w:p>
        </w:tc>
        <w:tc>
          <w:tcPr>
            <w:tcW w:w="1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tcPr>
          <w:p>
            <w:pPr>
              <w:ind w:left="340"/>
              <w:spacing w:after="0" w:line="202" w:lineRule="exact"/>
              <w:rPr>
                <w:sz w:val="20"/>
                <w:szCs w:val="20"/>
                <w:color w:val="auto"/>
              </w:rPr>
            </w:pPr>
            <w:r>
              <w:rPr>
                <w:rFonts w:ascii="Arial" w:cs="Arial" w:eastAsia="Arial" w:hAnsi="Arial"/>
                <w:sz w:val="18"/>
                <w:szCs w:val="18"/>
                <w:color w:val="auto"/>
              </w:rPr>
              <w:t>Adjustments to prior period tax liabilities</w:t>
            </w:r>
          </w:p>
        </w:tc>
        <w:tc>
          <w:tcPr>
            <w:tcW w:w="126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(105)</w:t>
            </w:r>
          </w:p>
        </w:tc>
        <w:tc>
          <w:tcPr>
            <w:tcW w:w="122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30</w:t>
            </w:r>
          </w:p>
        </w:tc>
        <w:tc>
          <w:tcPr>
            <w:tcW w:w="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(60)</w:t>
            </w:r>
          </w:p>
        </w:tc>
        <w:tc>
          <w:tcPr>
            <w:tcW w:w="1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tcPr>
          <w:p>
            <w:pPr>
              <w:ind w:left="340"/>
              <w:spacing w:after="0" w:line="202" w:lineRule="exact"/>
              <w:rPr>
                <w:sz w:val="20"/>
                <w:szCs w:val="20"/>
                <w:color w:val="auto"/>
              </w:rPr>
            </w:pPr>
            <w:r>
              <w:rPr>
                <w:rFonts w:ascii="Arial" w:cs="Arial" w:eastAsia="Arial" w:hAnsi="Arial"/>
                <w:sz w:val="18"/>
                <w:szCs w:val="18"/>
                <w:color w:val="auto"/>
              </w:rPr>
              <w:t>Enacted tax legislation</w:t>
            </w:r>
          </w:p>
        </w:tc>
        <w:tc>
          <w:tcPr>
            <w:tcW w:w="1260" w:type="dxa"/>
            <w:vAlign w:val="bottom"/>
          </w:tcPr>
          <w:p>
            <w:pPr>
              <w:jc w:val="right"/>
              <w:ind w:right="270"/>
              <w:spacing w:after="0" w:line="202" w:lineRule="exact"/>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91</w:t>
            </w:r>
          </w:p>
        </w:tc>
        <w:tc>
          <w:tcPr>
            <w:tcW w:w="1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5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 discrete tax adjustements, net</w:t>
            </w:r>
          </w:p>
        </w:tc>
        <w:tc>
          <w:tcPr>
            <w:tcW w:w="12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4</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65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income tax expense/(benefit)</w:t>
            </w:r>
          </w:p>
        </w:tc>
        <w:tc>
          <w:tcPr>
            <w:tcW w:w="126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($364)</w:t>
            </w:r>
          </w:p>
        </w:tc>
        <w:tc>
          <w:tcPr>
            <w:tcW w:w="122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rPr>
              <w:t>$7,216</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$8,155</w:t>
            </w:r>
          </w:p>
        </w:tc>
        <w:tc>
          <w:tcPr>
            <w:tcW w:w="13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$14,673</w:t>
            </w:r>
          </w:p>
        </w:tc>
        <w:tc>
          <w:tcPr>
            <w:tcW w:w="0" w:type="dxa"/>
            <w:vAlign w:val="bottom"/>
          </w:tcPr>
          <w:p>
            <w:pPr>
              <w:spacing w:after="0"/>
              <w:rPr>
                <w:sz w:val="1"/>
                <w:szCs w:val="1"/>
                <w:color w:val="auto"/>
              </w:rPr>
            </w:pPr>
          </w:p>
        </w:tc>
      </w:tr>
    </w:tbl>
    <w:p>
      <w:pPr>
        <w:spacing w:after="0" w:line="369" w:lineRule="exact"/>
        <w:rPr>
          <w:sz w:val="20"/>
          <w:szCs w:val="20"/>
          <w:color w:val="auto"/>
        </w:rPr>
      </w:pPr>
    </w:p>
    <w:p>
      <w:pPr>
        <w:ind w:right="220" w:firstLine="648"/>
        <w:spacing w:after="0" w:line="276" w:lineRule="auto"/>
        <w:rPr>
          <w:sz w:val="20"/>
          <w:szCs w:val="20"/>
          <w:color w:val="auto"/>
        </w:rPr>
      </w:pPr>
      <w:r>
        <w:rPr>
          <w:rFonts w:ascii="Arial" w:cs="Arial" w:eastAsia="Arial" w:hAnsi="Arial"/>
          <w:sz w:val="18"/>
          <w:szCs w:val="18"/>
          <w:color w:val="auto"/>
        </w:rPr>
        <w:t>The year-to-date estimated effective tax rate on continuing operations was 43.5 percent in 2015, as compared to 36.5 percent for the same period in 2014.</w:t>
      </w:r>
    </w:p>
    <w:p>
      <w:pPr>
        <w:spacing w:after="0" w:line="10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records the residual U.S. and foreign taxes on certain amounts of current year foreign earnings that have been targeted for repatriation to the U.S. As a result, such amounts are not considered to be permanently reinvested, and the Company accrued as part of the income tax provision before discrete items, for the residual taxes on these earnings to the extent they cannot be repatriated</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46"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in a tax-free manner. As of June 30, 2015, the Company has a deferred tax liability of $3.7 million on $59.4 million of prior year non-U.S.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earnings that is targeted for future repatriation to the U.S.</w:t>
      </w:r>
    </w:p>
    <w:p>
      <w:pPr>
        <w:spacing w:after="0" w:line="149" w:lineRule="exact"/>
        <w:rPr>
          <w:sz w:val="20"/>
          <w:szCs w:val="20"/>
          <w:color w:val="auto"/>
        </w:rPr>
      </w:pPr>
    </w:p>
    <w:p>
      <w:pPr>
        <w:ind w:right="140" w:firstLine="648"/>
        <w:spacing w:after="0" w:line="245" w:lineRule="auto"/>
        <w:rPr>
          <w:sz w:val="20"/>
          <w:szCs w:val="20"/>
          <w:color w:val="auto"/>
        </w:rPr>
      </w:pPr>
      <w:r>
        <w:rPr>
          <w:rFonts w:ascii="Arial" w:cs="Arial" w:eastAsia="Arial" w:hAnsi="Arial"/>
          <w:sz w:val="18"/>
          <w:szCs w:val="18"/>
          <w:color w:val="auto"/>
        </w:rPr>
        <w:t>We conduct business globally and, as a result, the Company files income tax returns in the U.S. federal jurisdiction and various state and foreign jurisdictions. In the normal course of business we are subject to examination by taxing authorities throughout the world, including major jurisdictions such as the United States, Brazil, Canada, France, Germany, Italy, Mexico, and Switzerland. The open tax years in these jurisdictions range from 2000 to 2014. We are currently under audit in the U.S. and in other non-U.S. tax jurisdictions, including but not limited to Canada, Germany, Switzerland and Italy.</w:t>
      </w:r>
    </w:p>
    <w:p>
      <w:pPr>
        <w:spacing w:after="0" w:line="145" w:lineRule="exact"/>
        <w:rPr>
          <w:sz w:val="20"/>
          <w:szCs w:val="20"/>
          <w:color w:val="auto"/>
        </w:rPr>
      </w:pPr>
    </w:p>
    <w:p>
      <w:pPr>
        <w:jc w:val="both"/>
        <w:ind w:right="60" w:firstLine="648"/>
        <w:spacing w:after="0" w:line="255" w:lineRule="auto"/>
        <w:rPr>
          <w:sz w:val="20"/>
          <w:szCs w:val="20"/>
          <w:color w:val="auto"/>
        </w:rPr>
      </w:pPr>
      <w:r>
        <w:rPr>
          <w:rFonts w:ascii="Arial" w:cs="Arial" w:eastAsia="Arial" w:hAnsi="Arial"/>
          <w:sz w:val="18"/>
          <w:szCs w:val="18"/>
          <w:color w:val="auto"/>
        </w:rPr>
        <w:t>It is reasonably possible that over the next twelve months the amount of unrecognized tax benefits may change within a range of a net increase of $ 8.8 million to a net decrease of $2.5 million, from the reevaluation of uncertain tax positions arising in examinations, in appeals, or in the courts, or from the closure of tax statutes.</w:t>
      </w:r>
    </w:p>
    <w:p>
      <w:pPr>
        <w:spacing w:after="0" w:line="124"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The Company recognized current and deferred tax benefits of approximately $25.3 million on their corporate income tax returns filed in Germany related to a 1999 reorganization that have been challenged by the German tax authorities in the course of an audit. In 2008 the German Federal Tax Court (FTC) denied tax benefits to other taxpayers in a case involving German tax laws relevant to our reorganization. One of these cases involved a non-German party, and in the ruling in that case, the FTC acknowledged that the German law in question may be violative of European Union (EU) principles and referred the issue to the European Court of Justice (ECJ) for its determination on this issue. In September 2009, the ECJ issued an opinion in this case that is generally favorable to the other taxpayer and referred the case back to the FTC for further consideration. In May 2010, the FTC released its decision, in which it resolved certain tax issues that may be relevant to our audit and remanded the case to a lower court for further development. In 2012, the lower court decided in favor of the taxpayer and the government appealed the findings to the FTC. On July 2, 2014, The FTC conducted a hearing in the aforementioned case involving the other taxpayer, and the taxpayer lost. The final written decision of the FTC was published during the fourth quarter of 2014. Although the decision of the FTC in the case is not determinative of the outcome in our case, management viewed the conclusion of this matter as an opportunity to approach the German tax authorities with the goal of a settlement agreement. We were required to pay tax and interest of approximately $14.5 million to the German tax authorities in order to pursue our appeal position. In anticipation of a settlement, a portion of the prepaid taxes and interest along with certain deferred tax assets were adjusted downward by $6.3 million in 2014. The recognition of the uncertain tax position in deferred tax assets was partially offset by a reduction in a valuation allowance that offset the deferred tax assets. The remaining tax benefits sustained on the books are related to current tax benefits that were recognized in earlier tax years. Included in the range above is approximately $8.8 million of tax benefits that will continue to be challenged by the German tax authorities.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 Earnings Per Share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amounts used in computing earnings per share and the weighted average number of shares of potentially dilutive securities are as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643" w:right="25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91"/>
        </w:trPr>
        <w:tc>
          <w:tcPr>
            <w:tcW w:w="6440" w:type="dxa"/>
            <w:vAlign w:val="bottom"/>
            <w:tcBorders>
              <w:top w:val="single" w:sz="8" w:color="auto"/>
            </w:tcBorders>
          </w:tcPr>
          <w:p>
            <w:pPr>
              <w:spacing w:after="0"/>
              <w:rPr>
                <w:sz w:val="16"/>
                <w:szCs w:val="16"/>
                <w:color w:val="auto"/>
              </w:rPr>
            </w:pPr>
          </w:p>
        </w:tc>
        <w:tc>
          <w:tcPr>
            <w:tcW w:w="2540" w:type="dxa"/>
            <w:vAlign w:val="bottom"/>
            <w:tcBorders>
              <w:top w:val="single" w:sz="8" w:color="auto"/>
            </w:tcBorders>
            <w:gridSpan w:val="2"/>
          </w:tcPr>
          <w:p>
            <w:pPr>
              <w:jc w:val="right"/>
              <w:ind w:right="290"/>
              <w:spacing w:after="0" w:line="191" w:lineRule="exact"/>
              <w:rPr>
                <w:sz w:val="20"/>
                <w:szCs w:val="20"/>
                <w:color w:val="auto"/>
              </w:rPr>
            </w:pPr>
            <w:r>
              <w:rPr>
                <w:rFonts w:ascii="Arial" w:cs="Arial" w:eastAsia="Arial" w:hAnsi="Arial"/>
                <w:sz w:val="18"/>
                <w:szCs w:val="18"/>
                <w:b w:val="1"/>
                <w:bCs w:val="1"/>
                <w:color w:val="auto"/>
              </w:rPr>
              <w:t>Three months ended</w:t>
            </w:r>
          </w:p>
        </w:tc>
        <w:tc>
          <w:tcPr>
            <w:tcW w:w="2440" w:type="dxa"/>
            <w:vAlign w:val="bottom"/>
            <w:tcBorders>
              <w:top w:val="single" w:sz="8" w:color="auto"/>
            </w:tcBorders>
            <w:gridSpan w:val="2"/>
          </w:tcPr>
          <w:p>
            <w:pPr>
              <w:jc w:val="right"/>
              <w:ind w:right="210"/>
              <w:spacing w:after="0" w:line="191" w:lineRule="exact"/>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03"/>
        </w:trPr>
        <w:tc>
          <w:tcPr>
            <w:tcW w:w="6440" w:type="dxa"/>
            <w:vAlign w:val="bottom"/>
          </w:tcPr>
          <w:p>
            <w:pPr>
              <w:spacing w:after="0"/>
              <w:rPr>
                <w:sz w:val="17"/>
                <w:szCs w:val="17"/>
                <w:color w:val="auto"/>
              </w:rPr>
            </w:pPr>
          </w:p>
        </w:tc>
        <w:tc>
          <w:tcPr>
            <w:tcW w:w="2540" w:type="dxa"/>
            <w:vAlign w:val="bottom"/>
            <w:gridSpan w:val="2"/>
          </w:tcPr>
          <w:p>
            <w:pPr>
              <w:jc w:val="right"/>
              <w:ind w:right="790"/>
              <w:spacing w:after="0" w:line="202" w:lineRule="exact"/>
              <w:rPr>
                <w:sz w:val="20"/>
                <w:szCs w:val="20"/>
                <w:color w:val="auto"/>
              </w:rPr>
            </w:pPr>
            <w:r>
              <w:rPr>
                <w:rFonts w:ascii="Arial" w:cs="Arial" w:eastAsia="Arial" w:hAnsi="Arial"/>
                <w:sz w:val="18"/>
                <w:szCs w:val="18"/>
                <w:b w:val="1"/>
                <w:bCs w:val="1"/>
                <w:color w:val="auto"/>
              </w:rPr>
              <w:t>June 30,</w:t>
            </w:r>
          </w:p>
        </w:tc>
        <w:tc>
          <w:tcPr>
            <w:tcW w:w="1020" w:type="dxa"/>
            <w:vAlign w:val="bottom"/>
          </w:tcPr>
          <w:p>
            <w:pPr>
              <w:spacing w:after="0"/>
              <w:rPr>
                <w:sz w:val="17"/>
                <w:szCs w:val="17"/>
                <w:color w:val="auto"/>
              </w:rPr>
            </w:pPr>
          </w:p>
        </w:tc>
        <w:tc>
          <w:tcPr>
            <w:tcW w:w="1420" w:type="dxa"/>
            <w:vAlign w:val="bottom"/>
          </w:tcPr>
          <w:p>
            <w:pPr>
              <w:jc w:val="right"/>
              <w:ind w:right="610"/>
              <w:spacing w:after="0" w:line="202" w:lineRule="exact"/>
              <w:rPr>
                <w:sz w:val="20"/>
                <w:szCs w:val="20"/>
                <w:color w:val="auto"/>
              </w:rPr>
            </w:pPr>
            <w:r>
              <w:rPr>
                <w:rFonts w:ascii="Arial" w:cs="Arial" w:eastAsia="Arial" w:hAnsi="Arial"/>
                <w:sz w:val="18"/>
                <w:szCs w:val="18"/>
                <w:b w:val="1"/>
                <w:bCs w:val="1"/>
                <w:color w:val="auto"/>
                <w:w w:val="97"/>
              </w:rPr>
              <w:t>June 30,</w:t>
            </w:r>
          </w:p>
        </w:tc>
        <w:tc>
          <w:tcPr>
            <w:tcW w:w="0" w:type="dxa"/>
            <w:vAlign w:val="bottom"/>
          </w:tcPr>
          <w:p>
            <w:pPr>
              <w:spacing w:after="0"/>
              <w:rPr>
                <w:sz w:val="1"/>
                <w:szCs w:val="1"/>
                <w:color w:val="auto"/>
              </w:rPr>
            </w:pPr>
          </w:p>
        </w:tc>
      </w:tr>
      <w:tr>
        <w:trPr>
          <w:trHeight w:val="227"/>
        </w:trPr>
        <w:tc>
          <w:tcPr>
            <w:tcW w:w="6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market price and earnings per share)</w:t>
            </w:r>
          </w:p>
        </w:tc>
        <w:tc>
          <w:tcPr>
            <w:tcW w:w="12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2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14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399"/>
        </w:trPr>
        <w:tc>
          <w:tcPr>
            <w:tcW w:w="6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income/(loss) attributable to the Company</w:t>
            </w:r>
          </w:p>
        </w:tc>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($2,172)</w:t>
            </w:r>
          </w:p>
        </w:tc>
        <w:tc>
          <w:tcPr>
            <w:tcW w:w="12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$11,219</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$10,041</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$21,840</w:t>
            </w:r>
          </w:p>
        </w:tc>
        <w:tc>
          <w:tcPr>
            <w:tcW w:w="0" w:type="dxa"/>
            <w:vAlign w:val="bottom"/>
          </w:tcPr>
          <w:p>
            <w:pPr>
              <w:spacing w:after="0"/>
              <w:rPr>
                <w:sz w:val="1"/>
                <w:szCs w:val="1"/>
                <w:color w:val="auto"/>
              </w:rPr>
            </w:pPr>
          </w:p>
        </w:tc>
      </w:tr>
      <w:tr>
        <w:trPr>
          <w:trHeight w:val="376"/>
        </w:trPr>
        <w:tc>
          <w:tcPr>
            <w:tcW w:w="6440" w:type="dxa"/>
            <w:vAlign w:val="bottom"/>
          </w:tcPr>
          <w:p>
            <w:pPr>
              <w:spacing w:after="0"/>
              <w:rPr>
                <w:sz w:val="20"/>
                <w:szCs w:val="20"/>
                <w:color w:val="auto"/>
              </w:rPr>
            </w:pPr>
            <w:r>
              <w:rPr>
                <w:rFonts w:ascii="Arial" w:cs="Arial" w:eastAsia="Arial" w:hAnsi="Arial"/>
                <w:sz w:val="18"/>
                <w:szCs w:val="18"/>
                <w:b w:val="1"/>
                <w:bCs w:val="1"/>
                <w:color w:val="auto"/>
              </w:rPr>
              <w:t>Weighted average number of shares:</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440" w:type="dxa"/>
            <w:vAlign w:val="bottom"/>
          </w:tcPr>
          <w:p>
            <w:pPr>
              <w:ind w:left="360"/>
              <w:spacing w:after="0" w:line="202" w:lineRule="exact"/>
              <w:rPr>
                <w:sz w:val="20"/>
                <w:szCs w:val="20"/>
                <w:color w:val="auto"/>
              </w:rPr>
            </w:pPr>
            <w:r>
              <w:rPr>
                <w:rFonts w:ascii="Arial" w:cs="Arial" w:eastAsia="Arial" w:hAnsi="Arial"/>
                <w:sz w:val="18"/>
                <w:szCs w:val="18"/>
                <w:color w:val="auto"/>
              </w:rPr>
              <w:t>Weighted average number of shares used in</w:t>
            </w:r>
          </w:p>
        </w:tc>
        <w:tc>
          <w:tcPr>
            <w:tcW w:w="126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31,999</w:t>
            </w:r>
          </w:p>
        </w:tc>
        <w:tc>
          <w:tcPr>
            <w:tcW w:w="128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31,941</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440" w:type="dxa"/>
            <w:vAlign w:val="bottom"/>
          </w:tcPr>
          <w:p>
            <w:pPr>
              <w:ind w:left="540"/>
              <w:spacing w:after="0" w:line="201" w:lineRule="exact"/>
              <w:rPr>
                <w:sz w:val="20"/>
                <w:szCs w:val="20"/>
                <w:color w:val="auto"/>
              </w:rPr>
            </w:pPr>
            <w:r>
              <w:rPr>
                <w:rFonts w:ascii="Arial" w:cs="Arial" w:eastAsia="Arial" w:hAnsi="Arial"/>
                <w:sz w:val="18"/>
                <w:szCs w:val="18"/>
                <w:color w:val="auto"/>
              </w:rPr>
              <w:t>calculating basic net income per share</w:t>
            </w:r>
          </w:p>
        </w:tc>
        <w:tc>
          <w:tcPr>
            <w:tcW w:w="1260" w:type="dxa"/>
            <w:vAlign w:val="bottom"/>
            <w:vMerge w:val="continue"/>
          </w:tcPr>
          <w:p>
            <w:pPr>
              <w:spacing w:after="0"/>
              <w:rPr>
                <w:sz w:val="17"/>
                <w:szCs w:val="17"/>
                <w:color w:val="auto"/>
              </w:rPr>
            </w:pPr>
          </w:p>
        </w:tc>
        <w:tc>
          <w:tcPr>
            <w:tcW w:w="1280" w:type="dxa"/>
            <w:vAlign w:val="bottom"/>
          </w:tcPr>
          <w:p>
            <w:pPr>
              <w:jc w:val="right"/>
              <w:ind w:right="230"/>
              <w:spacing w:after="0" w:line="201" w:lineRule="exact"/>
              <w:rPr>
                <w:sz w:val="20"/>
                <w:szCs w:val="20"/>
                <w:color w:val="auto"/>
              </w:rPr>
            </w:pPr>
            <w:r>
              <w:rPr>
                <w:rFonts w:ascii="Arial" w:cs="Arial" w:eastAsia="Arial" w:hAnsi="Arial"/>
                <w:sz w:val="18"/>
                <w:szCs w:val="18"/>
                <w:color w:val="auto"/>
              </w:rPr>
              <w:t>31,832</w:t>
            </w:r>
          </w:p>
        </w:tc>
        <w:tc>
          <w:tcPr>
            <w:tcW w:w="1020" w:type="dxa"/>
            <w:vAlign w:val="bottom"/>
            <w:vMerge w:val="continue"/>
          </w:tcPr>
          <w:p>
            <w:pPr>
              <w:spacing w:after="0"/>
              <w:rPr>
                <w:sz w:val="17"/>
                <w:szCs w:val="17"/>
                <w:color w:val="auto"/>
              </w:rPr>
            </w:pPr>
          </w:p>
        </w:tc>
        <w:tc>
          <w:tcPr>
            <w:tcW w:w="1420" w:type="dxa"/>
            <w:vAlign w:val="bottom"/>
          </w:tcPr>
          <w:p>
            <w:pPr>
              <w:jc w:val="right"/>
              <w:ind w:right="10"/>
              <w:spacing w:after="0" w:line="201" w:lineRule="exact"/>
              <w:rPr>
                <w:sz w:val="20"/>
                <w:szCs w:val="20"/>
                <w:color w:val="auto"/>
              </w:rPr>
            </w:pPr>
            <w:r>
              <w:rPr>
                <w:rFonts w:ascii="Arial" w:cs="Arial" w:eastAsia="Arial" w:hAnsi="Arial"/>
                <w:sz w:val="18"/>
                <w:szCs w:val="18"/>
                <w:color w:val="auto"/>
              </w:rPr>
              <w:t>31,809</w:t>
            </w:r>
          </w:p>
        </w:tc>
        <w:tc>
          <w:tcPr>
            <w:tcW w:w="0" w:type="dxa"/>
            <w:vAlign w:val="bottom"/>
          </w:tcPr>
          <w:p>
            <w:pPr>
              <w:spacing w:after="0"/>
              <w:rPr>
                <w:sz w:val="1"/>
                <w:szCs w:val="1"/>
                <w:color w:val="auto"/>
              </w:rPr>
            </w:pPr>
          </w:p>
        </w:tc>
      </w:tr>
      <w:tr>
        <w:trPr>
          <w:trHeight w:val="205"/>
        </w:trPr>
        <w:tc>
          <w:tcPr>
            <w:tcW w:w="6440" w:type="dxa"/>
            <w:vAlign w:val="bottom"/>
          </w:tcPr>
          <w:p>
            <w:pPr>
              <w:spacing w:after="0" w:line="205" w:lineRule="exact"/>
              <w:rPr>
                <w:sz w:val="20"/>
                <w:szCs w:val="20"/>
                <w:color w:val="auto"/>
              </w:rPr>
            </w:pPr>
            <w:r>
              <w:rPr>
                <w:rFonts w:ascii="Arial" w:cs="Arial" w:eastAsia="Arial" w:hAnsi="Arial"/>
                <w:sz w:val="18"/>
                <w:szCs w:val="18"/>
                <w:b w:val="1"/>
                <w:bCs w:val="1"/>
                <w:color w:val="auto"/>
              </w:rPr>
              <w:t>Effect of dilutive stock-based compensation plans:</w:t>
            </w:r>
          </w:p>
        </w:tc>
        <w:tc>
          <w:tcPr>
            <w:tcW w:w="126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74</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4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Stock options</w:t>
            </w:r>
          </w:p>
        </w:tc>
        <w:tc>
          <w:tcPr>
            <w:tcW w:w="1260" w:type="dxa"/>
            <w:vAlign w:val="bottom"/>
            <w:tcBorders>
              <w:bottom w:val="single" w:sz="8" w:color="auto"/>
            </w:tcBorders>
            <w:vMerge w:val="continue"/>
          </w:tcPr>
          <w:p>
            <w:pPr>
              <w:spacing w:after="0"/>
              <w:rPr>
                <w:sz w:val="19"/>
                <w:szCs w:val="19"/>
                <w:color w:val="auto"/>
              </w:rPr>
            </w:pPr>
          </w:p>
        </w:tc>
        <w:tc>
          <w:tcPr>
            <w:tcW w:w="12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103</w:t>
            </w:r>
          </w:p>
        </w:tc>
        <w:tc>
          <w:tcPr>
            <w:tcW w:w="1020" w:type="dxa"/>
            <w:vAlign w:val="bottom"/>
            <w:tcBorders>
              <w:bottom w:val="single" w:sz="8" w:color="auto"/>
            </w:tcBorders>
            <w:vMerge w:val="continue"/>
          </w:tcPr>
          <w:p>
            <w:pPr>
              <w:spacing w:after="0"/>
              <w:rPr>
                <w:sz w:val="19"/>
                <w:szCs w:val="19"/>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376"/>
        </w:trPr>
        <w:tc>
          <w:tcPr>
            <w:tcW w:w="6440" w:type="dxa"/>
            <w:vAlign w:val="bottom"/>
          </w:tcPr>
          <w:p>
            <w:pPr>
              <w:spacing w:after="0"/>
              <w:rPr>
                <w:sz w:val="20"/>
                <w:szCs w:val="20"/>
                <w:color w:val="auto"/>
              </w:rPr>
            </w:pPr>
            <w:r>
              <w:rPr>
                <w:rFonts w:ascii="Arial" w:cs="Arial" w:eastAsia="Arial" w:hAnsi="Arial"/>
                <w:sz w:val="18"/>
                <w:szCs w:val="18"/>
                <w:color w:val="auto"/>
              </w:rPr>
              <w:t>Weighted average number of shares used in calculating diluted net income</w:t>
            </w:r>
          </w:p>
        </w:tc>
        <w:tc>
          <w:tcPr>
            <w:tcW w:w="126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31,999</w:t>
            </w:r>
          </w:p>
        </w:tc>
        <w:tc>
          <w:tcPr>
            <w:tcW w:w="128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32,015</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6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per share</w:t>
            </w:r>
          </w:p>
        </w:tc>
        <w:tc>
          <w:tcPr>
            <w:tcW w:w="1260" w:type="dxa"/>
            <w:vAlign w:val="bottom"/>
            <w:tcBorders>
              <w:bottom w:val="single" w:sz="8" w:color="auto"/>
            </w:tcBorders>
            <w:vMerge w:val="continue"/>
          </w:tcPr>
          <w:p>
            <w:pPr>
              <w:spacing w:after="0"/>
              <w:rPr>
                <w:sz w:val="19"/>
                <w:szCs w:val="19"/>
                <w:color w:val="auto"/>
              </w:rPr>
            </w:pPr>
          </w:p>
        </w:tc>
        <w:tc>
          <w:tcPr>
            <w:tcW w:w="12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31,935</w:t>
            </w:r>
          </w:p>
        </w:tc>
        <w:tc>
          <w:tcPr>
            <w:tcW w:w="1020" w:type="dxa"/>
            <w:vAlign w:val="bottom"/>
            <w:tcBorders>
              <w:bottom w:val="single" w:sz="8" w:color="auto"/>
            </w:tcBorders>
            <w:vMerge w:val="continue"/>
          </w:tcPr>
          <w:p>
            <w:pPr>
              <w:spacing w:after="0"/>
              <w:rPr>
                <w:sz w:val="19"/>
                <w:szCs w:val="19"/>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31,913</w:t>
            </w:r>
          </w:p>
        </w:tc>
        <w:tc>
          <w:tcPr>
            <w:tcW w:w="0" w:type="dxa"/>
            <w:vAlign w:val="bottom"/>
          </w:tcPr>
          <w:p>
            <w:pPr>
              <w:spacing w:after="0"/>
              <w:rPr>
                <w:sz w:val="1"/>
                <w:szCs w:val="1"/>
                <w:color w:val="auto"/>
              </w:rPr>
            </w:pPr>
          </w:p>
        </w:tc>
      </w:tr>
      <w:tr>
        <w:trPr>
          <w:trHeight w:val="376"/>
        </w:trPr>
        <w:tc>
          <w:tcPr>
            <w:tcW w:w="6440" w:type="dxa"/>
            <w:vAlign w:val="bottom"/>
          </w:tcPr>
          <w:p>
            <w:pPr>
              <w:spacing w:after="0"/>
              <w:rPr>
                <w:sz w:val="20"/>
                <w:szCs w:val="20"/>
                <w:color w:val="auto"/>
              </w:rPr>
            </w:pPr>
            <w:r>
              <w:rPr>
                <w:rFonts w:ascii="Arial" w:cs="Arial" w:eastAsia="Arial" w:hAnsi="Arial"/>
                <w:sz w:val="18"/>
                <w:szCs w:val="18"/>
                <w:color w:val="auto"/>
              </w:rPr>
              <w:t>Shares related to stock-based compensation plans that were not included in</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440" w:type="dxa"/>
            <w:vAlign w:val="bottom"/>
          </w:tcPr>
          <w:p>
            <w:pPr>
              <w:ind w:left="180"/>
              <w:spacing w:after="0" w:line="202" w:lineRule="exact"/>
              <w:rPr>
                <w:sz w:val="20"/>
                <w:szCs w:val="20"/>
                <w:color w:val="auto"/>
              </w:rPr>
            </w:pPr>
            <w:r>
              <w:rPr>
                <w:rFonts w:ascii="Arial" w:cs="Arial" w:eastAsia="Arial" w:hAnsi="Arial"/>
                <w:sz w:val="18"/>
                <w:szCs w:val="18"/>
                <w:color w:val="auto"/>
              </w:rPr>
              <w:t>the computation of diluted earnings per share because to do so would be</w:t>
            </w:r>
          </w:p>
        </w:tc>
        <w:tc>
          <w:tcPr>
            <w:tcW w:w="126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56</w:t>
            </w:r>
          </w:p>
        </w:tc>
        <w:tc>
          <w:tcPr>
            <w:tcW w:w="128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antidilutive</w:t>
            </w:r>
          </w:p>
        </w:tc>
        <w:tc>
          <w:tcPr>
            <w:tcW w:w="1260" w:type="dxa"/>
            <w:vAlign w:val="bottom"/>
            <w:tcBorders>
              <w:bottom w:val="single" w:sz="8" w:color="auto"/>
            </w:tcBorders>
            <w:vMerge w:val="continue"/>
          </w:tcPr>
          <w:p>
            <w:pPr>
              <w:spacing w:after="0"/>
              <w:rPr>
                <w:sz w:val="19"/>
                <w:szCs w:val="19"/>
                <w:color w:val="auto"/>
              </w:rPr>
            </w:pPr>
          </w:p>
        </w:tc>
        <w:tc>
          <w:tcPr>
            <w:tcW w:w="12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vMerge w:val="continue"/>
          </w:tcPr>
          <w:p>
            <w:pPr>
              <w:spacing w:after="0"/>
              <w:rPr>
                <w:sz w:val="19"/>
                <w:szCs w:val="19"/>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9"/>
        </w:trPr>
        <w:tc>
          <w:tcPr>
            <w:tcW w:w="6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Average market price of common stock used for calculation of dilutive shares</w:t>
            </w:r>
          </w:p>
        </w:tc>
        <w:tc>
          <w:tcPr>
            <w:tcW w:w="12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$40.12</w:t>
            </w:r>
          </w:p>
        </w:tc>
        <w:tc>
          <w:tcPr>
            <w:tcW w:w="12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$36.23</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$38.76</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$35.97</w:t>
            </w:r>
          </w:p>
        </w:tc>
        <w:tc>
          <w:tcPr>
            <w:tcW w:w="0" w:type="dxa"/>
            <w:vAlign w:val="bottom"/>
          </w:tcPr>
          <w:p>
            <w:pPr>
              <w:spacing w:after="0"/>
              <w:rPr>
                <w:sz w:val="1"/>
                <w:szCs w:val="1"/>
                <w:color w:val="auto"/>
              </w:rPr>
            </w:pPr>
          </w:p>
        </w:tc>
      </w:tr>
      <w:tr>
        <w:trPr>
          <w:trHeight w:val="376"/>
        </w:trPr>
        <w:tc>
          <w:tcPr>
            <w:tcW w:w="6440" w:type="dxa"/>
            <w:vAlign w:val="bottom"/>
          </w:tcPr>
          <w:p>
            <w:pPr>
              <w:spacing w:after="0"/>
              <w:rPr>
                <w:sz w:val="20"/>
                <w:szCs w:val="20"/>
                <w:color w:val="auto"/>
              </w:rPr>
            </w:pPr>
            <w:r>
              <w:rPr>
                <w:rFonts w:ascii="Arial" w:cs="Arial" w:eastAsia="Arial" w:hAnsi="Arial"/>
                <w:sz w:val="18"/>
                <w:szCs w:val="18"/>
                <w:b w:val="1"/>
                <w:bCs w:val="1"/>
                <w:color w:val="auto"/>
              </w:rPr>
              <w:t>Earnings per share attributable to Company shareholders:</w:t>
            </w:r>
          </w:p>
        </w:tc>
        <w:tc>
          <w:tcPr>
            <w:tcW w:w="126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($0.07)</w:t>
            </w:r>
          </w:p>
        </w:tc>
        <w:tc>
          <w:tcPr>
            <w:tcW w:w="128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$0.31</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6440" w:type="dxa"/>
            <w:vAlign w:val="bottom"/>
          </w:tcPr>
          <w:p>
            <w:pPr>
              <w:ind w:left="360"/>
              <w:spacing w:after="0" w:line="201" w:lineRule="exact"/>
              <w:rPr>
                <w:sz w:val="20"/>
                <w:szCs w:val="20"/>
                <w:color w:val="auto"/>
              </w:rPr>
            </w:pPr>
            <w:r>
              <w:rPr>
                <w:rFonts w:ascii="Arial" w:cs="Arial" w:eastAsia="Arial" w:hAnsi="Arial"/>
                <w:sz w:val="18"/>
                <w:szCs w:val="18"/>
                <w:color w:val="auto"/>
              </w:rPr>
              <w:t>Basic</w:t>
            </w:r>
          </w:p>
        </w:tc>
        <w:tc>
          <w:tcPr>
            <w:tcW w:w="1260" w:type="dxa"/>
            <w:vAlign w:val="bottom"/>
            <w:vMerge w:val="continue"/>
          </w:tcPr>
          <w:p>
            <w:pPr>
              <w:spacing w:after="0"/>
              <w:rPr>
                <w:sz w:val="17"/>
                <w:szCs w:val="17"/>
                <w:color w:val="auto"/>
              </w:rPr>
            </w:pPr>
          </w:p>
        </w:tc>
        <w:tc>
          <w:tcPr>
            <w:tcW w:w="1280" w:type="dxa"/>
            <w:vAlign w:val="bottom"/>
          </w:tcPr>
          <w:p>
            <w:pPr>
              <w:jc w:val="right"/>
              <w:ind w:right="230"/>
              <w:spacing w:after="0" w:line="201" w:lineRule="exact"/>
              <w:rPr>
                <w:sz w:val="20"/>
                <w:szCs w:val="20"/>
                <w:color w:val="auto"/>
              </w:rPr>
            </w:pPr>
            <w:r>
              <w:rPr>
                <w:rFonts w:ascii="Arial" w:cs="Arial" w:eastAsia="Arial" w:hAnsi="Arial"/>
                <w:sz w:val="18"/>
                <w:szCs w:val="18"/>
                <w:color w:val="auto"/>
              </w:rPr>
              <w:t>$0.35</w:t>
            </w:r>
          </w:p>
        </w:tc>
        <w:tc>
          <w:tcPr>
            <w:tcW w:w="1020" w:type="dxa"/>
            <w:vAlign w:val="bottom"/>
            <w:vMerge w:val="continue"/>
          </w:tcPr>
          <w:p>
            <w:pPr>
              <w:spacing w:after="0"/>
              <w:rPr>
                <w:sz w:val="17"/>
                <w:szCs w:val="17"/>
                <w:color w:val="auto"/>
              </w:rPr>
            </w:pPr>
          </w:p>
        </w:tc>
        <w:tc>
          <w:tcPr>
            <w:tcW w:w="1420" w:type="dxa"/>
            <w:vAlign w:val="bottom"/>
          </w:tcPr>
          <w:p>
            <w:pPr>
              <w:jc w:val="right"/>
              <w:ind w:right="10"/>
              <w:spacing w:after="0" w:line="201" w:lineRule="exact"/>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227"/>
        </w:trPr>
        <w:tc>
          <w:tcPr>
            <w:tcW w:w="64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Diluted</w:t>
            </w:r>
          </w:p>
        </w:tc>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($0.07)</w:t>
            </w:r>
          </w:p>
        </w:tc>
        <w:tc>
          <w:tcPr>
            <w:tcW w:w="12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$0.35</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$0.31</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bl>
    <w:p>
      <w:pPr>
        <w:spacing w:after="0" w:line="36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9. Accumulated Other Comprehensive Income/(Loss)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changes in the components of AOCI for the period December 31, 2014 to June 30, 2015:</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024"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456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Pension and</w:t>
            </w:r>
          </w:p>
        </w:tc>
        <w:tc>
          <w:tcPr>
            <w:tcW w:w="218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postretirement</w:t>
            </w:r>
          </w:p>
        </w:tc>
        <w:tc>
          <w:tcPr>
            <w:tcW w:w="2180" w:type="dxa"/>
            <w:vAlign w:val="bottom"/>
          </w:tcPr>
          <w:p>
            <w:pPr>
              <w:spacing w:after="0"/>
              <w:rPr>
                <w:sz w:val="17"/>
                <w:szCs w:val="17"/>
                <w:color w:val="auto"/>
              </w:rPr>
            </w:pPr>
          </w:p>
        </w:tc>
        <w:tc>
          <w:tcPr>
            <w:tcW w:w="1540" w:type="dxa"/>
            <w:vAlign w:val="bottom"/>
            <w:gridSpan w:val="2"/>
          </w:tcPr>
          <w:p>
            <w:pPr>
              <w:jc w:val="center"/>
              <w:ind w:left="70"/>
              <w:spacing w:after="0" w:line="202" w:lineRule="exact"/>
              <w:rPr>
                <w:sz w:val="20"/>
                <w:szCs w:val="20"/>
                <w:color w:val="auto"/>
              </w:rPr>
            </w:pPr>
            <w:r>
              <w:rPr>
                <w:rFonts w:ascii="Arial" w:cs="Arial" w:eastAsia="Arial" w:hAnsi="Arial"/>
                <w:sz w:val="18"/>
                <w:szCs w:val="18"/>
                <w:b w:val="1"/>
                <w:bCs w:val="1"/>
                <w:color w:val="auto"/>
                <w:w w:val="97"/>
              </w:rPr>
              <w:t>Total Other</w:t>
            </w:r>
          </w:p>
        </w:tc>
      </w:tr>
      <w:tr>
        <w:trPr>
          <w:trHeight w:val="203"/>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50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Translation</w:t>
            </w:r>
          </w:p>
        </w:tc>
        <w:tc>
          <w:tcPr>
            <w:tcW w:w="16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liability</w:t>
            </w:r>
          </w:p>
        </w:tc>
        <w:tc>
          <w:tcPr>
            <w:tcW w:w="2180" w:type="dxa"/>
            <w:vAlign w:val="bottom"/>
          </w:tcPr>
          <w:p>
            <w:pPr>
              <w:jc w:val="right"/>
              <w:ind w:right="570"/>
              <w:spacing w:after="0" w:line="202" w:lineRule="exact"/>
              <w:rPr>
                <w:sz w:val="20"/>
                <w:szCs w:val="20"/>
                <w:color w:val="auto"/>
              </w:rPr>
            </w:pPr>
            <w:r>
              <w:rPr>
                <w:rFonts w:ascii="Arial" w:cs="Arial" w:eastAsia="Arial" w:hAnsi="Arial"/>
                <w:sz w:val="18"/>
                <w:szCs w:val="18"/>
                <w:b w:val="1"/>
                <w:bCs w:val="1"/>
                <w:color w:val="auto"/>
              </w:rPr>
              <w:t>Derivative</w:t>
            </w:r>
          </w:p>
        </w:tc>
        <w:tc>
          <w:tcPr>
            <w:tcW w:w="1540" w:type="dxa"/>
            <w:vAlign w:val="bottom"/>
            <w:gridSpan w:val="2"/>
          </w:tcPr>
          <w:p>
            <w:pPr>
              <w:jc w:val="center"/>
              <w:ind w:left="90"/>
              <w:spacing w:after="0" w:line="202" w:lineRule="exact"/>
              <w:rPr>
                <w:sz w:val="20"/>
                <w:szCs w:val="20"/>
                <w:color w:val="auto"/>
              </w:rPr>
            </w:pPr>
            <w:r>
              <w:rPr>
                <w:rFonts w:ascii="Arial" w:cs="Arial" w:eastAsia="Arial" w:hAnsi="Arial"/>
                <w:sz w:val="18"/>
                <w:szCs w:val="18"/>
                <w:b w:val="1"/>
                <w:bCs w:val="1"/>
                <w:color w:val="auto"/>
              </w:rPr>
              <w:t>Comprehensive</w:t>
            </w:r>
          </w:p>
        </w:tc>
      </w:tr>
      <w:tr>
        <w:trPr>
          <w:trHeight w:val="227"/>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1500" w:type="dxa"/>
            <w:vAlign w:val="bottom"/>
          </w:tcPr>
          <w:p>
            <w:pPr>
              <w:jc w:val="right"/>
              <w:ind w:right="90"/>
              <w:spacing w:after="0"/>
              <w:rPr>
                <w:sz w:val="20"/>
                <w:szCs w:val="20"/>
                <w:color w:val="auto"/>
              </w:rPr>
            </w:pPr>
            <w:r>
              <w:rPr>
                <w:rFonts w:ascii="Arial" w:cs="Arial" w:eastAsia="Arial" w:hAnsi="Arial"/>
                <w:sz w:val="18"/>
                <w:szCs w:val="18"/>
                <w:b w:val="1"/>
                <w:bCs w:val="1"/>
                <w:color w:val="auto"/>
              </w:rPr>
              <w:t>adjustments</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9"/>
              </w:rPr>
              <w:t>adjustments</w:t>
            </w:r>
          </w:p>
        </w:tc>
        <w:tc>
          <w:tcPr>
            <w:tcW w:w="2180" w:type="dxa"/>
            <w:vAlign w:val="bottom"/>
          </w:tcPr>
          <w:p>
            <w:pPr>
              <w:jc w:val="right"/>
              <w:ind w:right="110"/>
              <w:spacing w:after="0"/>
              <w:rPr>
                <w:sz w:val="20"/>
                <w:szCs w:val="20"/>
                <w:color w:val="auto"/>
              </w:rPr>
            </w:pPr>
            <w:r>
              <w:rPr>
                <w:rFonts w:ascii="Arial" w:cs="Arial" w:eastAsia="Arial" w:hAnsi="Arial"/>
                <w:sz w:val="18"/>
                <w:szCs w:val="18"/>
                <w:b w:val="1"/>
                <w:bCs w:val="1"/>
                <w:color w:val="auto"/>
              </w:rPr>
              <w:t>valuation adjustment</w:t>
            </w:r>
          </w:p>
        </w:tc>
        <w:tc>
          <w:tcPr>
            <w:tcW w:w="154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99"/>
              </w:rPr>
              <w:t>Income/(loss)</w:t>
            </w:r>
          </w:p>
        </w:tc>
      </w:tr>
      <w:tr>
        <w:trPr>
          <w:trHeight w:val="196"/>
        </w:trPr>
        <w:tc>
          <w:tcPr>
            <w:tcW w:w="4580" w:type="dxa"/>
            <w:vAlign w:val="bottom"/>
            <w:tcBorders>
              <w:top w:val="single" w:sz="8" w:color="auto"/>
              <w:bottom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rPr>
              <w:t>December 31, 2014</w:t>
            </w:r>
          </w:p>
        </w:tc>
        <w:tc>
          <w:tcPr>
            <w:tcW w:w="1500" w:type="dxa"/>
            <w:vAlign w:val="bottom"/>
            <w:tcBorders>
              <w:top w:val="single" w:sz="8" w:color="auto"/>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($55,240)</w:t>
            </w:r>
          </w:p>
        </w:tc>
        <w:tc>
          <w:tcPr>
            <w:tcW w:w="1640" w:type="dxa"/>
            <w:vAlign w:val="bottom"/>
            <w:tcBorders>
              <w:top w:val="single" w:sz="8" w:color="auto"/>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($51,666)</w:t>
            </w:r>
          </w:p>
        </w:tc>
        <w:tc>
          <w:tcPr>
            <w:tcW w:w="2180" w:type="dxa"/>
            <w:vAlign w:val="bottom"/>
            <w:tcBorders>
              <w:top w:val="single" w:sz="8" w:color="auto"/>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($861)</w:t>
            </w:r>
          </w:p>
        </w:tc>
        <w:tc>
          <w:tcPr>
            <w:tcW w:w="152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($107,767)</w:t>
            </w:r>
          </w:p>
        </w:tc>
        <w:tc>
          <w:tcPr>
            <w:tcW w:w="20" w:type="dxa"/>
            <w:vAlign w:val="bottom"/>
          </w:tcPr>
          <w:p>
            <w:pPr>
              <w:spacing w:after="0"/>
              <w:rPr>
                <w:sz w:val="17"/>
                <w:szCs w:val="17"/>
                <w:color w:val="auto"/>
              </w:rPr>
            </w:pPr>
          </w:p>
        </w:tc>
      </w:tr>
      <w:tr>
        <w:trPr>
          <w:trHeight w:val="173"/>
        </w:trPr>
        <w:tc>
          <w:tcPr>
            <w:tcW w:w="4580" w:type="dxa"/>
            <w:vAlign w:val="bottom"/>
            <w:gridSpan w:val="2"/>
          </w:tcPr>
          <w:p>
            <w:pPr>
              <w:spacing w:after="0" w:line="173" w:lineRule="exact"/>
              <w:rPr>
                <w:sz w:val="20"/>
                <w:szCs w:val="20"/>
                <w:color w:val="auto"/>
              </w:rPr>
            </w:pPr>
            <w:r>
              <w:rPr>
                <w:rFonts w:ascii="Arial" w:cs="Arial" w:eastAsia="Arial" w:hAnsi="Arial"/>
                <w:sz w:val="18"/>
                <w:szCs w:val="18"/>
                <w:color w:val="auto"/>
              </w:rPr>
              <w:t>Other comprehensive income/(loss) before</w:t>
            </w:r>
          </w:p>
        </w:tc>
        <w:tc>
          <w:tcPr>
            <w:tcW w:w="15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4560" w:type="dxa"/>
            <w:vAlign w:val="bottom"/>
          </w:tcPr>
          <w:p>
            <w:pPr>
              <w:ind w:left="160"/>
              <w:spacing w:after="0" w:line="202" w:lineRule="exact"/>
              <w:rPr>
                <w:sz w:val="20"/>
                <w:szCs w:val="20"/>
                <w:color w:val="auto"/>
              </w:rPr>
            </w:pPr>
            <w:r>
              <w:rPr>
                <w:rFonts w:ascii="Arial" w:cs="Arial" w:eastAsia="Arial" w:hAnsi="Arial"/>
                <w:sz w:val="18"/>
                <w:szCs w:val="18"/>
                <w:color w:val="auto"/>
              </w:rPr>
              <w:t>reclassifications</w:t>
            </w:r>
          </w:p>
        </w:tc>
        <w:tc>
          <w:tcPr>
            <w:tcW w:w="150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(26,023)</w:t>
            </w:r>
          </w:p>
        </w:tc>
        <w:tc>
          <w:tcPr>
            <w:tcW w:w="164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1,125</w:t>
            </w:r>
          </w:p>
        </w:tc>
        <w:tc>
          <w:tcPr>
            <w:tcW w:w="218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(744)</w:t>
            </w:r>
          </w:p>
        </w:tc>
        <w:tc>
          <w:tcPr>
            <w:tcW w:w="152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(25,642)</w:t>
            </w:r>
          </w:p>
        </w:tc>
        <w:tc>
          <w:tcPr>
            <w:tcW w:w="20" w:type="dxa"/>
            <w:vAlign w:val="bottom"/>
          </w:tcPr>
          <w:p>
            <w:pPr>
              <w:spacing w:after="0"/>
              <w:rPr>
                <w:sz w:val="17"/>
                <w:szCs w:val="17"/>
                <w:color w:val="auto"/>
              </w:rPr>
            </w:pPr>
          </w:p>
        </w:tc>
      </w:tr>
      <w:tr>
        <w:trPr>
          <w:trHeight w:val="203"/>
        </w:trPr>
        <w:tc>
          <w:tcPr>
            <w:tcW w:w="4580" w:type="dxa"/>
            <w:vAlign w:val="bottom"/>
            <w:gridSpan w:val="2"/>
          </w:tcPr>
          <w:p>
            <w:pPr>
              <w:spacing w:after="0" w:line="202" w:lineRule="exact"/>
              <w:rPr>
                <w:sz w:val="20"/>
                <w:szCs w:val="20"/>
                <w:color w:val="auto"/>
              </w:rPr>
            </w:pPr>
            <w:r>
              <w:rPr>
                <w:rFonts w:ascii="Arial" w:cs="Arial" w:eastAsia="Arial" w:hAnsi="Arial"/>
                <w:sz w:val="18"/>
                <w:szCs w:val="18"/>
                <w:color w:val="auto"/>
              </w:rPr>
              <w:t>Interest expense related to swaps reclassified to the</w:t>
            </w:r>
          </w:p>
        </w:tc>
        <w:tc>
          <w:tcPr>
            <w:tcW w:w="15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560" w:type="dxa"/>
            <w:vAlign w:val="bottom"/>
          </w:tcPr>
          <w:p>
            <w:pPr>
              <w:ind w:left="160"/>
              <w:spacing w:after="0" w:line="202" w:lineRule="exact"/>
              <w:rPr>
                <w:sz w:val="20"/>
                <w:szCs w:val="20"/>
                <w:color w:val="auto"/>
              </w:rPr>
            </w:pPr>
            <w:r>
              <w:rPr>
                <w:rFonts w:ascii="Arial" w:cs="Arial" w:eastAsia="Arial" w:hAnsi="Arial"/>
                <w:sz w:val="18"/>
                <w:szCs w:val="18"/>
                <w:color w:val="auto"/>
              </w:rPr>
              <w:t>Statement of Income, net of tax</w:t>
            </w:r>
          </w:p>
        </w:tc>
        <w:tc>
          <w:tcPr>
            <w:tcW w:w="15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18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581</w:t>
            </w:r>
          </w:p>
        </w:tc>
        <w:tc>
          <w:tcPr>
            <w:tcW w:w="15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581</w:t>
            </w:r>
          </w:p>
        </w:tc>
        <w:tc>
          <w:tcPr>
            <w:tcW w:w="20" w:type="dxa"/>
            <w:vAlign w:val="bottom"/>
          </w:tcPr>
          <w:p>
            <w:pPr>
              <w:spacing w:after="0"/>
              <w:rPr>
                <w:sz w:val="17"/>
                <w:szCs w:val="17"/>
                <w:color w:val="auto"/>
              </w:rPr>
            </w:pPr>
          </w:p>
        </w:tc>
      </w:tr>
      <w:tr>
        <w:trPr>
          <w:trHeight w:val="203"/>
        </w:trPr>
        <w:tc>
          <w:tcPr>
            <w:tcW w:w="4580" w:type="dxa"/>
            <w:vAlign w:val="bottom"/>
            <w:gridSpan w:val="2"/>
          </w:tcPr>
          <w:p>
            <w:pPr>
              <w:spacing w:after="0" w:line="202" w:lineRule="exact"/>
              <w:rPr>
                <w:sz w:val="20"/>
                <w:szCs w:val="20"/>
                <w:color w:val="auto"/>
              </w:rPr>
            </w:pPr>
            <w:r>
              <w:rPr>
                <w:rFonts w:ascii="Arial" w:cs="Arial" w:eastAsia="Arial" w:hAnsi="Arial"/>
                <w:sz w:val="18"/>
                <w:szCs w:val="18"/>
                <w:color w:val="auto"/>
              </w:rPr>
              <w:t>Pension and postretirement liability adjustments</w:t>
            </w:r>
          </w:p>
        </w:tc>
        <w:tc>
          <w:tcPr>
            <w:tcW w:w="15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4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reclassified to Statement of Income, net of tax</w:t>
            </w:r>
          </w:p>
        </w:tc>
        <w:tc>
          <w:tcPr>
            <w:tcW w:w="15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485</w:t>
            </w:r>
          </w:p>
        </w:tc>
        <w:tc>
          <w:tcPr>
            <w:tcW w:w="2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485</w:t>
            </w:r>
          </w:p>
        </w:tc>
        <w:tc>
          <w:tcPr>
            <w:tcW w:w="20" w:type="dxa"/>
            <w:vAlign w:val="bottom"/>
          </w:tcPr>
          <w:p>
            <w:pPr>
              <w:spacing w:after="0"/>
              <w:rPr>
                <w:sz w:val="19"/>
                <w:szCs w:val="19"/>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45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current period other comprehensive income/(loss)</w:t>
            </w:r>
          </w:p>
        </w:tc>
        <w:tc>
          <w:tcPr>
            <w:tcW w:w="15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(26,023)</w:t>
            </w:r>
          </w:p>
        </w:tc>
        <w:tc>
          <w:tcPr>
            <w:tcW w:w="164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rPr>
              <w:t>1,610</w:t>
            </w:r>
          </w:p>
        </w:tc>
        <w:tc>
          <w:tcPr>
            <w:tcW w:w="218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rPr>
              <w:t>(163)</w:t>
            </w:r>
          </w:p>
        </w:tc>
        <w:tc>
          <w:tcPr>
            <w:tcW w:w="152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(24,576)</w:t>
            </w:r>
          </w:p>
        </w:tc>
        <w:tc>
          <w:tcPr>
            <w:tcW w:w="20" w:type="dxa"/>
            <w:vAlign w:val="bottom"/>
          </w:tcPr>
          <w:p>
            <w:pPr>
              <w:spacing w:after="0"/>
              <w:rPr>
                <w:sz w:val="17"/>
                <w:szCs w:val="17"/>
                <w:color w:val="auto"/>
              </w:rPr>
            </w:pPr>
          </w:p>
        </w:tc>
      </w:tr>
      <w:tr>
        <w:trPr>
          <w:trHeight w:val="196"/>
        </w:trPr>
        <w:tc>
          <w:tcPr>
            <w:tcW w:w="458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rPr>
              <w:t>June 30, 2015</w:t>
            </w:r>
          </w:p>
        </w:tc>
        <w:tc>
          <w:tcPr>
            <w:tcW w:w="15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($81,263)</w:t>
            </w:r>
          </w:p>
        </w:tc>
        <w:tc>
          <w:tcPr>
            <w:tcW w:w="164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($50,056)</w:t>
            </w:r>
          </w:p>
        </w:tc>
        <w:tc>
          <w:tcPr>
            <w:tcW w:w="218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($1,024)</w:t>
            </w:r>
          </w:p>
        </w:tc>
        <w:tc>
          <w:tcPr>
            <w:tcW w:w="152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($132,343)</w:t>
            </w:r>
          </w:p>
        </w:tc>
        <w:tc>
          <w:tcPr>
            <w:tcW w:w="20" w:type="dxa"/>
            <w:vAlign w:val="bottom"/>
          </w:tcPr>
          <w:p>
            <w:pPr>
              <w:spacing w:after="0"/>
              <w:rPr>
                <w:sz w:val="17"/>
                <w:szCs w:val="17"/>
                <w:color w:val="auto"/>
              </w:rPr>
            </w:pPr>
          </w:p>
        </w:tc>
      </w:tr>
    </w:tbl>
    <w:p>
      <w:pPr>
        <w:spacing w:after="0" w:line="3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changes in the components of AOCI for the period December 31, 2013 to June 30, 2014:</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456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Pension and</w:t>
            </w:r>
          </w:p>
        </w:tc>
        <w:tc>
          <w:tcPr>
            <w:tcW w:w="218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postretirement</w:t>
            </w:r>
          </w:p>
        </w:tc>
        <w:tc>
          <w:tcPr>
            <w:tcW w:w="2180" w:type="dxa"/>
            <w:vAlign w:val="bottom"/>
          </w:tcPr>
          <w:p>
            <w:pPr>
              <w:spacing w:after="0"/>
              <w:rPr>
                <w:sz w:val="17"/>
                <w:szCs w:val="17"/>
                <w:color w:val="auto"/>
              </w:rPr>
            </w:pPr>
          </w:p>
        </w:tc>
        <w:tc>
          <w:tcPr>
            <w:tcW w:w="1540" w:type="dxa"/>
            <w:vAlign w:val="bottom"/>
            <w:gridSpan w:val="2"/>
          </w:tcPr>
          <w:p>
            <w:pPr>
              <w:jc w:val="center"/>
              <w:ind w:left="70"/>
              <w:spacing w:after="0" w:line="202" w:lineRule="exact"/>
              <w:rPr>
                <w:sz w:val="20"/>
                <w:szCs w:val="20"/>
                <w:color w:val="auto"/>
              </w:rPr>
            </w:pPr>
            <w:r>
              <w:rPr>
                <w:rFonts w:ascii="Arial" w:cs="Arial" w:eastAsia="Arial" w:hAnsi="Arial"/>
                <w:sz w:val="18"/>
                <w:szCs w:val="18"/>
                <w:b w:val="1"/>
                <w:bCs w:val="1"/>
                <w:color w:val="auto"/>
                <w:w w:val="97"/>
              </w:rPr>
              <w:t>Total Other</w:t>
            </w:r>
          </w:p>
        </w:tc>
      </w:tr>
      <w:tr>
        <w:trPr>
          <w:trHeight w:val="203"/>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50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Translation</w:t>
            </w:r>
          </w:p>
        </w:tc>
        <w:tc>
          <w:tcPr>
            <w:tcW w:w="16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liability</w:t>
            </w:r>
          </w:p>
        </w:tc>
        <w:tc>
          <w:tcPr>
            <w:tcW w:w="2180" w:type="dxa"/>
            <w:vAlign w:val="bottom"/>
          </w:tcPr>
          <w:p>
            <w:pPr>
              <w:jc w:val="right"/>
              <w:ind w:right="570"/>
              <w:spacing w:after="0" w:line="202" w:lineRule="exact"/>
              <w:rPr>
                <w:sz w:val="20"/>
                <w:szCs w:val="20"/>
                <w:color w:val="auto"/>
              </w:rPr>
            </w:pPr>
            <w:r>
              <w:rPr>
                <w:rFonts w:ascii="Arial" w:cs="Arial" w:eastAsia="Arial" w:hAnsi="Arial"/>
                <w:sz w:val="18"/>
                <w:szCs w:val="18"/>
                <w:b w:val="1"/>
                <w:bCs w:val="1"/>
                <w:color w:val="auto"/>
              </w:rPr>
              <w:t>Derivative</w:t>
            </w:r>
          </w:p>
        </w:tc>
        <w:tc>
          <w:tcPr>
            <w:tcW w:w="1540" w:type="dxa"/>
            <w:vAlign w:val="bottom"/>
            <w:gridSpan w:val="2"/>
          </w:tcPr>
          <w:p>
            <w:pPr>
              <w:jc w:val="center"/>
              <w:ind w:left="90"/>
              <w:spacing w:after="0" w:line="202" w:lineRule="exact"/>
              <w:rPr>
                <w:sz w:val="20"/>
                <w:szCs w:val="20"/>
                <w:color w:val="auto"/>
              </w:rPr>
            </w:pPr>
            <w:r>
              <w:rPr>
                <w:rFonts w:ascii="Arial" w:cs="Arial" w:eastAsia="Arial" w:hAnsi="Arial"/>
                <w:sz w:val="18"/>
                <w:szCs w:val="18"/>
                <w:b w:val="1"/>
                <w:bCs w:val="1"/>
                <w:color w:val="auto"/>
              </w:rPr>
              <w:t>Comprehensive</w:t>
            </w:r>
          </w:p>
        </w:tc>
      </w:tr>
      <w:tr>
        <w:trPr>
          <w:trHeight w:val="227"/>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1500" w:type="dxa"/>
            <w:vAlign w:val="bottom"/>
          </w:tcPr>
          <w:p>
            <w:pPr>
              <w:jc w:val="right"/>
              <w:ind w:right="90"/>
              <w:spacing w:after="0"/>
              <w:rPr>
                <w:sz w:val="20"/>
                <w:szCs w:val="20"/>
                <w:color w:val="auto"/>
              </w:rPr>
            </w:pPr>
            <w:r>
              <w:rPr>
                <w:rFonts w:ascii="Arial" w:cs="Arial" w:eastAsia="Arial" w:hAnsi="Arial"/>
                <w:sz w:val="18"/>
                <w:szCs w:val="18"/>
                <w:b w:val="1"/>
                <w:bCs w:val="1"/>
                <w:color w:val="auto"/>
              </w:rPr>
              <w:t>adjustments</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9"/>
              </w:rPr>
              <w:t>adjustments</w:t>
            </w:r>
          </w:p>
        </w:tc>
        <w:tc>
          <w:tcPr>
            <w:tcW w:w="2180" w:type="dxa"/>
            <w:vAlign w:val="bottom"/>
          </w:tcPr>
          <w:p>
            <w:pPr>
              <w:jc w:val="right"/>
              <w:ind w:right="110"/>
              <w:spacing w:after="0"/>
              <w:rPr>
                <w:sz w:val="20"/>
                <w:szCs w:val="20"/>
                <w:color w:val="auto"/>
              </w:rPr>
            </w:pPr>
            <w:r>
              <w:rPr>
                <w:rFonts w:ascii="Arial" w:cs="Arial" w:eastAsia="Arial" w:hAnsi="Arial"/>
                <w:sz w:val="18"/>
                <w:szCs w:val="18"/>
                <w:b w:val="1"/>
                <w:bCs w:val="1"/>
                <w:color w:val="auto"/>
              </w:rPr>
              <w:t>valuation adjustment</w:t>
            </w:r>
          </w:p>
        </w:tc>
        <w:tc>
          <w:tcPr>
            <w:tcW w:w="154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99"/>
              </w:rPr>
              <w:t>Income/(loss)</w:t>
            </w:r>
          </w:p>
        </w:tc>
      </w:tr>
      <w:tr>
        <w:trPr>
          <w:trHeight w:val="196"/>
        </w:trPr>
        <w:tc>
          <w:tcPr>
            <w:tcW w:w="4580" w:type="dxa"/>
            <w:vAlign w:val="bottom"/>
            <w:tcBorders>
              <w:top w:val="single" w:sz="8" w:color="auto"/>
              <w:bottom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rPr>
              <w:t>December 31, 2013</w:t>
            </w:r>
          </w:p>
        </w:tc>
        <w:tc>
          <w:tcPr>
            <w:tcW w:w="1500" w:type="dxa"/>
            <w:vAlign w:val="bottom"/>
            <w:tcBorders>
              <w:top w:val="single" w:sz="8" w:color="auto"/>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($138)</w:t>
            </w:r>
          </w:p>
        </w:tc>
        <w:tc>
          <w:tcPr>
            <w:tcW w:w="1640" w:type="dxa"/>
            <w:vAlign w:val="bottom"/>
            <w:tcBorders>
              <w:top w:val="single" w:sz="8" w:color="auto"/>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($48,383)</w:t>
            </w:r>
          </w:p>
        </w:tc>
        <w:tc>
          <w:tcPr>
            <w:tcW w:w="2180" w:type="dxa"/>
            <w:vAlign w:val="bottom"/>
            <w:tcBorders>
              <w:top w:val="single" w:sz="8" w:color="auto"/>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($977)</w:t>
            </w:r>
          </w:p>
        </w:tc>
        <w:tc>
          <w:tcPr>
            <w:tcW w:w="152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($49,498)</w:t>
            </w:r>
          </w:p>
        </w:tc>
        <w:tc>
          <w:tcPr>
            <w:tcW w:w="20" w:type="dxa"/>
            <w:vAlign w:val="bottom"/>
          </w:tcPr>
          <w:p>
            <w:pPr>
              <w:spacing w:after="0"/>
              <w:rPr>
                <w:sz w:val="17"/>
                <w:szCs w:val="17"/>
                <w:color w:val="auto"/>
              </w:rPr>
            </w:pPr>
          </w:p>
        </w:tc>
      </w:tr>
      <w:tr>
        <w:trPr>
          <w:trHeight w:val="173"/>
        </w:trPr>
        <w:tc>
          <w:tcPr>
            <w:tcW w:w="4580" w:type="dxa"/>
            <w:vAlign w:val="bottom"/>
            <w:gridSpan w:val="2"/>
          </w:tcPr>
          <w:p>
            <w:pPr>
              <w:spacing w:after="0" w:line="173" w:lineRule="exact"/>
              <w:rPr>
                <w:sz w:val="20"/>
                <w:szCs w:val="20"/>
                <w:color w:val="auto"/>
              </w:rPr>
            </w:pPr>
            <w:r>
              <w:rPr>
                <w:rFonts w:ascii="Arial" w:cs="Arial" w:eastAsia="Arial" w:hAnsi="Arial"/>
                <w:sz w:val="18"/>
                <w:szCs w:val="18"/>
                <w:color w:val="auto"/>
              </w:rPr>
              <w:t>Other comprehensive income/(loss) before</w:t>
            </w:r>
          </w:p>
        </w:tc>
        <w:tc>
          <w:tcPr>
            <w:tcW w:w="15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4560" w:type="dxa"/>
            <w:vAlign w:val="bottom"/>
          </w:tcPr>
          <w:p>
            <w:pPr>
              <w:ind w:left="160"/>
              <w:spacing w:after="0" w:line="202" w:lineRule="exact"/>
              <w:rPr>
                <w:sz w:val="20"/>
                <w:szCs w:val="20"/>
                <w:color w:val="auto"/>
              </w:rPr>
            </w:pPr>
            <w:r>
              <w:rPr>
                <w:rFonts w:ascii="Arial" w:cs="Arial" w:eastAsia="Arial" w:hAnsi="Arial"/>
                <w:sz w:val="18"/>
                <w:szCs w:val="18"/>
                <w:color w:val="auto"/>
              </w:rPr>
              <w:t>reclassifications</w:t>
            </w:r>
          </w:p>
        </w:tc>
        <w:tc>
          <w:tcPr>
            <w:tcW w:w="150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(1,838)</w:t>
            </w:r>
          </w:p>
        </w:tc>
        <w:tc>
          <w:tcPr>
            <w:tcW w:w="164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(102)</w:t>
            </w:r>
          </w:p>
        </w:tc>
        <w:tc>
          <w:tcPr>
            <w:tcW w:w="218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(802)</w:t>
            </w:r>
          </w:p>
        </w:tc>
        <w:tc>
          <w:tcPr>
            <w:tcW w:w="152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(2,742)</w:t>
            </w:r>
          </w:p>
        </w:tc>
        <w:tc>
          <w:tcPr>
            <w:tcW w:w="20" w:type="dxa"/>
            <w:vAlign w:val="bottom"/>
          </w:tcPr>
          <w:p>
            <w:pPr>
              <w:spacing w:after="0"/>
              <w:rPr>
                <w:sz w:val="17"/>
                <w:szCs w:val="17"/>
                <w:color w:val="auto"/>
              </w:rPr>
            </w:pPr>
          </w:p>
        </w:tc>
      </w:tr>
      <w:tr>
        <w:trPr>
          <w:trHeight w:val="203"/>
        </w:trPr>
        <w:tc>
          <w:tcPr>
            <w:tcW w:w="4580" w:type="dxa"/>
            <w:vAlign w:val="bottom"/>
            <w:gridSpan w:val="2"/>
          </w:tcPr>
          <w:p>
            <w:pPr>
              <w:spacing w:after="0" w:line="202" w:lineRule="exact"/>
              <w:rPr>
                <w:sz w:val="20"/>
                <w:szCs w:val="20"/>
                <w:color w:val="auto"/>
              </w:rPr>
            </w:pPr>
            <w:r>
              <w:rPr>
                <w:rFonts w:ascii="Arial" w:cs="Arial" w:eastAsia="Arial" w:hAnsi="Arial"/>
                <w:sz w:val="18"/>
                <w:szCs w:val="18"/>
                <w:color w:val="auto"/>
              </w:rPr>
              <w:t>Interest expense related to swaps reclassified to the</w:t>
            </w:r>
          </w:p>
        </w:tc>
        <w:tc>
          <w:tcPr>
            <w:tcW w:w="15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560" w:type="dxa"/>
            <w:vAlign w:val="bottom"/>
          </w:tcPr>
          <w:p>
            <w:pPr>
              <w:ind w:left="160"/>
              <w:spacing w:after="0" w:line="202" w:lineRule="exact"/>
              <w:rPr>
                <w:sz w:val="20"/>
                <w:szCs w:val="20"/>
                <w:color w:val="auto"/>
              </w:rPr>
            </w:pPr>
            <w:r>
              <w:rPr>
                <w:rFonts w:ascii="Arial" w:cs="Arial" w:eastAsia="Arial" w:hAnsi="Arial"/>
                <w:sz w:val="18"/>
                <w:szCs w:val="18"/>
                <w:color w:val="auto"/>
              </w:rPr>
              <w:t>Statement of Income, net of tax</w:t>
            </w:r>
          </w:p>
        </w:tc>
        <w:tc>
          <w:tcPr>
            <w:tcW w:w="15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18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580</w:t>
            </w:r>
          </w:p>
        </w:tc>
        <w:tc>
          <w:tcPr>
            <w:tcW w:w="15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580</w:t>
            </w:r>
          </w:p>
        </w:tc>
        <w:tc>
          <w:tcPr>
            <w:tcW w:w="20" w:type="dxa"/>
            <w:vAlign w:val="bottom"/>
          </w:tcPr>
          <w:p>
            <w:pPr>
              <w:spacing w:after="0"/>
              <w:rPr>
                <w:sz w:val="17"/>
                <w:szCs w:val="17"/>
                <w:color w:val="auto"/>
              </w:rPr>
            </w:pPr>
          </w:p>
        </w:tc>
      </w:tr>
      <w:tr>
        <w:trPr>
          <w:trHeight w:val="203"/>
        </w:trPr>
        <w:tc>
          <w:tcPr>
            <w:tcW w:w="4580" w:type="dxa"/>
            <w:vAlign w:val="bottom"/>
            <w:gridSpan w:val="2"/>
          </w:tcPr>
          <w:p>
            <w:pPr>
              <w:spacing w:after="0" w:line="202" w:lineRule="exact"/>
              <w:rPr>
                <w:sz w:val="20"/>
                <w:szCs w:val="20"/>
                <w:color w:val="auto"/>
              </w:rPr>
            </w:pPr>
            <w:r>
              <w:rPr>
                <w:rFonts w:ascii="Arial" w:cs="Arial" w:eastAsia="Arial" w:hAnsi="Arial"/>
                <w:sz w:val="18"/>
                <w:szCs w:val="18"/>
                <w:color w:val="auto"/>
              </w:rPr>
              <w:t>Pension and postretirement liability adjustments</w:t>
            </w:r>
          </w:p>
        </w:tc>
        <w:tc>
          <w:tcPr>
            <w:tcW w:w="15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4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reclassified to Statement of Income, net of tax</w:t>
            </w:r>
          </w:p>
        </w:tc>
        <w:tc>
          <w:tcPr>
            <w:tcW w:w="15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280</w:t>
            </w:r>
          </w:p>
        </w:tc>
        <w:tc>
          <w:tcPr>
            <w:tcW w:w="2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280</w:t>
            </w:r>
          </w:p>
        </w:tc>
        <w:tc>
          <w:tcPr>
            <w:tcW w:w="20" w:type="dxa"/>
            <w:vAlign w:val="bottom"/>
          </w:tcPr>
          <w:p>
            <w:pPr>
              <w:spacing w:after="0"/>
              <w:rPr>
                <w:sz w:val="19"/>
                <w:szCs w:val="19"/>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45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current period other comprehensive income/(loss)</w:t>
            </w:r>
          </w:p>
        </w:tc>
        <w:tc>
          <w:tcPr>
            <w:tcW w:w="15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(1,838)</w:t>
            </w:r>
          </w:p>
        </w:tc>
        <w:tc>
          <w:tcPr>
            <w:tcW w:w="164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rPr>
              <w:t>178</w:t>
            </w:r>
          </w:p>
        </w:tc>
        <w:tc>
          <w:tcPr>
            <w:tcW w:w="218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rPr>
              <w:t>(222)</w:t>
            </w:r>
          </w:p>
        </w:tc>
        <w:tc>
          <w:tcPr>
            <w:tcW w:w="152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(1,882)</w:t>
            </w:r>
          </w:p>
        </w:tc>
        <w:tc>
          <w:tcPr>
            <w:tcW w:w="20" w:type="dxa"/>
            <w:vAlign w:val="bottom"/>
          </w:tcPr>
          <w:p>
            <w:pPr>
              <w:spacing w:after="0"/>
              <w:rPr>
                <w:sz w:val="17"/>
                <w:szCs w:val="17"/>
                <w:color w:val="auto"/>
              </w:rPr>
            </w:pPr>
          </w:p>
        </w:tc>
      </w:tr>
      <w:tr>
        <w:trPr>
          <w:trHeight w:val="196"/>
        </w:trPr>
        <w:tc>
          <w:tcPr>
            <w:tcW w:w="458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rPr>
              <w:t>June 30, 2014</w:t>
            </w:r>
          </w:p>
        </w:tc>
        <w:tc>
          <w:tcPr>
            <w:tcW w:w="15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($1,976)</w:t>
            </w:r>
          </w:p>
        </w:tc>
        <w:tc>
          <w:tcPr>
            <w:tcW w:w="164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($48,205)</w:t>
            </w:r>
          </w:p>
        </w:tc>
        <w:tc>
          <w:tcPr>
            <w:tcW w:w="218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($1,199)</w:t>
            </w:r>
          </w:p>
        </w:tc>
        <w:tc>
          <w:tcPr>
            <w:tcW w:w="152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($51,380)</w:t>
            </w:r>
          </w:p>
        </w:tc>
        <w:tc>
          <w:tcPr>
            <w:tcW w:w="20" w:type="dxa"/>
            <w:vAlign w:val="bottom"/>
          </w:tcPr>
          <w:p>
            <w:pPr>
              <w:spacing w:after="0"/>
              <w:rPr>
                <w:sz w:val="17"/>
                <w:szCs w:val="17"/>
                <w:color w:val="auto"/>
              </w:rPr>
            </w:pPr>
          </w:p>
        </w:tc>
      </w:tr>
    </w:tbl>
    <w:p>
      <w:pPr>
        <w:spacing w:after="0" w:line="369" w:lineRule="exact"/>
        <w:rPr>
          <w:sz w:val="20"/>
          <w:szCs w:val="20"/>
          <w:color w:val="auto"/>
        </w:rPr>
      </w:pPr>
    </w:p>
    <w:p>
      <w:pPr>
        <w:ind w:right="100" w:firstLine="648"/>
        <w:spacing w:after="0" w:line="276" w:lineRule="auto"/>
        <w:rPr>
          <w:sz w:val="20"/>
          <w:szCs w:val="20"/>
          <w:color w:val="auto"/>
        </w:rPr>
      </w:pPr>
      <w:r>
        <w:rPr>
          <w:rFonts w:ascii="Arial" w:cs="Arial" w:eastAsia="Arial" w:hAnsi="Arial"/>
          <w:sz w:val="18"/>
          <w:szCs w:val="18"/>
          <w:color w:val="auto"/>
        </w:rPr>
        <w:t>The table below presents the expense/(income) amounts reclassified, and the line items of the Statement of Income that were affected for the periods ended June 30, 2015 and 2014.</w:t>
      </w:r>
    </w:p>
    <w:p>
      <w:pPr>
        <w:spacing w:after="0" w:line="2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40"/>
          </w:cols>
          <w:pgMar w:left="240" w:top="1024" w:right="21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6200" w:type="dxa"/>
            <w:vAlign w:val="bottom"/>
            <w:tcBorders>
              <w:top w:val="single" w:sz="8" w:color="auto"/>
            </w:tcBorders>
          </w:tcPr>
          <w:p>
            <w:pPr>
              <w:spacing w:after="0"/>
              <w:rPr>
                <w:sz w:val="16"/>
                <w:szCs w:val="16"/>
                <w:color w:val="auto"/>
              </w:rPr>
            </w:pPr>
          </w:p>
        </w:tc>
        <w:tc>
          <w:tcPr>
            <w:tcW w:w="2880" w:type="dxa"/>
            <w:vAlign w:val="bottom"/>
            <w:tcBorders>
              <w:top w:val="single" w:sz="8" w:color="auto"/>
            </w:tcBorders>
            <w:gridSpan w:val="2"/>
          </w:tcPr>
          <w:p>
            <w:pPr>
              <w:jc w:val="right"/>
              <w:ind w:right="330"/>
              <w:spacing w:after="0" w:line="191" w:lineRule="exact"/>
              <w:rPr>
                <w:sz w:val="20"/>
                <w:szCs w:val="20"/>
                <w:color w:val="auto"/>
              </w:rPr>
            </w:pPr>
            <w:r>
              <w:rPr>
                <w:rFonts w:ascii="Arial" w:cs="Arial" w:eastAsia="Arial" w:hAnsi="Arial"/>
                <w:sz w:val="18"/>
                <w:szCs w:val="18"/>
                <w:b w:val="1"/>
                <w:bCs w:val="1"/>
                <w:color w:val="auto"/>
              </w:rPr>
              <w:t>Three months ended</w:t>
            </w:r>
          </w:p>
        </w:tc>
        <w:tc>
          <w:tcPr>
            <w:tcW w:w="2320" w:type="dxa"/>
            <w:vAlign w:val="bottom"/>
            <w:tcBorders>
              <w:top w:val="single" w:sz="8" w:color="auto"/>
            </w:tcBorders>
            <w:gridSpan w:val="2"/>
          </w:tcPr>
          <w:p>
            <w:pPr>
              <w:jc w:val="right"/>
              <w:ind w:right="170"/>
              <w:spacing w:after="0" w:line="191" w:lineRule="exact"/>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spacing w:after="0"/>
              <w:rPr>
                <w:sz w:val="17"/>
                <w:szCs w:val="17"/>
                <w:color w:val="auto"/>
              </w:rPr>
            </w:pPr>
          </w:p>
        </w:tc>
        <w:tc>
          <w:tcPr>
            <w:tcW w:w="2880" w:type="dxa"/>
            <w:vAlign w:val="bottom"/>
            <w:gridSpan w:val="2"/>
          </w:tcPr>
          <w:p>
            <w:pPr>
              <w:jc w:val="right"/>
              <w:ind w:right="830"/>
              <w:spacing w:after="0" w:line="202" w:lineRule="exact"/>
              <w:rPr>
                <w:sz w:val="20"/>
                <w:szCs w:val="20"/>
                <w:color w:val="auto"/>
              </w:rPr>
            </w:pPr>
            <w:r>
              <w:rPr>
                <w:rFonts w:ascii="Arial" w:cs="Arial" w:eastAsia="Arial" w:hAnsi="Arial"/>
                <w:sz w:val="18"/>
                <w:szCs w:val="18"/>
                <w:b w:val="1"/>
                <w:bCs w:val="1"/>
                <w:color w:val="auto"/>
              </w:rPr>
              <w:t>June 30,</w:t>
            </w:r>
          </w:p>
        </w:tc>
        <w:tc>
          <w:tcPr>
            <w:tcW w:w="2320" w:type="dxa"/>
            <w:vAlign w:val="bottom"/>
            <w:gridSpan w:val="2"/>
          </w:tcPr>
          <w:p>
            <w:pPr>
              <w:jc w:val="right"/>
              <w:ind w:right="570"/>
              <w:spacing w:after="0" w:line="202" w:lineRule="exact"/>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27"/>
        </w:trPr>
        <w:tc>
          <w:tcPr>
            <w:tcW w:w="6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15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3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2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171"/>
        </w:trPr>
        <w:tc>
          <w:tcPr>
            <w:tcW w:w="6220" w:type="dxa"/>
            <w:vAlign w:val="bottom"/>
            <w:gridSpan w:val="2"/>
          </w:tcPr>
          <w:p>
            <w:pPr>
              <w:spacing w:after="0" w:line="171" w:lineRule="exact"/>
              <w:rPr>
                <w:sz w:val="20"/>
                <w:szCs w:val="20"/>
                <w:color w:val="auto"/>
              </w:rPr>
            </w:pPr>
            <w:r>
              <w:rPr>
                <w:rFonts w:ascii="Arial" w:cs="Arial" w:eastAsia="Arial" w:hAnsi="Arial"/>
                <w:sz w:val="18"/>
                <w:szCs w:val="18"/>
                <w:b w:val="1"/>
                <w:bCs w:val="1"/>
                <w:color w:val="auto"/>
              </w:rPr>
              <w:t>Pretax Derivative valuation reclassified from Accumulated Other</w:t>
            </w:r>
          </w:p>
        </w:tc>
        <w:tc>
          <w:tcPr>
            <w:tcW w:w="15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200" w:type="dxa"/>
            <w:vAlign w:val="bottom"/>
          </w:tcPr>
          <w:p>
            <w:pPr>
              <w:ind w:left="160"/>
              <w:spacing w:after="0" w:line="205" w:lineRule="exact"/>
              <w:rPr>
                <w:sz w:val="20"/>
                <w:szCs w:val="20"/>
                <w:color w:val="auto"/>
              </w:rPr>
            </w:pPr>
            <w:r>
              <w:rPr>
                <w:rFonts w:ascii="Arial" w:cs="Arial" w:eastAsia="Arial" w:hAnsi="Arial"/>
                <w:sz w:val="18"/>
                <w:szCs w:val="18"/>
                <w:b w:val="1"/>
                <w:bCs w:val="1"/>
                <w:color w:val="auto"/>
              </w:rPr>
              <w:t>Comprehensive Income/(loss):</w:t>
            </w:r>
          </w:p>
        </w:tc>
        <w:tc>
          <w:tcPr>
            <w:tcW w:w="1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340"/>
              <w:spacing w:after="0" w:line="202" w:lineRule="exact"/>
              <w:rPr>
                <w:sz w:val="20"/>
                <w:szCs w:val="20"/>
                <w:color w:val="auto"/>
              </w:rPr>
            </w:pPr>
            <w:r>
              <w:rPr>
                <w:rFonts w:ascii="Arial" w:cs="Arial" w:eastAsia="Arial" w:hAnsi="Arial"/>
                <w:sz w:val="18"/>
                <w:szCs w:val="18"/>
                <w:color w:val="auto"/>
              </w:rPr>
              <w:t>Payments made on interest rate swaps included in Income</w:t>
            </w:r>
          </w:p>
        </w:tc>
        <w:tc>
          <w:tcPr>
            <w:tcW w:w="158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$467</w:t>
            </w:r>
          </w:p>
        </w:tc>
        <w:tc>
          <w:tcPr>
            <w:tcW w:w="1300" w:type="dxa"/>
            <w:vAlign w:val="bottom"/>
          </w:tcPr>
          <w:p>
            <w:pPr>
              <w:spacing w:after="0"/>
              <w:rPr>
                <w:sz w:val="17"/>
                <w:szCs w:val="17"/>
                <w:color w:val="auto"/>
              </w:rPr>
            </w:pPr>
          </w:p>
        </w:tc>
        <w:tc>
          <w:tcPr>
            <w:tcW w:w="128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$953</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00" w:type="dxa"/>
            <w:vAlign w:val="bottom"/>
          </w:tcPr>
          <w:p>
            <w:pPr>
              <w:ind w:left="520"/>
              <w:spacing w:after="0" w:line="201" w:lineRule="exact"/>
              <w:rPr>
                <w:sz w:val="20"/>
                <w:szCs w:val="20"/>
                <w:color w:val="auto"/>
              </w:rPr>
            </w:pPr>
            <w:r>
              <w:rPr>
                <w:rFonts w:ascii="Arial" w:cs="Arial" w:eastAsia="Arial" w:hAnsi="Arial"/>
                <w:sz w:val="18"/>
                <w:szCs w:val="18"/>
                <w:color w:val="auto"/>
              </w:rPr>
              <w:t>before taxes(a)</w:t>
            </w:r>
          </w:p>
        </w:tc>
        <w:tc>
          <w:tcPr>
            <w:tcW w:w="1580" w:type="dxa"/>
            <w:vAlign w:val="bottom"/>
            <w:vMerge w:val="continue"/>
          </w:tcPr>
          <w:p>
            <w:pPr>
              <w:spacing w:after="0"/>
              <w:rPr>
                <w:sz w:val="17"/>
                <w:szCs w:val="17"/>
                <w:color w:val="auto"/>
              </w:rPr>
            </w:pPr>
          </w:p>
        </w:tc>
        <w:tc>
          <w:tcPr>
            <w:tcW w:w="1300" w:type="dxa"/>
            <w:vAlign w:val="bottom"/>
          </w:tcPr>
          <w:p>
            <w:pPr>
              <w:jc w:val="right"/>
              <w:ind w:right="290"/>
              <w:spacing w:after="0" w:line="201" w:lineRule="exact"/>
              <w:rPr>
                <w:sz w:val="20"/>
                <w:szCs w:val="20"/>
                <w:color w:val="auto"/>
              </w:rPr>
            </w:pPr>
            <w:r>
              <w:rPr>
                <w:rFonts w:ascii="Arial" w:cs="Arial" w:eastAsia="Arial" w:hAnsi="Arial"/>
                <w:sz w:val="18"/>
                <w:szCs w:val="18"/>
                <w:color w:val="auto"/>
              </w:rPr>
              <w:t>$473</w:t>
            </w:r>
          </w:p>
        </w:tc>
        <w:tc>
          <w:tcPr>
            <w:tcW w:w="1280" w:type="dxa"/>
            <w:vAlign w:val="bottom"/>
            <w:vMerge w:val="continue"/>
          </w:tcPr>
          <w:p>
            <w:pPr>
              <w:spacing w:after="0"/>
              <w:rPr>
                <w:sz w:val="17"/>
                <w:szCs w:val="17"/>
                <w:color w:val="auto"/>
              </w:rPr>
            </w:pPr>
          </w:p>
        </w:tc>
        <w:tc>
          <w:tcPr>
            <w:tcW w:w="1040" w:type="dxa"/>
            <w:vAlign w:val="bottom"/>
          </w:tcPr>
          <w:p>
            <w:pPr>
              <w:jc w:val="right"/>
              <w:ind w:right="10"/>
              <w:spacing w:after="0" w:line="201" w:lineRule="exact"/>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Income tax effect</w:t>
            </w:r>
          </w:p>
        </w:tc>
        <w:tc>
          <w:tcPr>
            <w:tcW w:w="15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(182)</w:t>
            </w:r>
          </w:p>
        </w:tc>
        <w:tc>
          <w:tcPr>
            <w:tcW w:w="13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(184)</w:t>
            </w:r>
          </w:p>
        </w:tc>
        <w:tc>
          <w:tcPr>
            <w:tcW w:w="12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(372)</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200" w:type="dxa"/>
            <w:vAlign w:val="bottom"/>
          </w:tcPr>
          <w:p>
            <w:pPr>
              <w:spacing w:after="0" w:line="173" w:lineRule="exact"/>
              <w:rPr>
                <w:sz w:val="20"/>
                <w:szCs w:val="20"/>
                <w:color w:val="auto"/>
              </w:rPr>
            </w:pPr>
            <w:r>
              <w:rPr>
                <w:rFonts w:ascii="Arial" w:cs="Arial" w:eastAsia="Arial" w:hAnsi="Arial"/>
                <w:sz w:val="18"/>
                <w:szCs w:val="18"/>
                <w:color w:val="auto"/>
              </w:rPr>
              <w:t>Effect on net income due to items reclassified from Accumulated Other</w:t>
            </w:r>
          </w:p>
        </w:tc>
        <w:tc>
          <w:tcPr>
            <w:tcW w:w="158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$285</w:t>
            </w:r>
          </w:p>
        </w:tc>
        <w:tc>
          <w:tcPr>
            <w:tcW w:w="1300" w:type="dxa"/>
            <w:vAlign w:val="bottom"/>
          </w:tcPr>
          <w:p>
            <w:pPr>
              <w:spacing w:after="0"/>
              <w:rPr>
                <w:sz w:val="15"/>
                <w:szCs w:val="15"/>
                <w:color w:val="auto"/>
              </w:rPr>
            </w:pPr>
          </w:p>
        </w:tc>
        <w:tc>
          <w:tcPr>
            <w:tcW w:w="128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$581</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2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Comprehensive Income/(loss)</w:t>
            </w:r>
          </w:p>
        </w:tc>
        <w:tc>
          <w:tcPr>
            <w:tcW w:w="1580" w:type="dxa"/>
            <w:vAlign w:val="bottom"/>
            <w:tcBorders>
              <w:bottom w:val="single" w:sz="8" w:color="auto"/>
            </w:tcBorders>
            <w:vMerge w:val="continue"/>
          </w:tcPr>
          <w:p>
            <w:pPr>
              <w:spacing w:after="0"/>
              <w:rPr>
                <w:sz w:val="19"/>
                <w:szCs w:val="19"/>
                <w:color w:val="auto"/>
              </w:rPr>
            </w:pPr>
          </w:p>
        </w:tc>
        <w:tc>
          <w:tcPr>
            <w:tcW w:w="13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$289</w:t>
            </w:r>
          </w:p>
        </w:tc>
        <w:tc>
          <w:tcPr>
            <w:tcW w:w="128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374"/>
        </w:trPr>
        <w:tc>
          <w:tcPr>
            <w:tcW w:w="6220" w:type="dxa"/>
            <w:vAlign w:val="bottom"/>
            <w:gridSpan w:val="2"/>
          </w:tcPr>
          <w:p>
            <w:pPr>
              <w:spacing w:after="0"/>
              <w:rPr>
                <w:sz w:val="20"/>
                <w:szCs w:val="20"/>
                <w:color w:val="auto"/>
              </w:rPr>
            </w:pPr>
            <w:r>
              <w:rPr>
                <w:rFonts w:ascii="Arial" w:cs="Arial" w:eastAsia="Arial" w:hAnsi="Arial"/>
                <w:sz w:val="18"/>
                <w:szCs w:val="18"/>
                <w:b w:val="1"/>
                <w:bCs w:val="1"/>
                <w:color w:val="auto"/>
              </w:rPr>
              <w:t>Pretax pension and postretirement liabilities reclassified from</w:t>
            </w:r>
          </w:p>
        </w:tc>
        <w:tc>
          <w:tcPr>
            <w:tcW w:w="1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200" w:type="dxa"/>
            <w:vAlign w:val="bottom"/>
          </w:tcPr>
          <w:p>
            <w:pPr>
              <w:ind w:left="160"/>
              <w:spacing w:after="0" w:line="205" w:lineRule="exact"/>
              <w:rPr>
                <w:sz w:val="20"/>
                <w:szCs w:val="20"/>
                <w:color w:val="auto"/>
              </w:rPr>
            </w:pPr>
            <w:r>
              <w:rPr>
                <w:rFonts w:ascii="Arial" w:cs="Arial" w:eastAsia="Arial" w:hAnsi="Arial"/>
                <w:sz w:val="18"/>
                <w:szCs w:val="18"/>
                <w:b w:val="1"/>
                <w:bCs w:val="1"/>
                <w:color w:val="auto"/>
              </w:rPr>
              <w:t>Accumulated Other Comprehensive Income/(loss):</w:t>
            </w:r>
          </w:p>
        </w:tc>
        <w:tc>
          <w:tcPr>
            <w:tcW w:w="158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($1,111)</w:t>
            </w:r>
          </w:p>
        </w:tc>
        <w:tc>
          <w:tcPr>
            <w:tcW w:w="1300" w:type="dxa"/>
            <w:vAlign w:val="bottom"/>
          </w:tcPr>
          <w:p>
            <w:pPr>
              <w:spacing w:after="0"/>
              <w:rPr>
                <w:sz w:val="17"/>
                <w:szCs w:val="17"/>
                <w:color w:val="auto"/>
              </w:rPr>
            </w:pPr>
          </w:p>
        </w:tc>
        <w:tc>
          <w:tcPr>
            <w:tcW w:w="128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($2,220)</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00" w:type="dxa"/>
            <w:vAlign w:val="bottom"/>
          </w:tcPr>
          <w:p>
            <w:pPr>
              <w:ind w:left="340"/>
              <w:spacing w:after="0" w:line="201" w:lineRule="exact"/>
              <w:rPr>
                <w:sz w:val="20"/>
                <w:szCs w:val="20"/>
                <w:color w:val="auto"/>
              </w:rPr>
            </w:pPr>
            <w:r>
              <w:rPr>
                <w:rFonts w:ascii="Arial" w:cs="Arial" w:eastAsia="Arial" w:hAnsi="Arial"/>
                <w:sz w:val="18"/>
                <w:szCs w:val="18"/>
                <w:color w:val="auto"/>
              </w:rPr>
              <w:t>Amortization of prior service cost/(credit)</w:t>
            </w:r>
          </w:p>
        </w:tc>
        <w:tc>
          <w:tcPr>
            <w:tcW w:w="1580" w:type="dxa"/>
            <w:vAlign w:val="bottom"/>
            <w:vMerge w:val="continue"/>
          </w:tcPr>
          <w:p>
            <w:pPr>
              <w:spacing w:after="0"/>
              <w:rPr>
                <w:sz w:val="17"/>
                <w:szCs w:val="17"/>
                <w:color w:val="auto"/>
              </w:rPr>
            </w:pPr>
          </w:p>
        </w:tc>
        <w:tc>
          <w:tcPr>
            <w:tcW w:w="1300" w:type="dxa"/>
            <w:vAlign w:val="bottom"/>
          </w:tcPr>
          <w:p>
            <w:pPr>
              <w:jc w:val="right"/>
              <w:ind w:right="230"/>
              <w:spacing w:after="0" w:line="201" w:lineRule="exact"/>
              <w:rPr>
                <w:sz w:val="20"/>
                <w:szCs w:val="20"/>
                <w:color w:val="auto"/>
              </w:rPr>
            </w:pPr>
            <w:r>
              <w:rPr>
                <w:rFonts w:ascii="Arial" w:cs="Arial" w:eastAsia="Arial" w:hAnsi="Arial"/>
                <w:sz w:val="18"/>
                <w:szCs w:val="18"/>
                <w:color w:val="auto"/>
              </w:rPr>
              <w:t>($1,108)</w:t>
            </w:r>
          </w:p>
        </w:tc>
        <w:tc>
          <w:tcPr>
            <w:tcW w:w="1280" w:type="dxa"/>
            <w:vAlign w:val="bottom"/>
            <w:vMerge w:val="continue"/>
          </w:tcPr>
          <w:p>
            <w:pPr>
              <w:spacing w:after="0"/>
              <w:rPr>
                <w:sz w:val="17"/>
                <w:szCs w:val="17"/>
                <w:color w:val="auto"/>
              </w:rPr>
            </w:pPr>
          </w:p>
        </w:tc>
        <w:tc>
          <w:tcPr>
            <w:tcW w:w="1040" w:type="dxa"/>
            <w:vAlign w:val="bottom"/>
          </w:tcPr>
          <w:p>
            <w:pPr>
              <w:jc w:val="right"/>
              <w:spacing w:after="0" w:line="201" w:lineRule="exact"/>
              <w:rPr>
                <w:sz w:val="20"/>
                <w:szCs w:val="20"/>
                <w:color w:val="auto"/>
              </w:rPr>
            </w:pPr>
            <w:r>
              <w:rPr>
                <w:rFonts w:ascii="Arial" w:cs="Arial" w:eastAsia="Arial" w:hAnsi="Arial"/>
                <w:sz w:val="18"/>
                <w:szCs w:val="18"/>
                <w:color w:val="auto"/>
              </w:rPr>
              <w:t>($2,217)</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Amortization of net actuarial loss</w:t>
            </w:r>
          </w:p>
        </w:tc>
        <w:tc>
          <w:tcPr>
            <w:tcW w:w="15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1,461</w:t>
            </w:r>
          </w:p>
        </w:tc>
        <w:tc>
          <w:tcPr>
            <w:tcW w:w="13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1,355</w:t>
            </w:r>
          </w:p>
        </w:tc>
        <w:tc>
          <w:tcPr>
            <w:tcW w:w="12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2,966</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2,683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00" w:type="dxa"/>
            <w:vAlign w:val="bottom"/>
          </w:tcPr>
          <w:p>
            <w:pPr>
              <w:spacing w:after="0" w:line="171" w:lineRule="exact"/>
              <w:rPr>
                <w:sz w:val="20"/>
                <w:szCs w:val="20"/>
                <w:color w:val="auto"/>
              </w:rPr>
            </w:pPr>
            <w:r>
              <w:rPr>
                <w:rFonts w:ascii="Arial" w:cs="Arial" w:eastAsia="Arial" w:hAnsi="Arial"/>
                <w:sz w:val="18"/>
                <w:szCs w:val="18"/>
                <w:color w:val="auto"/>
              </w:rPr>
              <w:t>Total pretax amount reclassified (b)</w:t>
            </w:r>
          </w:p>
        </w:tc>
        <w:tc>
          <w:tcPr>
            <w:tcW w:w="1580" w:type="dxa"/>
            <w:vAlign w:val="bottom"/>
          </w:tcPr>
          <w:p>
            <w:pPr>
              <w:jc w:val="right"/>
              <w:ind w:right="290"/>
              <w:spacing w:after="0" w:line="171" w:lineRule="exact"/>
              <w:rPr>
                <w:sz w:val="20"/>
                <w:szCs w:val="20"/>
                <w:color w:val="auto"/>
              </w:rPr>
            </w:pPr>
            <w:r>
              <w:rPr>
                <w:rFonts w:ascii="Arial" w:cs="Arial" w:eastAsia="Arial" w:hAnsi="Arial"/>
                <w:sz w:val="18"/>
                <w:szCs w:val="18"/>
                <w:b w:val="1"/>
                <w:bCs w:val="1"/>
                <w:color w:val="auto"/>
              </w:rPr>
              <w:t>350</w:t>
            </w:r>
          </w:p>
        </w:tc>
        <w:tc>
          <w:tcPr>
            <w:tcW w:w="1300" w:type="dxa"/>
            <w:vAlign w:val="bottom"/>
          </w:tcPr>
          <w:p>
            <w:pPr>
              <w:jc w:val="right"/>
              <w:ind w:right="290"/>
              <w:spacing w:after="0" w:line="171" w:lineRule="exact"/>
              <w:rPr>
                <w:sz w:val="20"/>
                <w:szCs w:val="20"/>
                <w:color w:val="auto"/>
              </w:rPr>
            </w:pPr>
            <w:r>
              <w:rPr>
                <w:rFonts w:ascii="Arial" w:cs="Arial" w:eastAsia="Arial" w:hAnsi="Arial"/>
                <w:sz w:val="18"/>
                <w:szCs w:val="18"/>
                <w:color w:val="auto"/>
              </w:rPr>
              <w:t>247</w:t>
            </w:r>
          </w:p>
        </w:tc>
        <w:tc>
          <w:tcPr>
            <w:tcW w:w="1280" w:type="dxa"/>
            <w:vAlign w:val="bottom"/>
          </w:tcPr>
          <w:p>
            <w:pPr>
              <w:jc w:val="right"/>
              <w:ind w:right="270"/>
              <w:spacing w:after="0" w:line="171" w:lineRule="exact"/>
              <w:rPr>
                <w:sz w:val="20"/>
                <w:szCs w:val="20"/>
                <w:color w:val="auto"/>
              </w:rPr>
            </w:pPr>
            <w:r>
              <w:rPr>
                <w:rFonts w:ascii="Arial" w:cs="Arial" w:eastAsia="Arial" w:hAnsi="Arial"/>
                <w:sz w:val="18"/>
                <w:szCs w:val="18"/>
                <w:b w:val="1"/>
                <w:bCs w:val="1"/>
                <w:color w:val="auto"/>
              </w:rPr>
              <w:t>746</w:t>
            </w:r>
          </w:p>
        </w:tc>
        <w:tc>
          <w:tcPr>
            <w:tcW w:w="1040" w:type="dxa"/>
            <w:vAlign w:val="bottom"/>
          </w:tcPr>
          <w:p>
            <w:pPr>
              <w:jc w:val="right"/>
              <w:ind w:right="10"/>
              <w:spacing w:after="0" w:line="171" w:lineRule="exact"/>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27"/>
        </w:trPr>
        <w:tc>
          <w:tcPr>
            <w:tcW w:w="6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tax effect</w:t>
            </w:r>
          </w:p>
        </w:tc>
        <w:tc>
          <w:tcPr>
            <w:tcW w:w="15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(122)</w:t>
            </w:r>
          </w:p>
        </w:tc>
        <w:tc>
          <w:tcPr>
            <w:tcW w:w="13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(98)</w:t>
            </w:r>
          </w:p>
        </w:tc>
        <w:tc>
          <w:tcPr>
            <w:tcW w:w="12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(261)</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173"/>
        </w:trPr>
        <w:tc>
          <w:tcPr>
            <w:tcW w:w="6220" w:type="dxa"/>
            <w:vAlign w:val="bottom"/>
            <w:gridSpan w:val="2"/>
          </w:tcPr>
          <w:p>
            <w:pPr>
              <w:spacing w:after="0" w:line="173" w:lineRule="exact"/>
              <w:rPr>
                <w:sz w:val="20"/>
                <w:szCs w:val="20"/>
                <w:color w:val="auto"/>
              </w:rPr>
            </w:pPr>
            <w:r>
              <w:rPr>
                <w:rFonts w:ascii="Arial" w:cs="Arial" w:eastAsia="Arial" w:hAnsi="Arial"/>
                <w:sz w:val="18"/>
                <w:szCs w:val="18"/>
                <w:color w:val="auto"/>
              </w:rPr>
              <w:t>Effect on net income due to items reclassified from Accumulated Other</w:t>
            </w:r>
          </w:p>
        </w:tc>
        <w:tc>
          <w:tcPr>
            <w:tcW w:w="158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228</w:t>
            </w:r>
          </w:p>
        </w:tc>
        <w:tc>
          <w:tcPr>
            <w:tcW w:w="1300" w:type="dxa"/>
            <w:vAlign w:val="bottom"/>
          </w:tcPr>
          <w:p>
            <w:pPr>
              <w:spacing w:after="0"/>
              <w:rPr>
                <w:sz w:val="15"/>
                <w:szCs w:val="15"/>
                <w:color w:val="auto"/>
              </w:rPr>
            </w:pPr>
          </w:p>
        </w:tc>
        <w:tc>
          <w:tcPr>
            <w:tcW w:w="128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485</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2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Comprehensive Income/(loss)</w:t>
            </w:r>
          </w:p>
        </w:tc>
        <w:tc>
          <w:tcPr>
            <w:tcW w:w="1580" w:type="dxa"/>
            <w:vAlign w:val="bottom"/>
            <w:tcBorders>
              <w:bottom w:val="single" w:sz="8" w:color="auto"/>
            </w:tcBorders>
            <w:vMerge w:val="continue"/>
          </w:tcPr>
          <w:p>
            <w:pPr>
              <w:spacing w:after="0"/>
              <w:rPr>
                <w:sz w:val="19"/>
                <w:szCs w:val="19"/>
                <w:color w:val="auto"/>
              </w:rPr>
            </w:pPr>
          </w:p>
        </w:tc>
        <w:tc>
          <w:tcPr>
            <w:tcW w:w="13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149</w:t>
            </w:r>
          </w:p>
        </w:tc>
        <w:tc>
          <w:tcPr>
            <w:tcW w:w="128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bl>
    <w:p>
      <w:pPr>
        <w:spacing w:after="0" w:line="288"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Included in Interest expense.</w:t>
      </w:r>
    </w:p>
    <w:p>
      <w:pPr>
        <w:spacing w:after="0" w:line="17" w:lineRule="exact"/>
        <w:rPr>
          <w:rFonts w:ascii="Arial" w:cs="Arial" w:eastAsia="Arial" w:hAnsi="Arial"/>
          <w:sz w:val="18"/>
          <w:szCs w:val="18"/>
          <w:color w:val="auto"/>
        </w:rPr>
      </w:pPr>
    </w:p>
    <w:p>
      <w:pPr>
        <w:ind w:left="340" w:right="400" w:hanging="332"/>
        <w:spacing w:after="0" w:line="251"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These accumulated other comprehensive income/ (loss) components are included in the computation of net periodic pension cost (see Note 4).</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Accounts Receivable</w:t>
      </w:r>
    </w:p>
    <w:p>
      <w:pPr>
        <w:spacing w:after="0" w:line="185" w:lineRule="exact"/>
        <w:rPr>
          <w:sz w:val="20"/>
          <w:szCs w:val="20"/>
          <w:color w:val="auto"/>
        </w:rPr>
      </w:pPr>
    </w:p>
    <w:p>
      <w:pPr>
        <w:ind w:right="80" w:firstLine="648"/>
        <w:spacing w:after="0" w:line="245" w:lineRule="auto"/>
        <w:rPr>
          <w:sz w:val="20"/>
          <w:szCs w:val="20"/>
          <w:color w:val="auto"/>
        </w:rPr>
      </w:pPr>
      <w:r>
        <w:rPr>
          <w:rFonts w:ascii="Arial" w:cs="Arial" w:eastAsia="Arial" w:hAnsi="Arial"/>
          <w:sz w:val="18"/>
          <w:szCs w:val="18"/>
          <w:color w:val="auto"/>
        </w:rPr>
        <w:t>Accounts receivable includes trade receivables and revenue in excess of progress billings on long-term contracts in the Albany Engineered Composites business. The Company maintains allowances for doubtful accounts for estimated losses resulting from the inability of its customers to make required payments. The Company determines the allowance based on historical write-off experience, customer-specific facts and economic conditions. If the financial condition of the Company’s customers were to deteriorate, resulting in an impairment of their ability to make payments, additional allowances may be required.</w:t>
      </w:r>
    </w:p>
    <w:p>
      <w:pPr>
        <w:spacing w:after="0" w:line="3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2015 and December 31, 2014, Accounts receivable consisted of the following:</w:t>
      </w: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640" w:type="dxa"/>
            <w:vAlign w:val="bottom"/>
            <w:tcBorders>
              <w:top w:val="single" w:sz="8" w:color="auto"/>
            </w:tcBorders>
          </w:tcPr>
          <w:p>
            <w:pPr>
              <w:spacing w:after="0"/>
              <w:rPr>
                <w:sz w:val="16"/>
                <w:szCs w:val="16"/>
                <w:color w:val="auto"/>
              </w:rPr>
            </w:pPr>
          </w:p>
        </w:tc>
        <w:tc>
          <w:tcPr>
            <w:tcW w:w="4000" w:type="dxa"/>
            <w:vAlign w:val="bottom"/>
            <w:tcBorders>
              <w:top w:val="single" w:sz="8" w:color="auto"/>
            </w:tcBorders>
          </w:tcPr>
          <w:p>
            <w:pPr>
              <w:jc w:val="right"/>
              <w:ind w:right="630"/>
              <w:spacing w:after="0" w:line="191" w:lineRule="exact"/>
              <w:rPr>
                <w:sz w:val="20"/>
                <w:szCs w:val="20"/>
                <w:color w:val="auto"/>
              </w:rPr>
            </w:pPr>
            <w:r>
              <w:rPr>
                <w:rFonts w:ascii="Arial" w:cs="Arial" w:eastAsia="Arial" w:hAnsi="Arial"/>
                <w:sz w:val="18"/>
                <w:szCs w:val="18"/>
                <w:b w:val="1"/>
                <w:bCs w:val="1"/>
                <w:color w:val="auto"/>
              </w:rPr>
              <w:t>June 30,</w:t>
            </w:r>
          </w:p>
        </w:tc>
        <w:tc>
          <w:tcPr>
            <w:tcW w:w="178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December 31,</w:t>
            </w:r>
          </w:p>
        </w:tc>
      </w:tr>
      <w:tr>
        <w:trPr>
          <w:trHeight w:val="227"/>
        </w:trPr>
        <w:tc>
          <w:tcPr>
            <w:tcW w:w="5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400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2015</w:t>
            </w:r>
          </w:p>
        </w:tc>
        <w:tc>
          <w:tcPr>
            <w:tcW w:w="17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r>
      <w:tr>
        <w:trPr>
          <w:trHeight w:val="171"/>
        </w:trPr>
        <w:tc>
          <w:tcPr>
            <w:tcW w:w="5640" w:type="dxa"/>
            <w:vAlign w:val="bottom"/>
          </w:tcPr>
          <w:p>
            <w:pPr>
              <w:spacing w:after="0" w:line="171" w:lineRule="exact"/>
              <w:rPr>
                <w:sz w:val="20"/>
                <w:szCs w:val="20"/>
                <w:color w:val="auto"/>
              </w:rPr>
            </w:pPr>
            <w:r>
              <w:rPr>
                <w:rFonts w:ascii="Arial" w:cs="Arial" w:eastAsia="Arial" w:hAnsi="Arial"/>
                <w:sz w:val="18"/>
                <w:szCs w:val="18"/>
                <w:color w:val="auto"/>
              </w:rPr>
              <w:t>Trade and other accounts receivable</w:t>
            </w:r>
          </w:p>
        </w:tc>
        <w:tc>
          <w:tcPr>
            <w:tcW w:w="4000" w:type="dxa"/>
            <w:vAlign w:val="bottom"/>
          </w:tcPr>
          <w:p>
            <w:pPr>
              <w:jc w:val="right"/>
              <w:ind w:right="530"/>
              <w:spacing w:after="0" w:line="171" w:lineRule="exact"/>
              <w:rPr>
                <w:sz w:val="20"/>
                <w:szCs w:val="20"/>
                <w:color w:val="auto"/>
              </w:rPr>
            </w:pPr>
            <w:r>
              <w:rPr>
                <w:rFonts w:ascii="Arial" w:cs="Arial" w:eastAsia="Arial" w:hAnsi="Arial"/>
                <w:sz w:val="18"/>
                <w:szCs w:val="18"/>
                <w:b w:val="1"/>
                <w:bCs w:val="1"/>
                <w:color w:val="auto"/>
              </w:rPr>
              <w:t>$132,754</w:t>
            </w:r>
          </w:p>
        </w:tc>
        <w:tc>
          <w:tcPr>
            <w:tcW w:w="1780" w:type="dxa"/>
            <w:vAlign w:val="bottom"/>
          </w:tcPr>
          <w:p>
            <w:pPr>
              <w:jc w:val="right"/>
              <w:ind w:right="50"/>
              <w:spacing w:after="0" w:line="171" w:lineRule="exact"/>
              <w:rPr>
                <w:sz w:val="20"/>
                <w:szCs w:val="20"/>
                <w:color w:val="auto"/>
              </w:rPr>
            </w:pPr>
            <w:r>
              <w:rPr>
                <w:rFonts w:ascii="Arial" w:cs="Arial" w:eastAsia="Arial" w:hAnsi="Arial"/>
                <w:sz w:val="18"/>
                <w:szCs w:val="18"/>
                <w:color w:val="auto"/>
              </w:rPr>
              <w:t>$136,479</w:t>
            </w:r>
          </w:p>
        </w:tc>
      </w:tr>
      <w:tr>
        <w:trPr>
          <w:trHeight w:val="203"/>
        </w:trPr>
        <w:tc>
          <w:tcPr>
            <w:tcW w:w="5640" w:type="dxa"/>
            <w:vAlign w:val="bottom"/>
          </w:tcPr>
          <w:p>
            <w:pPr>
              <w:spacing w:after="0" w:line="202" w:lineRule="exact"/>
              <w:rPr>
                <w:sz w:val="20"/>
                <w:szCs w:val="20"/>
                <w:color w:val="auto"/>
              </w:rPr>
            </w:pPr>
            <w:r>
              <w:rPr>
                <w:rFonts w:ascii="Arial" w:cs="Arial" w:eastAsia="Arial" w:hAnsi="Arial"/>
                <w:sz w:val="18"/>
                <w:szCs w:val="18"/>
                <w:color w:val="auto"/>
              </w:rPr>
              <w:t>Bank promissory notes</w:t>
            </w:r>
          </w:p>
        </w:tc>
        <w:tc>
          <w:tcPr>
            <w:tcW w:w="4000" w:type="dxa"/>
            <w:vAlign w:val="bottom"/>
          </w:tcPr>
          <w:p>
            <w:pPr>
              <w:jc w:val="right"/>
              <w:ind w:right="530"/>
              <w:spacing w:after="0" w:line="202" w:lineRule="exact"/>
              <w:rPr>
                <w:sz w:val="20"/>
                <w:szCs w:val="20"/>
                <w:color w:val="auto"/>
              </w:rPr>
            </w:pPr>
            <w:r>
              <w:rPr>
                <w:rFonts w:ascii="Arial" w:cs="Arial" w:eastAsia="Arial" w:hAnsi="Arial"/>
                <w:sz w:val="18"/>
                <w:szCs w:val="18"/>
                <w:b w:val="1"/>
                <w:bCs w:val="1"/>
                <w:color w:val="auto"/>
              </w:rPr>
              <w:t>18,563</w:t>
            </w:r>
          </w:p>
        </w:tc>
        <w:tc>
          <w:tcPr>
            <w:tcW w:w="17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17,426</w:t>
            </w:r>
          </w:p>
        </w:tc>
      </w:tr>
      <w:tr>
        <w:trPr>
          <w:trHeight w:val="203"/>
        </w:trPr>
        <w:tc>
          <w:tcPr>
            <w:tcW w:w="5640" w:type="dxa"/>
            <w:vAlign w:val="bottom"/>
          </w:tcPr>
          <w:p>
            <w:pPr>
              <w:spacing w:after="0" w:line="202" w:lineRule="exact"/>
              <w:rPr>
                <w:sz w:val="20"/>
                <w:szCs w:val="20"/>
                <w:color w:val="auto"/>
              </w:rPr>
            </w:pPr>
            <w:r>
              <w:rPr>
                <w:rFonts w:ascii="Arial" w:cs="Arial" w:eastAsia="Arial" w:hAnsi="Arial"/>
                <w:sz w:val="18"/>
                <w:szCs w:val="18"/>
                <w:color w:val="auto"/>
              </w:rPr>
              <w:t>Revenue in excess of progress billings</w:t>
            </w:r>
          </w:p>
        </w:tc>
        <w:tc>
          <w:tcPr>
            <w:tcW w:w="4000" w:type="dxa"/>
            <w:vAlign w:val="bottom"/>
          </w:tcPr>
          <w:p>
            <w:pPr>
              <w:jc w:val="right"/>
              <w:ind w:right="530"/>
              <w:spacing w:after="0" w:line="202" w:lineRule="exact"/>
              <w:rPr>
                <w:sz w:val="20"/>
                <w:szCs w:val="20"/>
                <w:color w:val="auto"/>
              </w:rPr>
            </w:pPr>
            <w:r>
              <w:rPr>
                <w:rFonts w:ascii="Arial" w:cs="Arial" w:eastAsia="Arial" w:hAnsi="Arial"/>
                <w:sz w:val="18"/>
                <w:szCs w:val="18"/>
                <w:b w:val="1"/>
                <w:bCs w:val="1"/>
                <w:color w:val="auto"/>
              </w:rPr>
              <w:t>18,247</w:t>
            </w:r>
          </w:p>
        </w:tc>
        <w:tc>
          <w:tcPr>
            <w:tcW w:w="17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13,045</w:t>
            </w:r>
          </w:p>
        </w:tc>
      </w:tr>
      <w:tr>
        <w:trPr>
          <w:trHeight w:val="227"/>
        </w:trPr>
        <w:tc>
          <w:tcPr>
            <w:tcW w:w="5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Allowance for doubtful accounts</w:t>
            </w:r>
          </w:p>
        </w:tc>
        <w:tc>
          <w:tcPr>
            <w:tcW w:w="4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(8,567)</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(8,713)</w:t>
            </w:r>
          </w:p>
        </w:tc>
      </w:tr>
      <w:tr>
        <w:trPr>
          <w:trHeight w:val="196"/>
        </w:trPr>
        <w:tc>
          <w:tcPr>
            <w:tcW w:w="56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accounts receivable</w:t>
            </w:r>
          </w:p>
        </w:tc>
        <w:tc>
          <w:tcPr>
            <w:tcW w:w="400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b w:val="1"/>
                <w:bCs w:val="1"/>
                <w:color w:val="auto"/>
              </w:rPr>
              <w:t>$160,997</w:t>
            </w:r>
          </w:p>
        </w:tc>
        <w:tc>
          <w:tcPr>
            <w:tcW w:w="178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$158,237</w:t>
            </w:r>
          </w:p>
        </w:tc>
      </w:tr>
    </w:tbl>
    <w:p>
      <w:pPr>
        <w:spacing w:after="0" w:line="355"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18"/>
          <w:szCs w:val="18"/>
          <w:color w:val="auto"/>
        </w:rPr>
        <w:t>In connection with certain sales in Asia Pacific, the Company accepts a bank promissory note as customer payment. The notes may be presented for payment at maturity, which is less than one year.</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46"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11. Inventories</w:t>
      </w:r>
    </w:p>
    <w:p>
      <w:pPr>
        <w:spacing w:after="0" w:line="171" w:lineRule="exact"/>
        <w:rPr>
          <w:sz w:val="20"/>
          <w:szCs w:val="20"/>
          <w:color w:val="auto"/>
        </w:rPr>
      </w:pPr>
    </w:p>
    <w:p>
      <w:pPr>
        <w:ind w:right="40" w:firstLine="648"/>
        <w:spacing w:after="0" w:line="243" w:lineRule="auto"/>
        <w:rPr>
          <w:sz w:val="20"/>
          <w:szCs w:val="20"/>
          <w:color w:val="auto"/>
        </w:rPr>
      </w:pPr>
      <w:r>
        <w:rPr>
          <w:rFonts w:ascii="Arial" w:cs="Arial" w:eastAsia="Arial" w:hAnsi="Arial"/>
          <w:sz w:val="18"/>
          <w:szCs w:val="18"/>
          <w:color w:val="auto"/>
        </w:rPr>
        <w:t>Inventories are stated at the lower of cost or market, and are valued at average cost, net of reserves. Costs included in inventory are raw materials, labor, supplies, and allocable depreciation and overhead. The Company maintains reserves for possible impairment in the value of inventories. Such reserves can be specific to certain inventory, or general based on judgments about the overall condition of the inventory. General reserves are established based on percentage write-downs applied to aged inventories, or for inventories that are slow-moving. If actual results differ from estimates, additional inventory write-downs may be necessary. These general reserves for aged inventory are relieved through income only when the inventory is sold.</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2015 and December 31, 2014, inventories consisted of the following: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580" w:type="dxa"/>
            <w:vAlign w:val="bottom"/>
            <w:tcBorders>
              <w:top w:val="single" w:sz="8" w:color="auto"/>
            </w:tcBorders>
          </w:tcPr>
          <w:p>
            <w:pPr>
              <w:spacing w:after="0"/>
              <w:rPr>
                <w:sz w:val="16"/>
                <w:szCs w:val="16"/>
                <w:color w:val="auto"/>
              </w:rPr>
            </w:pPr>
          </w:p>
        </w:tc>
        <w:tc>
          <w:tcPr>
            <w:tcW w:w="4640" w:type="dxa"/>
            <w:vAlign w:val="bottom"/>
            <w:tcBorders>
              <w:top w:val="single" w:sz="8" w:color="auto"/>
            </w:tcBorders>
          </w:tcPr>
          <w:p>
            <w:pPr>
              <w:jc w:val="right"/>
              <w:ind w:right="550"/>
              <w:spacing w:after="0" w:line="191" w:lineRule="exact"/>
              <w:rPr>
                <w:sz w:val="20"/>
                <w:szCs w:val="20"/>
                <w:color w:val="auto"/>
              </w:rPr>
            </w:pPr>
            <w:r>
              <w:rPr>
                <w:rFonts w:ascii="Arial" w:cs="Arial" w:eastAsia="Arial" w:hAnsi="Arial"/>
                <w:sz w:val="18"/>
                <w:szCs w:val="18"/>
                <w:b w:val="1"/>
                <w:bCs w:val="1"/>
                <w:color w:val="auto"/>
              </w:rPr>
              <w:t>June 30,</w:t>
            </w:r>
          </w:p>
        </w:tc>
        <w:tc>
          <w:tcPr>
            <w:tcW w:w="2200" w:type="dxa"/>
            <w:vAlign w:val="bottom"/>
            <w:tcBorders>
              <w:top w:val="single" w:sz="8" w:color="auto"/>
            </w:tcBorders>
          </w:tcPr>
          <w:p>
            <w:pPr>
              <w:spacing w:after="0"/>
              <w:rPr>
                <w:sz w:val="16"/>
                <w:szCs w:val="16"/>
                <w:color w:val="auto"/>
              </w:rPr>
            </w:pPr>
          </w:p>
        </w:tc>
      </w:tr>
      <w:tr>
        <w:trPr>
          <w:trHeight w:val="227"/>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464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2015</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December 31, 2014</w:t>
            </w:r>
          </w:p>
        </w:tc>
      </w:tr>
      <w:tr>
        <w:trPr>
          <w:trHeight w:val="171"/>
        </w:trPr>
        <w:tc>
          <w:tcPr>
            <w:tcW w:w="4580" w:type="dxa"/>
            <w:vAlign w:val="bottom"/>
          </w:tcPr>
          <w:p>
            <w:pPr>
              <w:spacing w:after="0" w:line="171" w:lineRule="exact"/>
              <w:rPr>
                <w:sz w:val="20"/>
                <w:szCs w:val="20"/>
                <w:color w:val="auto"/>
              </w:rPr>
            </w:pPr>
            <w:r>
              <w:rPr>
                <w:rFonts w:ascii="Arial" w:cs="Arial" w:eastAsia="Arial" w:hAnsi="Arial"/>
                <w:sz w:val="18"/>
                <w:szCs w:val="18"/>
                <w:color w:val="auto"/>
              </w:rPr>
              <w:t>Raw materials</w:t>
            </w:r>
          </w:p>
        </w:tc>
        <w:tc>
          <w:tcPr>
            <w:tcW w:w="4640" w:type="dxa"/>
            <w:vAlign w:val="bottom"/>
          </w:tcPr>
          <w:p>
            <w:pPr>
              <w:jc w:val="right"/>
              <w:ind w:right="470"/>
              <w:spacing w:after="0" w:line="171" w:lineRule="exact"/>
              <w:rPr>
                <w:sz w:val="20"/>
                <w:szCs w:val="20"/>
                <w:color w:val="auto"/>
              </w:rPr>
            </w:pPr>
            <w:r>
              <w:rPr>
                <w:rFonts w:ascii="Arial" w:cs="Arial" w:eastAsia="Arial" w:hAnsi="Arial"/>
                <w:sz w:val="18"/>
                <w:szCs w:val="18"/>
                <w:b w:val="1"/>
                <w:bCs w:val="1"/>
                <w:color w:val="auto"/>
              </w:rPr>
              <w:t>$25,942</w:t>
            </w:r>
          </w:p>
        </w:tc>
        <w:tc>
          <w:tcPr>
            <w:tcW w:w="2200" w:type="dxa"/>
            <w:vAlign w:val="bottom"/>
          </w:tcPr>
          <w:p>
            <w:pPr>
              <w:jc w:val="right"/>
              <w:ind w:right="90"/>
              <w:spacing w:after="0" w:line="171" w:lineRule="exact"/>
              <w:rPr>
                <w:sz w:val="20"/>
                <w:szCs w:val="20"/>
                <w:color w:val="auto"/>
              </w:rPr>
            </w:pPr>
            <w:r>
              <w:rPr>
                <w:rFonts w:ascii="Arial" w:cs="Arial" w:eastAsia="Arial" w:hAnsi="Arial"/>
                <w:sz w:val="18"/>
                <w:szCs w:val="18"/>
                <w:color w:val="auto"/>
              </w:rPr>
              <w:t>$27,006</w:t>
            </w:r>
          </w:p>
        </w:tc>
      </w:tr>
      <w:tr>
        <w:trPr>
          <w:trHeight w:val="203"/>
        </w:trPr>
        <w:tc>
          <w:tcPr>
            <w:tcW w:w="4580" w:type="dxa"/>
            <w:vAlign w:val="bottom"/>
          </w:tcPr>
          <w:p>
            <w:pPr>
              <w:spacing w:after="0" w:line="202" w:lineRule="exact"/>
              <w:rPr>
                <w:sz w:val="20"/>
                <w:szCs w:val="20"/>
                <w:color w:val="auto"/>
              </w:rPr>
            </w:pPr>
            <w:r>
              <w:rPr>
                <w:rFonts w:ascii="Arial" w:cs="Arial" w:eastAsia="Arial" w:hAnsi="Arial"/>
                <w:sz w:val="18"/>
                <w:szCs w:val="18"/>
                <w:color w:val="auto"/>
              </w:rPr>
              <w:t>Work in process</w:t>
            </w:r>
          </w:p>
        </w:tc>
        <w:tc>
          <w:tcPr>
            <w:tcW w:w="4640" w:type="dxa"/>
            <w:vAlign w:val="bottom"/>
          </w:tcPr>
          <w:p>
            <w:pPr>
              <w:jc w:val="right"/>
              <w:ind w:right="470"/>
              <w:spacing w:after="0" w:line="202" w:lineRule="exact"/>
              <w:rPr>
                <w:sz w:val="20"/>
                <w:szCs w:val="20"/>
                <w:color w:val="auto"/>
              </w:rPr>
            </w:pPr>
            <w:r>
              <w:rPr>
                <w:rFonts w:ascii="Arial" w:cs="Arial" w:eastAsia="Arial" w:hAnsi="Arial"/>
                <w:sz w:val="18"/>
                <w:szCs w:val="18"/>
                <w:b w:val="1"/>
                <w:bCs w:val="1"/>
                <w:color w:val="auto"/>
              </w:rPr>
              <w:t>46,626</w:t>
            </w:r>
          </w:p>
        </w:tc>
        <w:tc>
          <w:tcPr>
            <w:tcW w:w="2200" w:type="dxa"/>
            <w:vAlign w:val="bottom"/>
          </w:tcPr>
          <w:p>
            <w:pPr>
              <w:jc w:val="right"/>
              <w:ind w:right="90"/>
              <w:spacing w:after="0" w:line="202" w:lineRule="exact"/>
              <w:rPr>
                <w:sz w:val="20"/>
                <w:szCs w:val="20"/>
                <w:color w:val="auto"/>
              </w:rPr>
            </w:pPr>
            <w:r>
              <w:rPr>
                <w:rFonts w:ascii="Arial" w:cs="Arial" w:eastAsia="Arial" w:hAnsi="Arial"/>
                <w:sz w:val="18"/>
                <w:szCs w:val="18"/>
                <w:color w:val="auto"/>
              </w:rPr>
              <w:t>43,512</w:t>
            </w:r>
          </w:p>
        </w:tc>
      </w:tr>
      <w:tr>
        <w:trPr>
          <w:trHeight w:val="227"/>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Finished goods</w:t>
            </w:r>
          </w:p>
        </w:tc>
        <w:tc>
          <w:tcPr>
            <w:tcW w:w="46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37,062</w:t>
            </w:r>
          </w:p>
        </w:tc>
        <w:tc>
          <w:tcPr>
            <w:tcW w:w="2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36,756</w:t>
            </w:r>
          </w:p>
        </w:tc>
      </w:tr>
      <w:tr>
        <w:trPr>
          <w:trHeight w:val="196"/>
        </w:trPr>
        <w:tc>
          <w:tcPr>
            <w:tcW w:w="45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inventories</w:t>
            </w:r>
          </w:p>
        </w:tc>
        <w:tc>
          <w:tcPr>
            <w:tcW w:w="464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b w:val="1"/>
                <w:bCs w:val="1"/>
                <w:color w:val="auto"/>
              </w:rPr>
              <w:t>$109,630</w:t>
            </w:r>
          </w:p>
        </w:tc>
        <w:tc>
          <w:tcPr>
            <w:tcW w:w="220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$107,274</w:t>
            </w: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Goodwill and Other Intangible Assets</w:t>
      </w:r>
    </w:p>
    <w:p>
      <w:pPr>
        <w:spacing w:after="0" w:line="185" w:lineRule="exact"/>
        <w:rPr>
          <w:sz w:val="20"/>
          <w:szCs w:val="20"/>
          <w:color w:val="auto"/>
        </w:rPr>
      </w:pPr>
    </w:p>
    <w:p>
      <w:pPr>
        <w:jc w:val="both"/>
        <w:ind w:right="180" w:firstLine="648"/>
        <w:spacing w:after="0" w:line="255" w:lineRule="auto"/>
        <w:rPr>
          <w:sz w:val="20"/>
          <w:szCs w:val="20"/>
          <w:color w:val="auto"/>
        </w:rPr>
      </w:pPr>
      <w:r>
        <w:rPr>
          <w:rFonts w:ascii="Arial" w:cs="Arial" w:eastAsia="Arial" w:hAnsi="Arial"/>
          <w:sz w:val="18"/>
          <w:szCs w:val="18"/>
          <w:color w:val="auto"/>
        </w:rPr>
        <w:t>Goodwill and intangible assets with indefinite useful lives are not amortized, but are tested for impairment at least annually. Goodwill represents the excess of the purchase price over the fair value of the net tangible and identifiable intangible assets acquired in each business combination. Our reporting units are consistent with our operating segments.</w:t>
      </w:r>
    </w:p>
    <w:p>
      <w:pPr>
        <w:spacing w:after="0" w:line="124" w:lineRule="exact"/>
        <w:rPr>
          <w:sz w:val="20"/>
          <w:szCs w:val="20"/>
          <w:color w:val="auto"/>
        </w:rPr>
      </w:pPr>
    </w:p>
    <w:p>
      <w:pPr>
        <w:ind w:right="340" w:firstLine="698"/>
        <w:spacing w:after="0" w:line="248" w:lineRule="auto"/>
        <w:rPr>
          <w:sz w:val="20"/>
          <w:szCs w:val="20"/>
          <w:color w:val="auto"/>
        </w:rPr>
      </w:pPr>
      <w:r>
        <w:rPr>
          <w:rFonts w:ascii="Arial" w:cs="Arial" w:eastAsia="Arial" w:hAnsi="Arial"/>
          <w:sz w:val="18"/>
          <w:szCs w:val="18"/>
          <w:color w:val="auto"/>
        </w:rPr>
        <w:t>Determining the fair value of a reporting unit requires the use of significant estimates and assumptions, including revenue growth rates, operating margins, discount rates, and future market conditions, among others. Goodwill and other long-lived assets are reviewed for impairment whenever events, such as significant changes in the business climate, plant closures, changes in product offerings, or other circumstances indicate that the carrying amount may not be recoverable.</w:t>
      </w:r>
    </w:p>
    <w:p>
      <w:pPr>
        <w:spacing w:after="0" w:line="130" w:lineRule="exact"/>
        <w:rPr>
          <w:sz w:val="20"/>
          <w:szCs w:val="20"/>
          <w:color w:val="auto"/>
        </w:rPr>
      </w:pPr>
    </w:p>
    <w:p>
      <w:pPr>
        <w:ind w:right="20" w:firstLine="648"/>
        <w:spacing w:after="0" w:line="245" w:lineRule="auto"/>
        <w:rPr>
          <w:sz w:val="20"/>
          <w:szCs w:val="20"/>
          <w:color w:val="auto"/>
        </w:rPr>
      </w:pPr>
      <w:r>
        <w:rPr>
          <w:rFonts w:ascii="Arial" w:cs="Arial" w:eastAsia="Arial" w:hAnsi="Arial"/>
          <w:sz w:val="18"/>
          <w:szCs w:val="18"/>
          <w:color w:val="auto"/>
        </w:rPr>
        <w:t>To determine fair value, we utilize two market-based approaches and an income approach. Under the market-based approaches, we utilize information regarding the Company as well as publicly available industry information to determine earnings multiples and sales multiples. Under the income approach, we determine fair value based on estimated future cash flows of each reporting unit, discounted by an estimated weighted-average cost of capital, which reflects the overall level of inherent risk of a reporting unit and the rate of return an outside investor would expect to earn.</w:t>
      </w:r>
    </w:p>
    <w:p>
      <w:pPr>
        <w:spacing w:after="0" w:line="145" w:lineRule="exact"/>
        <w:rPr>
          <w:sz w:val="20"/>
          <w:szCs w:val="20"/>
          <w:color w:val="auto"/>
        </w:rPr>
      </w:pPr>
    </w:p>
    <w:p>
      <w:pPr>
        <w:jc w:val="both"/>
        <w:ind w:right="580" w:firstLine="648"/>
        <w:spacing w:after="0" w:line="255" w:lineRule="auto"/>
        <w:rPr>
          <w:sz w:val="20"/>
          <w:szCs w:val="20"/>
          <w:color w:val="auto"/>
        </w:rPr>
      </w:pPr>
      <w:r>
        <w:rPr>
          <w:rFonts w:ascii="Arial" w:cs="Arial" w:eastAsia="Arial" w:hAnsi="Arial"/>
          <w:sz w:val="18"/>
          <w:szCs w:val="18"/>
          <w:color w:val="auto"/>
        </w:rPr>
        <w:t>The entire balance of goodwill on our books is attributable to the Machine Clothing business. In the second quarter of 2015, the Company applied the qualitative assessment approach in performing its annual evaluation of goodwill and concluded that no impairment provision was required. There were no amounts at risk due to the large spread between the fair and carrying values.</w:t>
      </w:r>
    </w:p>
    <w:p>
      <w:pPr>
        <w:spacing w:after="0" w:line="124" w:lineRule="exact"/>
        <w:rPr>
          <w:sz w:val="20"/>
          <w:szCs w:val="20"/>
          <w:color w:val="auto"/>
        </w:rPr>
      </w:pPr>
    </w:p>
    <w:p>
      <w:pPr>
        <w:ind w:right="540" w:firstLine="648"/>
        <w:spacing w:after="0" w:line="276" w:lineRule="auto"/>
        <w:rPr>
          <w:sz w:val="20"/>
          <w:szCs w:val="20"/>
          <w:color w:val="auto"/>
        </w:rPr>
      </w:pPr>
      <w:r>
        <w:rPr>
          <w:rFonts w:ascii="Arial" w:cs="Arial" w:eastAsia="Arial" w:hAnsi="Arial"/>
          <w:sz w:val="18"/>
          <w:szCs w:val="18"/>
          <w:color w:val="auto"/>
        </w:rPr>
        <w:t>We are continuing to amortize certain patents, trade names, customer contracts and technology assets that have finite lives. The changes in intangible assets and goodwill from December 31, 2014 to June 30, 2015, were as follows:</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43"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4260" w:type="dxa"/>
            <w:vAlign w:val="bottom"/>
            <w:tcBorders>
              <w:top w:val="single" w:sz="8" w:color="auto"/>
            </w:tcBorders>
          </w:tcPr>
          <w:p>
            <w:pPr>
              <w:spacing w:after="0"/>
              <w:rPr>
                <w:sz w:val="16"/>
                <w:szCs w:val="16"/>
                <w:color w:val="auto"/>
              </w:rPr>
            </w:pPr>
          </w:p>
        </w:tc>
        <w:tc>
          <w:tcPr>
            <w:tcW w:w="3080" w:type="dxa"/>
            <w:vAlign w:val="bottom"/>
            <w:tcBorders>
              <w:top w:val="single" w:sz="8" w:color="auto"/>
            </w:tcBorders>
          </w:tcPr>
          <w:p>
            <w:pPr>
              <w:jc w:val="right"/>
              <w:ind w:right="150"/>
              <w:spacing w:after="0" w:line="191" w:lineRule="exact"/>
              <w:rPr>
                <w:sz w:val="20"/>
                <w:szCs w:val="20"/>
                <w:color w:val="auto"/>
              </w:rPr>
            </w:pPr>
            <w:r>
              <w:rPr>
                <w:rFonts w:ascii="Arial" w:cs="Arial" w:eastAsia="Arial" w:hAnsi="Arial"/>
                <w:sz w:val="18"/>
                <w:szCs w:val="18"/>
                <w:b w:val="1"/>
                <w:bCs w:val="1"/>
                <w:color w:val="auto"/>
              </w:rPr>
              <w:t>December 31,</w:t>
            </w:r>
          </w:p>
        </w:tc>
        <w:tc>
          <w:tcPr>
            <w:tcW w:w="158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250"/>
              <w:spacing w:after="0" w:line="191" w:lineRule="exact"/>
              <w:rPr>
                <w:sz w:val="20"/>
                <w:szCs w:val="20"/>
                <w:color w:val="auto"/>
              </w:rPr>
            </w:pPr>
            <w:r>
              <w:rPr>
                <w:rFonts w:ascii="Arial" w:cs="Arial" w:eastAsia="Arial" w:hAnsi="Arial"/>
                <w:sz w:val="18"/>
                <w:szCs w:val="18"/>
                <w:b w:val="1"/>
                <w:bCs w:val="1"/>
                <w:color w:val="auto"/>
              </w:rPr>
              <w:t>Currency</w:t>
            </w:r>
          </w:p>
        </w:tc>
        <w:tc>
          <w:tcPr>
            <w:tcW w:w="102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27"/>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30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5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Amortization</w:t>
            </w:r>
          </w:p>
        </w:tc>
        <w:tc>
          <w:tcPr>
            <w:tcW w:w="1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Translation</w:t>
            </w: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376"/>
        </w:trPr>
        <w:tc>
          <w:tcPr>
            <w:tcW w:w="4280" w:type="dxa"/>
            <w:vAlign w:val="bottom"/>
            <w:gridSpan w:val="2"/>
          </w:tcPr>
          <w:p>
            <w:pPr>
              <w:spacing w:after="0"/>
              <w:rPr>
                <w:sz w:val="20"/>
                <w:szCs w:val="20"/>
                <w:color w:val="auto"/>
              </w:rPr>
            </w:pPr>
            <w:r>
              <w:rPr>
                <w:rFonts w:ascii="Arial" w:cs="Arial" w:eastAsia="Arial" w:hAnsi="Arial"/>
                <w:sz w:val="18"/>
                <w:szCs w:val="18"/>
                <w:color w:val="auto"/>
              </w:rPr>
              <w:t>Amortized intangible assets:</w:t>
            </w:r>
          </w:p>
        </w:tc>
        <w:tc>
          <w:tcPr>
            <w:tcW w:w="3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$27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260" w:type="dxa"/>
            <w:vAlign w:val="bottom"/>
          </w:tcPr>
          <w:p>
            <w:pPr>
              <w:ind w:left="340"/>
              <w:spacing w:after="0" w:line="201" w:lineRule="exact"/>
              <w:rPr>
                <w:sz w:val="20"/>
                <w:szCs w:val="20"/>
                <w:color w:val="auto"/>
              </w:rPr>
            </w:pPr>
            <w:r>
              <w:rPr>
                <w:rFonts w:ascii="Arial" w:cs="Arial" w:eastAsia="Arial" w:hAnsi="Arial"/>
                <w:sz w:val="18"/>
                <w:szCs w:val="18"/>
                <w:color w:val="auto"/>
              </w:rPr>
              <w:t>AEC trade names</w:t>
            </w:r>
          </w:p>
        </w:tc>
        <w:tc>
          <w:tcPr>
            <w:tcW w:w="3080" w:type="dxa"/>
            <w:vAlign w:val="bottom"/>
          </w:tcPr>
          <w:p>
            <w:pPr>
              <w:jc w:val="right"/>
              <w:ind w:right="350"/>
              <w:spacing w:after="0" w:line="201" w:lineRule="exact"/>
              <w:rPr>
                <w:sz w:val="20"/>
                <w:szCs w:val="20"/>
                <w:color w:val="auto"/>
              </w:rPr>
            </w:pPr>
            <w:r>
              <w:rPr>
                <w:rFonts w:ascii="Arial" w:cs="Arial" w:eastAsia="Arial" w:hAnsi="Arial"/>
                <w:sz w:val="18"/>
                <w:szCs w:val="18"/>
                <w:color w:val="auto"/>
              </w:rPr>
              <w:t>$29</w:t>
            </w:r>
          </w:p>
        </w:tc>
        <w:tc>
          <w:tcPr>
            <w:tcW w:w="1580" w:type="dxa"/>
            <w:vAlign w:val="bottom"/>
          </w:tcPr>
          <w:p>
            <w:pPr>
              <w:jc w:val="right"/>
              <w:ind w:right="270"/>
              <w:spacing w:after="0" w:line="201" w:lineRule="exact"/>
              <w:rPr>
                <w:sz w:val="20"/>
                <w:szCs w:val="20"/>
                <w:color w:val="auto"/>
              </w:rPr>
            </w:pPr>
            <w:r>
              <w:rPr>
                <w:rFonts w:ascii="Arial" w:cs="Arial" w:eastAsia="Arial" w:hAnsi="Arial"/>
                <w:sz w:val="18"/>
                <w:szCs w:val="18"/>
                <w:color w:val="auto"/>
              </w:rPr>
              <w:t>($2)</w:t>
            </w:r>
          </w:p>
        </w:tc>
        <w:tc>
          <w:tcPr>
            <w:tcW w:w="1460" w:type="dxa"/>
            <w:vAlign w:val="bottom"/>
          </w:tcPr>
          <w:p>
            <w:pPr>
              <w:jc w:val="right"/>
              <w:ind w:right="330"/>
              <w:spacing w:after="0" w:line="201" w:lineRule="exact"/>
              <w:rPr>
                <w:sz w:val="20"/>
                <w:szCs w:val="20"/>
                <w:color w:val="auto"/>
              </w:rPr>
            </w:pPr>
            <w:r>
              <w:rPr>
                <w:rFonts w:ascii="Arial" w:cs="Arial" w:eastAsia="Arial" w:hAnsi="Arial"/>
                <w:sz w:val="18"/>
                <w:szCs w:val="18"/>
                <w:color w:val="auto"/>
              </w:rPr>
              <w:t>$-</w:t>
            </w: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tcPr>
          <w:p>
            <w:pPr>
              <w:ind w:left="340"/>
              <w:spacing w:after="0" w:line="202" w:lineRule="exact"/>
              <w:rPr>
                <w:sz w:val="20"/>
                <w:szCs w:val="20"/>
                <w:color w:val="auto"/>
              </w:rPr>
            </w:pPr>
            <w:r>
              <w:rPr>
                <w:rFonts w:ascii="Arial" w:cs="Arial" w:eastAsia="Arial" w:hAnsi="Arial"/>
                <w:sz w:val="18"/>
                <w:szCs w:val="18"/>
                <w:color w:val="auto"/>
              </w:rPr>
              <w:t>AEC customer contracts</w:t>
            </w:r>
          </w:p>
        </w:tc>
        <w:tc>
          <w:tcPr>
            <w:tcW w:w="308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202</w:t>
            </w:r>
          </w:p>
        </w:tc>
        <w:tc>
          <w:tcPr>
            <w:tcW w:w="158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(101)</w:t>
            </w:r>
          </w:p>
        </w:tc>
        <w:tc>
          <w:tcPr>
            <w:tcW w:w="146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101</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26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AEC technology</w:t>
            </w:r>
          </w:p>
        </w:tc>
        <w:tc>
          <w:tcPr>
            <w:tcW w:w="3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154</w:t>
            </w:r>
          </w:p>
        </w:tc>
        <w:tc>
          <w:tcPr>
            <w:tcW w:w="15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(12)</w:t>
            </w:r>
          </w:p>
        </w:tc>
        <w:tc>
          <w:tcPr>
            <w:tcW w:w="14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142</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42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amortized intangible assets</w:t>
            </w:r>
          </w:p>
        </w:tc>
        <w:tc>
          <w:tcPr>
            <w:tcW w:w="308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rPr>
              <w:t>$385</w:t>
            </w:r>
          </w:p>
        </w:tc>
        <w:tc>
          <w:tcPr>
            <w:tcW w:w="158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($115)</w:t>
            </w:r>
          </w:p>
        </w:tc>
        <w:tc>
          <w:tcPr>
            <w:tcW w:w="146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$270</w:t>
            </w:r>
          </w:p>
        </w:tc>
        <w:tc>
          <w:tcPr>
            <w:tcW w:w="0" w:type="dxa"/>
            <w:vAlign w:val="bottom"/>
          </w:tcPr>
          <w:p>
            <w:pPr>
              <w:spacing w:after="0"/>
              <w:rPr>
                <w:sz w:val="1"/>
                <w:szCs w:val="1"/>
                <w:color w:val="auto"/>
              </w:rPr>
            </w:pPr>
          </w:p>
        </w:tc>
      </w:tr>
      <w:tr>
        <w:trPr>
          <w:trHeight w:val="376"/>
        </w:trPr>
        <w:tc>
          <w:tcPr>
            <w:tcW w:w="4280" w:type="dxa"/>
            <w:vAlign w:val="bottom"/>
            <w:gridSpan w:val="2"/>
          </w:tcPr>
          <w:p>
            <w:pPr>
              <w:spacing w:after="0"/>
              <w:rPr>
                <w:sz w:val="20"/>
                <w:szCs w:val="20"/>
                <w:color w:val="auto"/>
              </w:rPr>
            </w:pPr>
            <w:r>
              <w:rPr>
                <w:rFonts w:ascii="Arial" w:cs="Arial" w:eastAsia="Arial" w:hAnsi="Arial"/>
                <w:sz w:val="18"/>
                <w:szCs w:val="18"/>
                <w:color w:val="auto"/>
              </w:rPr>
              <w:t>Unamortized intangible assets:</w:t>
            </w:r>
          </w:p>
        </w:tc>
        <w:tc>
          <w:tcPr>
            <w:tcW w:w="3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$67,489</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26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Goodwill</w:t>
            </w:r>
          </w:p>
        </w:tc>
        <w:tc>
          <w:tcPr>
            <w:tcW w:w="3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$71,680</w:t>
            </w:r>
          </w:p>
        </w:tc>
        <w:tc>
          <w:tcPr>
            <w:tcW w:w="15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($4,191)</w:t>
            </w:r>
          </w:p>
        </w:tc>
        <w:tc>
          <w:tcPr>
            <w:tcW w:w="1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Estimated amortization expense of intangibles for the years ending December 31, 2015 through 2019, is as follows:</w:t>
      </w: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300" w:type="dxa"/>
            <w:vAlign w:val="bottom"/>
            <w:tcBorders>
              <w:top w:val="single" w:sz="8" w:color="auto"/>
            </w:tcBorders>
          </w:tcPr>
          <w:p>
            <w:pPr>
              <w:spacing w:after="0"/>
              <w:rPr>
                <w:sz w:val="16"/>
                <w:szCs w:val="16"/>
                <w:color w:val="auto"/>
              </w:rPr>
            </w:pPr>
          </w:p>
        </w:tc>
        <w:tc>
          <w:tcPr>
            <w:tcW w:w="342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rPr>
              <w:t>Annual amortization</w:t>
            </w:r>
          </w:p>
        </w:tc>
      </w:tr>
      <w:tr>
        <w:trPr>
          <w:trHeight w:val="227"/>
        </w:trPr>
        <w:tc>
          <w:tcPr>
            <w:tcW w:w="230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Year</w:t>
            </w:r>
          </w:p>
        </w:tc>
        <w:tc>
          <w:tcPr>
            <w:tcW w:w="3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(in thousands)</w:t>
            </w:r>
          </w:p>
        </w:tc>
      </w:tr>
      <w:tr>
        <w:trPr>
          <w:trHeight w:val="173"/>
        </w:trPr>
        <w:tc>
          <w:tcPr>
            <w:tcW w:w="2300" w:type="dxa"/>
            <w:vAlign w:val="bottom"/>
          </w:tcPr>
          <w:p>
            <w:pPr>
              <w:ind w:left="320"/>
              <w:spacing w:after="0" w:line="173" w:lineRule="exact"/>
              <w:rPr>
                <w:sz w:val="20"/>
                <w:szCs w:val="20"/>
                <w:color w:val="auto"/>
              </w:rPr>
            </w:pPr>
            <w:r>
              <w:rPr>
                <w:rFonts w:ascii="Arial" w:cs="Arial" w:eastAsia="Arial" w:hAnsi="Arial"/>
                <w:sz w:val="18"/>
                <w:szCs w:val="18"/>
                <w:color w:val="auto"/>
              </w:rPr>
              <w:t>2015</w:t>
            </w:r>
          </w:p>
        </w:tc>
        <w:tc>
          <w:tcPr>
            <w:tcW w:w="3420" w:type="dxa"/>
            <w:vAlign w:val="bottom"/>
          </w:tcPr>
          <w:p>
            <w:pPr>
              <w:jc w:val="right"/>
              <w:ind w:right="10"/>
              <w:spacing w:after="0" w:line="173" w:lineRule="exact"/>
              <w:rPr>
                <w:sz w:val="20"/>
                <w:szCs w:val="20"/>
                <w:color w:val="auto"/>
              </w:rPr>
            </w:pPr>
            <w:r>
              <w:rPr>
                <w:rFonts w:ascii="Arial" w:cs="Arial" w:eastAsia="Arial" w:hAnsi="Arial"/>
                <w:sz w:val="18"/>
                <w:szCs w:val="18"/>
                <w:color w:val="auto"/>
              </w:rPr>
              <w:t>$231</w:t>
            </w:r>
          </w:p>
        </w:tc>
      </w:tr>
      <w:tr>
        <w:trPr>
          <w:trHeight w:val="203"/>
        </w:trPr>
        <w:tc>
          <w:tcPr>
            <w:tcW w:w="2300" w:type="dxa"/>
            <w:vAlign w:val="bottom"/>
          </w:tcPr>
          <w:p>
            <w:pPr>
              <w:ind w:left="320"/>
              <w:spacing w:after="0" w:line="202" w:lineRule="exact"/>
              <w:rPr>
                <w:sz w:val="20"/>
                <w:szCs w:val="20"/>
                <w:color w:val="auto"/>
              </w:rPr>
            </w:pPr>
            <w:r>
              <w:rPr>
                <w:rFonts w:ascii="Arial" w:cs="Arial" w:eastAsia="Arial" w:hAnsi="Arial"/>
                <w:sz w:val="18"/>
                <w:szCs w:val="18"/>
                <w:color w:val="auto"/>
              </w:rPr>
              <w:t>2016</w:t>
            </w:r>
          </w:p>
        </w:tc>
        <w:tc>
          <w:tcPr>
            <w:tcW w:w="34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29</w:t>
            </w:r>
          </w:p>
        </w:tc>
      </w:tr>
      <w:tr>
        <w:trPr>
          <w:trHeight w:val="203"/>
        </w:trPr>
        <w:tc>
          <w:tcPr>
            <w:tcW w:w="2300" w:type="dxa"/>
            <w:vAlign w:val="bottom"/>
          </w:tcPr>
          <w:p>
            <w:pPr>
              <w:ind w:left="320"/>
              <w:spacing w:after="0" w:line="202" w:lineRule="exact"/>
              <w:rPr>
                <w:sz w:val="20"/>
                <w:szCs w:val="20"/>
                <w:color w:val="auto"/>
              </w:rPr>
            </w:pPr>
            <w:r>
              <w:rPr>
                <w:rFonts w:ascii="Arial" w:cs="Arial" w:eastAsia="Arial" w:hAnsi="Arial"/>
                <w:sz w:val="18"/>
                <w:szCs w:val="18"/>
                <w:color w:val="auto"/>
              </w:rPr>
              <w:t>2017</w:t>
            </w:r>
          </w:p>
        </w:tc>
        <w:tc>
          <w:tcPr>
            <w:tcW w:w="34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29</w:t>
            </w:r>
          </w:p>
        </w:tc>
      </w:tr>
      <w:tr>
        <w:trPr>
          <w:trHeight w:val="203"/>
        </w:trPr>
        <w:tc>
          <w:tcPr>
            <w:tcW w:w="2300" w:type="dxa"/>
            <w:vAlign w:val="bottom"/>
          </w:tcPr>
          <w:p>
            <w:pPr>
              <w:ind w:left="320"/>
              <w:spacing w:after="0" w:line="202" w:lineRule="exact"/>
              <w:rPr>
                <w:sz w:val="20"/>
                <w:szCs w:val="20"/>
                <w:color w:val="auto"/>
              </w:rPr>
            </w:pPr>
            <w:r>
              <w:rPr>
                <w:rFonts w:ascii="Arial" w:cs="Arial" w:eastAsia="Arial" w:hAnsi="Arial"/>
                <w:sz w:val="18"/>
                <w:szCs w:val="18"/>
                <w:color w:val="auto"/>
              </w:rPr>
              <w:t>2018</w:t>
            </w:r>
          </w:p>
        </w:tc>
        <w:tc>
          <w:tcPr>
            <w:tcW w:w="34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29</w:t>
            </w:r>
          </w:p>
        </w:tc>
      </w:tr>
      <w:tr>
        <w:trPr>
          <w:trHeight w:val="225"/>
        </w:trPr>
        <w:tc>
          <w:tcPr>
            <w:tcW w:w="23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2019</w:t>
            </w:r>
          </w:p>
        </w:tc>
        <w:tc>
          <w:tcPr>
            <w:tcW w:w="3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w:t>
            </w: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227"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13. Financial Instruments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Long-term debt, principally to banks and bondholders, consists of:</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620" w:type="dxa"/>
            <w:vAlign w:val="bottom"/>
            <w:tcBorders>
              <w:top w:val="single" w:sz="8" w:color="auto"/>
            </w:tcBorders>
          </w:tcPr>
          <w:p>
            <w:pPr>
              <w:spacing w:after="0"/>
              <w:rPr>
                <w:sz w:val="16"/>
                <w:szCs w:val="16"/>
                <w:color w:val="auto"/>
              </w:rPr>
            </w:pPr>
          </w:p>
        </w:tc>
        <w:tc>
          <w:tcPr>
            <w:tcW w:w="2020" w:type="dxa"/>
            <w:vAlign w:val="bottom"/>
            <w:tcBorders>
              <w:top w:val="single" w:sz="8" w:color="auto"/>
            </w:tcBorders>
          </w:tcPr>
          <w:p>
            <w:pPr>
              <w:jc w:val="right"/>
              <w:ind w:right="630"/>
              <w:spacing w:after="0" w:line="191" w:lineRule="exact"/>
              <w:rPr>
                <w:sz w:val="20"/>
                <w:szCs w:val="20"/>
                <w:color w:val="auto"/>
              </w:rPr>
            </w:pPr>
            <w:r>
              <w:rPr>
                <w:rFonts w:ascii="Arial" w:cs="Arial" w:eastAsia="Arial" w:hAnsi="Arial"/>
                <w:sz w:val="18"/>
                <w:szCs w:val="18"/>
                <w:b w:val="1"/>
                <w:bCs w:val="1"/>
                <w:color w:val="auto"/>
              </w:rPr>
              <w:t>June 30,</w:t>
            </w:r>
          </w:p>
        </w:tc>
        <w:tc>
          <w:tcPr>
            <w:tcW w:w="178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7"/>
        </w:trPr>
        <w:tc>
          <w:tcPr>
            <w:tcW w:w="7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interest rates)</w:t>
            </w:r>
          </w:p>
        </w:tc>
        <w:tc>
          <w:tcPr>
            <w:tcW w:w="202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2015</w:t>
            </w:r>
          </w:p>
        </w:tc>
        <w:tc>
          <w:tcPr>
            <w:tcW w:w="17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424"/>
        </w:trPr>
        <w:tc>
          <w:tcPr>
            <w:tcW w:w="7620" w:type="dxa"/>
            <w:vAlign w:val="bottom"/>
          </w:tcPr>
          <w:p>
            <w:pPr>
              <w:spacing w:after="0"/>
              <w:rPr>
                <w:sz w:val="20"/>
                <w:szCs w:val="20"/>
                <w:color w:val="auto"/>
              </w:rPr>
            </w:pPr>
            <w:r>
              <w:rPr>
                <w:rFonts w:ascii="Arial" w:cs="Arial" w:eastAsia="Arial" w:hAnsi="Arial"/>
                <w:sz w:val="18"/>
                <w:szCs w:val="18"/>
                <w:color w:val="auto"/>
              </w:rPr>
              <w:t>Private placement with a fixed interest rate of 6.84%, due 2015 and 2017</w:t>
            </w:r>
          </w:p>
        </w:tc>
        <w:tc>
          <w:tcPr>
            <w:tcW w:w="2020" w:type="dxa"/>
            <w:vAlign w:val="bottom"/>
          </w:tcPr>
          <w:p>
            <w:pPr>
              <w:jc w:val="right"/>
              <w:ind w:right="530"/>
              <w:spacing w:after="0"/>
              <w:rPr>
                <w:sz w:val="20"/>
                <w:szCs w:val="20"/>
                <w:color w:val="auto"/>
              </w:rPr>
            </w:pPr>
            <w:r>
              <w:rPr>
                <w:rFonts w:ascii="Arial" w:cs="Arial" w:eastAsia="Arial" w:hAnsi="Arial"/>
                <w:sz w:val="18"/>
                <w:szCs w:val="18"/>
                <w:b w:val="1"/>
                <w:bCs w:val="1"/>
                <w:color w:val="auto"/>
              </w:rPr>
              <w:t>$100,000</w:t>
            </w: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357"/>
        </w:trPr>
        <w:tc>
          <w:tcPr>
            <w:tcW w:w="7620" w:type="dxa"/>
            <w:vAlign w:val="bottom"/>
          </w:tcPr>
          <w:p>
            <w:pPr>
              <w:spacing w:after="0"/>
              <w:rPr>
                <w:sz w:val="20"/>
                <w:szCs w:val="20"/>
                <w:color w:val="auto"/>
              </w:rPr>
            </w:pPr>
            <w:r>
              <w:rPr>
                <w:rFonts w:ascii="Arial" w:cs="Arial" w:eastAsia="Arial" w:hAnsi="Arial"/>
                <w:sz w:val="18"/>
                <w:szCs w:val="18"/>
                <w:color w:val="auto"/>
              </w:rPr>
              <w:t>Credit agreement with borrowings outstanding at an end of period interest rate of 2.53%</w:t>
            </w:r>
          </w:p>
        </w:tc>
        <w:tc>
          <w:tcPr>
            <w:tcW w:w="20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620" w:type="dxa"/>
            <w:vAlign w:val="bottom"/>
          </w:tcPr>
          <w:p>
            <w:pPr>
              <w:spacing w:after="0" w:line="202" w:lineRule="exact"/>
              <w:rPr>
                <w:sz w:val="20"/>
                <w:szCs w:val="20"/>
                <w:color w:val="auto"/>
              </w:rPr>
            </w:pPr>
            <w:r>
              <w:rPr>
                <w:rFonts w:ascii="Arial" w:cs="Arial" w:eastAsia="Arial" w:hAnsi="Arial"/>
                <w:sz w:val="18"/>
                <w:szCs w:val="18"/>
                <w:color w:val="auto"/>
              </w:rPr>
              <w:t>in 2015 and 2.69% in 2014 (including the effect of interest rate hedging transactions, as</w:t>
            </w:r>
          </w:p>
        </w:tc>
        <w:tc>
          <w:tcPr>
            <w:tcW w:w="2020" w:type="dxa"/>
            <w:vAlign w:val="bottom"/>
            <w:vMerge w:val="restart"/>
          </w:tcPr>
          <w:p>
            <w:pPr>
              <w:jc w:val="right"/>
              <w:ind w:right="530"/>
              <w:spacing w:after="0"/>
              <w:rPr>
                <w:sz w:val="20"/>
                <w:szCs w:val="20"/>
                <w:color w:val="auto"/>
              </w:rPr>
            </w:pPr>
            <w:r>
              <w:rPr>
                <w:rFonts w:ascii="Arial" w:cs="Arial" w:eastAsia="Arial" w:hAnsi="Arial"/>
                <w:sz w:val="18"/>
                <w:szCs w:val="18"/>
                <w:b w:val="1"/>
                <w:bCs w:val="1"/>
                <w:color w:val="auto"/>
              </w:rPr>
              <w:t>202,000</w:t>
            </w: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7620" w:type="dxa"/>
            <w:vAlign w:val="bottom"/>
          </w:tcPr>
          <w:p>
            <w:pPr>
              <w:spacing w:after="0"/>
              <w:rPr>
                <w:sz w:val="20"/>
                <w:szCs w:val="20"/>
                <w:color w:val="auto"/>
              </w:rPr>
            </w:pPr>
            <w:r>
              <w:rPr>
                <w:rFonts w:ascii="Arial" w:cs="Arial" w:eastAsia="Arial" w:hAnsi="Arial"/>
                <w:sz w:val="18"/>
                <w:szCs w:val="18"/>
                <w:color w:val="auto"/>
              </w:rPr>
              <w:t>described below), due in 2020</w:t>
            </w:r>
          </w:p>
        </w:tc>
        <w:tc>
          <w:tcPr>
            <w:tcW w:w="2020" w:type="dxa"/>
            <w:vAlign w:val="bottom"/>
            <w:vMerge w:val="continue"/>
          </w:tcPr>
          <w:p>
            <w:pPr>
              <w:spacing w:after="0"/>
              <w:rPr>
                <w:sz w:val="21"/>
                <w:szCs w:val="21"/>
                <w:color w:val="auto"/>
              </w:rPr>
            </w:pP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172,000</w:t>
            </w:r>
          </w:p>
        </w:tc>
        <w:tc>
          <w:tcPr>
            <w:tcW w:w="0" w:type="dxa"/>
            <w:vAlign w:val="bottom"/>
          </w:tcPr>
          <w:p>
            <w:pPr>
              <w:spacing w:after="0"/>
              <w:rPr>
                <w:sz w:val="1"/>
                <w:szCs w:val="1"/>
                <w:color w:val="auto"/>
              </w:rPr>
            </w:pPr>
          </w:p>
        </w:tc>
      </w:tr>
      <w:tr>
        <w:trPr>
          <w:trHeight w:val="357"/>
        </w:trPr>
        <w:tc>
          <w:tcPr>
            <w:tcW w:w="7620" w:type="dxa"/>
            <w:vAlign w:val="bottom"/>
          </w:tcPr>
          <w:p>
            <w:pPr>
              <w:spacing w:after="0"/>
              <w:rPr>
                <w:sz w:val="20"/>
                <w:szCs w:val="20"/>
                <w:color w:val="auto"/>
              </w:rPr>
            </w:pPr>
            <w:r>
              <w:rPr>
                <w:rFonts w:ascii="Arial" w:cs="Arial" w:eastAsia="Arial" w:hAnsi="Arial"/>
                <w:sz w:val="18"/>
                <w:szCs w:val="18"/>
                <w:color w:val="auto"/>
              </w:rPr>
              <w:t>Various notes and mortgages relative to operations principally outside the United States,</w:t>
            </w:r>
          </w:p>
        </w:tc>
        <w:tc>
          <w:tcPr>
            <w:tcW w:w="20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620" w:type="dxa"/>
            <w:vAlign w:val="bottom"/>
          </w:tcPr>
          <w:p>
            <w:pPr>
              <w:spacing w:after="0" w:line="202" w:lineRule="exact"/>
              <w:rPr>
                <w:sz w:val="20"/>
                <w:szCs w:val="20"/>
                <w:color w:val="auto"/>
              </w:rPr>
            </w:pPr>
            <w:r>
              <w:rPr>
                <w:rFonts w:ascii="Arial" w:cs="Arial" w:eastAsia="Arial" w:hAnsi="Arial"/>
                <w:sz w:val="18"/>
                <w:szCs w:val="18"/>
                <w:color w:val="auto"/>
              </w:rPr>
              <w:t>at an average end of period rate of 5.5% in 2015 and 2014, due in varying amounts</w:t>
            </w:r>
          </w:p>
        </w:tc>
        <w:tc>
          <w:tcPr>
            <w:tcW w:w="2020" w:type="dxa"/>
            <w:vAlign w:val="bottom"/>
            <w:vMerge w:val="restart"/>
          </w:tcPr>
          <w:p>
            <w:pPr>
              <w:jc w:val="right"/>
              <w:ind w:right="530"/>
              <w:spacing w:after="0"/>
              <w:rPr>
                <w:sz w:val="20"/>
                <w:szCs w:val="20"/>
                <w:color w:val="auto"/>
              </w:rPr>
            </w:pPr>
            <w:r>
              <w:rPr>
                <w:rFonts w:ascii="Arial" w:cs="Arial" w:eastAsia="Arial" w:hAnsi="Arial"/>
                <w:sz w:val="18"/>
                <w:szCs w:val="18"/>
                <w:b w:val="1"/>
                <w:bCs w:val="1"/>
                <w:color w:val="auto"/>
              </w:rPr>
              <w:t>103</w:t>
            </w: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through 2021</w:t>
            </w:r>
          </w:p>
        </w:tc>
        <w:tc>
          <w:tcPr>
            <w:tcW w:w="2020" w:type="dxa"/>
            <w:vAlign w:val="bottom"/>
            <w:tcBorders>
              <w:bottom w:val="single" w:sz="8" w:color="auto"/>
            </w:tcBorders>
            <w:vMerge w:val="continue"/>
          </w:tcPr>
          <w:p>
            <w:pPr>
              <w:spacing w:after="0"/>
              <w:rPr>
                <w:sz w:val="19"/>
                <w:szCs w:val="19"/>
                <w:color w:val="auto"/>
              </w:rPr>
            </w:pPr>
          </w:p>
        </w:tc>
        <w:tc>
          <w:tcPr>
            <w:tcW w:w="1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424"/>
        </w:trPr>
        <w:tc>
          <w:tcPr>
            <w:tcW w:w="7620" w:type="dxa"/>
            <w:vAlign w:val="bottom"/>
          </w:tcPr>
          <w:p>
            <w:pPr>
              <w:spacing w:after="0"/>
              <w:rPr>
                <w:sz w:val="20"/>
                <w:szCs w:val="20"/>
                <w:color w:val="auto"/>
              </w:rPr>
            </w:pPr>
            <w:r>
              <w:rPr>
                <w:rFonts w:ascii="Arial" w:cs="Arial" w:eastAsia="Arial" w:hAnsi="Arial"/>
                <w:sz w:val="18"/>
                <w:szCs w:val="18"/>
                <w:color w:val="auto"/>
              </w:rPr>
              <w:t>Long-term debt</w:t>
            </w:r>
          </w:p>
        </w:tc>
        <w:tc>
          <w:tcPr>
            <w:tcW w:w="2020" w:type="dxa"/>
            <w:vAlign w:val="bottom"/>
          </w:tcPr>
          <w:p>
            <w:pPr>
              <w:jc w:val="right"/>
              <w:ind w:right="530"/>
              <w:spacing w:after="0"/>
              <w:rPr>
                <w:sz w:val="20"/>
                <w:szCs w:val="20"/>
                <w:color w:val="auto"/>
              </w:rPr>
            </w:pPr>
            <w:r>
              <w:rPr>
                <w:rFonts w:ascii="Arial" w:cs="Arial" w:eastAsia="Arial" w:hAnsi="Arial"/>
                <w:sz w:val="18"/>
                <w:szCs w:val="18"/>
                <w:b w:val="1"/>
                <w:bCs w:val="1"/>
                <w:color w:val="auto"/>
              </w:rPr>
              <w:t>302,103</w:t>
            </w: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272,111</w:t>
            </w:r>
          </w:p>
        </w:tc>
        <w:tc>
          <w:tcPr>
            <w:tcW w:w="0" w:type="dxa"/>
            <w:vAlign w:val="bottom"/>
          </w:tcPr>
          <w:p>
            <w:pPr>
              <w:spacing w:after="0"/>
              <w:rPr>
                <w:sz w:val="1"/>
                <w:szCs w:val="1"/>
                <w:color w:val="auto"/>
              </w:rPr>
            </w:pPr>
          </w:p>
        </w:tc>
      </w:tr>
      <w:tr>
        <w:trPr>
          <w:trHeight w:val="380"/>
        </w:trPr>
        <w:tc>
          <w:tcPr>
            <w:tcW w:w="7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portion</w:t>
            </w:r>
          </w:p>
        </w:tc>
        <w:tc>
          <w:tcPr>
            <w:tcW w:w="20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(50,015)</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(50,015)</w:t>
            </w:r>
          </w:p>
        </w:tc>
        <w:tc>
          <w:tcPr>
            <w:tcW w:w="0" w:type="dxa"/>
            <w:vAlign w:val="bottom"/>
          </w:tcPr>
          <w:p>
            <w:pPr>
              <w:spacing w:after="0"/>
              <w:rPr>
                <w:sz w:val="1"/>
                <w:szCs w:val="1"/>
                <w:color w:val="auto"/>
              </w:rPr>
            </w:pPr>
          </w:p>
        </w:tc>
      </w:tr>
      <w:tr>
        <w:trPr>
          <w:trHeight w:val="399"/>
        </w:trPr>
        <w:tc>
          <w:tcPr>
            <w:tcW w:w="7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Long-term debt, net of current portion</w:t>
            </w:r>
          </w:p>
        </w:tc>
        <w:tc>
          <w:tcPr>
            <w:tcW w:w="20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$252,088</w:t>
            </w:r>
          </w:p>
        </w:tc>
        <w:tc>
          <w:tcPr>
            <w:tcW w:w="1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$222,096</w:t>
            </w:r>
          </w:p>
        </w:tc>
        <w:tc>
          <w:tcPr>
            <w:tcW w:w="0" w:type="dxa"/>
            <w:vAlign w:val="bottom"/>
          </w:tcPr>
          <w:p>
            <w:pPr>
              <w:spacing w:after="0"/>
              <w:rPr>
                <w:sz w:val="1"/>
                <w:szCs w:val="1"/>
                <w:color w:val="auto"/>
              </w:rPr>
            </w:pPr>
          </w:p>
        </w:tc>
      </w:tr>
    </w:tbl>
    <w:p>
      <w:pPr>
        <w:spacing w:after="0" w:line="355"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color w:val="auto"/>
        </w:rPr>
        <w:t>A note agreement and guaranty (“Prudential Agreement”) was originally entered into in October 2005 with the Prudential Insurance Company of America, and certain other purchasers, with interest at 6.84% and a maturity date of October 25, 2017. The remaining obligation under the Prudential Agreement of $100 million has a mandatory payment of $50 million due on October 25, 2015, and the final payment is due October 25, 2017. At the noteholders’ election, certain prepayments may also be required in connection with certain asset dispositions or financings. The notes may not otherwise be prepaid without a premium, under certain market conditions. The Prudential Agreement contains customary terms, as well as affirmative covenants, negative covenants, and events of default, comparable to those in our current principal credit facility agreement (as described below). The Prudential Agreement has been amended a number of times, most recently in June 2015, in order to maintain terms comparable to our current principal credit facility. For disclosure purposes, we are required to measure the fair value of outstanding debt on a recurring basis. As of June 30, 2015, the fair value of this debt was approximately $108.2 million, and was measured using active market interest rates, which would be considered Level 2 for fair value measurement purposes.</w:t>
      </w:r>
    </w:p>
    <w:p>
      <w:pPr>
        <w:spacing w:after="0" w:line="140" w:lineRule="exact"/>
        <w:rPr>
          <w:sz w:val="20"/>
          <w:szCs w:val="20"/>
          <w:color w:val="auto"/>
        </w:rPr>
      </w:pPr>
    </w:p>
    <w:p>
      <w:pPr>
        <w:ind w:right="140" w:firstLine="648"/>
        <w:spacing w:after="0" w:line="245" w:lineRule="auto"/>
        <w:rPr>
          <w:sz w:val="20"/>
          <w:szCs w:val="20"/>
          <w:color w:val="auto"/>
        </w:rPr>
      </w:pPr>
      <w:r>
        <w:rPr>
          <w:rFonts w:ascii="Arial" w:cs="Arial" w:eastAsia="Arial" w:hAnsi="Arial"/>
          <w:sz w:val="18"/>
          <w:szCs w:val="18"/>
          <w:color w:val="auto"/>
        </w:rPr>
        <w:t>On June 18, 2015, we entered into a $400 million, unsecured Five-Year Revolving Credit Facility Agreement (“Credit Agreement”), under which $202 million of borrowings were outstanding as of June 30, 2015. The Credit Agreement replaced a $330 million five-year credit agreement entered into in 2013. The applicable interest rate for borrowings under the Credit Agreement is, as it was under the former agreement, LIBOR plus a spread, based on our leverage ratio at the time of borrowing. At the time of the last borrowing on June 18, 2015, the spread was 1.375%. The spread is based on a pricing grid, which ranges from 1.25% to 1.75%, based on our leverage ratio.</w:t>
      </w:r>
    </w:p>
    <w:p>
      <w:pPr>
        <w:spacing w:after="0" w:line="145" w:lineRule="exact"/>
        <w:rPr>
          <w:sz w:val="20"/>
          <w:szCs w:val="20"/>
          <w:color w:val="auto"/>
        </w:rPr>
      </w:pPr>
    </w:p>
    <w:p>
      <w:pPr>
        <w:ind w:right="340" w:firstLine="648"/>
        <w:spacing w:after="0" w:line="276" w:lineRule="auto"/>
        <w:rPr>
          <w:sz w:val="20"/>
          <w:szCs w:val="20"/>
          <w:color w:val="auto"/>
        </w:rPr>
      </w:pPr>
      <w:r>
        <w:rPr>
          <w:rFonts w:ascii="Arial" w:cs="Arial" w:eastAsia="Arial" w:hAnsi="Arial"/>
          <w:sz w:val="18"/>
          <w:szCs w:val="18"/>
          <w:color w:val="auto"/>
        </w:rPr>
        <w:t>Our ability to borrow additional amounts under the Credit Agreement is conditional upon the absence of any defaults, as well as the absence of any material adverse change (as defined in the</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43" w:right="239" w:bottom="1440" w:gutter="0" w:footer="0" w:header="0"/>
        </w:sectPr>
      </w:pPr>
    </w:p>
    <w:bookmarkStart w:id="19" w:name="page20"/>
    <w:bookmarkEnd w:id="19"/>
    <w:p>
      <w:pPr>
        <w:jc w:val="both"/>
        <w:ind w:right="360"/>
        <w:spacing w:after="0" w:line="255" w:lineRule="auto"/>
        <w:rPr>
          <w:sz w:val="20"/>
          <w:szCs w:val="20"/>
          <w:color w:val="auto"/>
        </w:rPr>
      </w:pPr>
      <w:r>
        <w:rPr>
          <w:rFonts w:ascii="Arial" w:cs="Arial" w:eastAsia="Arial" w:hAnsi="Arial"/>
          <w:sz w:val="18"/>
          <w:szCs w:val="18"/>
          <w:color w:val="auto"/>
        </w:rPr>
        <w:t>Credit Agreement). Based on our maximum leverage ratio and our Consolidated EBITDA (as defined in the Credit Agreement), and without modification to any other credit agreements, as of June 30, 2015, we would have been able to borrow an additional $198 million under the Credit Agreement.</w:t>
      </w:r>
    </w:p>
    <w:p>
      <w:pPr>
        <w:spacing w:after="0" w:line="124" w:lineRule="exact"/>
        <w:rPr>
          <w:sz w:val="20"/>
          <w:szCs w:val="20"/>
          <w:color w:val="auto"/>
        </w:rPr>
      </w:pPr>
    </w:p>
    <w:p>
      <w:pPr>
        <w:ind w:right="260" w:firstLine="648"/>
        <w:spacing w:after="0" w:line="248" w:lineRule="auto"/>
        <w:rPr>
          <w:sz w:val="20"/>
          <w:szCs w:val="20"/>
          <w:color w:val="auto"/>
        </w:rPr>
      </w:pPr>
      <w:r>
        <w:rPr>
          <w:rFonts w:ascii="Arial" w:cs="Arial" w:eastAsia="Arial" w:hAnsi="Arial"/>
          <w:sz w:val="18"/>
          <w:szCs w:val="18"/>
          <w:color w:val="auto"/>
        </w:rPr>
        <w:t>On July 16, 2010, we entered into interest rate hedging transactions that had the effect of fixing the LIBOR portion of the effective interest rate (before addition of the spread) on $105 million of the indebtedness. The net effect was to fix the effective interest rate on $105 million of indebtedness at 2.04%, plus the applicable spread. The agreements expired on July 16, 2015. On June 30, 2015, the all-in rate on the $105 million of debt was 3.415%.</w:t>
      </w:r>
    </w:p>
    <w:p>
      <w:pPr>
        <w:spacing w:after="0" w:line="144" w:lineRule="exact"/>
        <w:rPr>
          <w:sz w:val="20"/>
          <w:szCs w:val="20"/>
          <w:color w:val="auto"/>
        </w:rPr>
      </w:pPr>
    </w:p>
    <w:p>
      <w:pPr>
        <w:ind w:right="80" w:firstLine="648"/>
        <w:spacing w:after="0" w:line="243" w:lineRule="auto"/>
        <w:rPr>
          <w:sz w:val="20"/>
          <w:szCs w:val="20"/>
          <w:color w:val="auto"/>
        </w:rPr>
      </w:pPr>
      <w:r>
        <w:rPr>
          <w:rFonts w:ascii="Arial" w:cs="Arial" w:eastAsia="Arial" w:hAnsi="Arial"/>
          <w:sz w:val="18"/>
          <w:szCs w:val="18"/>
          <w:color w:val="auto"/>
        </w:rPr>
        <w:t>On May 20, 2013, we entered into interest rate hedging transactions for the period July 16, 2015 through March 16, 2018. These transactions have the effect of fixing the LIBOR portion of the effective interest rate (before addition of the spread) on $110 million of indebtedness drawn under the Credit Agreement at the rate of 1.414% during this period. Under the terms of these transactions, we pay the fixed rate of 1.414% and the counterparties pay a floating rate based on the one-month LIBOR rate at each monthly calculation date, which on June 30, 2015 was 0.1865%. The net effect is to fix the effective interest rate on $110 million of indebtedness at 1.414%, plus the applicable spread, during the swap period.</w:t>
      </w:r>
    </w:p>
    <w:p>
      <w:pPr>
        <w:spacing w:after="0" w:line="134" w:lineRule="exact"/>
        <w:rPr>
          <w:sz w:val="20"/>
          <w:szCs w:val="20"/>
          <w:color w:val="auto"/>
        </w:rPr>
      </w:pPr>
    </w:p>
    <w:p>
      <w:pPr>
        <w:ind w:right="180" w:firstLine="648"/>
        <w:spacing w:after="0" w:line="243" w:lineRule="auto"/>
        <w:rPr>
          <w:sz w:val="20"/>
          <w:szCs w:val="20"/>
          <w:color w:val="auto"/>
        </w:rPr>
      </w:pPr>
      <w:r>
        <w:rPr>
          <w:rFonts w:ascii="Arial" w:cs="Arial" w:eastAsia="Arial" w:hAnsi="Arial"/>
          <w:sz w:val="18"/>
          <w:szCs w:val="18"/>
          <w:color w:val="auto"/>
        </w:rPr>
        <w:t>On July 16, 2015, we entered into interest rate hedging transactions for the period March 16, 2018 through June 16, 2020. These transactions have the effect of fixing the LIBOR portion of the effective interest rate (before addition of the spread) on $120 million of indebtedness drawn under the Credit Agreement at the rate of 2.43% during this period. Under the terms of these transactions, we pay the fixed rate of 2.43% and the counterparties pay a floating rate based on the one-month LIBOR rate at each monthly calculation date, which on June 30, 2015 was 0.1865%. The net effect is to fix the effective interest rate on $120 million of indebtedness at 2.43%, plus the applicable spread, during the swap period.</w:t>
      </w:r>
    </w:p>
    <w:p>
      <w:pPr>
        <w:spacing w:after="0" w:line="134" w:lineRule="exact"/>
        <w:rPr>
          <w:sz w:val="20"/>
          <w:szCs w:val="20"/>
          <w:color w:val="auto"/>
        </w:rPr>
      </w:pPr>
    </w:p>
    <w:p>
      <w:pPr>
        <w:ind w:right="900" w:firstLine="648"/>
        <w:spacing w:after="0" w:line="276" w:lineRule="auto"/>
        <w:rPr>
          <w:sz w:val="20"/>
          <w:szCs w:val="20"/>
          <w:color w:val="auto"/>
        </w:rPr>
      </w:pPr>
      <w:r>
        <w:rPr>
          <w:rFonts w:ascii="Arial" w:cs="Arial" w:eastAsia="Arial" w:hAnsi="Arial"/>
          <w:sz w:val="18"/>
          <w:szCs w:val="18"/>
          <w:color w:val="auto"/>
        </w:rPr>
        <w:t>These interest rate swaps are accounted for as a hedge of future cash flows, as further described in Note 14 of the Notes to Consolidated Financial Statements. No cash collateral was received or pledged in relation to the swap agreements.</w:t>
      </w:r>
    </w:p>
    <w:p>
      <w:pPr>
        <w:spacing w:after="0" w:line="118" w:lineRule="exact"/>
        <w:rPr>
          <w:sz w:val="20"/>
          <w:szCs w:val="20"/>
          <w:color w:val="auto"/>
        </w:rPr>
      </w:pPr>
    </w:p>
    <w:p>
      <w:pPr>
        <w:ind w:right="600" w:firstLine="648"/>
        <w:spacing w:after="0" w:line="276" w:lineRule="auto"/>
        <w:rPr>
          <w:sz w:val="20"/>
          <w:szCs w:val="20"/>
          <w:color w:val="auto"/>
        </w:rPr>
      </w:pPr>
      <w:r>
        <w:rPr>
          <w:rFonts w:ascii="Arial" w:cs="Arial" w:eastAsia="Arial" w:hAnsi="Arial"/>
          <w:sz w:val="18"/>
          <w:szCs w:val="18"/>
          <w:color w:val="auto"/>
        </w:rPr>
        <w:t>Under the Credit Agreement and Prudential Agreement, we are currently required to maintain a leverage ratio (as defined in the agreements) of not greater than 3.50 to 1.00 and minimum interest coverage (as defined) of 3.00 to 1.00.</w:t>
      </w:r>
    </w:p>
    <w:p>
      <w:pPr>
        <w:spacing w:after="0" w:line="105" w:lineRule="exact"/>
        <w:rPr>
          <w:sz w:val="20"/>
          <w:szCs w:val="20"/>
          <w:color w:val="auto"/>
        </w:rPr>
      </w:pPr>
    </w:p>
    <w:p>
      <w:pPr>
        <w:ind w:right="460" w:firstLine="648"/>
        <w:spacing w:after="0" w:line="255" w:lineRule="auto"/>
        <w:rPr>
          <w:sz w:val="20"/>
          <w:szCs w:val="20"/>
          <w:color w:val="auto"/>
        </w:rPr>
      </w:pPr>
      <w:r>
        <w:rPr>
          <w:rFonts w:ascii="Arial" w:cs="Arial" w:eastAsia="Arial" w:hAnsi="Arial"/>
          <w:sz w:val="18"/>
          <w:szCs w:val="18"/>
          <w:color w:val="auto"/>
        </w:rPr>
        <w:t>As of June 30, 2015, our leverage ratio was 1.55 to 1.00 and our interest coverage ratio was 12.59 to 1.00. We may purchase our Common Stock or pay dividends to the extent our leverage ratio remains at or below 3.50 to 1.00, and may make acquisitions with cash provided our leverage ratio would not exceed 3.50 to 1.00 after giving pro forma effect to the acquisition.</w:t>
      </w:r>
    </w:p>
    <w:p>
      <w:pPr>
        <w:spacing w:after="0" w:line="124" w:lineRule="exact"/>
        <w:rPr>
          <w:sz w:val="20"/>
          <w:szCs w:val="20"/>
          <w:color w:val="auto"/>
        </w:rPr>
      </w:pPr>
    </w:p>
    <w:p>
      <w:pPr>
        <w:ind w:firstLine="698"/>
        <w:spacing w:after="0" w:line="276" w:lineRule="auto"/>
        <w:rPr>
          <w:sz w:val="20"/>
          <w:szCs w:val="20"/>
          <w:color w:val="auto"/>
        </w:rPr>
      </w:pPr>
      <w:r>
        <w:rPr>
          <w:rFonts w:ascii="Arial" w:cs="Arial" w:eastAsia="Arial" w:hAnsi="Arial"/>
          <w:sz w:val="18"/>
          <w:szCs w:val="18"/>
          <w:color w:val="auto"/>
        </w:rPr>
        <w:t>Indebtedness under each of the Prudential Agreement and the Credit Agreement is ranked equally in right of payment to all unsecured senior debt.</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were in compliance with all debt covenants as of June 30, 2015.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14. Fair-Value Measurements</w:t>
      </w:r>
    </w:p>
    <w:p>
      <w:pPr>
        <w:spacing w:after="0" w:line="171"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Accounting principles establish a hierarchy for inputs used in measuring fair value that maximizes the use of observable</w:t>
      </w: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643" w:right="259" w:bottom="1440" w:gutter="0" w:footer="0" w:header="0"/>
        </w:sectPr>
      </w:pPr>
    </w:p>
    <w:bookmarkStart w:id="20" w:name="page21"/>
    <w:bookmarkEnd w:id="20"/>
    <w:p>
      <w:pPr>
        <w:ind w:right="120"/>
        <w:spacing w:after="0" w:line="255" w:lineRule="auto"/>
        <w:rPr>
          <w:sz w:val="20"/>
          <w:szCs w:val="20"/>
          <w:color w:val="auto"/>
        </w:rPr>
      </w:pPr>
      <w:r>
        <w:rPr>
          <w:rFonts w:ascii="Arial" w:cs="Arial" w:eastAsia="Arial" w:hAnsi="Arial"/>
          <w:sz w:val="18"/>
          <w:szCs w:val="18"/>
          <w:color w:val="auto"/>
        </w:rPr>
        <w:t>inputs and minimizes the use of unobservable inputs by requiring that the most observable inputs be used when available. Level 3 inputs are unobservable data points for the asset or liability, and include situations in which there is little, if any, market activity for the asset or liability. As of June 30, 2015 and December 31, 2014, we have no Level 3 financial assets or liabilities.</w:t>
      </w:r>
    </w:p>
    <w:p>
      <w:pPr>
        <w:spacing w:after="0" w:line="164" w:lineRule="exact"/>
        <w:rPr>
          <w:sz w:val="20"/>
          <w:szCs w:val="20"/>
          <w:color w:val="auto"/>
        </w:rPr>
      </w:pPr>
    </w:p>
    <w:p>
      <w:pPr>
        <w:ind w:left="660" w:right="100" w:firstLine="648"/>
        <w:spacing w:after="0" w:line="276" w:lineRule="auto"/>
        <w:rPr>
          <w:sz w:val="20"/>
          <w:szCs w:val="20"/>
          <w:color w:val="auto"/>
        </w:rPr>
      </w:pPr>
      <w:r>
        <w:rPr>
          <w:rFonts w:ascii="Arial" w:cs="Arial" w:eastAsia="Arial" w:hAnsi="Arial"/>
          <w:sz w:val="18"/>
          <w:szCs w:val="18"/>
          <w:color w:val="auto"/>
        </w:rPr>
        <w:t>The following table presents the fair-value hierarchy for our Level 1 and Level 2 financial assets and liabilities measured at fair value on a recurring basis: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400" w:type="dxa"/>
            <w:vAlign w:val="bottom"/>
            <w:tcBorders>
              <w:top w:val="single" w:sz="8" w:color="auto"/>
            </w:tcBorders>
          </w:tcPr>
          <w:p>
            <w:pPr>
              <w:spacing w:after="0"/>
              <w:rPr>
                <w:sz w:val="16"/>
                <w:szCs w:val="16"/>
                <w:color w:val="auto"/>
              </w:rPr>
            </w:pPr>
          </w:p>
        </w:tc>
        <w:tc>
          <w:tcPr>
            <w:tcW w:w="3300" w:type="dxa"/>
            <w:vAlign w:val="bottom"/>
            <w:tcBorders>
              <w:top w:val="single" w:sz="8" w:color="auto"/>
            </w:tcBorders>
            <w:gridSpan w:val="2"/>
          </w:tcPr>
          <w:p>
            <w:pPr>
              <w:jc w:val="right"/>
              <w:ind w:right="870"/>
              <w:spacing w:after="0" w:line="191" w:lineRule="exact"/>
              <w:rPr>
                <w:sz w:val="20"/>
                <w:szCs w:val="20"/>
                <w:color w:val="auto"/>
              </w:rPr>
            </w:pPr>
            <w:r>
              <w:rPr>
                <w:rFonts w:ascii="Arial" w:cs="Arial" w:eastAsia="Arial" w:hAnsi="Arial"/>
                <w:sz w:val="18"/>
                <w:szCs w:val="18"/>
                <w:b w:val="1"/>
                <w:bCs w:val="1"/>
                <w:color w:val="auto"/>
              </w:rPr>
              <w:t>June 30, 2015</w:t>
            </w:r>
          </w:p>
        </w:tc>
        <w:tc>
          <w:tcPr>
            <w:tcW w:w="2720" w:type="dxa"/>
            <w:vAlign w:val="bottom"/>
            <w:tcBorders>
              <w:top w:val="single" w:sz="8" w:color="auto"/>
            </w:tcBorders>
            <w:gridSpan w:val="2"/>
          </w:tcPr>
          <w:p>
            <w:pPr>
              <w:jc w:val="right"/>
              <w:ind w:right="350"/>
              <w:spacing w:after="0" w:line="191" w:lineRule="exact"/>
              <w:rPr>
                <w:sz w:val="20"/>
                <w:szCs w:val="20"/>
                <w:color w:val="auto"/>
              </w:rPr>
            </w:pPr>
            <w:r>
              <w:rPr>
                <w:rFonts w:ascii="Arial" w:cs="Arial" w:eastAsia="Arial" w:hAnsi="Arial"/>
                <w:sz w:val="18"/>
                <w:szCs w:val="18"/>
                <w:b w:val="1"/>
                <w:bCs w:val="1"/>
                <w:color w:val="auto"/>
              </w:rPr>
              <w:t>December 31, 2014</w:t>
            </w:r>
          </w:p>
        </w:tc>
        <w:tc>
          <w:tcPr>
            <w:tcW w:w="0" w:type="dxa"/>
            <w:vAlign w:val="bottom"/>
          </w:tcPr>
          <w:p>
            <w:pPr>
              <w:spacing w:after="0"/>
              <w:rPr>
                <w:sz w:val="1"/>
                <w:szCs w:val="1"/>
                <w:color w:val="auto"/>
              </w:rPr>
            </w:pPr>
          </w:p>
        </w:tc>
      </w:tr>
      <w:tr>
        <w:trPr>
          <w:trHeight w:val="203"/>
        </w:trPr>
        <w:tc>
          <w:tcPr>
            <w:tcW w:w="5400" w:type="dxa"/>
            <w:vAlign w:val="bottom"/>
          </w:tcPr>
          <w:p>
            <w:pPr>
              <w:spacing w:after="0"/>
              <w:rPr>
                <w:sz w:val="17"/>
                <w:szCs w:val="17"/>
                <w:color w:val="auto"/>
              </w:rPr>
            </w:pPr>
          </w:p>
        </w:tc>
        <w:tc>
          <w:tcPr>
            <w:tcW w:w="1520" w:type="dxa"/>
            <w:vAlign w:val="bottom"/>
          </w:tcPr>
          <w:p>
            <w:pPr>
              <w:jc w:val="center"/>
              <w:ind w:left="30"/>
              <w:spacing w:after="0" w:line="202" w:lineRule="exact"/>
              <w:rPr>
                <w:sz w:val="20"/>
                <w:szCs w:val="20"/>
                <w:color w:val="auto"/>
              </w:rPr>
            </w:pPr>
            <w:r>
              <w:rPr>
                <w:rFonts w:ascii="Arial" w:cs="Arial" w:eastAsia="Arial" w:hAnsi="Arial"/>
                <w:sz w:val="18"/>
                <w:szCs w:val="18"/>
                <w:b w:val="1"/>
                <w:bCs w:val="1"/>
                <w:color w:val="auto"/>
              </w:rPr>
              <w:t>Quoted</w:t>
            </w:r>
          </w:p>
        </w:tc>
        <w:tc>
          <w:tcPr>
            <w:tcW w:w="1780" w:type="dxa"/>
            <w:vAlign w:val="bottom"/>
          </w:tcPr>
          <w:p>
            <w:pPr>
              <w:jc w:val="center"/>
              <w:ind w:right="170"/>
              <w:spacing w:after="0" w:line="202" w:lineRule="exact"/>
              <w:rPr>
                <w:sz w:val="20"/>
                <w:szCs w:val="20"/>
                <w:color w:val="auto"/>
              </w:rPr>
            </w:pPr>
            <w:r>
              <w:rPr>
                <w:rFonts w:ascii="Arial" w:cs="Arial" w:eastAsia="Arial" w:hAnsi="Arial"/>
                <w:sz w:val="18"/>
                <w:szCs w:val="18"/>
                <w:b w:val="1"/>
                <w:bCs w:val="1"/>
                <w:color w:val="auto"/>
                <w:w w:val="99"/>
              </w:rPr>
              <w:t>Significant</w:t>
            </w:r>
          </w:p>
        </w:tc>
        <w:tc>
          <w:tcPr>
            <w:tcW w:w="1240" w:type="dxa"/>
            <w:vAlign w:val="bottom"/>
          </w:tcPr>
          <w:p>
            <w:pPr>
              <w:jc w:val="center"/>
              <w:ind w:right="10"/>
              <w:spacing w:after="0" w:line="202" w:lineRule="exact"/>
              <w:rPr>
                <w:sz w:val="20"/>
                <w:szCs w:val="20"/>
                <w:color w:val="auto"/>
              </w:rPr>
            </w:pPr>
            <w:r>
              <w:rPr>
                <w:rFonts w:ascii="Arial" w:cs="Arial" w:eastAsia="Arial" w:hAnsi="Arial"/>
                <w:sz w:val="18"/>
                <w:szCs w:val="18"/>
                <w:color w:val="auto"/>
                <w:w w:val="98"/>
              </w:rPr>
              <w:t>Quoted</w:t>
            </w:r>
          </w:p>
        </w:tc>
        <w:tc>
          <w:tcPr>
            <w:tcW w:w="1480" w:type="dxa"/>
            <w:vAlign w:val="bottom"/>
          </w:tcPr>
          <w:p>
            <w:pPr>
              <w:jc w:val="center"/>
              <w:spacing w:after="0" w:line="202" w:lineRule="exact"/>
              <w:rPr>
                <w:sz w:val="20"/>
                <w:szCs w:val="20"/>
                <w:color w:val="auto"/>
              </w:rPr>
            </w:pPr>
            <w:r>
              <w:rPr>
                <w:rFonts w:ascii="Arial" w:cs="Arial" w:eastAsia="Arial" w:hAnsi="Arial"/>
                <w:sz w:val="18"/>
                <w:szCs w:val="18"/>
                <w:color w:val="auto"/>
                <w:w w:val="98"/>
              </w:rPr>
              <w:t>Significant</w:t>
            </w:r>
          </w:p>
        </w:tc>
        <w:tc>
          <w:tcPr>
            <w:tcW w:w="0" w:type="dxa"/>
            <w:vAlign w:val="bottom"/>
          </w:tcPr>
          <w:p>
            <w:pPr>
              <w:spacing w:after="0"/>
              <w:rPr>
                <w:sz w:val="1"/>
                <w:szCs w:val="1"/>
                <w:color w:val="auto"/>
              </w:rPr>
            </w:pPr>
          </w:p>
        </w:tc>
      </w:tr>
      <w:tr>
        <w:trPr>
          <w:trHeight w:val="203"/>
        </w:trPr>
        <w:tc>
          <w:tcPr>
            <w:tcW w:w="5400" w:type="dxa"/>
            <w:vAlign w:val="bottom"/>
          </w:tcPr>
          <w:p>
            <w:pPr>
              <w:spacing w:after="0"/>
              <w:rPr>
                <w:sz w:val="17"/>
                <w:szCs w:val="17"/>
                <w:color w:val="auto"/>
              </w:rPr>
            </w:pPr>
          </w:p>
        </w:tc>
        <w:tc>
          <w:tcPr>
            <w:tcW w:w="1520" w:type="dxa"/>
            <w:vAlign w:val="bottom"/>
          </w:tcPr>
          <w:p>
            <w:pPr>
              <w:jc w:val="center"/>
              <w:ind w:left="10"/>
              <w:spacing w:after="0" w:line="202" w:lineRule="exact"/>
              <w:rPr>
                <w:sz w:val="20"/>
                <w:szCs w:val="20"/>
                <w:color w:val="auto"/>
              </w:rPr>
            </w:pPr>
            <w:r>
              <w:rPr>
                <w:rFonts w:ascii="Arial" w:cs="Arial" w:eastAsia="Arial" w:hAnsi="Arial"/>
                <w:sz w:val="18"/>
                <w:szCs w:val="18"/>
                <w:b w:val="1"/>
                <w:bCs w:val="1"/>
                <w:color w:val="auto"/>
                <w:w w:val="99"/>
              </w:rPr>
              <w:t>prices in</w:t>
            </w:r>
          </w:p>
        </w:tc>
        <w:tc>
          <w:tcPr>
            <w:tcW w:w="1780" w:type="dxa"/>
            <w:vAlign w:val="bottom"/>
          </w:tcPr>
          <w:p>
            <w:pPr>
              <w:jc w:val="center"/>
              <w:ind w:right="150"/>
              <w:spacing w:after="0" w:line="202" w:lineRule="exact"/>
              <w:rPr>
                <w:sz w:val="20"/>
                <w:szCs w:val="20"/>
                <w:color w:val="auto"/>
              </w:rPr>
            </w:pPr>
            <w:r>
              <w:rPr>
                <w:rFonts w:ascii="Arial" w:cs="Arial" w:eastAsia="Arial" w:hAnsi="Arial"/>
                <w:sz w:val="18"/>
                <w:szCs w:val="18"/>
                <w:b w:val="1"/>
                <w:bCs w:val="1"/>
                <w:color w:val="auto"/>
              </w:rPr>
              <w:t>other</w:t>
            </w:r>
          </w:p>
        </w:tc>
        <w:tc>
          <w:tcPr>
            <w:tcW w:w="1240" w:type="dxa"/>
            <w:vAlign w:val="bottom"/>
          </w:tcPr>
          <w:p>
            <w:pPr>
              <w:jc w:val="center"/>
              <w:ind w:right="10"/>
              <w:spacing w:after="0" w:line="202" w:lineRule="exact"/>
              <w:rPr>
                <w:sz w:val="20"/>
                <w:szCs w:val="20"/>
                <w:color w:val="auto"/>
              </w:rPr>
            </w:pPr>
            <w:r>
              <w:rPr>
                <w:rFonts w:ascii="Arial" w:cs="Arial" w:eastAsia="Arial" w:hAnsi="Arial"/>
                <w:sz w:val="18"/>
                <w:szCs w:val="18"/>
                <w:color w:val="auto"/>
                <w:w w:val="98"/>
              </w:rPr>
              <w:t>prices in</w:t>
            </w:r>
          </w:p>
        </w:tc>
        <w:tc>
          <w:tcPr>
            <w:tcW w:w="1480" w:type="dxa"/>
            <w:vAlign w:val="bottom"/>
          </w:tcPr>
          <w:p>
            <w:pPr>
              <w:jc w:val="center"/>
              <w:spacing w:after="0" w:line="202" w:lineRule="exact"/>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203"/>
        </w:trPr>
        <w:tc>
          <w:tcPr>
            <w:tcW w:w="5400" w:type="dxa"/>
            <w:vAlign w:val="bottom"/>
          </w:tcPr>
          <w:p>
            <w:pPr>
              <w:spacing w:after="0"/>
              <w:rPr>
                <w:sz w:val="17"/>
                <w:szCs w:val="17"/>
                <w:color w:val="auto"/>
              </w:rPr>
            </w:pPr>
          </w:p>
        </w:tc>
        <w:tc>
          <w:tcPr>
            <w:tcW w:w="1520" w:type="dxa"/>
            <w:vAlign w:val="bottom"/>
          </w:tcPr>
          <w:p>
            <w:pPr>
              <w:jc w:val="center"/>
              <w:ind w:left="30"/>
              <w:spacing w:after="0" w:line="202" w:lineRule="exact"/>
              <w:rPr>
                <w:sz w:val="20"/>
                <w:szCs w:val="20"/>
                <w:color w:val="auto"/>
              </w:rPr>
            </w:pPr>
            <w:r>
              <w:rPr>
                <w:rFonts w:ascii="Arial" w:cs="Arial" w:eastAsia="Arial" w:hAnsi="Arial"/>
                <w:sz w:val="18"/>
                <w:szCs w:val="18"/>
                <w:b w:val="1"/>
                <w:bCs w:val="1"/>
                <w:color w:val="auto"/>
              </w:rPr>
              <w:t>active</w:t>
            </w:r>
          </w:p>
        </w:tc>
        <w:tc>
          <w:tcPr>
            <w:tcW w:w="1780" w:type="dxa"/>
            <w:vAlign w:val="bottom"/>
          </w:tcPr>
          <w:p>
            <w:pPr>
              <w:jc w:val="center"/>
              <w:ind w:right="150"/>
              <w:spacing w:after="0" w:line="202" w:lineRule="exact"/>
              <w:rPr>
                <w:sz w:val="20"/>
                <w:szCs w:val="20"/>
                <w:color w:val="auto"/>
              </w:rPr>
            </w:pPr>
            <w:r>
              <w:rPr>
                <w:rFonts w:ascii="Arial" w:cs="Arial" w:eastAsia="Arial" w:hAnsi="Arial"/>
                <w:sz w:val="18"/>
                <w:szCs w:val="18"/>
                <w:b w:val="1"/>
                <w:bCs w:val="1"/>
                <w:color w:val="auto"/>
                <w:w w:val="98"/>
              </w:rPr>
              <w:t>observable</w:t>
            </w:r>
          </w:p>
        </w:tc>
        <w:tc>
          <w:tcPr>
            <w:tcW w:w="124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active</w:t>
            </w:r>
          </w:p>
        </w:tc>
        <w:tc>
          <w:tcPr>
            <w:tcW w:w="1480" w:type="dxa"/>
            <w:vAlign w:val="bottom"/>
          </w:tcPr>
          <w:p>
            <w:pPr>
              <w:jc w:val="center"/>
              <w:spacing w:after="0" w:line="202" w:lineRule="exact"/>
              <w:rPr>
                <w:sz w:val="20"/>
                <w:szCs w:val="20"/>
                <w:color w:val="auto"/>
              </w:rPr>
            </w:pPr>
            <w:r>
              <w:rPr>
                <w:rFonts w:ascii="Arial" w:cs="Arial" w:eastAsia="Arial" w:hAnsi="Arial"/>
                <w:sz w:val="18"/>
                <w:szCs w:val="18"/>
                <w:color w:val="auto"/>
                <w:w w:val="99"/>
              </w:rPr>
              <w:t>observable</w:t>
            </w:r>
          </w:p>
        </w:tc>
        <w:tc>
          <w:tcPr>
            <w:tcW w:w="0" w:type="dxa"/>
            <w:vAlign w:val="bottom"/>
          </w:tcPr>
          <w:p>
            <w:pPr>
              <w:spacing w:after="0"/>
              <w:rPr>
                <w:sz w:val="1"/>
                <w:szCs w:val="1"/>
                <w:color w:val="auto"/>
              </w:rPr>
            </w:pPr>
          </w:p>
        </w:tc>
      </w:tr>
      <w:tr>
        <w:trPr>
          <w:trHeight w:val="203"/>
        </w:trPr>
        <w:tc>
          <w:tcPr>
            <w:tcW w:w="5400" w:type="dxa"/>
            <w:vAlign w:val="bottom"/>
          </w:tcPr>
          <w:p>
            <w:pPr>
              <w:spacing w:after="0"/>
              <w:rPr>
                <w:sz w:val="17"/>
                <w:szCs w:val="17"/>
                <w:color w:val="auto"/>
              </w:rPr>
            </w:pPr>
          </w:p>
        </w:tc>
        <w:tc>
          <w:tcPr>
            <w:tcW w:w="1520" w:type="dxa"/>
            <w:vAlign w:val="bottom"/>
          </w:tcPr>
          <w:p>
            <w:pPr>
              <w:jc w:val="center"/>
              <w:ind w:left="70"/>
              <w:spacing w:after="0" w:line="202" w:lineRule="exact"/>
              <w:rPr>
                <w:sz w:val="20"/>
                <w:szCs w:val="20"/>
                <w:color w:val="auto"/>
              </w:rPr>
            </w:pPr>
            <w:r>
              <w:rPr>
                <w:rFonts w:ascii="Arial" w:cs="Arial" w:eastAsia="Arial" w:hAnsi="Arial"/>
                <w:sz w:val="18"/>
                <w:szCs w:val="18"/>
                <w:b w:val="1"/>
                <w:bCs w:val="1"/>
                <w:color w:val="auto"/>
                <w:w w:val="98"/>
              </w:rPr>
              <w:t>markets</w:t>
            </w:r>
          </w:p>
        </w:tc>
        <w:tc>
          <w:tcPr>
            <w:tcW w:w="178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w w:val="99"/>
              </w:rPr>
              <w:t>inputs</w:t>
            </w: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w w:val="99"/>
              </w:rPr>
              <w:t>markets</w:t>
            </w:r>
          </w:p>
        </w:tc>
        <w:tc>
          <w:tcPr>
            <w:tcW w:w="1480" w:type="dxa"/>
            <w:vAlign w:val="bottom"/>
          </w:tcPr>
          <w:p>
            <w:pPr>
              <w:jc w:val="center"/>
              <w:spacing w:after="0" w:line="202" w:lineRule="exact"/>
              <w:rPr>
                <w:sz w:val="20"/>
                <w:szCs w:val="20"/>
                <w:color w:val="auto"/>
              </w:rPr>
            </w:pPr>
            <w:r>
              <w:rPr>
                <w:rFonts w:ascii="Arial" w:cs="Arial" w:eastAsia="Arial" w:hAnsi="Arial"/>
                <w:sz w:val="18"/>
                <w:szCs w:val="18"/>
                <w:color w:val="auto"/>
                <w:w w:val="99"/>
              </w:rPr>
              <w:t>inputs</w:t>
            </w:r>
          </w:p>
        </w:tc>
        <w:tc>
          <w:tcPr>
            <w:tcW w:w="0" w:type="dxa"/>
            <w:vAlign w:val="bottom"/>
          </w:tcPr>
          <w:p>
            <w:pPr>
              <w:spacing w:after="0"/>
              <w:rPr>
                <w:sz w:val="1"/>
                <w:szCs w:val="1"/>
                <w:color w:val="auto"/>
              </w:rPr>
            </w:pPr>
          </w:p>
        </w:tc>
      </w:tr>
      <w:tr>
        <w:trPr>
          <w:trHeight w:val="227"/>
        </w:trPr>
        <w:tc>
          <w:tcPr>
            <w:tcW w:w="5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52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98"/>
              </w:rPr>
              <w:t>(Level 1)</w:t>
            </w:r>
          </w:p>
        </w:tc>
        <w:tc>
          <w:tcPr>
            <w:tcW w:w="17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(Level 2)</w:t>
            </w:r>
          </w:p>
        </w:tc>
        <w:tc>
          <w:tcPr>
            <w:tcW w:w="12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(Level 1)</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(Level 2)</w:t>
            </w:r>
          </w:p>
        </w:tc>
        <w:tc>
          <w:tcPr>
            <w:tcW w:w="0" w:type="dxa"/>
            <w:vAlign w:val="bottom"/>
          </w:tcPr>
          <w:p>
            <w:pPr>
              <w:spacing w:after="0"/>
              <w:rPr>
                <w:sz w:val="1"/>
                <w:szCs w:val="1"/>
                <w:color w:val="auto"/>
              </w:rPr>
            </w:pPr>
          </w:p>
        </w:tc>
      </w:tr>
      <w:tr>
        <w:trPr>
          <w:trHeight w:val="175"/>
        </w:trPr>
        <w:tc>
          <w:tcPr>
            <w:tcW w:w="5400" w:type="dxa"/>
            <w:vAlign w:val="bottom"/>
          </w:tcPr>
          <w:p>
            <w:pPr>
              <w:spacing w:after="0" w:line="176" w:lineRule="exact"/>
              <w:rPr>
                <w:sz w:val="20"/>
                <w:szCs w:val="20"/>
                <w:color w:val="auto"/>
              </w:rPr>
            </w:pPr>
            <w:r>
              <w:rPr>
                <w:rFonts w:ascii="Arial" w:cs="Arial" w:eastAsia="Arial" w:hAnsi="Arial"/>
                <w:sz w:val="18"/>
                <w:szCs w:val="18"/>
                <w:b w:val="1"/>
                <w:bCs w:val="1"/>
                <w:color w:val="auto"/>
              </w:rPr>
              <w:t>Fair Value</w:t>
            </w:r>
          </w:p>
        </w:tc>
        <w:tc>
          <w:tcPr>
            <w:tcW w:w="15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400" w:type="dxa"/>
            <w:vAlign w:val="bottom"/>
          </w:tcPr>
          <w:p>
            <w:pPr>
              <w:spacing w:after="0" w:line="201" w:lineRule="exact"/>
              <w:rPr>
                <w:sz w:val="20"/>
                <w:szCs w:val="20"/>
                <w:color w:val="auto"/>
              </w:rPr>
            </w:pPr>
            <w:r>
              <w:rPr>
                <w:rFonts w:ascii="Arial" w:cs="Arial" w:eastAsia="Arial" w:hAnsi="Arial"/>
                <w:sz w:val="18"/>
                <w:szCs w:val="18"/>
                <w:i w:val="1"/>
                <w:iCs w:val="1"/>
                <w:color w:val="auto"/>
              </w:rPr>
              <w:t>Assets:</w:t>
            </w:r>
          </w:p>
        </w:tc>
        <w:tc>
          <w:tcPr>
            <w:tcW w:w="152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$23,432</w:t>
            </w:r>
          </w:p>
        </w:tc>
        <w:tc>
          <w:tcPr>
            <w:tcW w:w="178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0" w:type="dxa"/>
            <w:vAlign w:val="bottom"/>
          </w:tcPr>
          <w:p>
            <w:pPr>
              <w:ind w:left="360"/>
              <w:spacing w:after="0" w:line="202" w:lineRule="exact"/>
              <w:rPr>
                <w:sz w:val="20"/>
                <w:szCs w:val="20"/>
                <w:color w:val="auto"/>
              </w:rPr>
            </w:pPr>
            <w:r>
              <w:rPr>
                <w:rFonts w:ascii="Arial" w:cs="Arial" w:eastAsia="Arial" w:hAnsi="Arial"/>
                <w:sz w:val="18"/>
                <w:szCs w:val="18"/>
                <w:color w:val="auto"/>
              </w:rPr>
              <w:t>Cash equivalents</w:t>
            </w:r>
          </w:p>
        </w:tc>
        <w:tc>
          <w:tcPr>
            <w:tcW w:w="1520" w:type="dxa"/>
            <w:vAlign w:val="bottom"/>
            <w:vMerge w:val="continue"/>
          </w:tcPr>
          <w:p>
            <w:pPr>
              <w:spacing w:after="0"/>
              <w:rPr>
                <w:sz w:val="17"/>
                <w:szCs w:val="17"/>
                <w:color w:val="auto"/>
              </w:rPr>
            </w:pPr>
          </w:p>
        </w:tc>
        <w:tc>
          <w:tcPr>
            <w:tcW w:w="1780" w:type="dxa"/>
            <w:vAlign w:val="bottom"/>
            <w:vMerge w:val="continue"/>
          </w:tcPr>
          <w:p>
            <w:pPr>
              <w:spacing w:after="0"/>
              <w:rPr>
                <w:sz w:val="17"/>
                <w:szCs w:val="17"/>
                <w:color w:val="auto"/>
              </w:rPr>
            </w:pPr>
          </w:p>
        </w:tc>
        <w:tc>
          <w:tcPr>
            <w:tcW w:w="124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$14,096</w:t>
            </w:r>
          </w:p>
        </w:tc>
        <w:tc>
          <w:tcPr>
            <w:tcW w:w="148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400" w:type="dxa"/>
            <w:vAlign w:val="bottom"/>
          </w:tcPr>
          <w:p>
            <w:pPr>
              <w:ind w:left="36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52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78</w:t>
            </w:r>
          </w:p>
        </w:tc>
        <w:tc>
          <w:tcPr>
            <w:tcW w:w="178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400" w:type="dxa"/>
            <w:vAlign w:val="bottom"/>
          </w:tcPr>
          <w:p>
            <w:pPr>
              <w:ind w:left="720"/>
              <w:spacing w:after="0" w:line="205" w:lineRule="exact"/>
              <w:rPr>
                <w:sz w:val="20"/>
                <w:szCs w:val="20"/>
                <w:color w:val="auto"/>
              </w:rPr>
            </w:pPr>
            <w:r>
              <w:rPr>
                <w:rFonts w:ascii="Arial" w:cs="Arial" w:eastAsia="Arial" w:hAnsi="Arial"/>
                <w:sz w:val="18"/>
                <w:szCs w:val="18"/>
                <w:color w:val="auto"/>
              </w:rPr>
              <w:t>Foreign currency options</w:t>
            </w:r>
          </w:p>
        </w:tc>
        <w:tc>
          <w:tcPr>
            <w:tcW w:w="1520" w:type="dxa"/>
            <w:vAlign w:val="bottom"/>
            <w:vMerge w:val="continue"/>
          </w:tcPr>
          <w:p>
            <w:pPr>
              <w:spacing w:after="0"/>
              <w:rPr>
                <w:sz w:val="17"/>
                <w:szCs w:val="17"/>
                <w:color w:val="auto"/>
              </w:rPr>
            </w:pPr>
          </w:p>
        </w:tc>
        <w:tc>
          <w:tcPr>
            <w:tcW w:w="1780" w:type="dxa"/>
            <w:vAlign w:val="bottom"/>
            <w:vMerge w:val="continue"/>
          </w:tcPr>
          <w:p>
            <w:pPr>
              <w:spacing w:after="0"/>
              <w:rPr>
                <w:sz w:val="17"/>
                <w:szCs w:val="17"/>
                <w:color w:val="auto"/>
              </w:rPr>
            </w:pPr>
          </w:p>
        </w:tc>
        <w:tc>
          <w:tcPr>
            <w:tcW w:w="1240" w:type="dxa"/>
            <w:vAlign w:val="bottom"/>
          </w:tcPr>
          <w:p>
            <w:pPr>
              <w:jc w:val="right"/>
              <w:ind w:right="190"/>
              <w:spacing w:after="0" w:line="205" w:lineRule="exact"/>
              <w:rPr>
                <w:sz w:val="20"/>
                <w:szCs w:val="20"/>
                <w:color w:val="auto"/>
              </w:rPr>
            </w:pPr>
            <w:r>
              <w:rPr>
                <w:rFonts w:ascii="Arial" w:cs="Arial" w:eastAsia="Arial" w:hAnsi="Arial"/>
                <w:sz w:val="18"/>
                <w:szCs w:val="18"/>
                <w:color w:val="auto"/>
              </w:rPr>
              <w:t>69</w:t>
            </w:r>
          </w:p>
        </w:tc>
        <w:tc>
          <w:tcPr>
            <w:tcW w:w="1480" w:type="dxa"/>
            <w:vAlign w:val="bottom"/>
          </w:tcPr>
          <w:p>
            <w:pPr>
              <w:jc w:val="right"/>
              <w:ind w:right="170"/>
              <w:spacing w:after="0" w:line="20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5400" w:type="dxa"/>
            <w:vAlign w:val="bottom"/>
          </w:tcPr>
          <w:p>
            <w:pPr>
              <w:ind w:left="360"/>
              <w:spacing w:after="0" w:line="201" w:lineRule="exact"/>
              <w:rPr>
                <w:sz w:val="20"/>
                <w:szCs w:val="20"/>
                <w:color w:val="auto"/>
              </w:rPr>
            </w:pPr>
            <w:r>
              <w:rPr>
                <w:rFonts w:ascii="Arial" w:cs="Arial" w:eastAsia="Arial" w:hAnsi="Arial"/>
                <w:sz w:val="18"/>
                <w:szCs w:val="18"/>
                <w:i w:val="1"/>
                <w:iCs w:val="1"/>
                <w:color w:val="auto"/>
              </w:rPr>
              <w:t>Other Assets:</w:t>
            </w:r>
          </w:p>
        </w:tc>
        <w:tc>
          <w:tcPr>
            <w:tcW w:w="152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913</w:t>
            </w:r>
          </w:p>
        </w:tc>
        <w:tc>
          <w:tcPr>
            <w:tcW w:w="178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400" w:type="dxa"/>
            <w:vAlign w:val="bottom"/>
          </w:tcPr>
          <w:p>
            <w:pPr>
              <w:ind w:left="720"/>
              <w:spacing w:after="0" w:line="205" w:lineRule="exact"/>
              <w:rPr>
                <w:sz w:val="20"/>
                <w:szCs w:val="20"/>
                <w:color w:val="auto"/>
              </w:rPr>
            </w:pPr>
            <w:r>
              <w:rPr>
                <w:rFonts w:ascii="Arial" w:cs="Arial" w:eastAsia="Arial" w:hAnsi="Arial"/>
                <w:sz w:val="18"/>
                <w:szCs w:val="18"/>
                <w:color w:val="auto"/>
              </w:rPr>
              <w:t>Common stock of unaffiliated foreign public company</w:t>
            </w:r>
          </w:p>
        </w:tc>
        <w:tc>
          <w:tcPr>
            <w:tcW w:w="1520" w:type="dxa"/>
            <w:vAlign w:val="bottom"/>
            <w:vMerge w:val="continue"/>
          </w:tcPr>
          <w:p>
            <w:pPr>
              <w:spacing w:after="0"/>
              <w:rPr>
                <w:sz w:val="17"/>
                <w:szCs w:val="17"/>
                <w:color w:val="auto"/>
              </w:rPr>
            </w:pPr>
          </w:p>
        </w:tc>
        <w:tc>
          <w:tcPr>
            <w:tcW w:w="1780" w:type="dxa"/>
            <w:vAlign w:val="bottom"/>
            <w:vMerge w:val="continue"/>
          </w:tcPr>
          <w:p>
            <w:pPr>
              <w:spacing w:after="0"/>
              <w:rPr>
                <w:sz w:val="17"/>
                <w:szCs w:val="17"/>
                <w:color w:val="auto"/>
              </w:rPr>
            </w:pPr>
          </w:p>
        </w:tc>
        <w:tc>
          <w:tcPr>
            <w:tcW w:w="1240" w:type="dxa"/>
            <w:vAlign w:val="bottom"/>
          </w:tcPr>
          <w:p>
            <w:pPr>
              <w:jc w:val="right"/>
              <w:ind w:right="190"/>
              <w:spacing w:after="0" w:line="205" w:lineRule="exact"/>
              <w:rPr>
                <w:sz w:val="20"/>
                <w:szCs w:val="20"/>
                <w:color w:val="auto"/>
              </w:rPr>
            </w:pPr>
            <w:r>
              <w:rPr>
                <w:rFonts w:ascii="Arial" w:cs="Arial" w:eastAsia="Arial" w:hAnsi="Arial"/>
                <w:sz w:val="18"/>
                <w:szCs w:val="18"/>
                <w:color w:val="auto"/>
              </w:rPr>
              <w:t>701</w:t>
            </w:r>
          </w:p>
        </w:tc>
        <w:tc>
          <w:tcPr>
            <w:tcW w:w="1480" w:type="dxa"/>
            <w:vAlign w:val="bottom"/>
          </w:tcPr>
          <w:p>
            <w:pPr>
              <w:jc w:val="right"/>
              <w:ind w:right="170"/>
              <w:spacing w:after="0" w:line="20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5400" w:type="dxa"/>
            <w:vAlign w:val="bottom"/>
          </w:tcPr>
          <w:p>
            <w:pPr>
              <w:spacing w:after="0" w:line="201" w:lineRule="exact"/>
              <w:rPr>
                <w:sz w:val="20"/>
                <w:szCs w:val="20"/>
                <w:color w:val="auto"/>
              </w:rPr>
            </w:pPr>
            <w:r>
              <w:rPr>
                <w:rFonts w:ascii="Arial" w:cs="Arial" w:eastAsia="Arial" w:hAnsi="Arial"/>
                <w:sz w:val="18"/>
                <w:szCs w:val="18"/>
                <w:i w:val="1"/>
                <w:iCs w:val="1"/>
                <w:color w:val="auto"/>
              </w:rPr>
              <w:t>Liabilities:</w:t>
            </w:r>
          </w:p>
        </w:tc>
        <w:tc>
          <w:tcPr>
            <w:tcW w:w="15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400" w:type="dxa"/>
            <w:vAlign w:val="bottom"/>
          </w:tcPr>
          <w:p>
            <w:pPr>
              <w:ind w:left="360"/>
              <w:spacing w:after="0"/>
              <w:rPr>
                <w:sz w:val="20"/>
                <w:szCs w:val="20"/>
                <w:color w:val="auto"/>
              </w:rPr>
            </w:pPr>
            <w:r>
              <w:rPr>
                <w:rFonts w:ascii="Arial" w:cs="Arial" w:eastAsia="Arial" w:hAnsi="Arial"/>
                <w:sz w:val="18"/>
                <w:szCs w:val="18"/>
                <w:color w:val="auto"/>
              </w:rPr>
              <w:t>Other noncurrent liabilities:</w:t>
            </w:r>
          </w:p>
        </w:tc>
        <w:tc>
          <w:tcPr>
            <w:tcW w:w="152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w:t>
            </w:r>
          </w:p>
        </w:tc>
        <w:tc>
          <w:tcPr>
            <w:tcW w:w="178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(1,679)</w:t>
            </w:r>
            <w:r>
              <w:rPr>
                <w:rFonts w:ascii="Arial" w:cs="Arial" w:eastAsia="Arial" w:hAnsi="Arial"/>
                <w:sz w:val="30"/>
                <w:szCs w:val="30"/>
                <w:b w:val="1"/>
                <w:bCs w:val="1"/>
                <w:color w:val="auto"/>
                <w:vertAlign w:val="superscript"/>
              </w:rPr>
              <w:t>(a)</w:t>
            </w:r>
          </w:p>
        </w:tc>
        <w:tc>
          <w:tcPr>
            <w:tcW w:w="1240" w:type="dxa"/>
            <w:vAlign w:val="bottom"/>
          </w:tcPr>
          <w:p>
            <w:pPr>
              <w:spacing w:after="0"/>
              <w:rPr>
                <w:sz w:val="21"/>
                <w:szCs w:val="21"/>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(1,411)</w:t>
            </w:r>
            <w:r>
              <w:rPr>
                <w:rFonts w:ascii="Arial" w:cs="Arial" w:eastAsia="Arial" w:hAnsi="Arial"/>
                <w:sz w:val="30"/>
                <w:szCs w:val="30"/>
                <w:color w:val="auto"/>
                <w:vertAlign w:val="superscript"/>
              </w:rPr>
              <w:t>(b)</w:t>
            </w:r>
          </w:p>
        </w:tc>
        <w:tc>
          <w:tcPr>
            <w:tcW w:w="0" w:type="dxa"/>
            <w:vAlign w:val="bottom"/>
          </w:tcPr>
          <w:p>
            <w:pPr>
              <w:spacing w:after="0"/>
              <w:rPr>
                <w:sz w:val="1"/>
                <w:szCs w:val="1"/>
                <w:color w:val="auto"/>
              </w:rPr>
            </w:pPr>
          </w:p>
        </w:tc>
      </w:tr>
      <w:tr>
        <w:trPr>
          <w:trHeight w:val="377"/>
        </w:trPr>
        <w:tc>
          <w:tcPr>
            <w:tcW w:w="5400" w:type="dxa"/>
            <w:vAlign w:val="bottom"/>
          </w:tcPr>
          <w:p>
            <w:pPr>
              <w:ind w:left="720"/>
              <w:spacing w:after="0"/>
              <w:rPr>
                <w:sz w:val="20"/>
                <w:szCs w:val="20"/>
                <w:color w:val="auto"/>
              </w:rPr>
            </w:pPr>
            <w:r>
              <w:rPr>
                <w:rFonts w:ascii="Arial" w:cs="Arial" w:eastAsia="Arial" w:hAnsi="Arial"/>
                <w:sz w:val="18"/>
                <w:szCs w:val="18"/>
                <w:color w:val="auto"/>
              </w:rPr>
              <w:t>Interest rate swaps</w:t>
            </w:r>
          </w:p>
        </w:tc>
        <w:tc>
          <w:tcPr>
            <w:tcW w:w="1520" w:type="dxa"/>
            <w:vAlign w:val="bottom"/>
            <w:vMerge w:val="continue"/>
          </w:tcPr>
          <w:p>
            <w:pPr>
              <w:spacing w:after="0"/>
              <w:rPr>
                <w:sz w:val="24"/>
                <w:szCs w:val="24"/>
                <w:color w:val="auto"/>
              </w:rPr>
            </w:pPr>
          </w:p>
        </w:tc>
        <w:tc>
          <w:tcPr>
            <w:tcW w:w="1780" w:type="dxa"/>
            <w:vAlign w:val="bottom"/>
            <w:vMerge w:val="continue"/>
          </w:tcPr>
          <w:p>
            <w:pPr>
              <w:spacing w:after="0"/>
              <w:rPr>
                <w:sz w:val="24"/>
                <w:szCs w:val="24"/>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4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Net of $3.0 million receivable floating leg and $4.7 million liability fixed leg</w:t>
      </w:r>
    </w:p>
    <w:p>
      <w:pPr>
        <w:spacing w:after="0" w:line="19" w:lineRule="exact"/>
        <w:rPr>
          <w:rFonts w:ascii="Arial" w:cs="Arial" w:eastAsia="Arial" w:hAnsi="Arial"/>
          <w:sz w:val="14"/>
          <w:szCs w:val="14"/>
          <w:color w:val="auto"/>
        </w:rPr>
      </w:pPr>
    </w:p>
    <w:p>
      <w:pPr>
        <w:ind w:left="660" w:hanging="328"/>
        <w:spacing w:after="0"/>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Net of $4.3 million receivable floating leg and $5.7 million liability fixed leg</w:t>
      </w:r>
    </w:p>
    <w:p>
      <w:pPr>
        <w:spacing w:after="0" w:line="163" w:lineRule="exact"/>
        <w:rPr>
          <w:sz w:val="20"/>
          <w:szCs w:val="20"/>
          <w:color w:val="auto"/>
        </w:rPr>
      </w:pPr>
    </w:p>
    <w:p>
      <w:pPr>
        <w:ind w:right="180" w:firstLine="648"/>
        <w:spacing w:after="0" w:line="276" w:lineRule="auto"/>
        <w:rPr>
          <w:sz w:val="20"/>
          <w:szCs w:val="20"/>
          <w:color w:val="auto"/>
        </w:rPr>
      </w:pPr>
      <w:r>
        <w:rPr>
          <w:rFonts w:ascii="Arial" w:cs="Arial" w:eastAsia="Arial" w:hAnsi="Arial"/>
          <w:sz w:val="18"/>
          <w:szCs w:val="18"/>
          <w:color w:val="auto"/>
        </w:rPr>
        <w:t>Cash equivalents include short-term securities that are considered to be highly liquid and easily tradable. These securities are valued using inputs observable in active markets for identical securities.</w:t>
      </w:r>
    </w:p>
    <w:p>
      <w:pPr>
        <w:spacing w:after="0" w:line="105" w:lineRule="exact"/>
        <w:rPr>
          <w:sz w:val="20"/>
          <w:szCs w:val="20"/>
          <w:color w:val="auto"/>
        </w:rPr>
      </w:pPr>
    </w:p>
    <w:p>
      <w:pPr>
        <w:ind w:right="140" w:firstLine="648"/>
        <w:spacing w:after="0" w:line="243" w:lineRule="auto"/>
        <w:rPr>
          <w:sz w:val="20"/>
          <w:szCs w:val="20"/>
          <w:color w:val="auto"/>
        </w:rPr>
      </w:pPr>
      <w:r>
        <w:rPr>
          <w:rFonts w:ascii="Arial" w:cs="Arial" w:eastAsia="Arial" w:hAnsi="Arial"/>
          <w:sz w:val="18"/>
          <w:szCs w:val="18"/>
          <w:color w:val="auto"/>
        </w:rPr>
        <w:t>The common stock of the unaffiliated foreign public company is traded in an active market exchange. The shares are measured at fair value using closing stock prices and are recorded in the Consolidated Balance Sheets as Other assets. The securities are classified as available for sale, and as a result any unrealized gain or loss is recorded in the Shareholders’ Equity section of the Consolidated Balance Sheets rather than in the Consolidated Statements of Income. When the security is sold or impaired, gains and losses are reported on the Consolidated Statements of Income. Investments are considered to be impaired when a decline in fair value is judged to be other than temporary.</w:t>
      </w:r>
    </w:p>
    <w:p>
      <w:pPr>
        <w:spacing w:after="0" w:line="134" w:lineRule="exact"/>
        <w:rPr>
          <w:sz w:val="20"/>
          <w:szCs w:val="20"/>
          <w:color w:val="auto"/>
        </w:rPr>
      </w:pPr>
    </w:p>
    <w:p>
      <w:pPr>
        <w:ind w:right="180" w:firstLine="648"/>
        <w:spacing w:after="0" w:line="248" w:lineRule="auto"/>
        <w:rPr>
          <w:sz w:val="20"/>
          <w:szCs w:val="20"/>
          <w:color w:val="auto"/>
        </w:rPr>
      </w:pPr>
      <w:r>
        <w:rPr>
          <w:rFonts w:ascii="Arial" w:cs="Arial" w:eastAsia="Arial" w:hAnsi="Arial"/>
          <w:sz w:val="18"/>
          <w:szCs w:val="18"/>
          <w:color w:val="auto"/>
        </w:rPr>
        <w:t>Foreign currency instruments are entered into periodically, and consist of foreign currency option contracts and forward contracts that are valued using quoted prices in active markets obtained from independent pricing sources. These instruments are measured using market foreign exchange prices and are recorded in the Consolidated Balance Sheets as Other current assets and Accounts payable, as applicable. Changes in fair value of these instruments are recorded as gains or losses within Other (income)/expenses, net.</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43" w:right="239" w:bottom="1440" w:gutter="0" w:footer="0" w:header="0"/>
        </w:sectPr>
      </w:pPr>
    </w:p>
    <w:bookmarkStart w:id="21" w:name="page22"/>
    <w:bookmarkEnd w:id="21"/>
    <w:p>
      <w:pPr>
        <w:ind w:firstLine="648"/>
        <w:spacing w:after="0" w:line="245" w:lineRule="auto"/>
        <w:rPr>
          <w:sz w:val="20"/>
          <w:szCs w:val="20"/>
          <w:color w:val="auto"/>
        </w:rPr>
      </w:pPr>
      <w:r>
        <w:rPr>
          <w:rFonts w:ascii="Arial" w:cs="Arial" w:eastAsia="Arial" w:hAnsi="Arial"/>
          <w:sz w:val="18"/>
          <w:szCs w:val="18"/>
          <w:color w:val="auto"/>
        </w:rPr>
        <w:t>When exercised, the foreign currency instruments are net settled with the same financial institution that bought or sold them. For all positions, whether options or forward contracts, there is risk from the possible inability of the financial institution to meet the terms of the contracts and the risk of unfavorable changes in interest and currency rates, which may reduce the value of the instruments. We seek to control risk by evaluating the creditworthiness of counterparties and by monitoring the currency exchange and interest rate markets while reviewing the hedging risks and contracts to ensure compliance with our internal guidelines and policies.</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operate our business in many regions of the world, and currency rate movements can have a significant effect on operating results.</w:t>
      </w:r>
    </w:p>
    <w:p>
      <w:pPr>
        <w:spacing w:after="0" w:line="185" w:lineRule="exact"/>
        <w:rPr>
          <w:sz w:val="20"/>
          <w:szCs w:val="20"/>
          <w:color w:val="auto"/>
        </w:rPr>
      </w:pPr>
    </w:p>
    <w:p>
      <w:pPr>
        <w:ind w:right="40" w:firstLine="648"/>
        <w:spacing w:after="0" w:line="248" w:lineRule="auto"/>
        <w:rPr>
          <w:sz w:val="20"/>
          <w:szCs w:val="20"/>
          <w:color w:val="auto"/>
        </w:rPr>
      </w:pPr>
      <w:r>
        <w:rPr>
          <w:rFonts w:ascii="Arial" w:cs="Arial" w:eastAsia="Arial" w:hAnsi="Arial"/>
          <w:sz w:val="18"/>
          <w:szCs w:val="18"/>
          <w:color w:val="auto"/>
        </w:rPr>
        <w:t>Changes in exchange rates can result in revaluation gains and losses that are recorded in Selling, General and Administrative expenses or Other (income)/expenses, net. Revaluation gains and losses occur when our business units have cash, intercompany (recorded in Other (income)/expenses, net) or third-party trade (recorded in Selling, General and Administrative expenses) receivable or payable balances in a currency other than their local reporting (or functional) currency.</w:t>
      </w:r>
    </w:p>
    <w:p>
      <w:pPr>
        <w:spacing w:after="0" w:line="130" w:lineRule="exact"/>
        <w:rPr>
          <w:sz w:val="20"/>
          <w:szCs w:val="20"/>
          <w:color w:val="auto"/>
        </w:rPr>
      </w:pPr>
    </w:p>
    <w:p>
      <w:pPr>
        <w:ind w:right="200" w:firstLine="648"/>
        <w:spacing w:after="0" w:line="248" w:lineRule="auto"/>
        <w:rPr>
          <w:sz w:val="20"/>
          <w:szCs w:val="20"/>
          <w:color w:val="auto"/>
        </w:rPr>
      </w:pPr>
      <w:r>
        <w:rPr>
          <w:rFonts w:ascii="Arial" w:cs="Arial" w:eastAsia="Arial" w:hAnsi="Arial"/>
          <w:sz w:val="18"/>
          <w:szCs w:val="18"/>
          <w:color w:val="auto"/>
        </w:rPr>
        <w:t>Operating results can also be affected by the translation of sales and costs, for each non-U.S. subsidiary, from the local functional currency to the U.S. dollar. The translation effect on the Consolidated Statements of Income is dependent on our net income or expense position in each non-U.S. currency in which we do business. A net income position exists when sales realized in a particular currency exceed expenses paid in that currency; a net expense position exists if the opposite is true.</w:t>
      </w:r>
    </w:p>
    <w:p>
      <w:pPr>
        <w:spacing w:after="0" w:line="130" w:lineRule="exact"/>
        <w:rPr>
          <w:sz w:val="20"/>
          <w:szCs w:val="20"/>
          <w:color w:val="auto"/>
        </w:rPr>
      </w:pPr>
    </w:p>
    <w:p>
      <w:pPr>
        <w:ind w:right="60" w:firstLine="648"/>
        <w:spacing w:after="0"/>
        <w:rPr>
          <w:sz w:val="20"/>
          <w:szCs w:val="20"/>
          <w:color w:val="auto"/>
        </w:rPr>
      </w:pPr>
      <w:r>
        <w:rPr>
          <w:rFonts w:ascii="Arial" w:cs="Arial" w:eastAsia="Arial" w:hAnsi="Arial"/>
          <w:sz w:val="18"/>
          <w:szCs w:val="18"/>
          <w:color w:val="auto"/>
        </w:rPr>
        <w:t>The interest rate swaps are accounted for as hedges of future cash flows. The fair value of our interest rate swaps are derived from a discounted cash flow analysis based on the terms of the contract and the interest rate curve, and is included in Other assets and Other noncurrent liabilities in the Consolidated Balance Sheets. Unrealized gains and losses on the swaps flow through the caption Derivative valuation adjustment in the Shareholders’ equity section of the Consolidated Balance Sheets, to the extent that the hedges are highly effective. As of June 30, 2015, these interest rate swaps were determined to be 100% effective hedges of interest rate cash flow risk. Any gains and losses related to the ineffective portion of the hedges will be recognized in the current period in earnings. Amounts accumulated in Other comprehensive income are reclassified as Interest expense, net when the related interest payments (that is, the hedged forecasted transactions) affect earnings. Interest expense related to the swaps totaled $1.0 million for each of the six month periods ended June 30, 2015 and 2014.</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Gains/ (losses) related to changes in fair value of derivative instruments that were recognized in Other (income)/expenses, net in the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Statements of Income were as follows: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340" w:type="dxa"/>
            <w:vAlign w:val="bottom"/>
            <w:tcBorders>
              <w:top w:val="single" w:sz="8" w:color="auto"/>
            </w:tcBorders>
          </w:tcPr>
          <w:p>
            <w:pPr>
              <w:spacing w:after="0"/>
              <w:rPr>
                <w:sz w:val="16"/>
                <w:szCs w:val="16"/>
                <w:color w:val="auto"/>
              </w:rPr>
            </w:pPr>
          </w:p>
        </w:tc>
        <w:tc>
          <w:tcPr>
            <w:tcW w:w="3800" w:type="dxa"/>
            <w:vAlign w:val="bottom"/>
            <w:tcBorders>
              <w:top w:val="single" w:sz="8" w:color="auto"/>
            </w:tcBorders>
            <w:gridSpan w:val="2"/>
          </w:tcPr>
          <w:p>
            <w:pPr>
              <w:jc w:val="center"/>
              <w:ind w:left="490"/>
              <w:spacing w:after="0" w:line="191" w:lineRule="exact"/>
              <w:rPr>
                <w:sz w:val="20"/>
                <w:szCs w:val="20"/>
                <w:color w:val="auto"/>
              </w:rPr>
            </w:pPr>
            <w:r>
              <w:rPr>
                <w:rFonts w:ascii="Arial" w:cs="Arial" w:eastAsia="Arial" w:hAnsi="Arial"/>
                <w:sz w:val="18"/>
                <w:szCs w:val="18"/>
                <w:b w:val="1"/>
                <w:bCs w:val="1"/>
                <w:color w:val="auto"/>
              </w:rPr>
              <w:t>Three months ended</w:t>
            </w:r>
          </w:p>
        </w:tc>
        <w:tc>
          <w:tcPr>
            <w:tcW w:w="2280" w:type="dxa"/>
            <w:vAlign w:val="bottom"/>
            <w:tcBorders>
              <w:top w:val="single" w:sz="8" w:color="auto"/>
            </w:tcBorders>
            <w:gridSpan w:val="2"/>
          </w:tcPr>
          <w:p>
            <w:pPr>
              <w:ind w:left="240"/>
              <w:spacing w:after="0" w:line="191" w:lineRule="exact"/>
              <w:rPr>
                <w:sz w:val="20"/>
                <w:szCs w:val="20"/>
                <w:color w:val="auto"/>
              </w:rPr>
            </w:pPr>
            <w:r>
              <w:rPr>
                <w:rFonts w:ascii="Arial" w:cs="Arial" w:eastAsia="Arial" w:hAnsi="Arial"/>
                <w:sz w:val="18"/>
                <w:szCs w:val="18"/>
                <w:b w:val="1"/>
                <w:bCs w:val="1"/>
                <w:color w:val="auto"/>
              </w:rPr>
              <w:t>Six months ended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340" w:type="dxa"/>
            <w:vAlign w:val="bottom"/>
          </w:tcPr>
          <w:p>
            <w:pPr>
              <w:spacing w:after="0"/>
              <w:rPr>
                <w:sz w:val="17"/>
                <w:szCs w:val="17"/>
                <w:color w:val="auto"/>
              </w:rPr>
            </w:pPr>
          </w:p>
        </w:tc>
        <w:tc>
          <w:tcPr>
            <w:tcW w:w="2660" w:type="dxa"/>
            <w:vAlign w:val="bottom"/>
          </w:tcPr>
          <w:p>
            <w:pPr>
              <w:jc w:val="center"/>
              <w:ind w:left="1690"/>
              <w:spacing w:after="0" w:line="202" w:lineRule="exact"/>
              <w:rPr>
                <w:sz w:val="20"/>
                <w:szCs w:val="20"/>
                <w:color w:val="auto"/>
              </w:rPr>
            </w:pPr>
            <w:r>
              <w:rPr>
                <w:rFonts w:ascii="Arial" w:cs="Arial" w:eastAsia="Arial" w:hAnsi="Arial"/>
                <w:sz w:val="18"/>
                <w:szCs w:val="18"/>
                <w:b w:val="1"/>
                <w:bCs w:val="1"/>
                <w:color w:val="auto"/>
                <w:w w:val="99"/>
              </w:rPr>
              <w:t>June 30,</w:t>
            </w:r>
          </w:p>
        </w:tc>
        <w:tc>
          <w:tcPr>
            <w:tcW w:w="1140" w:type="dxa"/>
            <w:vAlign w:val="bottom"/>
          </w:tcPr>
          <w:p>
            <w:pPr>
              <w:spacing w:after="0"/>
              <w:rPr>
                <w:sz w:val="17"/>
                <w:szCs w:val="17"/>
                <w:color w:val="auto"/>
              </w:rPr>
            </w:pPr>
          </w:p>
        </w:tc>
        <w:tc>
          <w:tcPr>
            <w:tcW w:w="1420" w:type="dxa"/>
            <w:vAlign w:val="bottom"/>
          </w:tcPr>
          <w:p>
            <w:pPr>
              <w:ind w:left="680"/>
              <w:spacing w:after="0" w:line="202" w:lineRule="exact"/>
              <w:rPr>
                <w:sz w:val="20"/>
                <w:szCs w:val="20"/>
                <w:color w:val="auto"/>
              </w:rPr>
            </w:pPr>
            <w:r>
              <w:rPr>
                <w:rFonts w:ascii="Arial" w:cs="Arial" w:eastAsia="Arial" w:hAnsi="Arial"/>
                <w:sz w:val="18"/>
                <w:szCs w:val="18"/>
                <w:b w:val="1"/>
                <w:bCs w:val="1"/>
                <w:color w:val="auto"/>
                <w:w w:val="99"/>
              </w:rPr>
              <w:t>June 30,</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66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2015</w:t>
            </w:r>
          </w:p>
        </w:tc>
        <w:tc>
          <w:tcPr>
            <w:tcW w:w="11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2014</w:t>
            </w:r>
          </w:p>
        </w:tc>
        <w:tc>
          <w:tcPr>
            <w:tcW w:w="142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2015</w:t>
            </w: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6"/>
        </w:trPr>
        <w:tc>
          <w:tcPr>
            <w:tcW w:w="5340" w:type="dxa"/>
            <w:vAlign w:val="bottom"/>
          </w:tcPr>
          <w:p>
            <w:pPr>
              <w:spacing w:after="0"/>
              <w:rPr>
                <w:sz w:val="20"/>
                <w:szCs w:val="20"/>
                <w:color w:val="auto"/>
              </w:rPr>
            </w:pPr>
            <w:r>
              <w:rPr>
                <w:rFonts w:ascii="Arial" w:cs="Arial" w:eastAsia="Arial" w:hAnsi="Arial"/>
                <w:sz w:val="18"/>
                <w:szCs w:val="18"/>
                <w:color w:val="auto"/>
              </w:rPr>
              <w:t>Derivatives not designated as hedging instruments</w:t>
            </w:r>
          </w:p>
        </w:tc>
        <w:tc>
          <w:tcPr>
            <w:tcW w:w="266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($92)</w:t>
            </w:r>
          </w:p>
        </w:tc>
        <w:tc>
          <w:tcPr>
            <w:tcW w:w="1140" w:type="dxa"/>
            <w:vAlign w:val="bottom"/>
          </w:tcPr>
          <w:p>
            <w:pPr>
              <w:spacing w:after="0"/>
              <w:rPr>
                <w:sz w:val="24"/>
                <w:szCs w:val="24"/>
                <w:color w:val="auto"/>
              </w:rPr>
            </w:pPr>
          </w:p>
        </w:tc>
        <w:tc>
          <w:tcPr>
            <w:tcW w:w="142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$125</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53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Forward currency options</w:t>
            </w:r>
          </w:p>
        </w:tc>
        <w:tc>
          <w:tcPr>
            <w:tcW w:w="2660" w:type="dxa"/>
            <w:vAlign w:val="bottom"/>
            <w:tcBorders>
              <w:bottom w:val="single" w:sz="8" w:color="auto"/>
            </w:tcBorders>
            <w:vMerge w:val="continue"/>
          </w:tcPr>
          <w:p>
            <w:pPr>
              <w:spacing w:after="0"/>
              <w:rPr>
                <w:sz w:val="19"/>
                <w:szCs w:val="19"/>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$80</w:t>
            </w:r>
          </w:p>
        </w:tc>
        <w:tc>
          <w:tcPr>
            <w:tcW w:w="14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15. Contingencies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Asbestos Litigation</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43" w:right="239" w:bottom="1440" w:gutter="0" w:footer="0" w:header="0"/>
        </w:sectPr>
      </w:pPr>
    </w:p>
    <w:bookmarkStart w:id="22" w:name="page23"/>
    <w:bookmarkEnd w:id="22"/>
    <w:p>
      <w:pPr>
        <w:ind w:right="160" w:firstLine="648"/>
        <w:spacing w:after="0" w:line="248" w:lineRule="auto"/>
        <w:rPr>
          <w:sz w:val="20"/>
          <w:szCs w:val="20"/>
          <w:color w:val="auto"/>
        </w:rPr>
      </w:pPr>
      <w:r>
        <w:rPr>
          <w:rFonts w:ascii="Arial" w:cs="Arial" w:eastAsia="Arial" w:hAnsi="Arial"/>
          <w:sz w:val="18"/>
          <w:szCs w:val="18"/>
          <w:color w:val="auto"/>
        </w:rPr>
        <w:t>Albany International Corp. is a defendant in suits brought in various courts in the United States by plaintiffs who allege that they have suffered personal injury as a result of exposure to asbestos-containing products that we previously manufactured. We produced asbestos-containing paper machine clothing synthetic dryer fabrics marketed during the period from 1967 to 1976 and used in certain paper mills. Such fabrics generally had a useful life of three to twelve months.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were defending 3,817 claims as of June 30, 2015.</w:t>
      </w:r>
    </w:p>
    <w:p>
      <w:pPr>
        <w:spacing w:after="0" w:line="185" w:lineRule="exact"/>
        <w:rPr>
          <w:sz w:val="20"/>
          <w:szCs w:val="20"/>
          <w:color w:val="auto"/>
        </w:rPr>
      </w:pPr>
    </w:p>
    <w:p>
      <w:pPr>
        <w:ind w:right="660" w:firstLine="648"/>
        <w:spacing w:after="0" w:line="276" w:lineRule="auto"/>
        <w:rPr>
          <w:sz w:val="20"/>
          <w:szCs w:val="20"/>
          <w:color w:val="auto"/>
        </w:rPr>
      </w:pPr>
      <w:r>
        <w:rPr>
          <w:rFonts w:ascii="Arial" w:cs="Arial" w:eastAsia="Arial" w:hAnsi="Arial"/>
          <w:sz w:val="18"/>
          <w:szCs w:val="18"/>
          <w:color w:val="auto"/>
        </w:rPr>
        <w:t>The following table sets forth the number of claims filed, the number of claims settled, dismissed or otherwise resolved, and the aggregate settlement amount during the periods presented:</w:t>
      </w:r>
    </w:p>
    <w:p>
      <w:pPr>
        <w:spacing w:after="0" w:line="108"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2400" w:type="dxa"/>
            <w:vAlign w:val="bottom"/>
            <w:tcBorders>
              <w:top w:val="single" w:sz="8" w:color="auto"/>
              <w:left w:val="single" w:sz="8" w:color="auto"/>
              <w:right w:val="single" w:sz="8" w:color="auto"/>
            </w:tcBorders>
          </w:tcPr>
          <w:p>
            <w:pPr>
              <w:spacing w:after="0"/>
              <w:rPr>
                <w:sz w:val="16"/>
                <w:szCs w:val="16"/>
                <w:color w:val="auto"/>
              </w:rPr>
            </w:pPr>
          </w:p>
        </w:tc>
        <w:tc>
          <w:tcPr>
            <w:tcW w:w="1700" w:type="dxa"/>
            <w:vAlign w:val="bottom"/>
            <w:tcBorders>
              <w:top w:val="single" w:sz="8" w:color="auto"/>
              <w:right w:val="single" w:sz="8" w:color="auto"/>
            </w:tcBorders>
          </w:tcPr>
          <w:p>
            <w:pPr>
              <w:spacing w:after="0"/>
              <w:rPr>
                <w:sz w:val="16"/>
                <w:szCs w:val="16"/>
                <w:color w:val="auto"/>
              </w:rPr>
            </w:pPr>
          </w:p>
        </w:tc>
        <w:tc>
          <w:tcPr>
            <w:tcW w:w="1600" w:type="dxa"/>
            <w:vAlign w:val="bottom"/>
            <w:tcBorders>
              <w:top w:val="single" w:sz="8" w:color="auto"/>
              <w:right w:val="single" w:sz="8" w:color="auto"/>
            </w:tcBorders>
          </w:tcPr>
          <w:p>
            <w:pPr>
              <w:spacing w:after="0"/>
              <w:rPr>
                <w:sz w:val="16"/>
                <w:szCs w:val="16"/>
                <w:color w:val="auto"/>
              </w:rPr>
            </w:pPr>
          </w:p>
        </w:tc>
        <w:tc>
          <w:tcPr>
            <w:tcW w:w="1700" w:type="dxa"/>
            <w:vAlign w:val="bottom"/>
            <w:tcBorders>
              <w:top w:val="single" w:sz="8" w:color="auto"/>
              <w:right w:val="single" w:sz="8" w:color="auto"/>
            </w:tcBorders>
          </w:tcPr>
          <w:p>
            <w:pPr>
              <w:spacing w:after="0"/>
              <w:rPr>
                <w:sz w:val="16"/>
                <w:szCs w:val="16"/>
                <w:color w:val="auto"/>
              </w:rPr>
            </w:pPr>
          </w:p>
        </w:tc>
        <w:tc>
          <w:tcPr>
            <w:tcW w:w="2300" w:type="dxa"/>
            <w:vAlign w:val="bottom"/>
            <w:tcBorders>
              <w:top w:val="single" w:sz="8" w:color="auto"/>
              <w:right w:val="single" w:sz="8" w:color="auto"/>
            </w:tcBorders>
          </w:tcPr>
          <w:p>
            <w:pPr>
              <w:spacing w:after="0"/>
              <w:rPr>
                <w:sz w:val="16"/>
                <w:szCs w:val="16"/>
                <w:color w:val="auto"/>
              </w:rPr>
            </w:pPr>
          </w:p>
        </w:tc>
        <w:tc>
          <w:tcPr>
            <w:tcW w:w="1720" w:type="dxa"/>
            <w:vAlign w:val="bottom"/>
            <w:tcBorders>
              <w:top w:val="single" w:sz="8" w:color="auto"/>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9"/>
              </w:rPr>
              <w:t>Amounts</w:t>
            </w:r>
          </w:p>
        </w:tc>
      </w:tr>
      <w:tr>
        <w:trPr>
          <w:trHeight w:val="203"/>
        </w:trPr>
        <w:tc>
          <w:tcPr>
            <w:tcW w:w="2400" w:type="dxa"/>
            <w:vAlign w:val="bottom"/>
            <w:tcBorders>
              <w:left w:val="single" w:sz="8" w:color="auto"/>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rPr>
              <w:t>Claims</w:t>
            </w:r>
          </w:p>
        </w:tc>
        <w:tc>
          <w:tcPr>
            <w:tcW w:w="1700" w:type="dxa"/>
            <w:vAlign w:val="bottom"/>
            <w:tcBorders>
              <w:right w:val="single" w:sz="8" w:color="auto"/>
            </w:tcBorders>
          </w:tcPr>
          <w:p>
            <w:pPr>
              <w:spacing w:after="0"/>
              <w:rPr>
                <w:sz w:val="17"/>
                <w:szCs w:val="17"/>
                <w:color w:val="auto"/>
              </w:rPr>
            </w:pPr>
          </w:p>
        </w:tc>
        <w:tc>
          <w:tcPr>
            <w:tcW w:w="230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Paid</w:t>
            </w:r>
          </w:p>
        </w:tc>
      </w:tr>
      <w:tr>
        <w:trPr>
          <w:trHeight w:val="203"/>
        </w:trPr>
        <w:tc>
          <w:tcPr>
            <w:tcW w:w="2400" w:type="dxa"/>
            <w:vAlign w:val="bottom"/>
            <w:tcBorders>
              <w:left w:val="single" w:sz="8" w:color="auto"/>
              <w:right w:val="single" w:sz="8" w:color="auto"/>
            </w:tcBorders>
          </w:tcPr>
          <w:p>
            <w:pPr>
              <w:spacing w:after="0"/>
              <w:rPr>
                <w:sz w:val="17"/>
                <w:szCs w:val="17"/>
                <w:color w:val="auto"/>
              </w:rPr>
            </w:pPr>
          </w:p>
        </w:tc>
        <w:tc>
          <w:tcPr>
            <w:tcW w:w="17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rPr>
              <w:t>Opening</w:t>
            </w:r>
          </w:p>
        </w:tc>
        <w:tc>
          <w:tcPr>
            <w:tcW w:w="16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rPr>
              <w:t>Dismissed,</w:t>
            </w:r>
          </w:p>
        </w:tc>
        <w:tc>
          <w:tcPr>
            <w:tcW w:w="1700" w:type="dxa"/>
            <w:vAlign w:val="bottom"/>
            <w:tcBorders>
              <w:right w:val="single" w:sz="8" w:color="auto"/>
            </w:tcBorders>
          </w:tcPr>
          <w:p>
            <w:pPr>
              <w:spacing w:after="0"/>
              <w:rPr>
                <w:sz w:val="17"/>
                <w:szCs w:val="17"/>
                <w:color w:val="auto"/>
              </w:rPr>
            </w:pPr>
          </w:p>
        </w:tc>
        <w:tc>
          <w:tcPr>
            <w:tcW w:w="230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rPr>
              <w:t>(thousands)</w:t>
            </w:r>
          </w:p>
        </w:tc>
      </w:tr>
      <w:tr>
        <w:trPr>
          <w:trHeight w:val="203"/>
        </w:trPr>
        <w:tc>
          <w:tcPr>
            <w:tcW w:w="2400" w:type="dxa"/>
            <w:vAlign w:val="bottom"/>
            <w:tcBorders>
              <w:left w:val="single" w:sz="8" w:color="auto"/>
              <w:right w:val="single" w:sz="8" w:color="auto"/>
            </w:tcBorders>
          </w:tcPr>
          <w:p>
            <w:pPr>
              <w:ind w:left="700"/>
              <w:spacing w:after="0" w:line="202" w:lineRule="exact"/>
              <w:rPr>
                <w:sz w:val="20"/>
                <w:szCs w:val="20"/>
                <w:color w:val="auto"/>
              </w:rPr>
            </w:pPr>
            <w:r>
              <w:rPr>
                <w:rFonts w:ascii="Arial" w:cs="Arial" w:eastAsia="Arial" w:hAnsi="Arial"/>
                <w:sz w:val="18"/>
                <w:szCs w:val="18"/>
                <w:b w:val="1"/>
                <w:bCs w:val="1"/>
                <w:color w:val="auto"/>
              </w:rPr>
              <w:t>Year ended</w:t>
            </w:r>
          </w:p>
        </w:tc>
        <w:tc>
          <w:tcPr>
            <w:tcW w:w="17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Number of</w:t>
            </w:r>
          </w:p>
        </w:tc>
        <w:tc>
          <w:tcPr>
            <w:tcW w:w="16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Settled, or</w:t>
            </w:r>
          </w:p>
        </w:tc>
        <w:tc>
          <w:tcPr>
            <w:tcW w:w="1700" w:type="dxa"/>
            <w:vAlign w:val="bottom"/>
            <w:tcBorders>
              <w:right w:val="single" w:sz="8" w:color="auto"/>
            </w:tcBorders>
          </w:tcPr>
          <w:p>
            <w:pPr>
              <w:spacing w:after="0"/>
              <w:rPr>
                <w:sz w:val="17"/>
                <w:szCs w:val="17"/>
                <w:color w:val="auto"/>
              </w:rPr>
            </w:pPr>
          </w:p>
        </w:tc>
        <w:tc>
          <w:tcPr>
            <w:tcW w:w="2300" w:type="dxa"/>
            <w:vAlign w:val="bottom"/>
            <w:tcBorders>
              <w:right w:val="single" w:sz="8" w:color="auto"/>
            </w:tcBorders>
          </w:tcPr>
          <w:p>
            <w:pPr>
              <w:jc w:val="right"/>
              <w:ind w:right="410"/>
              <w:spacing w:after="0" w:line="202" w:lineRule="exact"/>
              <w:rPr>
                <w:sz w:val="20"/>
                <w:szCs w:val="20"/>
                <w:color w:val="auto"/>
              </w:rPr>
            </w:pPr>
            <w:r>
              <w:rPr>
                <w:rFonts w:ascii="Arial" w:cs="Arial" w:eastAsia="Arial" w:hAnsi="Arial"/>
                <w:sz w:val="18"/>
                <w:szCs w:val="18"/>
                <w:b w:val="1"/>
                <w:bCs w:val="1"/>
                <w:color w:val="auto"/>
              </w:rPr>
              <w:t>Closing Number</w:t>
            </w:r>
          </w:p>
        </w:tc>
        <w:tc>
          <w:tcPr>
            <w:tcW w:w="17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to Settle or</w:t>
            </w:r>
          </w:p>
        </w:tc>
      </w:tr>
      <w:tr>
        <w:trPr>
          <w:trHeight w:val="227"/>
        </w:trPr>
        <w:tc>
          <w:tcPr>
            <w:tcW w:w="240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b w:val="1"/>
                <w:bCs w:val="1"/>
                <w:color w:val="auto"/>
              </w:rPr>
              <w:t>December 31,</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Claims</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Resolved</w:t>
            </w:r>
          </w:p>
        </w:tc>
        <w:tc>
          <w:tcPr>
            <w:tcW w:w="1700" w:type="dxa"/>
            <w:vAlign w:val="bottom"/>
            <w:tcBorders>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New Claims</w:t>
            </w:r>
          </w:p>
        </w:tc>
        <w:tc>
          <w:tcPr>
            <w:tcW w:w="2300" w:type="dxa"/>
            <w:vAlign w:val="bottom"/>
            <w:tcBorders>
              <w:bottom w:val="single" w:sz="8" w:color="auto"/>
              <w:right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of Claims</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Resolve</w:t>
            </w:r>
          </w:p>
        </w:tc>
      </w:tr>
      <w:tr>
        <w:trPr>
          <w:trHeight w:val="196"/>
        </w:trPr>
        <w:tc>
          <w:tcPr>
            <w:tcW w:w="2400" w:type="dxa"/>
            <w:vAlign w:val="bottom"/>
            <w:tcBorders>
              <w:left w:val="single" w:sz="8" w:color="auto"/>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2005</w:t>
            </w:r>
          </w:p>
        </w:tc>
        <w:tc>
          <w:tcPr>
            <w:tcW w:w="1700" w:type="dxa"/>
            <w:vAlign w:val="bottom"/>
            <w:tcBorders>
              <w:bottom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29,411</w:t>
            </w:r>
          </w:p>
        </w:tc>
        <w:tc>
          <w:tcPr>
            <w:tcW w:w="16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6,257</w:t>
            </w:r>
          </w:p>
        </w:tc>
        <w:tc>
          <w:tcPr>
            <w:tcW w:w="17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1,297</w:t>
            </w:r>
          </w:p>
        </w:tc>
        <w:tc>
          <w:tcPr>
            <w:tcW w:w="23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24,451</w:t>
            </w:r>
          </w:p>
        </w:tc>
        <w:tc>
          <w:tcPr>
            <w:tcW w:w="172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$504</w:t>
            </w:r>
          </w:p>
        </w:tc>
      </w:tr>
      <w:tr>
        <w:trPr>
          <w:trHeight w:val="196"/>
        </w:trPr>
        <w:tc>
          <w:tcPr>
            <w:tcW w:w="2400" w:type="dxa"/>
            <w:vAlign w:val="bottom"/>
            <w:tcBorders>
              <w:left w:val="single" w:sz="8" w:color="auto"/>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2006</w:t>
            </w:r>
          </w:p>
        </w:tc>
        <w:tc>
          <w:tcPr>
            <w:tcW w:w="1700" w:type="dxa"/>
            <w:vAlign w:val="bottom"/>
            <w:tcBorders>
              <w:bottom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24,451</w:t>
            </w:r>
          </w:p>
        </w:tc>
        <w:tc>
          <w:tcPr>
            <w:tcW w:w="16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6,841</w:t>
            </w:r>
          </w:p>
        </w:tc>
        <w:tc>
          <w:tcPr>
            <w:tcW w:w="17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1,806</w:t>
            </w:r>
          </w:p>
        </w:tc>
        <w:tc>
          <w:tcPr>
            <w:tcW w:w="23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19,416</w:t>
            </w:r>
          </w:p>
        </w:tc>
        <w:tc>
          <w:tcPr>
            <w:tcW w:w="172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3,879</w:t>
            </w:r>
          </w:p>
        </w:tc>
      </w:tr>
      <w:tr>
        <w:trPr>
          <w:trHeight w:val="196"/>
        </w:trPr>
        <w:tc>
          <w:tcPr>
            <w:tcW w:w="2400" w:type="dxa"/>
            <w:vAlign w:val="bottom"/>
            <w:tcBorders>
              <w:left w:val="single" w:sz="8" w:color="auto"/>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2007</w:t>
            </w:r>
          </w:p>
        </w:tc>
        <w:tc>
          <w:tcPr>
            <w:tcW w:w="1700" w:type="dxa"/>
            <w:vAlign w:val="bottom"/>
            <w:tcBorders>
              <w:bottom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19,416</w:t>
            </w:r>
          </w:p>
        </w:tc>
        <w:tc>
          <w:tcPr>
            <w:tcW w:w="16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808</w:t>
            </w:r>
          </w:p>
        </w:tc>
        <w:tc>
          <w:tcPr>
            <w:tcW w:w="17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190</w:t>
            </w:r>
          </w:p>
        </w:tc>
        <w:tc>
          <w:tcPr>
            <w:tcW w:w="23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18,798</w:t>
            </w:r>
          </w:p>
        </w:tc>
        <w:tc>
          <w:tcPr>
            <w:tcW w:w="172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15</w:t>
            </w:r>
          </w:p>
        </w:tc>
      </w:tr>
      <w:tr>
        <w:trPr>
          <w:trHeight w:val="196"/>
        </w:trPr>
        <w:tc>
          <w:tcPr>
            <w:tcW w:w="2400" w:type="dxa"/>
            <w:vAlign w:val="bottom"/>
            <w:tcBorders>
              <w:left w:val="single" w:sz="8" w:color="auto"/>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2008</w:t>
            </w:r>
          </w:p>
        </w:tc>
        <w:tc>
          <w:tcPr>
            <w:tcW w:w="1700" w:type="dxa"/>
            <w:vAlign w:val="bottom"/>
            <w:tcBorders>
              <w:bottom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18,798</w:t>
            </w:r>
          </w:p>
        </w:tc>
        <w:tc>
          <w:tcPr>
            <w:tcW w:w="16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523</w:t>
            </w:r>
          </w:p>
        </w:tc>
        <w:tc>
          <w:tcPr>
            <w:tcW w:w="17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110</w:t>
            </w:r>
          </w:p>
        </w:tc>
        <w:tc>
          <w:tcPr>
            <w:tcW w:w="23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18,385</w:t>
            </w:r>
          </w:p>
        </w:tc>
        <w:tc>
          <w:tcPr>
            <w:tcW w:w="172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52</w:t>
            </w:r>
          </w:p>
        </w:tc>
      </w:tr>
      <w:tr>
        <w:trPr>
          <w:trHeight w:val="196"/>
        </w:trPr>
        <w:tc>
          <w:tcPr>
            <w:tcW w:w="2400" w:type="dxa"/>
            <w:vAlign w:val="bottom"/>
            <w:tcBorders>
              <w:left w:val="single" w:sz="8" w:color="auto"/>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2009</w:t>
            </w:r>
          </w:p>
        </w:tc>
        <w:tc>
          <w:tcPr>
            <w:tcW w:w="1700" w:type="dxa"/>
            <w:vAlign w:val="bottom"/>
            <w:tcBorders>
              <w:bottom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18,385</w:t>
            </w:r>
          </w:p>
        </w:tc>
        <w:tc>
          <w:tcPr>
            <w:tcW w:w="16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9,482</w:t>
            </w:r>
          </w:p>
        </w:tc>
        <w:tc>
          <w:tcPr>
            <w:tcW w:w="17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42</w:t>
            </w:r>
          </w:p>
        </w:tc>
        <w:tc>
          <w:tcPr>
            <w:tcW w:w="2300" w:type="dxa"/>
            <w:vAlign w:val="bottom"/>
            <w:tcBorders>
              <w:bottom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8,945</w:t>
            </w:r>
          </w:p>
        </w:tc>
        <w:tc>
          <w:tcPr>
            <w:tcW w:w="172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88</w:t>
            </w:r>
          </w:p>
        </w:tc>
      </w:tr>
      <w:tr>
        <w:trPr>
          <w:trHeight w:val="196"/>
        </w:trPr>
        <w:tc>
          <w:tcPr>
            <w:tcW w:w="2400" w:type="dxa"/>
            <w:vAlign w:val="bottom"/>
            <w:tcBorders>
              <w:left w:val="single" w:sz="8" w:color="auto"/>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2010</w:t>
            </w:r>
          </w:p>
        </w:tc>
        <w:tc>
          <w:tcPr>
            <w:tcW w:w="1700" w:type="dxa"/>
            <w:vAlign w:val="bottom"/>
            <w:tcBorders>
              <w:bottom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8,945</w:t>
            </w:r>
          </w:p>
        </w:tc>
        <w:tc>
          <w:tcPr>
            <w:tcW w:w="16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3,963</w:t>
            </w:r>
          </w:p>
        </w:tc>
        <w:tc>
          <w:tcPr>
            <w:tcW w:w="17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188</w:t>
            </w:r>
          </w:p>
        </w:tc>
        <w:tc>
          <w:tcPr>
            <w:tcW w:w="2300" w:type="dxa"/>
            <w:vAlign w:val="bottom"/>
            <w:tcBorders>
              <w:bottom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5,170</w:t>
            </w:r>
          </w:p>
        </w:tc>
        <w:tc>
          <w:tcPr>
            <w:tcW w:w="172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159</w:t>
            </w:r>
          </w:p>
        </w:tc>
      </w:tr>
      <w:tr>
        <w:trPr>
          <w:trHeight w:val="196"/>
        </w:trPr>
        <w:tc>
          <w:tcPr>
            <w:tcW w:w="2400" w:type="dxa"/>
            <w:vAlign w:val="bottom"/>
            <w:tcBorders>
              <w:left w:val="single" w:sz="8" w:color="auto"/>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2011</w:t>
            </w:r>
          </w:p>
        </w:tc>
        <w:tc>
          <w:tcPr>
            <w:tcW w:w="1700" w:type="dxa"/>
            <w:vAlign w:val="bottom"/>
            <w:tcBorders>
              <w:bottom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5,170</w:t>
            </w:r>
          </w:p>
        </w:tc>
        <w:tc>
          <w:tcPr>
            <w:tcW w:w="16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789</w:t>
            </w:r>
          </w:p>
        </w:tc>
        <w:tc>
          <w:tcPr>
            <w:tcW w:w="17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65</w:t>
            </w:r>
          </w:p>
        </w:tc>
        <w:tc>
          <w:tcPr>
            <w:tcW w:w="2300" w:type="dxa"/>
            <w:vAlign w:val="bottom"/>
            <w:tcBorders>
              <w:bottom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4,446</w:t>
            </w:r>
          </w:p>
        </w:tc>
        <w:tc>
          <w:tcPr>
            <w:tcW w:w="172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1,111</w:t>
            </w:r>
          </w:p>
        </w:tc>
      </w:tr>
      <w:tr>
        <w:trPr>
          <w:trHeight w:val="196"/>
        </w:trPr>
        <w:tc>
          <w:tcPr>
            <w:tcW w:w="2400" w:type="dxa"/>
            <w:vAlign w:val="bottom"/>
            <w:tcBorders>
              <w:left w:val="single" w:sz="8" w:color="auto"/>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2012</w:t>
            </w:r>
          </w:p>
        </w:tc>
        <w:tc>
          <w:tcPr>
            <w:tcW w:w="1700" w:type="dxa"/>
            <w:vAlign w:val="bottom"/>
            <w:tcBorders>
              <w:bottom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4,446</w:t>
            </w:r>
          </w:p>
        </w:tc>
        <w:tc>
          <w:tcPr>
            <w:tcW w:w="16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90</w:t>
            </w:r>
          </w:p>
        </w:tc>
        <w:tc>
          <w:tcPr>
            <w:tcW w:w="17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107</w:t>
            </w:r>
          </w:p>
        </w:tc>
        <w:tc>
          <w:tcPr>
            <w:tcW w:w="2300" w:type="dxa"/>
            <w:vAlign w:val="bottom"/>
            <w:tcBorders>
              <w:bottom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4,463</w:t>
            </w:r>
          </w:p>
        </w:tc>
        <w:tc>
          <w:tcPr>
            <w:tcW w:w="172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530</w:t>
            </w:r>
          </w:p>
        </w:tc>
      </w:tr>
      <w:tr>
        <w:trPr>
          <w:trHeight w:val="196"/>
        </w:trPr>
        <w:tc>
          <w:tcPr>
            <w:tcW w:w="2400" w:type="dxa"/>
            <w:vAlign w:val="bottom"/>
            <w:tcBorders>
              <w:left w:val="single" w:sz="8" w:color="auto"/>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2013</w:t>
            </w:r>
          </w:p>
        </w:tc>
        <w:tc>
          <w:tcPr>
            <w:tcW w:w="1700" w:type="dxa"/>
            <w:vAlign w:val="bottom"/>
            <w:tcBorders>
              <w:bottom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4,463</w:t>
            </w:r>
          </w:p>
        </w:tc>
        <w:tc>
          <w:tcPr>
            <w:tcW w:w="16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230</w:t>
            </w:r>
          </w:p>
        </w:tc>
        <w:tc>
          <w:tcPr>
            <w:tcW w:w="17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66</w:t>
            </w:r>
          </w:p>
        </w:tc>
        <w:tc>
          <w:tcPr>
            <w:tcW w:w="2300" w:type="dxa"/>
            <w:vAlign w:val="bottom"/>
            <w:tcBorders>
              <w:bottom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4,299</w:t>
            </w:r>
          </w:p>
        </w:tc>
        <w:tc>
          <w:tcPr>
            <w:tcW w:w="172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78</w:t>
            </w:r>
          </w:p>
        </w:tc>
      </w:tr>
      <w:tr>
        <w:trPr>
          <w:trHeight w:val="196"/>
        </w:trPr>
        <w:tc>
          <w:tcPr>
            <w:tcW w:w="2400" w:type="dxa"/>
            <w:vAlign w:val="bottom"/>
            <w:tcBorders>
              <w:left w:val="single" w:sz="8" w:color="auto"/>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2014</w:t>
            </w:r>
          </w:p>
        </w:tc>
        <w:tc>
          <w:tcPr>
            <w:tcW w:w="1700" w:type="dxa"/>
            <w:vAlign w:val="bottom"/>
            <w:tcBorders>
              <w:bottom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4,299</w:t>
            </w:r>
          </w:p>
        </w:tc>
        <w:tc>
          <w:tcPr>
            <w:tcW w:w="16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625</w:t>
            </w:r>
          </w:p>
        </w:tc>
        <w:tc>
          <w:tcPr>
            <w:tcW w:w="17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147</w:t>
            </w:r>
          </w:p>
        </w:tc>
        <w:tc>
          <w:tcPr>
            <w:tcW w:w="2300" w:type="dxa"/>
            <w:vAlign w:val="bottom"/>
            <w:tcBorders>
              <w:bottom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3,821</w:t>
            </w:r>
          </w:p>
        </w:tc>
        <w:tc>
          <w:tcPr>
            <w:tcW w:w="172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437</w:t>
            </w:r>
          </w:p>
        </w:tc>
      </w:tr>
      <w:tr>
        <w:trPr>
          <w:trHeight w:val="196"/>
        </w:trPr>
        <w:tc>
          <w:tcPr>
            <w:tcW w:w="24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As of June 30, 2015</w:t>
            </w:r>
          </w:p>
        </w:tc>
        <w:tc>
          <w:tcPr>
            <w:tcW w:w="1700" w:type="dxa"/>
            <w:vAlign w:val="bottom"/>
            <w:tcBorders>
              <w:bottom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3,821</w:t>
            </w:r>
          </w:p>
        </w:tc>
        <w:tc>
          <w:tcPr>
            <w:tcW w:w="16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35</w:t>
            </w:r>
          </w:p>
        </w:tc>
        <w:tc>
          <w:tcPr>
            <w:tcW w:w="17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31</w:t>
            </w:r>
          </w:p>
        </w:tc>
        <w:tc>
          <w:tcPr>
            <w:tcW w:w="2300" w:type="dxa"/>
            <w:vAlign w:val="bottom"/>
            <w:tcBorders>
              <w:bottom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3,817</w:t>
            </w:r>
          </w:p>
        </w:tc>
        <w:tc>
          <w:tcPr>
            <w:tcW w:w="172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$84</w:t>
            </w:r>
          </w:p>
        </w:tc>
      </w:tr>
    </w:tbl>
    <w:p>
      <w:pPr>
        <w:spacing w:after="0" w:line="355" w:lineRule="exact"/>
        <w:rPr>
          <w:sz w:val="20"/>
          <w:szCs w:val="20"/>
          <w:color w:val="auto"/>
        </w:rPr>
      </w:pPr>
    </w:p>
    <w:p>
      <w:pPr>
        <w:ind w:right="60" w:firstLine="648"/>
        <w:spacing w:after="0" w:line="276" w:lineRule="auto"/>
        <w:rPr>
          <w:sz w:val="20"/>
          <w:szCs w:val="20"/>
          <w:color w:val="auto"/>
        </w:rPr>
      </w:pPr>
      <w:r>
        <w:rPr>
          <w:rFonts w:ascii="Arial" w:cs="Arial" w:eastAsia="Arial" w:hAnsi="Arial"/>
          <w:sz w:val="18"/>
          <w:szCs w:val="18"/>
          <w:color w:val="auto"/>
        </w:rPr>
        <w:t>We anticipate that additional claims will be filed against the Company and related companies in the future, but are unable to predict the number and timing of such future claims.</w:t>
      </w:r>
    </w:p>
    <w:p>
      <w:pPr>
        <w:spacing w:after="0" w:line="118"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Exposure and disease information sufficient to meaningfully estimate a range of possible loss of a particular claim is typically not available until late in the discovery process, and often not until a trial date is imminent and a settlement demand has been received. For these reasons, we do not believe a meaningful estimate can be made regarding the range of possible loss with respect to pending or future claims.</w:t>
      </w:r>
    </w:p>
    <w:p>
      <w:pPr>
        <w:spacing w:after="0" w:line="124" w:lineRule="exact"/>
        <w:rPr>
          <w:sz w:val="20"/>
          <w:szCs w:val="20"/>
          <w:color w:val="auto"/>
        </w:rPr>
      </w:pPr>
    </w:p>
    <w:p>
      <w:pPr>
        <w:ind w:right="20" w:firstLine="648"/>
        <w:spacing w:after="0" w:line="241" w:lineRule="auto"/>
        <w:rPr>
          <w:sz w:val="20"/>
          <w:szCs w:val="20"/>
          <w:color w:val="auto"/>
        </w:rPr>
      </w:pPr>
      <w:r>
        <w:rPr>
          <w:rFonts w:ascii="Arial" w:cs="Arial" w:eastAsia="Arial" w:hAnsi="Arial"/>
          <w:sz w:val="18"/>
          <w:szCs w:val="18"/>
          <w:color w:val="auto"/>
        </w:rPr>
        <w:t>While we believe we have meritorious defenses to these claims, we have settled certain claims for amounts we consider reasonable given the facts and circumstances of each case. Our insurer, Liberty Mutual, has defended each case and funded settlements under a standard reservation of rights. As of June 30, 2015 we had resolved, by means of settlement or dismissal, 37,260 claims. The total cost of resolving all claims was $9.3 million. Of this amount, almost 100% was paid by our insurance carrier. The Company’s insurer has confirmed that although the coverage limits under two (of approximately 23) primary insurance policies have been exhausted, there still remains approximately $ 3 million in coverage limits under other applicable primary policies, and $140 million in coverage under excess umbrella coverage policies that should be available with respect to current and future asbestos claims.</w:t>
      </w:r>
    </w:p>
    <w:p>
      <w:pPr>
        <w:spacing w:after="0" w:line="139" w:lineRule="exact"/>
        <w:rPr>
          <w:sz w:val="20"/>
          <w:szCs w:val="20"/>
          <w:color w:val="auto"/>
        </w:rPr>
      </w:pPr>
    </w:p>
    <w:p>
      <w:pPr>
        <w:jc w:val="both"/>
        <w:ind w:right="260" w:firstLine="648"/>
        <w:spacing w:after="0" w:line="255" w:lineRule="auto"/>
        <w:rPr>
          <w:sz w:val="20"/>
          <w:szCs w:val="20"/>
          <w:color w:val="auto"/>
        </w:rPr>
      </w:pPr>
      <w:r>
        <w:rPr>
          <w:rFonts w:ascii="Arial" w:cs="Arial" w:eastAsia="Arial" w:hAnsi="Arial"/>
          <w:sz w:val="18"/>
          <w:szCs w:val="18"/>
          <w:color w:val="auto"/>
        </w:rPr>
        <w:t>Brandon Drying Fabrics, Inc. (“Brandon”), a subsidiary of Geschmay Corp., which is a subsidiary of the Company, is also a separate defendant in many of the asbestos cases in which Albany is named as a defendant. Brandon was defending against 7,718 claims as of June 30, 2015.</w:t>
      </w:r>
    </w:p>
    <w:p>
      <w:pPr>
        <w:spacing w:after="0" w:line="137" w:lineRule="exact"/>
        <w:rPr>
          <w:sz w:val="20"/>
          <w:szCs w:val="20"/>
          <w:color w:val="auto"/>
        </w:rPr>
      </w:pPr>
    </w:p>
    <w:p>
      <w:pPr>
        <w:ind w:right="660" w:firstLine="648"/>
        <w:spacing w:after="0" w:line="276" w:lineRule="auto"/>
        <w:rPr>
          <w:sz w:val="20"/>
          <w:szCs w:val="20"/>
          <w:color w:val="auto"/>
        </w:rPr>
      </w:pPr>
      <w:r>
        <w:rPr>
          <w:rFonts w:ascii="Arial" w:cs="Arial" w:eastAsia="Arial" w:hAnsi="Arial"/>
          <w:sz w:val="18"/>
          <w:szCs w:val="18"/>
          <w:color w:val="auto"/>
        </w:rPr>
        <w:t>The following table sets forth the number of claims filed, the number of claims settled, dismissed or otherwise resolved, and the aggregate settlement amount during the periods presented:</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43" w:right="239" w:bottom="1440" w:gutter="0" w:footer="0" w:header="0"/>
        </w:sectPr>
      </w:pPr>
    </w:p>
    <w:bookmarkStart w:id="23" w:name="page24"/>
    <w:bookmarkEnd w:id="23"/>
    <w:tbl>
      <w:tblPr>
        <w:tblLayout w:type="fixed"/>
        <w:tblInd w:w="10" w:type="dxa"/>
        <w:tblCellMar>
          <w:top w:w="0" w:type="dxa"/>
          <w:left w:w="0" w:type="dxa"/>
          <w:bottom w:w="0" w:type="dxa"/>
          <w:right w:w="0" w:type="dxa"/>
        </w:tblCellMar>
      </w:tblPr>
      <w:tr>
        <w:trPr>
          <w:trHeight w:val="191"/>
        </w:trPr>
        <w:tc>
          <w:tcPr>
            <w:tcW w:w="2200" w:type="dxa"/>
            <w:vAlign w:val="bottom"/>
            <w:tcBorders>
              <w:top w:val="single" w:sz="8" w:color="auto"/>
              <w:left w:val="single" w:sz="8" w:color="auto"/>
              <w:right w:val="single" w:sz="8" w:color="auto"/>
            </w:tcBorders>
          </w:tcPr>
          <w:p>
            <w:pPr>
              <w:spacing w:after="0"/>
              <w:rPr>
                <w:sz w:val="16"/>
                <w:szCs w:val="16"/>
                <w:color w:val="auto"/>
              </w:rPr>
            </w:pPr>
          </w:p>
        </w:tc>
        <w:tc>
          <w:tcPr>
            <w:tcW w:w="1600" w:type="dxa"/>
            <w:vAlign w:val="bottom"/>
            <w:tcBorders>
              <w:top w:val="single" w:sz="8" w:color="auto"/>
              <w:right w:val="single" w:sz="8" w:color="auto"/>
            </w:tcBorders>
          </w:tcPr>
          <w:p>
            <w:pPr>
              <w:spacing w:after="0"/>
              <w:rPr>
                <w:sz w:val="16"/>
                <w:szCs w:val="16"/>
                <w:color w:val="auto"/>
              </w:rPr>
            </w:pPr>
          </w:p>
        </w:tc>
        <w:tc>
          <w:tcPr>
            <w:tcW w:w="2080" w:type="dxa"/>
            <w:vAlign w:val="bottom"/>
            <w:tcBorders>
              <w:top w:val="single" w:sz="8" w:color="auto"/>
            </w:tcBorders>
          </w:tcPr>
          <w:p>
            <w:pPr>
              <w:spacing w:after="0"/>
              <w:rPr>
                <w:sz w:val="16"/>
                <w:szCs w:val="16"/>
                <w:color w:val="auto"/>
              </w:rPr>
            </w:pPr>
          </w:p>
        </w:tc>
        <w:tc>
          <w:tcPr>
            <w:tcW w:w="780" w:type="dxa"/>
            <w:vAlign w:val="bottom"/>
            <w:tcBorders>
              <w:top w:val="single" w:sz="8" w:color="auto"/>
              <w:right w:val="single" w:sz="8" w:color="auto"/>
            </w:tcBorders>
          </w:tcPr>
          <w:p>
            <w:pPr>
              <w:spacing w:after="0"/>
              <w:rPr>
                <w:sz w:val="16"/>
                <w:szCs w:val="16"/>
                <w:color w:val="auto"/>
              </w:rPr>
            </w:pPr>
          </w:p>
        </w:tc>
        <w:tc>
          <w:tcPr>
            <w:tcW w:w="1480" w:type="dxa"/>
            <w:vAlign w:val="bottom"/>
            <w:tcBorders>
              <w:top w:val="single" w:sz="8" w:color="auto"/>
              <w:right w:val="single" w:sz="8" w:color="auto"/>
            </w:tcBorders>
          </w:tcPr>
          <w:p>
            <w:pPr>
              <w:spacing w:after="0"/>
              <w:rPr>
                <w:sz w:val="16"/>
                <w:szCs w:val="16"/>
                <w:color w:val="auto"/>
              </w:rPr>
            </w:pPr>
          </w:p>
        </w:tc>
        <w:tc>
          <w:tcPr>
            <w:tcW w:w="1580" w:type="dxa"/>
            <w:vAlign w:val="bottom"/>
            <w:tcBorders>
              <w:top w:val="single" w:sz="8" w:color="auto"/>
              <w:right w:val="single" w:sz="8" w:color="auto"/>
            </w:tcBorders>
          </w:tcPr>
          <w:p>
            <w:pPr>
              <w:spacing w:after="0"/>
              <w:rPr>
                <w:sz w:val="16"/>
                <w:szCs w:val="16"/>
                <w:color w:val="auto"/>
              </w:rPr>
            </w:pPr>
          </w:p>
        </w:tc>
        <w:tc>
          <w:tcPr>
            <w:tcW w:w="1700" w:type="dxa"/>
            <w:vAlign w:val="bottom"/>
            <w:tcBorders>
              <w:top w:val="single" w:sz="8" w:color="auto"/>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9"/>
              </w:rPr>
              <w:t>Amounts</w:t>
            </w: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2080" w:type="dxa"/>
            <w:vAlign w:val="bottom"/>
          </w:tcPr>
          <w:p>
            <w:pPr>
              <w:jc w:val="center"/>
              <w:ind w:left="630"/>
              <w:spacing w:after="0" w:line="202" w:lineRule="exact"/>
              <w:rPr>
                <w:sz w:val="20"/>
                <w:szCs w:val="20"/>
                <w:color w:val="auto"/>
              </w:rPr>
            </w:pPr>
            <w:r>
              <w:rPr>
                <w:rFonts w:ascii="Arial" w:cs="Arial" w:eastAsia="Arial" w:hAnsi="Arial"/>
                <w:sz w:val="18"/>
                <w:szCs w:val="18"/>
                <w:b w:val="1"/>
                <w:bCs w:val="1"/>
                <w:color w:val="auto"/>
              </w:rPr>
              <w:t>Claims</w:t>
            </w:r>
          </w:p>
        </w:tc>
        <w:tc>
          <w:tcPr>
            <w:tcW w:w="78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Paid</w:t>
            </w: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16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rPr>
              <w:t>Opening</w:t>
            </w:r>
          </w:p>
        </w:tc>
        <w:tc>
          <w:tcPr>
            <w:tcW w:w="2080" w:type="dxa"/>
            <w:vAlign w:val="bottom"/>
          </w:tcPr>
          <w:p>
            <w:pPr>
              <w:jc w:val="center"/>
              <w:ind w:left="670"/>
              <w:spacing w:after="0" w:line="202" w:lineRule="exact"/>
              <w:rPr>
                <w:sz w:val="20"/>
                <w:szCs w:val="20"/>
                <w:color w:val="auto"/>
              </w:rPr>
            </w:pPr>
            <w:r>
              <w:rPr>
                <w:rFonts w:ascii="Arial" w:cs="Arial" w:eastAsia="Arial" w:hAnsi="Arial"/>
                <w:sz w:val="18"/>
                <w:szCs w:val="18"/>
                <w:b w:val="1"/>
                <w:bCs w:val="1"/>
                <w:color w:val="auto"/>
              </w:rPr>
              <w:t>Dismissed,</w:t>
            </w:r>
          </w:p>
        </w:tc>
        <w:tc>
          <w:tcPr>
            <w:tcW w:w="78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Closing</w:t>
            </w:r>
          </w:p>
        </w:tc>
        <w:tc>
          <w:tcPr>
            <w:tcW w:w="17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rPr>
              <w:t>(thousands)</w:t>
            </w:r>
          </w:p>
        </w:tc>
      </w:tr>
      <w:tr>
        <w:trPr>
          <w:trHeight w:val="203"/>
        </w:trPr>
        <w:tc>
          <w:tcPr>
            <w:tcW w:w="2200" w:type="dxa"/>
            <w:vAlign w:val="bottom"/>
            <w:tcBorders>
              <w:left w:val="single" w:sz="8" w:color="auto"/>
              <w:right w:val="single" w:sz="8" w:color="auto"/>
            </w:tcBorders>
          </w:tcPr>
          <w:p>
            <w:pPr>
              <w:ind w:left="600"/>
              <w:spacing w:after="0" w:line="202" w:lineRule="exact"/>
              <w:rPr>
                <w:sz w:val="20"/>
                <w:szCs w:val="20"/>
                <w:color w:val="auto"/>
              </w:rPr>
            </w:pPr>
            <w:r>
              <w:rPr>
                <w:rFonts w:ascii="Arial" w:cs="Arial" w:eastAsia="Arial" w:hAnsi="Arial"/>
                <w:sz w:val="18"/>
                <w:szCs w:val="18"/>
                <w:b w:val="1"/>
                <w:bCs w:val="1"/>
                <w:color w:val="auto"/>
              </w:rPr>
              <w:t>Year ended</w:t>
            </w:r>
          </w:p>
        </w:tc>
        <w:tc>
          <w:tcPr>
            <w:tcW w:w="16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Number of</w:t>
            </w:r>
          </w:p>
        </w:tc>
        <w:tc>
          <w:tcPr>
            <w:tcW w:w="2080" w:type="dxa"/>
            <w:vAlign w:val="bottom"/>
          </w:tcPr>
          <w:p>
            <w:pPr>
              <w:jc w:val="center"/>
              <w:ind w:left="630"/>
              <w:spacing w:after="0" w:line="202" w:lineRule="exact"/>
              <w:rPr>
                <w:sz w:val="20"/>
                <w:szCs w:val="20"/>
                <w:color w:val="auto"/>
              </w:rPr>
            </w:pPr>
            <w:r>
              <w:rPr>
                <w:rFonts w:ascii="Arial" w:cs="Arial" w:eastAsia="Arial" w:hAnsi="Arial"/>
                <w:sz w:val="18"/>
                <w:szCs w:val="18"/>
                <w:b w:val="1"/>
                <w:bCs w:val="1"/>
                <w:color w:val="auto"/>
                <w:w w:val="99"/>
              </w:rPr>
              <w:t>Settled, or</w:t>
            </w:r>
          </w:p>
        </w:tc>
        <w:tc>
          <w:tcPr>
            <w:tcW w:w="78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Number of</w:t>
            </w:r>
          </w:p>
        </w:tc>
        <w:tc>
          <w:tcPr>
            <w:tcW w:w="17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to Settle or</w:t>
            </w:r>
          </w:p>
        </w:tc>
      </w:tr>
      <w:tr>
        <w:trPr>
          <w:trHeight w:val="227"/>
        </w:trPr>
        <w:tc>
          <w:tcPr>
            <w:tcW w:w="2200" w:type="dxa"/>
            <w:vAlign w:val="bottom"/>
            <w:tcBorders>
              <w:left w:val="single" w:sz="8" w:color="auto"/>
              <w:bottom w:val="single" w:sz="8" w:color="auto"/>
              <w:right w:val="single" w:sz="8" w:color="auto"/>
            </w:tcBorders>
          </w:tcPr>
          <w:p>
            <w:pPr>
              <w:ind w:left="520"/>
              <w:spacing w:after="0"/>
              <w:rPr>
                <w:sz w:val="20"/>
                <w:szCs w:val="20"/>
                <w:color w:val="auto"/>
              </w:rPr>
            </w:pPr>
            <w:r>
              <w:rPr>
                <w:rFonts w:ascii="Arial" w:cs="Arial" w:eastAsia="Arial" w:hAnsi="Arial"/>
                <w:sz w:val="18"/>
                <w:szCs w:val="18"/>
                <w:b w:val="1"/>
                <w:bCs w:val="1"/>
                <w:color w:val="auto"/>
              </w:rPr>
              <w:t>December 31,</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Claims</w:t>
            </w:r>
          </w:p>
        </w:tc>
        <w:tc>
          <w:tcPr>
            <w:tcW w:w="2080" w:type="dxa"/>
            <w:vAlign w:val="bottom"/>
            <w:tcBorders>
              <w:bottom w:val="single" w:sz="8" w:color="auto"/>
            </w:tcBorders>
          </w:tcPr>
          <w:p>
            <w:pPr>
              <w:jc w:val="center"/>
              <w:ind w:left="670"/>
              <w:spacing w:after="0"/>
              <w:rPr>
                <w:sz w:val="20"/>
                <w:szCs w:val="20"/>
                <w:color w:val="auto"/>
              </w:rPr>
            </w:pPr>
            <w:r>
              <w:rPr>
                <w:rFonts w:ascii="Arial" w:cs="Arial" w:eastAsia="Arial" w:hAnsi="Arial"/>
                <w:sz w:val="18"/>
                <w:szCs w:val="18"/>
                <w:b w:val="1"/>
                <w:bCs w:val="1"/>
                <w:color w:val="auto"/>
                <w:w w:val="99"/>
              </w:rPr>
              <w:t>Resolved</w:t>
            </w:r>
          </w:p>
        </w:tc>
        <w:tc>
          <w:tcPr>
            <w:tcW w:w="78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New Claims</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Claims</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Resolve</w:t>
            </w:r>
          </w:p>
        </w:tc>
      </w:tr>
      <w:tr>
        <w:trPr>
          <w:trHeight w:val="196"/>
        </w:trPr>
        <w:tc>
          <w:tcPr>
            <w:tcW w:w="2200" w:type="dxa"/>
            <w:vAlign w:val="bottom"/>
            <w:tcBorders>
              <w:left w:val="single" w:sz="8" w:color="auto"/>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2005</w:t>
            </w:r>
          </w:p>
        </w:tc>
        <w:tc>
          <w:tcPr>
            <w:tcW w:w="16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9,985</w:t>
            </w:r>
          </w:p>
        </w:tc>
        <w:tc>
          <w:tcPr>
            <w:tcW w:w="208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642</w:t>
            </w:r>
          </w:p>
        </w:tc>
        <w:tc>
          <w:tcPr>
            <w:tcW w:w="1480" w:type="dxa"/>
            <w:vAlign w:val="bottom"/>
            <w:tcBorders>
              <w:bottom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223</w:t>
            </w:r>
          </w:p>
        </w:tc>
        <w:tc>
          <w:tcPr>
            <w:tcW w:w="158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9,566</w:t>
            </w:r>
          </w:p>
        </w:tc>
        <w:tc>
          <w:tcPr>
            <w:tcW w:w="1700" w:type="dxa"/>
            <w:vAlign w:val="bottom"/>
            <w:tcBorders>
              <w:bottom w:val="single" w:sz="8" w:color="auto"/>
              <w:right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w:t>
            </w:r>
          </w:p>
        </w:tc>
      </w:tr>
      <w:tr>
        <w:trPr>
          <w:trHeight w:val="196"/>
        </w:trPr>
        <w:tc>
          <w:tcPr>
            <w:tcW w:w="2200" w:type="dxa"/>
            <w:vAlign w:val="bottom"/>
            <w:tcBorders>
              <w:left w:val="single" w:sz="8" w:color="auto"/>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2006</w:t>
            </w:r>
          </w:p>
        </w:tc>
        <w:tc>
          <w:tcPr>
            <w:tcW w:w="16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9,566</w:t>
            </w:r>
          </w:p>
        </w:tc>
        <w:tc>
          <w:tcPr>
            <w:tcW w:w="208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1,182</w:t>
            </w:r>
          </w:p>
        </w:tc>
        <w:tc>
          <w:tcPr>
            <w:tcW w:w="1480" w:type="dxa"/>
            <w:vAlign w:val="bottom"/>
            <w:tcBorders>
              <w:bottom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730</w:t>
            </w:r>
          </w:p>
        </w:tc>
        <w:tc>
          <w:tcPr>
            <w:tcW w:w="158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9,114</w:t>
            </w:r>
          </w:p>
        </w:tc>
        <w:tc>
          <w:tcPr>
            <w:tcW w:w="1700" w:type="dxa"/>
            <w:vAlign w:val="bottom"/>
            <w:tcBorders>
              <w:bottom w:val="single" w:sz="8" w:color="auto"/>
              <w:right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w:t>
            </w:r>
          </w:p>
        </w:tc>
      </w:tr>
      <w:tr>
        <w:trPr>
          <w:trHeight w:val="196"/>
        </w:trPr>
        <w:tc>
          <w:tcPr>
            <w:tcW w:w="2200" w:type="dxa"/>
            <w:vAlign w:val="bottom"/>
            <w:tcBorders>
              <w:left w:val="single" w:sz="8" w:color="auto"/>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2007</w:t>
            </w:r>
          </w:p>
        </w:tc>
        <w:tc>
          <w:tcPr>
            <w:tcW w:w="16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9,114</w:t>
            </w:r>
          </w:p>
        </w:tc>
        <w:tc>
          <w:tcPr>
            <w:tcW w:w="208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462</w:t>
            </w:r>
          </w:p>
        </w:tc>
        <w:tc>
          <w:tcPr>
            <w:tcW w:w="1480" w:type="dxa"/>
            <w:vAlign w:val="bottom"/>
            <w:tcBorders>
              <w:bottom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88</w:t>
            </w:r>
          </w:p>
        </w:tc>
        <w:tc>
          <w:tcPr>
            <w:tcW w:w="158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8,740</w:t>
            </w:r>
          </w:p>
        </w:tc>
        <w:tc>
          <w:tcPr>
            <w:tcW w:w="1700" w:type="dxa"/>
            <w:vAlign w:val="bottom"/>
            <w:tcBorders>
              <w:bottom w:val="single" w:sz="8" w:color="auto"/>
              <w:right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w:t>
            </w:r>
          </w:p>
        </w:tc>
      </w:tr>
      <w:tr>
        <w:trPr>
          <w:trHeight w:val="196"/>
        </w:trPr>
        <w:tc>
          <w:tcPr>
            <w:tcW w:w="2200" w:type="dxa"/>
            <w:vAlign w:val="bottom"/>
            <w:tcBorders>
              <w:left w:val="single" w:sz="8" w:color="auto"/>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2008</w:t>
            </w:r>
          </w:p>
        </w:tc>
        <w:tc>
          <w:tcPr>
            <w:tcW w:w="16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8,740</w:t>
            </w:r>
          </w:p>
        </w:tc>
        <w:tc>
          <w:tcPr>
            <w:tcW w:w="208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86</w:t>
            </w:r>
          </w:p>
        </w:tc>
        <w:tc>
          <w:tcPr>
            <w:tcW w:w="1480" w:type="dxa"/>
            <w:vAlign w:val="bottom"/>
            <w:tcBorders>
              <w:bottom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10</w:t>
            </w:r>
          </w:p>
        </w:tc>
        <w:tc>
          <w:tcPr>
            <w:tcW w:w="158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8,664</w:t>
            </w:r>
          </w:p>
        </w:tc>
        <w:tc>
          <w:tcPr>
            <w:tcW w:w="1700" w:type="dxa"/>
            <w:vAlign w:val="bottom"/>
            <w:tcBorders>
              <w:bottom w:val="single" w:sz="8" w:color="auto"/>
              <w:right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w:t>
            </w:r>
          </w:p>
        </w:tc>
      </w:tr>
      <w:tr>
        <w:trPr>
          <w:trHeight w:val="196"/>
        </w:trPr>
        <w:tc>
          <w:tcPr>
            <w:tcW w:w="2200" w:type="dxa"/>
            <w:vAlign w:val="bottom"/>
            <w:tcBorders>
              <w:left w:val="single" w:sz="8" w:color="auto"/>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2009</w:t>
            </w:r>
          </w:p>
        </w:tc>
        <w:tc>
          <w:tcPr>
            <w:tcW w:w="16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8,664</w:t>
            </w:r>
          </w:p>
        </w:tc>
        <w:tc>
          <w:tcPr>
            <w:tcW w:w="208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760</w:t>
            </w:r>
          </w:p>
        </w:tc>
        <w:tc>
          <w:tcPr>
            <w:tcW w:w="1480" w:type="dxa"/>
            <w:vAlign w:val="bottom"/>
            <w:tcBorders>
              <w:bottom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3</w:t>
            </w:r>
          </w:p>
        </w:tc>
        <w:tc>
          <w:tcPr>
            <w:tcW w:w="158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7,907</w:t>
            </w:r>
          </w:p>
        </w:tc>
        <w:tc>
          <w:tcPr>
            <w:tcW w:w="1700" w:type="dxa"/>
            <w:vAlign w:val="bottom"/>
            <w:tcBorders>
              <w:bottom w:val="single" w:sz="8" w:color="auto"/>
              <w:right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w:t>
            </w:r>
          </w:p>
        </w:tc>
      </w:tr>
      <w:tr>
        <w:trPr>
          <w:trHeight w:val="196"/>
        </w:trPr>
        <w:tc>
          <w:tcPr>
            <w:tcW w:w="2200" w:type="dxa"/>
            <w:vAlign w:val="bottom"/>
            <w:tcBorders>
              <w:left w:val="single" w:sz="8" w:color="auto"/>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2010</w:t>
            </w:r>
          </w:p>
        </w:tc>
        <w:tc>
          <w:tcPr>
            <w:tcW w:w="16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7,907</w:t>
            </w:r>
          </w:p>
        </w:tc>
        <w:tc>
          <w:tcPr>
            <w:tcW w:w="208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47</w:t>
            </w:r>
          </w:p>
        </w:tc>
        <w:tc>
          <w:tcPr>
            <w:tcW w:w="1480" w:type="dxa"/>
            <w:vAlign w:val="bottom"/>
            <w:tcBorders>
              <w:bottom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9</w:t>
            </w:r>
          </w:p>
        </w:tc>
        <w:tc>
          <w:tcPr>
            <w:tcW w:w="158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7,869</w:t>
            </w:r>
          </w:p>
        </w:tc>
        <w:tc>
          <w:tcPr>
            <w:tcW w:w="1700" w:type="dxa"/>
            <w:vAlign w:val="bottom"/>
            <w:tcBorders>
              <w:bottom w:val="single" w:sz="8" w:color="auto"/>
              <w:right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w:t>
            </w:r>
          </w:p>
        </w:tc>
      </w:tr>
      <w:tr>
        <w:trPr>
          <w:trHeight w:val="196"/>
        </w:trPr>
        <w:tc>
          <w:tcPr>
            <w:tcW w:w="2200" w:type="dxa"/>
            <w:vAlign w:val="bottom"/>
            <w:tcBorders>
              <w:left w:val="single" w:sz="8" w:color="auto"/>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2011</w:t>
            </w:r>
          </w:p>
        </w:tc>
        <w:tc>
          <w:tcPr>
            <w:tcW w:w="16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7,869</w:t>
            </w:r>
          </w:p>
        </w:tc>
        <w:tc>
          <w:tcPr>
            <w:tcW w:w="208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3</w:t>
            </w:r>
          </w:p>
        </w:tc>
        <w:tc>
          <w:tcPr>
            <w:tcW w:w="1480" w:type="dxa"/>
            <w:vAlign w:val="bottom"/>
            <w:tcBorders>
              <w:bottom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11</w:t>
            </w:r>
          </w:p>
        </w:tc>
        <w:tc>
          <w:tcPr>
            <w:tcW w:w="158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7,877</w:t>
            </w:r>
          </w:p>
        </w:tc>
        <w:tc>
          <w:tcPr>
            <w:tcW w:w="1700" w:type="dxa"/>
            <w:vAlign w:val="bottom"/>
            <w:tcBorders>
              <w:bottom w:val="single" w:sz="8" w:color="auto"/>
              <w:right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w:t>
            </w:r>
          </w:p>
        </w:tc>
      </w:tr>
      <w:tr>
        <w:trPr>
          <w:trHeight w:val="196"/>
        </w:trPr>
        <w:tc>
          <w:tcPr>
            <w:tcW w:w="2200" w:type="dxa"/>
            <w:vAlign w:val="bottom"/>
            <w:tcBorders>
              <w:left w:val="single" w:sz="8" w:color="auto"/>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2012</w:t>
            </w:r>
          </w:p>
        </w:tc>
        <w:tc>
          <w:tcPr>
            <w:tcW w:w="16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7,877</w:t>
            </w:r>
          </w:p>
        </w:tc>
        <w:tc>
          <w:tcPr>
            <w:tcW w:w="208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12</w:t>
            </w:r>
          </w:p>
        </w:tc>
        <w:tc>
          <w:tcPr>
            <w:tcW w:w="1480" w:type="dxa"/>
            <w:vAlign w:val="bottom"/>
            <w:tcBorders>
              <w:bottom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2</w:t>
            </w:r>
          </w:p>
        </w:tc>
        <w:tc>
          <w:tcPr>
            <w:tcW w:w="158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7,867</w:t>
            </w:r>
          </w:p>
        </w:tc>
        <w:tc>
          <w:tcPr>
            <w:tcW w:w="1700" w:type="dxa"/>
            <w:vAlign w:val="bottom"/>
            <w:tcBorders>
              <w:bottom w:val="single" w:sz="8" w:color="auto"/>
              <w:right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w:t>
            </w:r>
          </w:p>
        </w:tc>
      </w:tr>
      <w:tr>
        <w:trPr>
          <w:trHeight w:val="196"/>
        </w:trPr>
        <w:tc>
          <w:tcPr>
            <w:tcW w:w="2200" w:type="dxa"/>
            <w:vAlign w:val="bottom"/>
            <w:tcBorders>
              <w:left w:val="single" w:sz="8" w:color="auto"/>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2013</w:t>
            </w:r>
          </w:p>
        </w:tc>
        <w:tc>
          <w:tcPr>
            <w:tcW w:w="16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7,867</w:t>
            </w:r>
          </w:p>
        </w:tc>
        <w:tc>
          <w:tcPr>
            <w:tcW w:w="208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55</w:t>
            </w:r>
          </w:p>
        </w:tc>
        <w:tc>
          <w:tcPr>
            <w:tcW w:w="1480" w:type="dxa"/>
            <w:vAlign w:val="bottom"/>
            <w:tcBorders>
              <w:bottom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3</w:t>
            </w:r>
          </w:p>
        </w:tc>
        <w:tc>
          <w:tcPr>
            <w:tcW w:w="158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7,815</w:t>
            </w:r>
          </w:p>
        </w:tc>
        <w:tc>
          <w:tcPr>
            <w:tcW w:w="1700" w:type="dxa"/>
            <w:vAlign w:val="bottom"/>
            <w:tcBorders>
              <w:bottom w:val="single" w:sz="8" w:color="auto"/>
              <w:right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w:t>
            </w:r>
          </w:p>
        </w:tc>
      </w:tr>
      <w:tr>
        <w:trPr>
          <w:trHeight w:val="196"/>
        </w:trPr>
        <w:tc>
          <w:tcPr>
            <w:tcW w:w="2200" w:type="dxa"/>
            <w:vAlign w:val="bottom"/>
            <w:tcBorders>
              <w:left w:val="single" w:sz="8" w:color="auto"/>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2014</w:t>
            </w:r>
          </w:p>
        </w:tc>
        <w:tc>
          <w:tcPr>
            <w:tcW w:w="16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7,815</w:t>
            </w:r>
          </w:p>
        </w:tc>
        <w:tc>
          <w:tcPr>
            <w:tcW w:w="208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87</w:t>
            </w:r>
          </w:p>
        </w:tc>
        <w:tc>
          <w:tcPr>
            <w:tcW w:w="1480" w:type="dxa"/>
            <w:vAlign w:val="bottom"/>
            <w:tcBorders>
              <w:bottom w:val="single" w:sz="8" w:color="auto"/>
              <w:right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2</w:t>
            </w:r>
          </w:p>
        </w:tc>
        <w:tc>
          <w:tcPr>
            <w:tcW w:w="158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7,730</w:t>
            </w:r>
          </w:p>
        </w:tc>
        <w:tc>
          <w:tcPr>
            <w:tcW w:w="1700" w:type="dxa"/>
            <w:vAlign w:val="bottom"/>
            <w:tcBorders>
              <w:bottom w:val="single" w:sz="8" w:color="auto"/>
              <w:right w:val="single" w:sz="8" w:color="auto"/>
            </w:tcBorders>
          </w:tcPr>
          <w:p>
            <w:pPr>
              <w:spacing w:after="0"/>
              <w:rPr>
                <w:sz w:val="17"/>
                <w:szCs w:val="17"/>
                <w:color w:val="auto"/>
              </w:rPr>
            </w:pPr>
          </w:p>
        </w:tc>
      </w:tr>
      <w:tr>
        <w:trPr>
          <w:trHeight w:val="196"/>
        </w:trPr>
        <w:tc>
          <w:tcPr>
            <w:tcW w:w="22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As of June 30, 2015</w:t>
            </w:r>
          </w:p>
        </w:tc>
        <w:tc>
          <w:tcPr>
            <w:tcW w:w="160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7,730</w:t>
            </w:r>
          </w:p>
        </w:tc>
        <w:tc>
          <w:tcPr>
            <w:tcW w:w="208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12</w:t>
            </w:r>
          </w:p>
        </w:tc>
        <w:tc>
          <w:tcPr>
            <w:tcW w:w="1480" w:type="dxa"/>
            <w:vAlign w:val="bottom"/>
            <w:tcBorders>
              <w:bottom w:val="single" w:sz="8" w:color="auto"/>
              <w:right w:val="single" w:sz="8" w:color="auto"/>
            </w:tcBorders>
          </w:tcPr>
          <w:p>
            <w:pPr>
              <w:jc w:val="right"/>
              <w:ind w:right="190"/>
              <w:spacing w:after="0" w:line="196" w:lineRule="exact"/>
              <w:rPr>
                <w:sz w:val="20"/>
                <w:szCs w:val="20"/>
                <w:color w:val="auto"/>
              </w:rPr>
            </w:pPr>
            <w:r>
              <w:rPr>
                <w:rFonts w:ascii="Arial" w:cs="Arial" w:eastAsia="Arial" w:hAnsi="Arial"/>
                <w:sz w:val="18"/>
                <w:szCs w:val="18"/>
                <w:b w:val="1"/>
                <w:bCs w:val="1"/>
                <w:color w:val="auto"/>
              </w:rPr>
              <w:t>-</w:t>
            </w:r>
          </w:p>
        </w:tc>
        <w:tc>
          <w:tcPr>
            <w:tcW w:w="1580" w:type="dxa"/>
            <w:vAlign w:val="bottom"/>
            <w:tcBorders>
              <w:bottom w:val="single" w:sz="8" w:color="auto"/>
              <w:right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7,718</w:t>
            </w:r>
          </w:p>
        </w:tc>
        <w:tc>
          <w:tcPr>
            <w:tcW w:w="1700" w:type="dxa"/>
            <w:vAlign w:val="bottom"/>
            <w:tcBorders>
              <w:bottom w:val="single" w:sz="8" w:color="auto"/>
              <w:right w:val="single" w:sz="8" w:color="auto"/>
            </w:tcBorders>
          </w:tcPr>
          <w:p>
            <w:pPr>
              <w:jc w:val="right"/>
              <w:ind w:right="190"/>
              <w:spacing w:after="0" w:line="196" w:lineRule="exact"/>
              <w:rPr>
                <w:sz w:val="20"/>
                <w:szCs w:val="20"/>
                <w:color w:val="auto"/>
              </w:rPr>
            </w:pPr>
            <w:r>
              <w:rPr>
                <w:rFonts w:ascii="Arial" w:cs="Arial" w:eastAsia="Arial" w:hAnsi="Arial"/>
                <w:sz w:val="18"/>
                <w:szCs w:val="18"/>
                <w:b w:val="1"/>
                <w:bCs w:val="1"/>
                <w:color w:val="auto"/>
              </w:rPr>
              <w:t>$-</w:t>
            </w:r>
          </w:p>
        </w:tc>
      </w:tr>
    </w:tbl>
    <w:p>
      <w:pPr>
        <w:spacing w:after="0" w:line="355" w:lineRule="exact"/>
        <w:rPr>
          <w:sz w:val="20"/>
          <w:szCs w:val="20"/>
          <w:color w:val="auto"/>
        </w:rPr>
      </w:pPr>
    </w:p>
    <w:p>
      <w:pPr>
        <w:ind w:right="40" w:firstLine="648"/>
        <w:spacing w:after="0" w:line="238" w:lineRule="auto"/>
        <w:rPr>
          <w:sz w:val="20"/>
          <w:szCs w:val="20"/>
          <w:color w:val="auto"/>
        </w:rPr>
      </w:pPr>
      <w:r>
        <w:rPr>
          <w:rFonts w:ascii="Arial" w:cs="Arial" w:eastAsia="Arial" w:hAnsi="Arial"/>
          <w:sz w:val="18"/>
          <w:szCs w:val="18"/>
          <w:color w:val="auto"/>
        </w:rPr>
        <w:t>We acquired Geschmay Corp., formerly known as Wangner Systems Corporation, in 1999. Brandon is a wholly owned subsidiary of Geschmay Corp. In 1978, Brandon acquired certain assets from Abney Mills (“Abney”), a South Carolina textile manufacturer. Among the assets acquired by Brandon from Abney were assets of Abney’s wholly owned subsidiary, Brandon Sales, Inc. which had sold, among other things, dryer fabrics containing asbestos made by its parent, Abney. Although Brandon manufactured and sold dryer fabrics under its own name subsequent to the asset purchase, none of such fabrics contained asbestos. Because Brandon did not manufacture asbestos-containing products, and because it does not believe that it was the legal successor to, or otherwise responsible for obligations of Abney with respect to products manufactured by Abney, it believes it has strong defenses to the claims that have been asserted against it. As of June 30, 2015, Brandon has resolved, by means of settlement or dismissal, 9,887 claims for a total of $0.2 million. Brandon’s insurance carriers initially agreed to pay 88.2% of the total indemnification and defense costs related to these proceedings, subject to the standard reservation of rights. The remaining 11.8% of the costs had been borne directly by Brandon. During 2004, Brandon’s insurance carriers agreed to cover 100% of indemnification and defense costs, subject to policy limits and the standard reservation of rights, and to reimburse Brandon for all indemnity and defense costs paid directly by Brandon related to these proceedings.</w:t>
      </w:r>
    </w:p>
    <w:p>
      <w:pPr>
        <w:spacing w:after="0" w:line="157" w:lineRule="exact"/>
        <w:rPr>
          <w:sz w:val="20"/>
          <w:szCs w:val="20"/>
          <w:color w:val="auto"/>
        </w:rPr>
      </w:pPr>
    </w:p>
    <w:p>
      <w:pPr>
        <w:ind w:right="300" w:firstLine="648"/>
        <w:spacing w:after="0" w:line="255" w:lineRule="auto"/>
        <w:rPr>
          <w:sz w:val="20"/>
          <w:szCs w:val="20"/>
          <w:color w:val="auto"/>
        </w:rPr>
      </w:pPr>
      <w:r>
        <w:rPr>
          <w:rFonts w:ascii="Arial" w:cs="Arial" w:eastAsia="Arial" w:hAnsi="Arial"/>
          <w:sz w:val="18"/>
          <w:szCs w:val="18"/>
          <w:color w:val="auto"/>
        </w:rPr>
        <w:t>For the same reasons set forth above with respect to Albany’s claims, as well as the fact that no amounts have been paid to resolve any Brandon claims since 2001, we do not believe a meaningful estimate can be made regarding the range of possible loss with respect to these remaining claims.</w:t>
      </w:r>
    </w:p>
    <w:p>
      <w:pPr>
        <w:spacing w:after="0" w:line="124" w:lineRule="exact"/>
        <w:rPr>
          <w:sz w:val="20"/>
          <w:szCs w:val="20"/>
          <w:color w:val="auto"/>
        </w:rPr>
      </w:pPr>
    </w:p>
    <w:p>
      <w:pPr>
        <w:ind w:right="80" w:firstLine="648"/>
        <w:spacing w:after="0" w:line="243" w:lineRule="auto"/>
        <w:rPr>
          <w:sz w:val="20"/>
          <w:szCs w:val="20"/>
          <w:color w:val="auto"/>
        </w:rPr>
      </w:pPr>
      <w:r>
        <w:rPr>
          <w:rFonts w:ascii="Arial" w:cs="Arial" w:eastAsia="Arial" w:hAnsi="Arial"/>
          <w:sz w:val="18"/>
          <w:szCs w:val="18"/>
          <w:color w:val="auto"/>
        </w:rPr>
        <w:t>In some of these asbestos cases, the Company is named both as a direct defendant and as the “successor in interest” to Mount Vernon Mills (“Mount Vernon”). We acquired certain assets from Mount Vernon in 1993. Certain plaintiffs allege injury caused by asbestos-containing products alleged to have been sold by Mount Vernon many years prior to this acquisition. Mount Vernon is contractually obligated to indemnify the Company against any liability arising out of such products. We deny any liability for products sold by Mount Vernon prior to the acquisition of the Mount Vernon assets. Pursuant to its contractual indemnification obligations, Mount Vernon has assumed the defense of these claims. On this basis, we have successfully moved for dismissal in a number of actions.</w:t>
      </w:r>
    </w:p>
    <w:p>
      <w:pPr>
        <w:spacing w:after="0" w:line="134" w:lineRule="exact"/>
        <w:rPr>
          <w:sz w:val="20"/>
          <w:szCs w:val="20"/>
          <w:color w:val="auto"/>
        </w:rPr>
      </w:pPr>
    </w:p>
    <w:p>
      <w:pPr>
        <w:ind w:right="60" w:firstLine="648"/>
        <w:spacing w:after="0" w:line="248" w:lineRule="auto"/>
        <w:rPr>
          <w:sz w:val="20"/>
          <w:szCs w:val="20"/>
          <w:color w:val="auto"/>
        </w:rPr>
      </w:pPr>
      <w:r>
        <w:rPr>
          <w:rFonts w:ascii="Arial" w:cs="Arial" w:eastAsia="Arial" w:hAnsi="Arial"/>
          <w:sz w:val="18"/>
          <w:szCs w:val="18"/>
          <w:color w:val="auto"/>
        </w:rPr>
        <w:t>Although we do not believe, based on currently available information and for the reasons stated above, that a meaningful estimate of a range of possible loss can be made with respect to such claims, based on our understanding of the insurance policies available, how settlement amounts have been allocated to various policies, our settlement experience, the absence of any judgments against the Company or Brandon, the ratio of paper mill claims to total claims filed, and the defenses available,</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46" w:right="239" w:bottom="1440" w:gutter="0" w:footer="0" w:header="0"/>
        </w:sectPr>
      </w:pPr>
    </w:p>
    <w:bookmarkStart w:id="24" w:name="page25"/>
    <w:bookmarkEnd w:id="24"/>
    <w:p>
      <w:pPr>
        <w:ind w:right="300"/>
        <w:spacing w:after="0" w:line="276" w:lineRule="auto"/>
        <w:rPr>
          <w:sz w:val="20"/>
          <w:szCs w:val="20"/>
          <w:color w:val="auto"/>
        </w:rPr>
      </w:pPr>
      <w:r>
        <w:rPr>
          <w:rFonts w:ascii="Arial" w:cs="Arial" w:eastAsia="Arial" w:hAnsi="Arial"/>
          <w:sz w:val="18"/>
          <w:szCs w:val="18"/>
          <w:color w:val="auto"/>
        </w:rPr>
        <w:t>we currently do not anticipate any material liability relating to the resolution of the aforementioned pending proceedings in excess of existing insurance limits.</w:t>
      </w:r>
    </w:p>
    <w:p>
      <w:pPr>
        <w:spacing w:after="0" w:line="105" w:lineRule="exact"/>
        <w:rPr>
          <w:sz w:val="20"/>
          <w:szCs w:val="20"/>
          <w:color w:val="auto"/>
        </w:rPr>
      </w:pPr>
    </w:p>
    <w:p>
      <w:pPr>
        <w:ind w:right="80" w:firstLine="648"/>
        <w:spacing w:after="0" w:line="243" w:lineRule="auto"/>
        <w:rPr>
          <w:sz w:val="20"/>
          <w:szCs w:val="20"/>
          <w:color w:val="auto"/>
        </w:rPr>
      </w:pPr>
      <w:r>
        <w:rPr>
          <w:rFonts w:ascii="Arial" w:cs="Arial" w:eastAsia="Arial" w:hAnsi="Arial"/>
          <w:sz w:val="18"/>
          <w:szCs w:val="18"/>
          <w:color w:val="auto"/>
        </w:rPr>
        <w:t>Consequently, we currently do not anticipate, based on currently available information, that the ultimate resolution of the aforementioned proceedings will have a material adverse effect on the financial position, results of operations, or cash flows of the Company. Although we cannot predict the number and timing of future claims, based on the foregoing factors and the trends in claims against us to date, we do not anticipate that additional claims likely to be filed against us in the future will have a material adverse effect on our financial position, results of operations, or cash flows. We are aware that litigation is inherently uncertain, especially when the outcome is dependent primarily on determinations of factual matters to be made by juries.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16. Changes in Shareholders’ Equity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changes in Shareholders’ Equity: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7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Accumulated</w:t>
            </w:r>
          </w:p>
        </w:tc>
        <w:tc>
          <w:tcPr>
            <w:tcW w:w="88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r>
      <w:tr>
        <w:trPr>
          <w:trHeight w:val="162"/>
        </w:trPr>
        <w:tc>
          <w:tcPr>
            <w:tcW w:w="3740" w:type="dxa"/>
            <w:vAlign w:val="bottom"/>
          </w:tcPr>
          <w:p>
            <w:pPr>
              <w:spacing w:after="0"/>
              <w:rPr>
                <w:sz w:val="14"/>
                <w:szCs w:val="14"/>
                <w:color w:val="auto"/>
              </w:rPr>
            </w:pPr>
          </w:p>
        </w:tc>
        <w:tc>
          <w:tcPr>
            <w:tcW w:w="1220" w:type="dxa"/>
            <w:vAlign w:val="bottom"/>
          </w:tcPr>
          <w:p>
            <w:pPr>
              <w:jc w:val="center"/>
              <w:ind w:left="128"/>
              <w:spacing w:after="0"/>
              <w:rPr>
                <w:sz w:val="20"/>
                <w:szCs w:val="20"/>
                <w:color w:val="auto"/>
              </w:rPr>
            </w:pPr>
            <w:r>
              <w:rPr>
                <w:rFonts w:ascii="Arial" w:cs="Arial" w:eastAsia="Arial" w:hAnsi="Arial"/>
                <w:sz w:val="14"/>
                <w:szCs w:val="14"/>
                <w:b w:val="1"/>
                <w:bCs w:val="1"/>
                <w:color w:val="auto"/>
              </w:rPr>
              <w:t>Common</w:t>
            </w: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auto"/>
              </w:rPr>
              <w:t>Additional</w:t>
            </w:r>
          </w:p>
        </w:tc>
        <w:tc>
          <w:tcPr>
            <w:tcW w:w="840" w:type="dxa"/>
            <w:vAlign w:val="bottom"/>
          </w:tcPr>
          <w:p>
            <w:pPr>
              <w:spacing w:after="0"/>
              <w:rPr>
                <w:sz w:val="14"/>
                <w:szCs w:val="14"/>
                <w:color w:val="auto"/>
              </w:rPr>
            </w:pPr>
          </w:p>
        </w:tc>
        <w:tc>
          <w:tcPr>
            <w:tcW w:w="1320" w:type="dxa"/>
            <w:vAlign w:val="bottom"/>
          </w:tcPr>
          <w:p>
            <w:pPr>
              <w:jc w:val="center"/>
              <w:ind w:right="28"/>
              <w:spacing w:after="0"/>
              <w:rPr>
                <w:sz w:val="20"/>
                <w:szCs w:val="20"/>
                <w:color w:val="auto"/>
              </w:rPr>
            </w:pPr>
            <w:r>
              <w:rPr>
                <w:rFonts w:ascii="Arial" w:cs="Arial" w:eastAsia="Arial" w:hAnsi="Arial"/>
                <w:sz w:val="14"/>
                <w:szCs w:val="14"/>
                <w:b w:val="1"/>
                <w:bCs w:val="1"/>
                <w:color w:val="auto"/>
              </w:rPr>
              <w:t>items of other</w:t>
            </w: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Total</w:t>
            </w:r>
          </w:p>
        </w:tc>
      </w:tr>
      <w:tr>
        <w:trPr>
          <w:trHeight w:val="162"/>
        </w:trPr>
        <w:tc>
          <w:tcPr>
            <w:tcW w:w="3740" w:type="dxa"/>
            <w:vAlign w:val="bottom"/>
          </w:tcPr>
          <w:p>
            <w:pPr>
              <w:spacing w:after="0"/>
              <w:rPr>
                <w:sz w:val="14"/>
                <w:szCs w:val="14"/>
                <w:color w:val="auto"/>
              </w:rPr>
            </w:pPr>
          </w:p>
        </w:tc>
        <w:tc>
          <w:tcPr>
            <w:tcW w:w="1220" w:type="dxa"/>
            <w:vAlign w:val="bottom"/>
          </w:tcPr>
          <w:p>
            <w:pPr>
              <w:jc w:val="center"/>
              <w:ind w:left="168"/>
              <w:spacing w:after="0"/>
              <w:rPr>
                <w:sz w:val="20"/>
                <w:szCs w:val="20"/>
                <w:color w:val="auto"/>
              </w:rPr>
            </w:pPr>
            <w:r>
              <w:rPr>
                <w:rFonts w:ascii="Arial" w:cs="Arial" w:eastAsia="Arial" w:hAnsi="Arial"/>
                <w:sz w:val="14"/>
                <w:szCs w:val="14"/>
                <w:b w:val="1"/>
                <w:bCs w:val="1"/>
                <w:color w:val="auto"/>
              </w:rPr>
              <w:t>Stock Class</w:t>
            </w:r>
          </w:p>
        </w:tc>
        <w:tc>
          <w:tcPr>
            <w:tcW w:w="900" w:type="dxa"/>
            <w:vAlign w:val="bottom"/>
          </w:tcPr>
          <w:p>
            <w:pPr>
              <w:jc w:val="right"/>
              <w:ind w:right="168"/>
              <w:spacing w:after="0"/>
              <w:rPr>
                <w:sz w:val="20"/>
                <w:szCs w:val="20"/>
                <w:color w:val="auto"/>
              </w:rPr>
            </w:pPr>
            <w:r>
              <w:rPr>
                <w:rFonts w:ascii="Arial" w:cs="Arial" w:eastAsia="Arial" w:hAnsi="Arial"/>
                <w:sz w:val="14"/>
                <w:szCs w:val="14"/>
                <w:b w:val="1"/>
                <w:bCs w:val="1"/>
                <w:color w:val="auto"/>
              </w:rPr>
              <w:t>paid in</w:t>
            </w:r>
          </w:p>
        </w:tc>
        <w:tc>
          <w:tcPr>
            <w:tcW w:w="840" w:type="dxa"/>
            <w:vAlign w:val="bottom"/>
          </w:tcPr>
          <w:p>
            <w:pPr>
              <w:jc w:val="right"/>
              <w:ind w:right="88"/>
              <w:spacing w:after="0"/>
              <w:rPr>
                <w:sz w:val="20"/>
                <w:szCs w:val="20"/>
                <w:color w:val="auto"/>
              </w:rPr>
            </w:pPr>
            <w:r>
              <w:rPr>
                <w:rFonts w:ascii="Arial" w:cs="Arial" w:eastAsia="Arial" w:hAnsi="Arial"/>
                <w:sz w:val="14"/>
                <w:szCs w:val="14"/>
                <w:b w:val="1"/>
                <w:bCs w:val="1"/>
                <w:color w:val="auto"/>
              </w:rPr>
              <w:t>Retained</w:t>
            </w:r>
          </w:p>
        </w:tc>
        <w:tc>
          <w:tcPr>
            <w:tcW w:w="1320" w:type="dxa"/>
            <w:vAlign w:val="bottom"/>
          </w:tcPr>
          <w:p>
            <w:pPr>
              <w:jc w:val="center"/>
              <w:ind w:right="28"/>
              <w:spacing w:after="0"/>
              <w:rPr>
                <w:sz w:val="20"/>
                <w:szCs w:val="20"/>
                <w:color w:val="auto"/>
              </w:rPr>
            </w:pPr>
            <w:r>
              <w:rPr>
                <w:rFonts w:ascii="Arial" w:cs="Arial" w:eastAsia="Arial" w:hAnsi="Arial"/>
                <w:sz w:val="14"/>
                <w:szCs w:val="14"/>
                <w:b w:val="1"/>
                <w:bCs w:val="1"/>
                <w:color w:val="auto"/>
              </w:rPr>
              <w:t>comprehensive</w:t>
            </w:r>
          </w:p>
        </w:tc>
        <w:tc>
          <w:tcPr>
            <w:tcW w:w="880" w:type="dxa"/>
            <w:vAlign w:val="bottom"/>
          </w:tcPr>
          <w:p>
            <w:pPr>
              <w:jc w:val="right"/>
              <w:ind w:right="128"/>
              <w:spacing w:after="0"/>
              <w:rPr>
                <w:sz w:val="20"/>
                <w:szCs w:val="20"/>
                <w:color w:val="auto"/>
              </w:rPr>
            </w:pPr>
            <w:r>
              <w:rPr>
                <w:rFonts w:ascii="Arial" w:cs="Arial" w:eastAsia="Arial" w:hAnsi="Arial"/>
                <w:sz w:val="14"/>
                <w:szCs w:val="14"/>
                <w:b w:val="1"/>
                <w:bCs w:val="1"/>
                <w:color w:val="auto"/>
              </w:rPr>
              <w:t>Treasury</w:t>
            </w:r>
          </w:p>
        </w:tc>
        <w:tc>
          <w:tcPr>
            <w:tcW w:w="1280" w:type="dxa"/>
            <w:vAlign w:val="bottom"/>
          </w:tcPr>
          <w:p>
            <w:pPr>
              <w:jc w:val="right"/>
              <w:ind w:right="108"/>
              <w:spacing w:after="0"/>
              <w:rPr>
                <w:sz w:val="20"/>
                <w:szCs w:val="20"/>
                <w:color w:val="auto"/>
              </w:rPr>
            </w:pPr>
            <w:r>
              <w:rPr>
                <w:rFonts w:ascii="Arial" w:cs="Arial" w:eastAsia="Arial" w:hAnsi="Arial"/>
                <w:sz w:val="14"/>
                <w:szCs w:val="14"/>
                <w:b w:val="1"/>
                <w:bCs w:val="1"/>
                <w:color w:val="auto"/>
              </w:rPr>
              <w:t>Noncontrolling</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Shareholders’</w:t>
            </w:r>
          </w:p>
        </w:tc>
      </w:tr>
      <w:tr>
        <w:trPr>
          <w:trHeight w:val="177"/>
        </w:trPr>
        <w:tc>
          <w:tcPr>
            <w:tcW w:w="3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220" w:type="dxa"/>
            <w:vAlign w:val="bottom"/>
            <w:tcBorders>
              <w:bottom w:val="single" w:sz="8" w:color="auto"/>
            </w:tcBorders>
          </w:tcPr>
          <w:p>
            <w:pPr>
              <w:jc w:val="center"/>
              <w:ind w:left="168"/>
              <w:spacing w:after="0"/>
              <w:rPr>
                <w:sz w:val="20"/>
                <w:szCs w:val="20"/>
                <w:color w:val="auto"/>
              </w:rPr>
            </w:pPr>
            <w:r>
              <w:rPr>
                <w:rFonts w:ascii="Arial" w:cs="Arial" w:eastAsia="Arial" w:hAnsi="Arial"/>
                <w:sz w:val="14"/>
                <w:szCs w:val="14"/>
                <w:b w:val="1"/>
                <w:bCs w:val="1"/>
                <w:color w:val="auto"/>
              </w:rPr>
              <w:t>A and B</w:t>
            </w:r>
          </w:p>
        </w:tc>
        <w:tc>
          <w:tcPr>
            <w:tcW w:w="9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capital</w:t>
            </w: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earnings</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income</w:t>
            </w: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stock</w:t>
            </w:r>
          </w:p>
        </w:tc>
        <w:tc>
          <w:tcPr>
            <w:tcW w:w="12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Interest</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Equity</w:t>
            </w:r>
          </w:p>
        </w:tc>
      </w:tr>
      <w:tr>
        <w:trPr>
          <w:trHeight w:val="156"/>
        </w:trPr>
        <w:tc>
          <w:tcPr>
            <w:tcW w:w="37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December 31, 2014</w:t>
            </w:r>
          </w:p>
        </w:tc>
        <w:tc>
          <w:tcPr>
            <w:tcW w:w="122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$40</w:t>
            </w:r>
          </w:p>
        </w:tc>
        <w:tc>
          <w:tcPr>
            <w:tcW w:w="90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$418,972</w:t>
            </w:r>
          </w:p>
        </w:tc>
        <w:tc>
          <w:tcPr>
            <w:tcW w:w="8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$456,105</w:t>
            </w:r>
          </w:p>
        </w:tc>
        <w:tc>
          <w:tcPr>
            <w:tcW w:w="13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($107,767)</w:t>
            </w: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($257,481)</w:t>
            </w:r>
          </w:p>
        </w:tc>
        <w:tc>
          <w:tcPr>
            <w:tcW w:w="128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$3,699</w:t>
            </w:r>
          </w:p>
        </w:tc>
        <w:tc>
          <w:tcPr>
            <w:tcW w:w="12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$513,568</w:t>
            </w:r>
          </w:p>
        </w:tc>
      </w:tr>
      <w:tr>
        <w:trPr>
          <w:trHeight w:val="142"/>
        </w:trPr>
        <w:tc>
          <w:tcPr>
            <w:tcW w:w="3740" w:type="dxa"/>
            <w:vAlign w:val="bottom"/>
          </w:tcPr>
          <w:p>
            <w:pPr>
              <w:spacing w:after="0" w:line="143" w:lineRule="exact"/>
              <w:rPr>
                <w:sz w:val="20"/>
                <w:szCs w:val="20"/>
                <w:color w:val="auto"/>
              </w:rPr>
            </w:pPr>
            <w:r>
              <w:rPr>
                <w:rFonts w:ascii="Arial" w:cs="Arial" w:eastAsia="Arial" w:hAnsi="Arial"/>
                <w:sz w:val="14"/>
                <w:szCs w:val="14"/>
                <w:color w:val="auto"/>
              </w:rPr>
              <w:t>Compensation and benefits paid or payable in shares</w:t>
            </w:r>
          </w:p>
        </w:tc>
        <w:tc>
          <w:tcPr>
            <w:tcW w:w="1220" w:type="dxa"/>
            <w:vAlign w:val="bottom"/>
          </w:tcPr>
          <w:p>
            <w:pPr>
              <w:jc w:val="right"/>
              <w:ind w:right="88"/>
              <w:spacing w:after="0" w:line="143"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line="143" w:lineRule="exact"/>
              <w:rPr>
                <w:sz w:val="20"/>
                <w:szCs w:val="20"/>
                <w:color w:val="auto"/>
              </w:rPr>
            </w:pPr>
            <w:r>
              <w:rPr>
                <w:rFonts w:ascii="Arial" w:cs="Arial" w:eastAsia="Arial" w:hAnsi="Arial"/>
                <w:sz w:val="14"/>
                <w:szCs w:val="14"/>
                <w:color w:val="auto"/>
              </w:rPr>
              <w:t>829</w:t>
            </w:r>
          </w:p>
        </w:tc>
        <w:tc>
          <w:tcPr>
            <w:tcW w:w="840" w:type="dxa"/>
            <w:vAlign w:val="bottom"/>
          </w:tcPr>
          <w:p>
            <w:pPr>
              <w:jc w:val="right"/>
              <w:ind w:right="48"/>
              <w:spacing w:after="0" w:line="143" w:lineRule="exact"/>
              <w:rPr>
                <w:sz w:val="20"/>
                <w:szCs w:val="20"/>
                <w:color w:val="auto"/>
              </w:rPr>
            </w:pPr>
            <w:r>
              <w:rPr>
                <w:rFonts w:ascii="Arial" w:cs="Arial" w:eastAsia="Arial" w:hAnsi="Arial"/>
                <w:sz w:val="14"/>
                <w:szCs w:val="14"/>
                <w:color w:val="auto"/>
              </w:rPr>
              <w:t>-</w:t>
            </w:r>
          </w:p>
        </w:tc>
        <w:tc>
          <w:tcPr>
            <w:tcW w:w="1320" w:type="dxa"/>
            <w:vAlign w:val="bottom"/>
          </w:tcPr>
          <w:p>
            <w:pPr>
              <w:jc w:val="right"/>
              <w:ind w:right="88"/>
              <w:spacing w:after="0" w:line="143"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line="143" w:lineRule="exact"/>
              <w:rPr>
                <w:sz w:val="20"/>
                <w:szCs w:val="20"/>
                <w:color w:val="auto"/>
              </w:rPr>
            </w:pPr>
            <w:r>
              <w:rPr>
                <w:rFonts w:ascii="Arial" w:cs="Arial" w:eastAsia="Arial" w:hAnsi="Arial"/>
                <w:sz w:val="14"/>
                <w:szCs w:val="14"/>
                <w:color w:val="auto"/>
              </w:rPr>
              <w:t>-</w:t>
            </w:r>
          </w:p>
        </w:tc>
        <w:tc>
          <w:tcPr>
            <w:tcW w:w="1280" w:type="dxa"/>
            <w:vAlign w:val="bottom"/>
          </w:tcPr>
          <w:p>
            <w:pPr>
              <w:jc w:val="right"/>
              <w:ind w:right="68"/>
              <w:spacing w:after="0" w:line="143" w:lineRule="exact"/>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line="143" w:lineRule="exact"/>
              <w:rPr>
                <w:sz w:val="20"/>
                <w:szCs w:val="20"/>
                <w:color w:val="auto"/>
              </w:rPr>
            </w:pPr>
            <w:r>
              <w:rPr>
                <w:rFonts w:ascii="Arial" w:cs="Arial" w:eastAsia="Arial" w:hAnsi="Arial"/>
                <w:sz w:val="14"/>
                <w:szCs w:val="14"/>
                <w:color w:val="auto"/>
              </w:rPr>
              <w:t>829</w:t>
            </w:r>
          </w:p>
        </w:tc>
      </w:tr>
      <w:tr>
        <w:trPr>
          <w:trHeight w:val="162"/>
        </w:trPr>
        <w:tc>
          <w:tcPr>
            <w:tcW w:w="3740" w:type="dxa"/>
            <w:vAlign w:val="bottom"/>
          </w:tcPr>
          <w:p>
            <w:pPr>
              <w:spacing w:after="0"/>
              <w:rPr>
                <w:sz w:val="20"/>
                <w:szCs w:val="20"/>
                <w:color w:val="auto"/>
              </w:rPr>
            </w:pPr>
            <w:r>
              <w:rPr>
                <w:rFonts w:ascii="Arial" w:cs="Arial" w:eastAsia="Arial" w:hAnsi="Arial"/>
                <w:sz w:val="14"/>
                <w:szCs w:val="14"/>
                <w:color w:val="auto"/>
              </w:rPr>
              <w:t>Options exercised</w:t>
            </w: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2,327</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2,327</w:t>
            </w:r>
          </w:p>
        </w:tc>
      </w:tr>
      <w:tr>
        <w:trPr>
          <w:trHeight w:val="162"/>
        </w:trPr>
        <w:tc>
          <w:tcPr>
            <w:tcW w:w="3740" w:type="dxa"/>
            <w:vAlign w:val="bottom"/>
          </w:tcPr>
          <w:p>
            <w:pPr>
              <w:spacing w:after="0"/>
              <w:rPr>
                <w:sz w:val="20"/>
                <w:szCs w:val="20"/>
                <w:color w:val="auto"/>
              </w:rPr>
            </w:pPr>
            <w:r>
              <w:rPr>
                <w:rFonts w:ascii="Arial" w:cs="Arial" w:eastAsia="Arial" w:hAnsi="Arial"/>
                <w:sz w:val="14"/>
                <w:szCs w:val="14"/>
                <w:color w:val="auto"/>
              </w:rPr>
              <w:t>Shares issued to Directors'</w:t>
            </w: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76</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90</w:t>
            </w: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166</w:t>
            </w:r>
          </w:p>
        </w:tc>
      </w:tr>
      <w:tr>
        <w:trPr>
          <w:trHeight w:val="162"/>
        </w:trPr>
        <w:tc>
          <w:tcPr>
            <w:tcW w:w="3740" w:type="dxa"/>
            <w:vAlign w:val="bottom"/>
          </w:tcPr>
          <w:p>
            <w:pPr>
              <w:spacing w:after="0"/>
              <w:rPr>
                <w:sz w:val="20"/>
                <w:szCs w:val="20"/>
                <w:color w:val="auto"/>
              </w:rPr>
            </w:pPr>
            <w:r>
              <w:rPr>
                <w:rFonts w:ascii="Arial" w:cs="Arial" w:eastAsia="Arial" w:hAnsi="Arial"/>
                <w:sz w:val="14"/>
                <w:szCs w:val="14"/>
                <w:color w:val="auto"/>
              </w:rPr>
              <w:t>Net income attributable to the Company</w:t>
            </w: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10,041</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78</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10,119</w:t>
            </w:r>
          </w:p>
        </w:tc>
      </w:tr>
      <w:tr>
        <w:trPr>
          <w:trHeight w:val="162"/>
        </w:trPr>
        <w:tc>
          <w:tcPr>
            <w:tcW w:w="3740" w:type="dxa"/>
            <w:vAlign w:val="bottom"/>
          </w:tcPr>
          <w:p>
            <w:pPr>
              <w:spacing w:after="0"/>
              <w:rPr>
                <w:sz w:val="20"/>
                <w:szCs w:val="20"/>
                <w:color w:val="auto"/>
              </w:rPr>
            </w:pPr>
            <w:r>
              <w:rPr>
                <w:rFonts w:ascii="Arial" w:cs="Arial" w:eastAsia="Arial" w:hAnsi="Arial"/>
                <w:sz w:val="14"/>
                <w:szCs w:val="14"/>
                <w:color w:val="auto"/>
              </w:rPr>
              <w:t>Dividends declared</w:t>
            </w: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(10,549)</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(10,549)</w:t>
            </w:r>
          </w:p>
        </w:tc>
      </w:tr>
      <w:tr>
        <w:trPr>
          <w:trHeight w:val="162"/>
        </w:trPr>
        <w:tc>
          <w:tcPr>
            <w:tcW w:w="3740" w:type="dxa"/>
            <w:vAlign w:val="bottom"/>
          </w:tcPr>
          <w:p>
            <w:pPr>
              <w:spacing w:after="0"/>
              <w:rPr>
                <w:sz w:val="20"/>
                <w:szCs w:val="20"/>
                <w:color w:val="auto"/>
              </w:rPr>
            </w:pPr>
            <w:r>
              <w:rPr>
                <w:rFonts w:ascii="Arial" w:cs="Arial" w:eastAsia="Arial" w:hAnsi="Arial"/>
                <w:sz w:val="14"/>
                <w:szCs w:val="14"/>
                <w:color w:val="auto"/>
              </w:rPr>
              <w:t>Cumulative translation adjustments</w:t>
            </w: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(26,023)</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(26,022)</w:t>
            </w:r>
          </w:p>
        </w:tc>
      </w:tr>
      <w:tr>
        <w:trPr>
          <w:trHeight w:val="162"/>
        </w:trPr>
        <w:tc>
          <w:tcPr>
            <w:tcW w:w="3740" w:type="dxa"/>
            <w:vAlign w:val="bottom"/>
          </w:tcPr>
          <w:p>
            <w:pPr>
              <w:spacing w:after="0"/>
              <w:rPr>
                <w:sz w:val="20"/>
                <w:szCs w:val="20"/>
                <w:color w:val="auto"/>
              </w:rPr>
            </w:pPr>
            <w:r>
              <w:rPr>
                <w:rFonts w:ascii="Arial" w:cs="Arial" w:eastAsia="Arial" w:hAnsi="Arial"/>
                <w:sz w:val="14"/>
                <w:szCs w:val="14"/>
                <w:color w:val="auto"/>
              </w:rPr>
              <w:t>Pension and postretirement liability adjustments</w:t>
            </w:r>
          </w:p>
        </w:tc>
        <w:tc>
          <w:tcPr>
            <w:tcW w:w="12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1,610</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1,610</w:t>
            </w:r>
          </w:p>
        </w:tc>
      </w:tr>
      <w:tr>
        <w:trPr>
          <w:trHeight w:val="175"/>
        </w:trPr>
        <w:tc>
          <w:tcPr>
            <w:tcW w:w="37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Derivative valuation adjustment</w:t>
            </w:r>
          </w:p>
        </w:tc>
        <w:tc>
          <w:tcPr>
            <w:tcW w:w="12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(163)</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(163)</w:t>
            </w:r>
          </w:p>
        </w:tc>
      </w:tr>
      <w:tr>
        <w:trPr>
          <w:trHeight w:val="156"/>
        </w:trPr>
        <w:tc>
          <w:tcPr>
            <w:tcW w:w="37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June 30, 2015</w:t>
            </w:r>
          </w:p>
        </w:tc>
        <w:tc>
          <w:tcPr>
            <w:tcW w:w="122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$40</w:t>
            </w:r>
          </w:p>
        </w:tc>
        <w:tc>
          <w:tcPr>
            <w:tcW w:w="90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$422,204</w:t>
            </w:r>
          </w:p>
        </w:tc>
        <w:tc>
          <w:tcPr>
            <w:tcW w:w="8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$455,597</w:t>
            </w:r>
          </w:p>
        </w:tc>
        <w:tc>
          <w:tcPr>
            <w:tcW w:w="13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($132,343)</w:t>
            </w: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($257,391)</w:t>
            </w:r>
          </w:p>
        </w:tc>
        <w:tc>
          <w:tcPr>
            <w:tcW w:w="128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$3,778</w:t>
            </w:r>
          </w:p>
        </w:tc>
        <w:tc>
          <w:tcPr>
            <w:tcW w:w="12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$491,885</w:t>
            </w:r>
          </w:p>
        </w:tc>
      </w:tr>
    </w:tbl>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Recent Accounting Pronouncements</w:t>
      </w:r>
    </w:p>
    <w:p>
      <w:pPr>
        <w:spacing w:after="0" w:line="173" w:lineRule="exact"/>
        <w:rPr>
          <w:sz w:val="20"/>
          <w:szCs w:val="20"/>
          <w:color w:val="auto"/>
        </w:rPr>
      </w:pPr>
    </w:p>
    <w:p>
      <w:pPr>
        <w:ind w:right="180" w:firstLine="648"/>
        <w:spacing w:after="0" w:line="245" w:lineRule="auto"/>
        <w:rPr>
          <w:sz w:val="20"/>
          <w:szCs w:val="20"/>
          <w:color w:val="auto"/>
        </w:rPr>
      </w:pPr>
      <w:r>
        <w:rPr>
          <w:rFonts w:ascii="Arial" w:cs="Arial" w:eastAsia="Arial" w:hAnsi="Arial"/>
          <w:sz w:val="18"/>
          <w:szCs w:val="18"/>
          <w:color w:val="auto"/>
        </w:rPr>
        <w:t>In May 2014, an accounting update was issued that replaces the existing revenue recognition framework regarding contracts with customers. In July 2015, the FASB agreed to defer by one year, the mandatory effective date of the revenue recognition standard. This accounting update is effective for reporting periods beginning after December 31, 2017. Early adoption is permitted but not before the original effective date, which is for reporting periods beginning after December 31, 2016. We have not determined the impact of this update on our financial statements.</w:t>
      </w:r>
    </w:p>
    <w:p>
      <w:pPr>
        <w:spacing w:after="0" w:line="335" w:lineRule="exact"/>
        <w:rPr>
          <w:sz w:val="20"/>
          <w:szCs w:val="20"/>
          <w:color w:val="auto"/>
        </w:rPr>
      </w:pPr>
    </w:p>
    <w:p>
      <w:pPr>
        <w:ind w:right="220" w:firstLine="648"/>
        <w:spacing w:after="0" w:line="248" w:lineRule="auto"/>
        <w:rPr>
          <w:sz w:val="20"/>
          <w:szCs w:val="20"/>
          <w:color w:val="auto"/>
        </w:rPr>
      </w:pPr>
      <w:r>
        <w:rPr>
          <w:rFonts w:ascii="Arial" w:cs="Arial" w:eastAsia="Arial" w:hAnsi="Arial"/>
          <w:sz w:val="18"/>
          <w:szCs w:val="18"/>
          <w:color w:val="auto"/>
        </w:rPr>
        <w:t>In January 2015, an accounting update was issued which eliminates the concept of extraordinary items from U.S. GAAP. This accounting update is effective for reporting periods beginning after December 15, 2015. We do not expect this update to have a significant effect on our financial statements, absent any future transactions that would have qualified for extraordinary item presentation under the prior guidance.</w:t>
      </w:r>
    </w:p>
    <w:p>
      <w:pPr>
        <w:spacing w:after="0" w:line="144" w:lineRule="exact"/>
        <w:rPr>
          <w:sz w:val="20"/>
          <w:szCs w:val="20"/>
          <w:color w:val="auto"/>
        </w:rPr>
      </w:pPr>
    </w:p>
    <w:p>
      <w:pPr>
        <w:ind w:right="260" w:firstLine="648"/>
        <w:spacing w:after="0" w:line="255" w:lineRule="auto"/>
        <w:rPr>
          <w:sz w:val="20"/>
          <w:szCs w:val="20"/>
          <w:color w:val="auto"/>
        </w:rPr>
      </w:pPr>
      <w:r>
        <w:rPr>
          <w:rFonts w:ascii="Arial" w:cs="Arial" w:eastAsia="Arial" w:hAnsi="Arial"/>
          <w:sz w:val="18"/>
          <w:szCs w:val="18"/>
          <w:color w:val="auto"/>
        </w:rPr>
        <w:t>In February 2015, amended accounting guidance was issued which changes the evaluation of variable interest entities regarding whether they should consolidate limited partnerships and similar entities, or whether fees are paid to a decision maker or service provider, or whether they are held by</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43" w:right="239" w:bottom="1440" w:gutter="0" w:footer="0" w:header="0"/>
        </w:sectPr>
      </w:pPr>
    </w:p>
    <w:bookmarkStart w:id="25" w:name="page26"/>
    <w:bookmarkEnd w:id="25"/>
    <w:p>
      <w:pPr>
        <w:ind w:right="100"/>
        <w:spacing w:after="0" w:line="276" w:lineRule="auto"/>
        <w:rPr>
          <w:sz w:val="20"/>
          <w:szCs w:val="20"/>
          <w:color w:val="auto"/>
        </w:rPr>
      </w:pPr>
      <w:r>
        <w:rPr>
          <w:rFonts w:ascii="Arial" w:cs="Arial" w:eastAsia="Arial" w:hAnsi="Arial"/>
          <w:sz w:val="18"/>
          <w:szCs w:val="18"/>
          <w:color w:val="auto"/>
        </w:rPr>
        <w:t>related parties. This accounting update is effective for reporting periods beginning after December 15, 2015. We do not expect the adoption of this update to have a significant effect on our financial statements.</w:t>
      </w:r>
    </w:p>
    <w:p>
      <w:pPr>
        <w:spacing w:after="0" w:line="105" w:lineRule="exact"/>
        <w:rPr>
          <w:sz w:val="20"/>
          <w:szCs w:val="20"/>
          <w:color w:val="auto"/>
        </w:rPr>
      </w:pPr>
    </w:p>
    <w:p>
      <w:pPr>
        <w:ind w:right="300" w:firstLine="648"/>
        <w:spacing w:after="0" w:line="248" w:lineRule="auto"/>
        <w:rPr>
          <w:sz w:val="20"/>
          <w:szCs w:val="20"/>
          <w:color w:val="auto"/>
        </w:rPr>
      </w:pPr>
      <w:r>
        <w:rPr>
          <w:rFonts w:ascii="Arial" w:cs="Arial" w:eastAsia="Arial" w:hAnsi="Arial"/>
          <w:sz w:val="18"/>
          <w:szCs w:val="18"/>
          <w:color w:val="auto"/>
        </w:rPr>
        <w:t>In April 2015, an accounting update was issued which requires that debt issuance costs related to a recognized debt liability be presented in the balance sheet as a direct deduction of that debt, which may result in a minor netting down of our assets and liabilities. This accounting update is effective January 1, 2016 and early adoption is permitted. We do not expect the adoption of this standard to have a material effect on our financial statements.</w:t>
      </w:r>
    </w:p>
    <w:p>
      <w:pPr>
        <w:spacing w:after="0" w:line="144" w:lineRule="exact"/>
        <w:rPr>
          <w:sz w:val="20"/>
          <w:szCs w:val="20"/>
          <w:color w:val="auto"/>
        </w:rPr>
      </w:pPr>
    </w:p>
    <w:p>
      <w:pPr>
        <w:ind w:right="120" w:firstLine="648"/>
        <w:spacing w:after="0" w:line="248" w:lineRule="auto"/>
        <w:rPr>
          <w:sz w:val="20"/>
          <w:szCs w:val="20"/>
          <w:color w:val="auto"/>
        </w:rPr>
      </w:pPr>
      <w:r>
        <w:rPr>
          <w:rFonts w:ascii="Arial" w:cs="Arial" w:eastAsia="Arial" w:hAnsi="Arial"/>
          <w:sz w:val="18"/>
          <w:szCs w:val="18"/>
          <w:color w:val="auto"/>
        </w:rPr>
        <w:t>In April 2015, an accounting update was issued which clarifies that if a license is acquired as part of fees paid in a cloud computing arrangement, then the license should be accounted for in the same manner as other software licenses. This accounting update is effective for reporting periods beginning after January 1, 2016. We do not expect the adoption of this update to have a significant effect on our financial statements.</w:t>
      </w:r>
    </w:p>
    <w:p>
      <w:pPr>
        <w:spacing w:after="0" w:line="13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May 2015, an accounting update was issued which eliminates the requirement to categorize investments in the fair value hierarchy if their fair value is measured at net asset value (NAV) per share. This update is effective retrospectively for fiscal years beginning after December 15, 2015. Early adoption is permitted and we do not expect this update to have a significant effect on our financial statements.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7" w:lineRule="exact"/>
        <w:rPr>
          <w:sz w:val="20"/>
          <w:szCs w:val="20"/>
          <w:color w:val="auto"/>
        </w:rPr>
      </w:pPr>
    </w:p>
    <w:p>
      <w:pPr>
        <w:ind w:right="380" w:firstLine="648"/>
        <w:spacing w:after="0" w:line="255" w:lineRule="auto"/>
        <w:rPr>
          <w:sz w:val="20"/>
          <w:szCs w:val="20"/>
          <w:color w:val="auto"/>
        </w:rPr>
      </w:pPr>
      <w:r>
        <w:rPr>
          <w:rFonts w:ascii="Arial" w:cs="Arial" w:eastAsia="Arial" w:hAnsi="Arial"/>
          <w:sz w:val="18"/>
          <w:szCs w:val="18"/>
          <w:color w:val="auto"/>
        </w:rPr>
        <w:t>Management’s Discussion and Analysis (“MD&amp;A”) is intended to help the reader understand the results of operations and financial condition of the Company. MD&amp;A is provided as a supplement to, and should be read in conjunction with, our Consolidated Financial Statements and the accompanying Notes.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3" w:lineRule="exact"/>
        <w:rPr>
          <w:sz w:val="20"/>
          <w:szCs w:val="20"/>
          <w:color w:val="auto"/>
        </w:rPr>
      </w:pPr>
    </w:p>
    <w:p>
      <w:pPr>
        <w:ind w:right="80" w:firstLine="648"/>
        <w:spacing w:after="0" w:line="241" w:lineRule="auto"/>
        <w:rPr>
          <w:sz w:val="20"/>
          <w:szCs w:val="20"/>
          <w:color w:val="auto"/>
        </w:rPr>
      </w:pPr>
      <w:r>
        <w:rPr>
          <w:rFonts w:ascii="Arial" w:cs="Arial" w:eastAsia="Arial" w:hAnsi="Arial"/>
          <w:sz w:val="18"/>
          <w:szCs w:val="18"/>
          <w:color w:val="auto"/>
        </w:rPr>
        <w:t>This quarterly report and the documents incorporated or deemed to be incorporated by reference in this quarterly report contain statements concerning our future results and performance and other matters that are “forward-looking” statements within the meaning of Section 27A of the Securities Act and Section 21E of the Securities Exchange Act of 1934, as amended (the “Exchange Act”). The words “believe,” “expect,” “intend,” “estimate,” “anticipate,” ”may,” “plan,” “project,” “will,” “should” and variations of such words or similar expressions are intended, but are not the exclusive means, to identify forward-looking statements. Because forward-looking statements are subject to risks and uncertainties, (including, without limitation, those set forth in the Company’s most recent Annual Report on Form 10-K or prior Quarterly Reports on Form 10-Q) actual results may differ materially from those expressed or implied by the forward-looking statements.</w:t>
      </w:r>
    </w:p>
    <w:p>
      <w:pPr>
        <w:spacing w:after="0" w:line="152" w:lineRule="exact"/>
        <w:rPr>
          <w:sz w:val="20"/>
          <w:szCs w:val="20"/>
          <w:color w:val="auto"/>
        </w:rPr>
      </w:pPr>
    </w:p>
    <w:p>
      <w:pPr>
        <w:ind w:right="500" w:firstLine="648"/>
        <w:spacing w:after="0" w:line="276" w:lineRule="auto"/>
        <w:rPr>
          <w:sz w:val="20"/>
          <w:szCs w:val="20"/>
          <w:color w:val="auto"/>
        </w:rPr>
      </w:pPr>
      <w:r>
        <w:rPr>
          <w:rFonts w:ascii="Arial" w:cs="Arial" w:eastAsia="Arial" w:hAnsi="Arial"/>
          <w:sz w:val="18"/>
          <w:szCs w:val="18"/>
          <w:color w:val="auto"/>
        </w:rPr>
        <w:t>There are a number of risks, uncertainties, and other important factors that could cause actual results to differ materially from the forward-looking statements, including, but not limited to:</w:t>
      </w:r>
    </w:p>
    <w:p>
      <w:pPr>
        <w:spacing w:after="0" w:line="105" w:lineRule="exact"/>
        <w:rPr>
          <w:sz w:val="20"/>
          <w:szCs w:val="20"/>
          <w:color w:val="auto"/>
        </w:rPr>
      </w:pPr>
    </w:p>
    <w:p>
      <w:pPr>
        <w:ind w:left="980" w:right="360" w:hanging="324"/>
        <w:spacing w:after="0" w:line="275" w:lineRule="auto"/>
        <w:tabs>
          <w:tab w:leader="none" w:pos="9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Conditions in the industries in which our Machine Clothing segment competes, including the paper industry, along with general risks associated with economic downturns;</w:t>
      </w: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643" w:right="279" w:bottom="1440" w:gutter="0" w:footer="0" w:header="0"/>
        </w:sectPr>
      </w:pPr>
    </w:p>
    <w:bookmarkStart w:id="26" w:name="page27"/>
    <w:bookmarkEnd w:id="26"/>
    <w:p>
      <w:pPr>
        <w:ind w:left="980" w:right="780" w:hanging="324"/>
        <w:spacing w:after="0" w:line="275" w:lineRule="auto"/>
        <w:tabs>
          <w:tab w:leader="none" w:pos="9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Recent declines in demand for paper in certain regions and market segments could continue at a rate that is greater than anticipated, and growth in demand in other segments or regions could be lower or slower than anticipated;</w:t>
      </w:r>
    </w:p>
    <w:p>
      <w:pPr>
        <w:spacing w:after="0" w:line="10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Failure to achieve or maintain anticipated profitable growth in our Albany Engineered Composites segment; and</w:t>
      </w:r>
    </w:p>
    <w:p>
      <w:pPr>
        <w:spacing w:after="0" w:line="18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Other risks and uncertainties detailed in this report.</w:t>
      </w:r>
    </w:p>
    <w:p>
      <w:pPr>
        <w:spacing w:after="0" w:line="359" w:lineRule="exact"/>
        <w:rPr>
          <w:sz w:val="20"/>
          <w:szCs w:val="20"/>
          <w:color w:val="auto"/>
        </w:rPr>
      </w:pPr>
    </w:p>
    <w:p>
      <w:pPr>
        <w:ind w:firstLine="648"/>
        <w:spacing w:after="0" w:line="256" w:lineRule="auto"/>
        <w:rPr>
          <w:sz w:val="20"/>
          <w:szCs w:val="20"/>
          <w:color w:val="auto"/>
        </w:rPr>
      </w:pPr>
      <w:r>
        <w:rPr>
          <w:rFonts w:ascii="Arial" w:cs="Arial" w:eastAsia="Arial" w:hAnsi="Arial"/>
          <w:sz w:val="17"/>
          <w:szCs w:val="17"/>
          <w:color w:val="auto"/>
        </w:rPr>
        <w:t>Further information concerning important factors that could cause actual events or results to be materially different from the forward-looking statements can be found in “Business Environment and Trends” sections of this quarterly report, as well as in the “Risk Factors” section of our most recent Annual Report on Form 10-K. While we believe such assessments to have a reasonable basis, such assessments are, by their nature, inherently uncertain. This report sets forth a number of assumptions regarding these assessments, including projected timing and volume of demand for aircraft and for LEAP aircraft engines. Such assumptions could prove incorrect. Although we believe the expectations reflected in our forward-looking statements are based on reasonable assumptions, it is not possible to foresee or identify all factors that could have a material and negative impact on our future performance. The forward-looking statements included or incorporated by reference in this report are made on the basis of our assumptions and analyses, as of the time the statements are made, in light of our experience and perception of historical conditions, expected future developments, and other factors believed to be appropriate under the circumstances.</w:t>
      </w:r>
    </w:p>
    <w:p>
      <w:pPr>
        <w:spacing w:after="0" w:line="13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Except as otherwise required by the federal securities laws, we disclaim any obligations or undertaking to publicly release any updates or revisions to any forward-looking statement contained or incorporated by reference in this report to reflect any change in our expectations with regard thereto or any change in events, conditions or circumstances on which any such statement is based.</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37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reportable segments, Machine Clothing (MC) and Albany Engineered Composites (AEC), draw on many of the same advanced textiles and materials processing capabilities, and compete on the basis of proprietary, product-based advantage that is grounded in those core capabilities. As a result, technology and manufacturing advances in one tend to benefit the other.</w:t>
      </w:r>
    </w:p>
    <w:p>
      <w:pPr>
        <w:spacing w:after="0" w:line="137"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The Machine Clothing segment is the Company’s long-established core business and primary generator of cash. While the paper and paperboard industry in our traditional geographic markets has suffered from well-documented declines in publication grades, the industry is still expected to grow on a global basis, driven by demand for packaging and tissue grades, as well as the expansion of paper consumption and production in Asia and South America. We feel we are now well-positioned in these markets, with high-quality, low-cost production in growth markets, substantially lower fixed costs in mature markets, and continued strength in new product development, field services, and manufacturing technology. Although we consider the market for Machine Clothing as having flat growth potential, the business has been a significant generator of cash, and we seek to maintain the cash-generating potential of this business by maintaining the low costs that we achieved through restructuring, and competing vigorously by using our differentiated products and services to reduce our customers’ total cost of operation and improve their paper quality.</w:t>
      </w:r>
    </w:p>
    <w:p>
      <w:pPr>
        <w:spacing w:after="0" w:line="136" w:lineRule="exact"/>
        <w:rPr>
          <w:sz w:val="20"/>
          <w:szCs w:val="20"/>
          <w:color w:val="auto"/>
        </w:rPr>
      </w:pPr>
    </w:p>
    <w:p>
      <w:pPr>
        <w:ind w:right="480" w:firstLine="648"/>
        <w:spacing w:after="0" w:line="255" w:lineRule="auto"/>
        <w:rPr>
          <w:sz w:val="20"/>
          <w:szCs w:val="20"/>
          <w:color w:val="auto"/>
        </w:rPr>
      </w:pPr>
      <w:r>
        <w:rPr>
          <w:rFonts w:ascii="Arial" w:cs="Arial" w:eastAsia="Arial" w:hAnsi="Arial"/>
          <w:sz w:val="18"/>
          <w:szCs w:val="18"/>
          <w:color w:val="auto"/>
        </w:rPr>
        <w:t>We believe that AEC provides the greatest growth potential, both near and long term, for our Company. Our strategy is to grow organically by focusing our proprietary technology on high-value aerospace and defense applications that cannot be served effectively by conventional composites. We</w:t>
      </w: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643" w:right="279" w:bottom="1440" w:gutter="0" w:footer="0" w:header="0"/>
        </w:sectPr>
      </w:pPr>
    </w:p>
    <w:bookmarkStart w:id="27" w:name="page28"/>
    <w:bookmarkEnd w:id="27"/>
    <w:p>
      <w:pPr>
        <w:spacing w:after="0" w:line="243" w:lineRule="auto"/>
        <w:rPr>
          <w:sz w:val="20"/>
          <w:szCs w:val="20"/>
          <w:color w:val="auto"/>
        </w:rPr>
      </w:pPr>
      <w:r>
        <w:rPr>
          <w:rFonts w:ascii="Arial" w:cs="Arial" w:eastAsia="Arial" w:hAnsi="Arial"/>
          <w:sz w:val="18"/>
          <w:szCs w:val="18"/>
          <w:color w:val="auto"/>
        </w:rPr>
        <w:t>are also pursuing opportunities outside of aerospace, such as applications for the automotive industry. AEC (including Albany Safran Composites, LLC (“ASC”), in which our customer SAFRAN Group owns a 10 percent noncontrolling interest) supplies a number of customers in the aerospace industry. AEC’s largest aerospace customer is the SAFRAN Group. Through ASC, AEC develops and sells composite aerospace components to SAFRAN, with the most significant program at present being the production of fan blades and other components for the LEAP engine. AEC (through ASC and otherwise) is also developing other new and potentially significant composite products for aerospace (engine and airframe) applications.</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net sales by business segment:</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980" w:type="dxa"/>
            <w:vAlign w:val="bottom"/>
            <w:tcBorders>
              <w:top w:val="single" w:sz="8" w:color="auto"/>
            </w:tcBorders>
          </w:tcPr>
          <w:p>
            <w:pPr>
              <w:spacing w:after="0"/>
              <w:rPr>
                <w:sz w:val="16"/>
                <w:szCs w:val="16"/>
                <w:color w:val="auto"/>
              </w:rPr>
            </w:pPr>
          </w:p>
        </w:tc>
        <w:tc>
          <w:tcPr>
            <w:tcW w:w="3280" w:type="dxa"/>
            <w:vAlign w:val="bottom"/>
            <w:tcBorders>
              <w:top w:val="single" w:sz="8" w:color="auto"/>
            </w:tcBorders>
            <w:gridSpan w:val="2"/>
          </w:tcPr>
          <w:p>
            <w:pPr>
              <w:jc w:val="right"/>
              <w:ind w:right="470"/>
              <w:spacing w:after="0" w:line="191" w:lineRule="exact"/>
              <w:rPr>
                <w:sz w:val="20"/>
                <w:szCs w:val="20"/>
                <w:color w:val="auto"/>
              </w:rPr>
            </w:pPr>
            <w:r>
              <w:rPr>
                <w:rFonts w:ascii="Arial" w:cs="Arial" w:eastAsia="Arial" w:hAnsi="Arial"/>
                <w:sz w:val="18"/>
                <w:szCs w:val="18"/>
                <w:b w:val="1"/>
                <w:bCs w:val="1"/>
                <w:color w:val="auto"/>
              </w:rPr>
              <w:t>Three months ended</w:t>
            </w:r>
          </w:p>
        </w:tc>
        <w:tc>
          <w:tcPr>
            <w:tcW w:w="1160" w:type="dxa"/>
            <w:vAlign w:val="bottom"/>
            <w:tcBorders>
              <w:top w:val="single" w:sz="8" w:color="auto"/>
            </w:tcBorders>
          </w:tcPr>
          <w:p>
            <w:pPr>
              <w:spacing w:after="0"/>
              <w:rPr>
                <w:sz w:val="16"/>
                <w:szCs w:val="16"/>
                <w:color w:val="auto"/>
              </w:rPr>
            </w:pPr>
          </w:p>
        </w:tc>
        <w:tc>
          <w:tcPr>
            <w:tcW w:w="2120" w:type="dxa"/>
            <w:vAlign w:val="bottom"/>
            <w:tcBorders>
              <w:top w:val="single" w:sz="8" w:color="auto"/>
            </w:tcBorders>
            <w:gridSpan w:val="2"/>
          </w:tcPr>
          <w:p>
            <w:pPr>
              <w:jc w:val="right"/>
              <w:ind w:right="310"/>
              <w:spacing w:after="0" w:line="191" w:lineRule="exact"/>
              <w:rPr>
                <w:sz w:val="20"/>
                <w:szCs w:val="20"/>
                <w:color w:val="auto"/>
              </w:rPr>
            </w:pPr>
            <w:r>
              <w:rPr>
                <w:rFonts w:ascii="Arial" w:cs="Arial" w:eastAsia="Arial" w:hAnsi="Arial"/>
                <w:sz w:val="18"/>
                <w:szCs w:val="18"/>
                <w:b w:val="1"/>
                <w:bCs w:val="1"/>
                <w:color w:val="auto"/>
              </w:rPr>
              <w:t>Six months ended</w:t>
            </w:r>
          </w:p>
        </w:tc>
        <w:tc>
          <w:tcPr>
            <w:tcW w:w="8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3980" w:type="dxa"/>
            <w:vAlign w:val="bottom"/>
          </w:tcPr>
          <w:p>
            <w:pPr>
              <w:spacing w:after="0"/>
              <w:rPr>
                <w:sz w:val="17"/>
                <w:szCs w:val="17"/>
                <w:color w:val="auto"/>
              </w:rPr>
            </w:pPr>
          </w:p>
        </w:tc>
        <w:tc>
          <w:tcPr>
            <w:tcW w:w="23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June 30,</w:t>
            </w:r>
          </w:p>
        </w:tc>
        <w:tc>
          <w:tcPr>
            <w:tcW w:w="9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June 30,</w:t>
            </w:r>
          </w:p>
        </w:tc>
        <w:tc>
          <w:tcPr>
            <w:tcW w:w="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7"/>
        </w:trPr>
        <w:tc>
          <w:tcPr>
            <w:tcW w:w="3980" w:type="dxa"/>
            <w:vAlign w:val="bottom"/>
          </w:tcPr>
          <w:p>
            <w:pPr>
              <w:spacing w:after="0"/>
              <w:rPr>
                <w:sz w:val="20"/>
                <w:szCs w:val="20"/>
                <w:color w:val="auto"/>
              </w:rPr>
            </w:pPr>
            <w:r>
              <w:rPr>
                <w:rFonts w:ascii="Arial" w:cs="Arial" w:eastAsia="Arial" w:hAnsi="Arial"/>
                <w:sz w:val="18"/>
                <w:szCs w:val="18"/>
                <w:b w:val="1"/>
                <w:bCs w:val="1"/>
                <w:color w:val="auto"/>
              </w:rPr>
              <w:t>(in thousands, except percentages)</w:t>
            </w:r>
          </w:p>
        </w:tc>
        <w:tc>
          <w:tcPr>
            <w:tcW w:w="2300" w:type="dxa"/>
            <w:vAlign w:val="bottom"/>
          </w:tcPr>
          <w:p>
            <w:pPr>
              <w:jc w:val="right"/>
              <w:ind w:right="790"/>
              <w:spacing w:after="0"/>
              <w:rPr>
                <w:sz w:val="20"/>
                <w:szCs w:val="20"/>
                <w:color w:val="auto"/>
              </w:rPr>
            </w:pPr>
            <w:r>
              <w:rPr>
                <w:rFonts w:ascii="Arial" w:cs="Arial" w:eastAsia="Arial" w:hAnsi="Arial"/>
                <w:sz w:val="18"/>
                <w:szCs w:val="18"/>
                <w:b w:val="1"/>
                <w:bCs w:val="1"/>
                <w:color w:val="auto"/>
              </w:rPr>
              <w:t>2015</w:t>
            </w:r>
          </w:p>
        </w:tc>
        <w:tc>
          <w:tcPr>
            <w:tcW w:w="980" w:type="dxa"/>
            <w:vAlign w:val="bottom"/>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 Change</w:t>
            </w:r>
          </w:p>
        </w:tc>
        <w:tc>
          <w:tcPr>
            <w:tcW w:w="1320" w:type="dxa"/>
            <w:vAlign w:val="bottom"/>
          </w:tcPr>
          <w:p>
            <w:pPr>
              <w:jc w:val="right"/>
              <w:ind w:right="630"/>
              <w:spacing w:after="0"/>
              <w:rPr>
                <w:sz w:val="20"/>
                <w:szCs w:val="20"/>
                <w:color w:val="auto"/>
              </w:rPr>
            </w:pPr>
            <w:r>
              <w:rPr>
                <w:rFonts w:ascii="Arial" w:cs="Arial" w:eastAsia="Arial" w:hAnsi="Arial"/>
                <w:sz w:val="18"/>
                <w:szCs w:val="18"/>
                <w:b w:val="1"/>
                <w:bCs w:val="1"/>
                <w:color w:val="auto"/>
              </w:rPr>
              <w:t>2015</w:t>
            </w:r>
          </w:p>
        </w:tc>
        <w:tc>
          <w:tcPr>
            <w:tcW w:w="800" w:type="dxa"/>
            <w:vAlign w:val="bottom"/>
          </w:tcPr>
          <w:p>
            <w:pPr>
              <w:jc w:val="right"/>
              <w:ind w:right="310"/>
              <w:spacing w:after="0"/>
              <w:rPr>
                <w:sz w:val="20"/>
                <w:szCs w:val="20"/>
                <w:color w:val="auto"/>
              </w:rPr>
            </w:pPr>
            <w:r>
              <w:rPr>
                <w:rFonts w:ascii="Arial" w:cs="Arial" w:eastAsia="Arial" w:hAnsi="Arial"/>
                <w:sz w:val="18"/>
                <w:szCs w:val="18"/>
                <w:b w:val="1"/>
                <w:bCs w:val="1"/>
                <w:color w:val="auto"/>
                <w:w w:val="94"/>
              </w:rPr>
              <w:t>2014</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 Change</w:t>
            </w:r>
          </w:p>
        </w:tc>
      </w:tr>
      <w:tr>
        <w:trPr>
          <w:trHeight w:val="171"/>
        </w:trPr>
        <w:tc>
          <w:tcPr>
            <w:tcW w:w="3980" w:type="dxa"/>
            <w:vAlign w:val="bottom"/>
            <w:tcBorders>
              <w:top w:val="single" w:sz="8" w:color="auto"/>
            </w:tcBorders>
          </w:tcPr>
          <w:p>
            <w:pPr>
              <w:spacing w:after="0" w:line="171" w:lineRule="exact"/>
              <w:rPr>
                <w:sz w:val="20"/>
                <w:szCs w:val="20"/>
                <w:color w:val="auto"/>
              </w:rPr>
            </w:pPr>
            <w:r>
              <w:rPr>
                <w:rFonts w:ascii="Arial" w:cs="Arial" w:eastAsia="Arial" w:hAnsi="Arial"/>
                <w:sz w:val="18"/>
                <w:szCs w:val="18"/>
                <w:color w:val="auto"/>
              </w:rPr>
              <w:t>Machine Clothing</w:t>
            </w:r>
          </w:p>
        </w:tc>
        <w:tc>
          <w:tcPr>
            <w:tcW w:w="2300" w:type="dxa"/>
            <w:vAlign w:val="bottom"/>
            <w:tcBorders>
              <w:top w:val="single" w:sz="8" w:color="auto"/>
            </w:tcBorders>
          </w:tcPr>
          <w:p>
            <w:pPr>
              <w:jc w:val="right"/>
              <w:ind w:right="230"/>
              <w:spacing w:after="0" w:line="171" w:lineRule="exact"/>
              <w:rPr>
                <w:sz w:val="20"/>
                <w:szCs w:val="20"/>
                <w:color w:val="auto"/>
              </w:rPr>
            </w:pPr>
            <w:r>
              <w:rPr>
                <w:rFonts w:ascii="Arial" w:cs="Arial" w:eastAsia="Arial" w:hAnsi="Arial"/>
                <w:sz w:val="18"/>
                <w:szCs w:val="18"/>
                <w:b w:val="1"/>
                <w:bCs w:val="1"/>
                <w:color w:val="auto"/>
              </w:rPr>
              <w:t>$150,561</w:t>
            </w:r>
          </w:p>
        </w:tc>
        <w:tc>
          <w:tcPr>
            <w:tcW w:w="980" w:type="dxa"/>
            <w:vAlign w:val="bottom"/>
            <w:tcBorders>
              <w:top w:val="single" w:sz="8" w:color="auto"/>
            </w:tcBorders>
          </w:tcPr>
          <w:p>
            <w:pPr>
              <w:jc w:val="right"/>
              <w:spacing w:after="0" w:line="171" w:lineRule="exact"/>
              <w:rPr>
                <w:sz w:val="20"/>
                <w:szCs w:val="20"/>
                <w:color w:val="auto"/>
              </w:rPr>
            </w:pPr>
            <w:r>
              <w:rPr>
                <w:rFonts w:ascii="Arial" w:cs="Arial" w:eastAsia="Arial" w:hAnsi="Arial"/>
                <w:sz w:val="18"/>
                <w:szCs w:val="18"/>
                <w:color w:val="auto"/>
              </w:rPr>
              <w:t>$172,809</w:t>
            </w:r>
          </w:p>
        </w:tc>
        <w:tc>
          <w:tcPr>
            <w:tcW w:w="1160" w:type="dxa"/>
            <w:vAlign w:val="bottom"/>
            <w:tcBorders>
              <w:top w:val="single" w:sz="8" w:color="auto"/>
            </w:tcBorders>
          </w:tcPr>
          <w:p>
            <w:pPr>
              <w:jc w:val="right"/>
              <w:ind w:right="90"/>
              <w:spacing w:after="0" w:line="171" w:lineRule="exact"/>
              <w:rPr>
                <w:sz w:val="20"/>
                <w:szCs w:val="20"/>
                <w:color w:val="auto"/>
              </w:rPr>
            </w:pPr>
            <w:r>
              <w:rPr>
                <w:rFonts w:ascii="Arial" w:cs="Arial" w:eastAsia="Arial" w:hAnsi="Arial"/>
                <w:sz w:val="18"/>
                <w:szCs w:val="18"/>
                <w:color w:val="auto"/>
              </w:rPr>
              <w:t>-12.9%</w:t>
            </w:r>
          </w:p>
        </w:tc>
        <w:tc>
          <w:tcPr>
            <w:tcW w:w="1320" w:type="dxa"/>
            <w:vAlign w:val="bottom"/>
            <w:tcBorders>
              <w:top w:val="single" w:sz="8" w:color="auto"/>
            </w:tcBorders>
          </w:tcPr>
          <w:p>
            <w:pPr>
              <w:jc w:val="right"/>
              <w:ind w:right="270"/>
              <w:spacing w:after="0" w:line="171" w:lineRule="exact"/>
              <w:rPr>
                <w:sz w:val="20"/>
                <w:szCs w:val="20"/>
                <w:color w:val="auto"/>
              </w:rPr>
            </w:pPr>
            <w:r>
              <w:rPr>
                <w:rFonts w:ascii="Arial" w:cs="Arial" w:eastAsia="Arial" w:hAnsi="Arial"/>
                <w:sz w:val="18"/>
                <w:szCs w:val="18"/>
                <w:b w:val="1"/>
                <w:bCs w:val="1"/>
                <w:color w:val="auto"/>
              </w:rPr>
              <w:t>$309,055</w:t>
            </w:r>
          </w:p>
        </w:tc>
        <w:tc>
          <w:tcPr>
            <w:tcW w:w="800" w:type="dxa"/>
            <w:vAlign w:val="bottom"/>
            <w:tcBorders>
              <w:top w:val="single" w:sz="8" w:color="auto"/>
            </w:tcBorders>
          </w:tcPr>
          <w:p>
            <w:pPr>
              <w:jc w:val="right"/>
              <w:spacing w:after="0" w:line="171" w:lineRule="exact"/>
              <w:rPr>
                <w:sz w:val="20"/>
                <w:szCs w:val="20"/>
                <w:color w:val="auto"/>
              </w:rPr>
            </w:pPr>
            <w:r>
              <w:rPr>
                <w:rFonts w:ascii="Arial" w:cs="Arial" w:eastAsia="Arial" w:hAnsi="Arial"/>
                <w:sz w:val="18"/>
                <w:szCs w:val="18"/>
                <w:color w:val="auto"/>
              </w:rPr>
              <w:t>$336,897</w:t>
            </w:r>
          </w:p>
        </w:tc>
        <w:tc>
          <w:tcPr>
            <w:tcW w:w="880" w:type="dxa"/>
            <w:vAlign w:val="bottom"/>
            <w:tcBorders>
              <w:top w:val="single" w:sz="8" w:color="auto"/>
            </w:tcBorders>
          </w:tcPr>
          <w:p>
            <w:pPr>
              <w:jc w:val="right"/>
              <w:spacing w:after="0" w:line="171" w:lineRule="exact"/>
              <w:rPr>
                <w:sz w:val="20"/>
                <w:szCs w:val="20"/>
                <w:color w:val="auto"/>
              </w:rPr>
            </w:pPr>
            <w:r>
              <w:rPr>
                <w:rFonts w:ascii="Arial" w:cs="Arial" w:eastAsia="Arial" w:hAnsi="Arial"/>
                <w:sz w:val="18"/>
                <w:szCs w:val="18"/>
                <w:color w:val="auto"/>
              </w:rPr>
              <w:t>-8.3%</w:t>
            </w:r>
          </w:p>
        </w:tc>
        <w:tc>
          <w:tcPr>
            <w:tcW w:w="20" w:type="dxa"/>
            <w:vAlign w:val="bottom"/>
          </w:tcPr>
          <w:p>
            <w:pPr>
              <w:spacing w:after="0"/>
              <w:rPr>
                <w:sz w:val="14"/>
                <w:szCs w:val="14"/>
                <w:color w:val="auto"/>
              </w:rPr>
            </w:pPr>
          </w:p>
        </w:tc>
      </w:tr>
      <w:tr>
        <w:trPr>
          <w:trHeight w:val="227"/>
        </w:trPr>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Albany Engineered Composites</w:t>
            </w:r>
          </w:p>
        </w:tc>
        <w:tc>
          <w:tcPr>
            <w:tcW w:w="23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21,728</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20,709</w:t>
            </w:r>
          </w:p>
        </w:tc>
        <w:tc>
          <w:tcPr>
            <w:tcW w:w="11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4.9%</w:t>
            </w:r>
          </w:p>
        </w:tc>
        <w:tc>
          <w:tcPr>
            <w:tcW w:w="13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44,558</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36,928</w:t>
            </w: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20.7%</w:t>
            </w:r>
          </w:p>
        </w:tc>
      </w:tr>
      <w:tr>
        <w:trPr>
          <w:trHeight w:val="196"/>
        </w:trPr>
        <w:tc>
          <w:tcPr>
            <w:tcW w:w="39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230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b w:val="1"/>
                <w:bCs w:val="1"/>
                <w:color w:val="auto"/>
              </w:rPr>
              <w:t>$172,289</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$193,518</w:t>
            </w:r>
          </w:p>
        </w:tc>
        <w:tc>
          <w:tcPr>
            <w:tcW w:w="116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-11.0%</w:t>
            </w:r>
          </w:p>
        </w:tc>
        <w:tc>
          <w:tcPr>
            <w:tcW w:w="132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$353,613</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$373,825</w:t>
            </w:r>
          </w:p>
        </w:tc>
        <w:tc>
          <w:tcPr>
            <w:tcW w:w="90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-5.4%</w:t>
            </w:r>
          </w:p>
        </w:tc>
      </w:tr>
    </w:tbl>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389" w:lineRule="exact"/>
        <w:rPr>
          <w:sz w:val="20"/>
          <w:szCs w:val="20"/>
          <w:color w:val="auto"/>
        </w:rPr>
      </w:pPr>
    </w:p>
    <w:p>
      <w:pPr>
        <w:ind w:left="660" w:right="460" w:hanging="328"/>
        <w:spacing w:after="0" w:line="275" w:lineRule="auto"/>
        <w:tabs>
          <w:tab w:leader="none" w:pos="6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currency translation rates had the effect of decreasing net sales by $10.4 million during the second quarter of 2015 as compared to 2014.</w:t>
      </w:r>
    </w:p>
    <w:p>
      <w:pPr>
        <w:spacing w:after="0" w:line="10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Excluding the effect of changes in currency translation rates:</w:t>
      </w:r>
    </w:p>
    <w:p>
      <w:pPr>
        <w:spacing w:after="0" w:line="18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Net sales decreased 5.6% compared to the same period in 2014</w:t>
      </w:r>
    </w:p>
    <w:p>
      <w:pPr>
        <w:spacing w:after="0" w:line="19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Net sales in MC decreased 7.1%</w:t>
      </w:r>
    </w:p>
    <w:p>
      <w:pPr>
        <w:spacing w:after="0" w:line="18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Net sales in AEC increased 6.9%</w:t>
      </w:r>
    </w:p>
    <w:p>
      <w:pPr>
        <w:spacing w:after="0" w:line="183" w:lineRule="exact"/>
        <w:rPr>
          <w:rFonts w:ascii="Times New Roman" w:cs="Times New Roman" w:eastAsia="Times New Roman" w:hAnsi="Times New Roman"/>
          <w:sz w:val="18"/>
          <w:szCs w:val="18"/>
          <w:color w:val="auto"/>
        </w:rPr>
      </w:pPr>
    </w:p>
    <w:p>
      <w:pPr>
        <w:jc w:val="both"/>
        <w:ind w:left="660" w:right="200" w:hanging="328"/>
        <w:spacing w:after="0" w:line="255" w:lineRule="auto"/>
        <w:tabs>
          <w:tab w:leader="none" w:pos="6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The decline in second-quarter MC sales was principally due to lower sales volume in North America and Europe, reflecting a sharply weaker market in publication grades in 2015, as well as changes in currency translation rates. In Asia and South America, year-over-year sales, excluding currency effects, were stable despite the macroeconomic uncertainties.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 comparison</w:t>
      </w:r>
    </w:p>
    <w:p>
      <w:pPr>
        <w:spacing w:after="0" w:line="173" w:lineRule="exact"/>
        <w:rPr>
          <w:sz w:val="20"/>
          <w:szCs w:val="20"/>
          <w:color w:val="auto"/>
        </w:rPr>
      </w:pPr>
    </w:p>
    <w:p>
      <w:pPr>
        <w:ind w:left="660" w:right="460" w:hanging="328"/>
        <w:spacing w:after="0" w:line="275" w:lineRule="auto"/>
        <w:tabs>
          <w:tab w:leader="none" w:pos="6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currency translation rates had the effect of decreasing net sales by $22.0 million during the first six months of 2015 as compared to 2014.</w:t>
      </w:r>
    </w:p>
    <w:p>
      <w:pPr>
        <w:spacing w:after="0" w:line="10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Excluding the effect of changes in currency translation rates:</w:t>
      </w:r>
    </w:p>
    <w:p>
      <w:pPr>
        <w:spacing w:after="0" w:line="19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Net sales increased 0.5% compared to the same period in 2014</w:t>
      </w:r>
    </w:p>
    <w:p>
      <w:pPr>
        <w:spacing w:after="0" w:line="18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Net sales in MC decreased 1.9%</w:t>
      </w:r>
    </w:p>
    <w:p>
      <w:pPr>
        <w:spacing w:after="0" w:line="18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Net sales in AEC increased 22.7%</w:t>
      </w:r>
    </w:p>
    <w:p>
      <w:pPr>
        <w:spacing w:after="0" w:line="197" w:lineRule="exact"/>
        <w:rPr>
          <w:rFonts w:ascii="Times New Roman" w:cs="Times New Roman" w:eastAsia="Times New Roman" w:hAnsi="Times New Roman"/>
          <w:sz w:val="18"/>
          <w:szCs w:val="18"/>
          <w:color w:val="auto"/>
        </w:rPr>
      </w:pPr>
    </w:p>
    <w:p>
      <w:pPr>
        <w:ind w:left="660" w:right="320" w:hanging="328"/>
        <w:spacing w:after="0" w:line="275" w:lineRule="auto"/>
        <w:tabs>
          <w:tab w:leader="none" w:pos="6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The decline in MC sales during the first six months of 2015 was principally due to lower sales volume in North America and Europe, reflecting a sharply weaker market in publication grades.</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43" w:right="239" w:bottom="1440" w:gutter="0" w:footer="0" w:header="0"/>
        </w:sectPr>
      </w:pPr>
    </w:p>
    <w:bookmarkStart w:id="28" w:name="page29"/>
    <w:bookmarkEnd w:id="28"/>
    <w:p>
      <w:pPr>
        <w:ind w:left="660" w:right="340" w:hanging="328"/>
        <w:spacing w:after="0" w:line="275" w:lineRule="auto"/>
        <w:tabs>
          <w:tab w:leader="none" w:pos="660" w:val="left"/>
        </w:tabs>
        <w:numPr>
          <w:ilvl w:val="0"/>
          <w:numId w:val="9"/>
        </w:numPr>
        <w:rPr>
          <w:rFonts w:ascii="Times New Roman" w:cs="Times New Roman" w:eastAsia="Times New Roman" w:hAnsi="Times New Roman"/>
          <w:sz w:val="18"/>
          <w:szCs w:val="18"/>
          <w:color w:val="auto"/>
          <w:strike w:val="1"/>
        </w:rPr>
      </w:pPr>
      <w:r>
        <w:rPr>
          <w:rFonts w:ascii="Arial" w:cs="Arial" w:eastAsia="Arial" w:hAnsi="Arial"/>
          <w:sz w:val="18"/>
          <w:szCs w:val="18"/>
          <w:color w:val="auto"/>
        </w:rPr>
        <w:t>AEC sales increased due to growth in the LEAP program as compared to 2014 when sales were negatively affected by a change in invoicing terms, resulting in a build-up of inventory and an associated temporary lag in sales.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3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gross profit by business segment: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780" w:type="dxa"/>
            <w:vAlign w:val="bottom"/>
            <w:tcBorders>
              <w:top w:val="single" w:sz="8" w:color="auto"/>
            </w:tcBorders>
          </w:tcPr>
          <w:p>
            <w:pPr>
              <w:spacing w:after="0"/>
              <w:rPr>
                <w:sz w:val="16"/>
                <w:szCs w:val="16"/>
                <w:color w:val="auto"/>
              </w:rPr>
            </w:pPr>
          </w:p>
        </w:tc>
        <w:tc>
          <w:tcPr>
            <w:tcW w:w="4080" w:type="dxa"/>
            <w:vAlign w:val="bottom"/>
            <w:tcBorders>
              <w:top w:val="single" w:sz="8" w:color="auto"/>
            </w:tcBorders>
            <w:gridSpan w:val="2"/>
          </w:tcPr>
          <w:p>
            <w:pPr>
              <w:jc w:val="right"/>
              <w:ind w:right="350"/>
              <w:spacing w:after="0" w:line="191" w:lineRule="exact"/>
              <w:rPr>
                <w:sz w:val="20"/>
                <w:szCs w:val="20"/>
                <w:color w:val="auto"/>
              </w:rPr>
            </w:pPr>
            <w:r>
              <w:rPr>
                <w:rFonts w:ascii="Arial" w:cs="Arial" w:eastAsia="Arial" w:hAnsi="Arial"/>
                <w:sz w:val="18"/>
                <w:szCs w:val="18"/>
                <w:b w:val="1"/>
                <w:bCs w:val="1"/>
                <w:color w:val="auto"/>
              </w:rPr>
              <w:t>Three months ended</w:t>
            </w:r>
          </w:p>
        </w:tc>
        <w:tc>
          <w:tcPr>
            <w:tcW w:w="2560" w:type="dxa"/>
            <w:vAlign w:val="bottom"/>
            <w:tcBorders>
              <w:top w:val="single" w:sz="8" w:color="auto"/>
            </w:tcBorders>
            <w:gridSpan w:val="2"/>
          </w:tcPr>
          <w:p>
            <w:pPr>
              <w:jc w:val="right"/>
              <w:ind w:right="290"/>
              <w:spacing w:after="0" w:line="191" w:lineRule="exact"/>
              <w:rPr>
                <w:sz w:val="20"/>
                <w:szCs w:val="20"/>
                <w:color w:val="auto"/>
              </w:rPr>
            </w:pPr>
            <w:r>
              <w:rPr>
                <w:rFonts w:ascii="Arial" w:cs="Arial" w:eastAsia="Arial" w:hAnsi="Arial"/>
                <w:sz w:val="18"/>
                <w:szCs w:val="18"/>
                <w:b w:val="1"/>
                <w:bCs w:val="1"/>
                <w:color w:val="auto"/>
              </w:rPr>
              <w:t>Six months ended</w:t>
            </w:r>
          </w:p>
        </w:tc>
      </w:tr>
      <w:tr>
        <w:trPr>
          <w:trHeight w:val="203"/>
        </w:trPr>
        <w:tc>
          <w:tcPr>
            <w:tcW w:w="4780" w:type="dxa"/>
            <w:vAlign w:val="bottom"/>
          </w:tcPr>
          <w:p>
            <w:pPr>
              <w:spacing w:after="0"/>
              <w:rPr>
                <w:sz w:val="17"/>
                <w:szCs w:val="17"/>
                <w:color w:val="auto"/>
              </w:rPr>
            </w:pPr>
          </w:p>
        </w:tc>
        <w:tc>
          <w:tcPr>
            <w:tcW w:w="4080" w:type="dxa"/>
            <w:vAlign w:val="bottom"/>
            <w:gridSpan w:val="2"/>
          </w:tcPr>
          <w:p>
            <w:pPr>
              <w:jc w:val="right"/>
              <w:ind w:right="850"/>
              <w:spacing w:after="0" w:line="202" w:lineRule="exact"/>
              <w:rPr>
                <w:sz w:val="20"/>
                <w:szCs w:val="20"/>
                <w:color w:val="auto"/>
              </w:rPr>
            </w:pPr>
            <w:r>
              <w:rPr>
                <w:rFonts w:ascii="Arial" w:cs="Arial" w:eastAsia="Arial" w:hAnsi="Arial"/>
                <w:sz w:val="18"/>
                <w:szCs w:val="18"/>
                <w:b w:val="1"/>
                <w:bCs w:val="1"/>
                <w:color w:val="auto"/>
              </w:rPr>
              <w:t>June 30,</w:t>
            </w:r>
          </w:p>
        </w:tc>
        <w:tc>
          <w:tcPr>
            <w:tcW w:w="2560" w:type="dxa"/>
            <w:vAlign w:val="bottom"/>
            <w:gridSpan w:val="2"/>
          </w:tcPr>
          <w:p>
            <w:pPr>
              <w:jc w:val="right"/>
              <w:ind w:right="690"/>
              <w:spacing w:after="0" w:line="202" w:lineRule="exact"/>
              <w:rPr>
                <w:sz w:val="20"/>
                <w:szCs w:val="20"/>
                <w:color w:val="auto"/>
              </w:rPr>
            </w:pPr>
            <w:r>
              <w:rPr>
                <w:rFonts w:ascii="Arial" w:cs="Arial" w:eastAsia="Arial" w:hAnsi="Arial"/>
                <w:sz w:val="18"/>
                <w:szCs w:val="18"/>
                <w:b w:val="1"/>
                <w:bCs w:val="1"/>
                <w:color w:val="auto"/>
              </w:rPr>
              <w:t>June 30,</w:t>
            </w:r>
          </w:p>
        </w:tc>
      </w:tr>
      <w:tr>
        <w:trPr>
          <w:trHeight w:val="227"/>
        </w:trPr>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percentages)</w:t>
            </w:r>
          </w:p>
        </w:tc>
        <w:tc>
          <w:tcPr>
            <w:tcW w:w="27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3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4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2014</w:t>
            </w:r>
          </w:p>
        </w:tc>
      </w:tr>
      <w:tr>
        <w:trPr>
          <w:trHeight w:val="171"/>
        </w:trPr>
        <w:tc>
          <w:tcPr>
            <w:tcW w:w="4780" w:type="dxa"/>
            <w:vAlign w:val="bottom"/>
          </w:tcPr>
          <w:p>
            <w:pPr>
              <w:spacing w:after="0" w:line="171" w:lineRule="exact"/>
              <w:rPr>
                <w:sz w:val="20"/>
                <w:szCs w:val="20"/>
                <w:color w:val="auto"/>
              </w:rPr>
            </w:pPr>
            <w:r>
              <w:rPr>
                <w:rFonts w:ascii="Arial" w:cs="Arial" w:eastAsia="Arial" w:hAnsi="Arial"/>
                <w:sz w:val="18"/>
                <w:szCs w:val="18"/>
                <w:color w:val="auto"/>
              </w:rPr>
              <w:t>Machine Clothing</w:t>
            </w:r>
          </w:p>
        </w:tc>
        <w:tc>
          <w:tcPr>
            <w:tcW w:w="2760" w:type="dxa"/>
            <w:vAlign w:val="bottom"/>
          </w:tcPr>
          <w:p>
            <w:pPr>
              <w:jc w:val="right"/>
              <w:ind w:right="290"/>
              <w:spacing w:after="0" w:line="171" w:lineRule="exact"/>
              <w:rPr>
                <w:sz w:val="20"/>
                <w:szCs w:val="20"/>
                <w:color w:val="auto"/>
              </w:rPr>
            </w:pPr>
            <w:r>
              <w:rPr>
                <w:rFonts w:ascii="Arial" w:cs="Arial" w:eastAsia="Arial" w:hAnsi="Arial"/>
                <w:sz w:val="18"/>
                <w:szCs w:val="18"/>
                <w:b w:val="1"/>
                <w:bCs w:val="1"/>
                <w:color w:val="auto"/>
              </w:rPr>
              <w:t>$68,103</w:t>
            </w:r>
          </w:p>
        </w:tc>
        <w:tc>
          <w:tcPr>
            <w:tcW w:w="1320" w:type="dxa"/>
            <w:vAlign w:val="bottom"/>
          </w:tcPr>
          <w:p>
            <w:pPr>
              <w:jc w:val="right"/>
              <w:ind w:right="270"/>
              <w:spacing w:after="0" w:line="171" w:lineRule="exact"/>
              <w:rPr>
                <w:sz w:val="20"/>
                <w:szCs w:val="20"/>
                <w:color w:val="auto"/>
              </w:rPr>
            </w:pPr>
            <w:r>
              <w:rPr>
                <w:rFonts w:ascii="Arial" w:cs="Arial" w:eastAsia="Arial" w:hAnsi="Arial"/>
                <w:sz w:val="18"/>
                <w:szCs w:val="18"/>
                <w:color w:val="auto"/>
              </w:rPr>
              <w:t>$73,339</w:t>
            </w:r>
          </w:p>
        </w:tc>
        <w:tc>
          <w:tcPr>
            <w:tcW w:w="1400" w:type="dxa"/>
            <w:vAlign w:val="bottom"/>
          </w:tcPr>
          <w:p>
            <w:pPr>
              <w:jc w:val="right"/>
              <w:ind w:right="270"/>
              <w:spacing w:after="0" w:line="171" w:lineRule="exact"/>
              <w:rPr>
                <w:sz w:val="20"/>
                <w:szCs w:val="20"/>
                <w:color w:val="auto"/>
              </w:rPr>
            </w:pPr>
            <w:r>
              <w:rPr>
                <w:rFonts w:ascii="Arial" w:cs="Arial" w:eastAsia="Arial" w:hAnsi="Arial"/>
                <w:sz w:val="18"/>
                <w:szCs w:val="18"/>
                <w:b w:val="1"/>
                <w:bCs w:val="1"/>
                <w:color w:val="auto"/>
              </w:rPr>
              <w:t>$143,364</w:t>
            </w:r>
          </w:p>
        </w:tc>
        <w:tc>
          <w:tcPr>
            <w:tcW w:w="1160" w:type="dxa"/>
            <w:vAlign w:val="bottom"/>
          </w:tcPr>
          <w:p>
            <w:pPr>
              <w:jc w:val="right"/>
              <w:ind w:right="10"/>
              <w:spacing w:after="0" w:line="171" w:lineRule="exact"/>
              <w:rPr>
                <w:sz w:val="20"/>
                <w:szCs w:val="20"/>
                <w:color w:val="auto"/>
              </w:rPr>
            </w:pPr>
            <w:r>
              <w:rPr>
                <w:rFonts w:ascii="Arial" w:cs="Arial" w:eastAsia="Arial" w:hAnsi="Arial"/>
                <w:sz w:val="18"/>
                <w:szCs w:val="18"/>
                <w:color w:val="auto"/>
              </w:rPr>
              <w:t>$147,209</w:t>
            </w: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276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(13,145)</w:t>
            </w:r>
          </w:p>
        </w:tc>
        <w:tc>
          <w:tcPr>
            <w:tcW w:w="13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2,358</w:t>
            </w:r>
          </w:p>
        </w:tc>
        <w:tc>
          <w:tcPr>
            <w:tcW w:w="140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(11,330)</w:t>
            </w: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3,651</w:t>
            </w:r>
          </w:p>
        </w:tc>
      </w:tr>
      <w:tr>
        <w:trPr>
          <w:trHeight w:val="227"/>
        </w:trPr>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Corporate expenses</w:t>
            </w:r>
          </w:p>
        </w:tc>
        <w:tc>
          <w:tcPr>
            <w:tcW w:w="27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(366)</w:t>
            </w:r>
          </w:p>
        </w:tc>
        <w:tc>
          <w:tcPr>
            <w:tcW w:w="13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(354)</w:t>
            </w:r>
          </w:p>
        </w:tc>
        <w:tc>
          <w:tcPr>
            <w:tcW w:w="1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(758)</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w:t>
            </w:r>
          </w:p>
        </w:tc>
      </w:tr>
      <w:tr>
        <w:trPr>
          <w:trHeight w:val="196"/>
        </w:trPr>
        <w:tc>
          <w:tcPr>
            <w:tcW w:w="47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276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$54,592</w:t>
            </w:r>
          </w:p>
        </w:tc>
        <w:tc>
          <w:tcPr>
            <w:tcW w:w="132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$75,343</w:t>
            </w:r>
          </w:p>
        </w:tc>
        <w:tc>
          <w:tcPr>
            <w:tcW w:w="140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$131,276</w:t>
            </w:r>
          </w:p>
        </w:tc>
        <w:tc>
          <w:tcPr>
            <w:tcW w:w="11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$150,152</w:t>
            </w:r>
          </w:p>
        </w:tc>
      </w:tr>
      <w:tr>
        <w:trPr>
          <w:trHeight w:val="196"/>
        </w:trPr>
        <w:tc>
          <w:tcPr>
            <w:tcW w:w="47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 of Net sales</w:t>
            </w:r>
          </w:p>
        </w:tc>
        <w:tc>
          <w:tcPr>
            <w:tcW w:w="276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31.7%</w:t>
            </w:r>
          </w:p>
        </w:tc>
        <w:tc>
          <w:tcPr>
            <w:tcW w:w="132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38.9%</w:t>
            </w:r>
          </w:p>
        </w:tc>
        <w:tc>
          <w:tcPr>
            <w:tcW w:w="140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37.1%</w:t>
            </w:r>
          </w:p>
        </w:tc>
        <w:tc>
          <w:tcPr>
            <w:tcW w:w="11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40.2%</w:t>
            </w:r>
          </w:p>
        </w:tc>
      </w:tr>
    </w:tbl>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20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decrease in gross profit, compared to the same period in 2014, was principally due to the net effect of the following:</w:t>
      </w:r>
    </w:p>
    <w:p>
      <w:pPr>
        <w:spacing w:after="0" w:line="198" w:lineRule="exact"/>
        <w:rPr>
          <w:sz w:val="20"/>
          <w:szCs w:val="20"/>
          <w:color w:val="auto"/>
        </w:rPr>
      </w:pPr>
    </w:p>
    <w:p>
      <w:pPr>
        <w:ind w:left="1300" w:right="340" w:hanging="320"/>
        <w:spacing w:after="0" w:line="275" w:lineRule="auto"/>
        <w:tabs>
          <w:tab w:leader="none" w:pos="130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MC gross profit was $68.1 million, or 45.2 percent of net sales, compared to $73.3 million, or 42.4 percent of net sales. The decline in gross profit was primarily the result of the lower sales volume in North America and Europe.</w:t>
      </w:r>
    </w:p>
    <w:p>
      <w:pPr>
        <w:spacing w:after="0" w:line="37" w:lineRule="exact"/>
        <w:rPr>
          <w:rFonts w:ascii="Times New Roman" w:cs="Times New Roman" w:eastAsia="Times New Roman" w:hAnsi="Times New Roman"/>
          <w:sz w:val="18"/>
          <w:szCs w:val="18"/>
          <w:color w:val="auto"/>
        </w:rPr>
      </w:pPr>
    </w:p>
    <w:p>
      <w:pPr>
        <w:ind w:left="1300" w:right="560" w:hanging="320"/>
        <w:spacing w:after="0" w:line="275" w:lineRule="auto"/>
        <w:tabs>
          <w:tab w:leader="none" w:pos="130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AEC recorded a $14.0 million charge for a revision in the contract profitability of its BR 725 program which is a long term manufacturing contract in the Boerne, Texas facility.</w:t>
      </w:r>
    </w:p>
    <w:p>
      <w:pPr>
        <w:spacing w:after="0" w:line="38" w:lineRule="exact"/>
        <w:rPr>
          <w:sz w:val="20"/>
          <w:szCs w:val="20"/>
          <w:color w:val="auto"/>
        </w:rPr>
      </w:pPr>
    </w:p>
    <w:p>
      <w:pPr>
        <w:ind w:left="1220" w:right="40"/>
        <w:spacing w:after="0" w:line="254" w:lineRule="auto"/>
        <w:rPr>
          <w:sz w:val="20"/>
          <w:szCs w:val="20"/>
          <w:color w:val="auto"/>
        </w:rPr>
      </w:pPr>
      <w:r>
        <w:rPr>
          <w:rFonts w:ascii="Arial" w:cs="Arial" w:eastAsia="Arial" w:hAnsi="Arial"/>
          <w:sz w:val="18"/>
          <w:szCs w:val="18"/>
          <w:color w:val="auto"/>
        </w:rPr>
        <w:t>The Company filed a Current Report on Form 8-K on July 10, 2015 announcing a second-quarter charge of $14.0 million associated with a revision in the profitability of a contract in the AEC segment. AEC has a long-term contract for the manufacture of composite components for the Rolls-Royce BR 725 engine (BR 725), which powers the Gulfstream G-650 business jet. These components are manufactured in AEC’s Boerne, Texas, facility. The contract for this program was signed in 2007 and contains a very aggressive approach to pricing compared to AEC’s other contracts. AEC was required to fund certain development costs for nonrecurring engineering and tooling and expected to recover those costs over the duration of the contract, which is anticipated to be more than 20 years. The deferred costs were included in Other assets on the Company’s Consolidated Balance Sheets and, as of June 30, 2015, the Company had accumulated deferred contract expenses of approximately $10.9 million. The Company tests the recoverability of these deferred costs each quarter. During the second quarter of 2015, the Company revised its estimate of the profitability of this contract and determined that the entire balance of these deferred costs should be written off. Additionally, the Company has determined that an additional charge of approximately $3.1 million should be recorded as a provision for anticipated contract losses. The total charge of $14.0 million is included in Cost of goods sold.</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43"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Six month comparison</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decrease in gross profit, compared to the same period in 2014, was principally due to the net effect of the following:</w:t>
      </w:r>
    </w:p>
    <w:p>
      <w:pPr>
        <w:spacing w:after="0" w:line="374"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A $3.1 million decrease due to lower sales in MC.</w:t>
      </w:r>
    </w:p>
    <w:p>
      <w:pPr>
        <w:spacing w:after="0" w:line="11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A charge of $1.6 million in the second quarter of 2014 to correct an error in the value of MC inventories reported in prior periods.</w:t>
      </w:r>
    </w:p>
    <w:p>
      <w:pPr>
        <w:spacing w:after="0" w:line="116" w:lineRule="exact"/>
        <w:rPr>
          <w:rFonts w:ascii="Times New Roman" w:cs="Times New Roman" w:eastAsia="Times New Roman" w:hAnsi="Times New Roman"/>
          <w:sz w:val="18"/>
          <w:szCs w:val="18"/>
          <w:color w:val="auto"/>
        </w:rPr>
      </w:pPr>
    </w:p>
    <w:p>
      <w:pPr>
        <w:ind w:left="660" w:right="80" w:hanging="328"/>
        <w:spacing w:after="0" w:line="275" w:lineRule="auto"/>
        <w:tabs>
          <w:tab w:leader="none" w:pos="6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A decrease in AEC gross profit due to a charge of $14.0 million for a revision in the contract profitability of its BR 725 program which is a long term manufacturing contract in the Boerne, Texas facility.</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Technical, General, and Research (STG&amp;R)</w:t>
      </w:r>
    </w:p>
    <w:p>
      <w:pPr>
        <w:spacing w:after="0" w:line="3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STG&amp;R by business segment: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800" w:type="dxa"/>
            <w:vAlign w:val="bottom"/>
            <w:tcBorders>
              <w:top w:val="single" w:sz="8" w:color="auto"/>
            </w:tcBorders>
          </w:tcPr>
          <w:p>
            <w:pPr>
              <w:spacing w:after="0"/>
              <w:rPr>
                <w:sz w:val="16"/>
                <w:szCs w:val="16"/>
                <w:color w:val="auto"/>
              </w:rPr>
            </w:pPr>
          </w:p>
        </w:tc>
        <w:tc>
          <w:tcPr>
            <w:tcW w:w="4100" w:type="dxa"/>
            <w:vAlign w:val="bottom"/>
            <w:tcBorders>
              <w:top w:val="single" w:sz="8" w:color="auto"/>
            </w:tcBorders>
            <w:gridSpan w:val="2"/>
          </w:tcPr>
          <w:p>
            <w:pPr>
              <w:jc w:val="right"/>
              <w:ind w:right="330"/>
              <w:spacing w:after="0" w:line="191" w:lineRule="exact"/>
              <w:rPr>
                <w:sz w:val="20"/>
                <w:szCs w:val="20"/>
                <w:color w:val="auto"/>
              </w:rPr>
            </w:pPr>
            <w:r>
              <w:rPr>
                <w:rFonts w:ascii="Arial" w:cs="Arial" w:eastAsia="Arial" w:hAnsi="Arial"/>
                <w:sz w:val="18"/>
                <w:szCs w:val="18"/>
                <w:b w:val="1"/>
                <w:bCs w:val="1"/>
                <w:color w:val="auto"/>
              </w:rPr>
              <w:t>Three months ended</w:t>
            </w:r>
          </w:p>
        </w:tc>
        <w:tc>
          <w:tcPr>
            <w:tcW w:w="2520" w:type="dxa"/>
            <w:vAlign w:val="bottom"/>
            <w:tcBorders>
              <w:top w:val="single" w:sz="8" w:color="auto"/>
            </w:tcBorders>
            <w:gridSpan w:val="2"/>
          </w:tcPr>
          <w:p>
            <w:pPr>
              <w:jc w:val="right"/>
              <w:ind w:right="270"/>
              <w:spacing w:after="0" w:line="191" w:lineRule="exact"/>
              <w:rPr>
                <w:sz w:val="20"/>
                <w:szCs w:val="20"/>
                <w:color w:val="auto"/>
              </w:rPr>
            </w:pPr>
            <w:r>
              <w:rPr>
                <w:rFonts w:ascii="Arial" w:cs="Arial" w:eastAsia="Arial" w:hAnsi="Arial"/>
                <w:sz w:val="18"/>
                <w:szCs w:val="18"/>
                <w:b w:val="1"/>
                <w:bCs w:val="1"/>
                <w:color w:val="auto"/>
              </w:rPr>
              <w:t>Six months ended</w:t>
            </w:r>
          </w:p>
        </w:tc>
      </w:tr>
      <w:tr>
        <w:trPr>
          <w:trHeight w:val="203"/>
        </w:trPr>
        <w:tc>
          <w:tcPr>
            <w:tcW w:w="48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660" w:type="dxa"/>
            <w:vAlign w:val="bottom"/>
          </w:tcPr>
          <w:p>
            <w:pPr>
              <w:jc w:val="right"/>
              <w:ind w:right="830"/>
              <w:spacing w:after="0" w:line="202" w:lineRule="exact"/>
              <w:rPr>
                <w:sz w:val="20"/>
                <w:szCs w:val="20"/>
                <w:color w:val="auto"/>
              </w:rPr>
            </w:pPr>
            <w:r>
              <w:rPr>
                <w:rFonts w:ascii="Arial" w:cs="Arial" w:eastAsia="Arial" w:hAnsi="Arial"/>
                <w:sz w:val="18"/>
                <w:szCs w:val="18"/>
                <w:b w:val="1"/>
                <w:bCs w:val="1"/>
                <w:color w:val="auto"/>
                <w:w w:val="99"/>
              </w:rPr>
              <w:t>June 30,</w:t>
            </w:r>
          </w:p>
        </w:tc>
        <w:tc>
          <w:tcPr>
            <w:tcW w:w="1020" w:type="dxa"/>
            <w:vAlign w:val="bottom"/>
          </w:tcPr>
          <w:p>
            <w:pPr>
              <w:spacing w:after="0"/>
              <w:rPr>
                <w:sz w:val="17"/>
                <w:szCs w:val="17"/>
                <w:color w:val="auto"/>
              </w:rPr>
            </w:pPr>
          </w:p>
        </w:tc>
        <w:tc>
          <w:tcPr>
            <w:tcW w:w="1500" w:type="dxa"/>
            <w:vAlign w:val="bottom"/>
          </w:tcPr>
          <w:p>
            <w:pPr>
              <w:jc w:val="right"/>
              <w:ind w:right="650"/>
              <w:spacing w:after="0" w:line="202" w:lineRule="exact"/>
              <w:rPr>
                <w:sz w:val="20"/>
                <w:szCs w:val="20"/>
                <w:color w:val="auto"/>
              </w:rPr>
            </w:pPr>
            <w:r>
              <w:rPr>
                <w:rFonts w:ascii="Arial" w:cs="Arial" w:eastAsia="Arial" w:hAnsi="Arial"/>
                <w:sz w:val="18"/>
                <w:szCs w:val="18"/>
                <w:b w:val="1"/>
                <w:bCs w:val="1"/>
                <w:color w:val="auto"/>
              </w:rPr>
              <w:t>June 30,</w:t>
            </w:r>
          </w:p>
        </w:tc>
      </w:tr>
      <w:tr>
        <w:trPr>
          <w:trHeight w:val="227"/>
        </w:trPr>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percentages)</w:t>
            </w:r>
          </w:p>
        </w:tc>
        <w:tc>
          <w:tcPr>
            <w:tcW w:w="2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2015</w:t>
            </w:r>
          </w:p>
        </w:tc>
        <w:tc>
          <w:tcPr>
            <w:tcW w:w="16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2015</w:t>
            </w:r>
          </w:p>
        </w:tc>
        <w:tc>
          <w:tcPr>
            <w:tcW w:w="15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2014</w:t>
            </w:r>
          </w:p>
        </w:tc>
      </w:tr>
      <w:tr>
        <w:trPr>
          <w:trHeight w:val="171"/>
        </w:trPr>
        <w:tc>
          <w:tcPr>
            <w:tcW w:w="4800" w:type="dxa"/>
            <w:vAlign w:val="bottom"/>
          </w:tcPr>
          <w:p>
            <w:pPr>
              <w:spacing w:after="0" w:line="171" w:lineRule="exact"/>
              <w:rPr>
                <w:sz w:val="20"/>
                <w:szCs w:val="20"/>
                <w:color w:val="auto"/>
              </w:rPr>
            </w:pPr>
            <w:r>
              <w:rPr>
                <w:rFonts w:ascii="Arial" w:cs="Arial" w:eastAsia="Arial" w:hAnsi="Arial"/>
                <w:sz w:val="18"/>
                <w:szCs w:val="18"/>
                <w:color w:val="auto"/>
              </w:rPr>
              <w:t>Machine Clothing</w:t>
            </w:r>
          </w:p>
        </w:tc>
        <w:tc>
          <w:tcPr>
            <w:tcW w:w="2440" w:type="dxa"/>
            <w:vAlign w:val="bottom"/>
          </w:tcPr>
          <w:p>
            <w:pPr>
              <w:jc w:val="right"/>
              <w:spacing w:after="0" w:line="171" w:lineRule="exact"/>
              <w:rPr>
                <w:sz w:val="20"/>
                <w:szCs w:val="20"/>
                <w:color w:val="auto"/>
              </w:rPr>
            </w:pPr>
            <w:r>
              <w:rPr>
                <w:rFonts w:ascii="Arial" w:cs="Arial" w:eastAsia="Arial" w:hAnsi="Arial"/>
                <w:sz w:val="18"/>
                <w:szCs w:val="18"/>
                <w:b w:val="1"/>
                <w:bCs w:val="1"/>
                <w:color w:val="auto"/>
              </w:rPr>
              <w:t>$33,569</w:t>
            </w:r>
          </w:p>
        </w:tc>
        <w:tc>
          <w:tcPr>
            <w:tcW w:w="1660" w:type="dxa"/>
            <w:vAlign w:val="bottom"/>
          </w:tcPr>
          <w:p>
            <w:pPr>
              <w:jc w:val="right"/>
              <w:ind w:right="230"/>
              <w:spacing w:after="0" w:line="171" w:lineRule="exact"/>
              <w:rPr>
                <w:sz w:val="20"/>
                <w:szCs w:val="20"/>
                <w:color w:val="auto"/>
              </w:rPr>
            </w:pPr>
            <w:r>
              <w:rPr>
                <w:rFonts w:ascii="Arial" w:cs="Arial" w:eastAsia="Arial" w:hAnsi="Arial"/>
                <w:sz w:val="18"/>
                <w:szCs w:val="18"/>
                <w:color w:val="auto"/>
              </w:rPr>
              <w:t>$38,162</w:t>
            </w:r>
          </w:p>
        </w:tc>
        <w:tc>
          <w:tcPr>
            <w:tcW w:w="1020" w:type="dxa"/>
            <w:vAlign w:val="bottom"/>
          </w:tcPr>
          <w:p>
            <w:pPr>
              <w:jc w:val="right"/>
              <w:spacing w:after="0" w:line="171" w:lineRule="exact"/>
              <w:rPr>
                <w:sz w:val="20"/>
                <w:szCs w:val="20"/>
                <w:color w:val="auto"/>
              </w:rPr>
            </w:pPr>
            <w:r>
              <w:rPr>
                <w:rFonts w:ascii="Arial" w:cs="Arial" w:eastAsia="Arial" w:hAnsi="Arial"/>
                <w:sz w:val="18"/>
                <w:szCs w:val="18"/>
                <w:b w:val="1"/>
                <w:bCs w:val="1"/>
                <w:color w:val="auto"/>
              </w:rPr>
              <w:t>$64,139</w:t>
            </w:r>
          </w:p>
        </w:tc>
        <w:tc>
          <w:tcPr>
            <w:tcW w:w="1500" w:type="dxa"/>
            <w:vAlign w:val="bottom"/>
          </w:tcPr>
          <w:p>
            <w:pPr>
              <w:jc w:val="right"/>
              <w:ind w:right="10"/>
              <w:spacing w:after="0" w:line="171" w:lineRule="exact"/>
              <w:rPr>
                <w:sz w:val="20"/>
                <w:szCs w:val="20"/>
                <w:color w:val="auto"/>
              </w:rPr>
            </w:pPr>
            <w:r>
              <w:rPr>
                <w:rFonts w:ascii="Arial" w:cs="Arial" w:eastAsia="Arial" w:hAnsi="Arial"/>
                <w:sz w:val="18"/>
                <w:szCs w:val="18"/>
                <w:color w:val="auto"/>
              </w:rPr>
              <w:t>$75,027</w:t>
            </w:r>
          </w:p>
        </w:tc>
      </w:tr>
      <w:tr>
        <w:trPr>
          <w:trHeight w:val="203"/>
        </w:trPr>
        <w:tc>
          <w:tcPr>
            <w:tcW w:w="4800" w:type="dxa"/>
            <w:vAlign w:val="bottom"/>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24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5,488</w:t>
            </w:r>
          </w:p>
        </w:tc>
        <w:tc>
          <w:tcPr>
            <w:tcW w:w="16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5,244</w:t>
            </w:r>
          </w:p>
        </w:tc>
        <w:tc>
          <w:tcPr>
            <w:tcW w:w="10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11,114</w:t>
            </w:r>
          </w:p>
        </w:tc>
        <w:tc>
          <w:tcPr>
            <w:tcW w:w="15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9,693</w:t>
            </w:r>
          </w:p>
        </w:tc>
      </w:tr>
      <w:tr>
        <w:trPr>
          <w:trHeight w:val="227"/>
        </w:trPr>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Corporate expenses</w:t>
            </w:r>
          </w:p>
        </w:tc>
        <w:tc>
          <w:tcPr>
            <w:tcW w:w="2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11,286</w:t>
            </w:r>
          </w:p>
        </w:tc>
        <w:tc>
          <w:tcPr>
            <w:tcW w:w="16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11,003</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22,624</w:t>
            </w: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22,715</w:t>
            </w:r>
          </w:p>
        </w:tc>
      </w:tr>
      <w:tr>
        <w:trPr>
          <w:trHeight w:val="196"/>
        </w:trPr>
        <w:tc>
          <w:tcPr>
            <w:tcW w:w="48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2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$50,343</w:t>
            </w:r>
          </w:p>
        </w:tc>
        <w:tc>
          <w:tcPr>
            <w:tcW w:w="166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$54,409</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$97,877</w:t>
            </w:r>
          </w:p>
        </w:tc>
        <w:tc>
          <w:tcPr>
            <w:tcW w:w="15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$107,435</w:t>
            </w:r>
          </w:p>
        </w:tc>
      </w:tr>
      <w:tr>
        <w:trPr>
          <w:trHeight w:val="196"/>
        </w:trPr>
        <w:tc>
          <w:tcPr>
            <w:tcW w:w="48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 of Net sales</w:t>
            </w:r>
          </w:p>
        </w:tc>
        <w:tc>
          <w:tcPr>
            <w:tcW w:w="2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29.2%</w:t>
            </w:r>
          </w:p>
        </w:tc>
        <w:tc>
          <w:tcPr>
            <w:tcW w:w="166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28.1%</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27.7%</w:t>
            </w:r>
          </w:p>
        </w:tc>
        <w:tc>
          <w:tcPr>
            <w:tcW w:w="15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28.7%</w:t>
            </w:r>
          </w:p>
        </w:tc>
      </w:tr>
    </w:tbl>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STG&amp;R expenses decreased $4.0 million, compared to the same period in 2014, principally due to the net effect of the following:</w:t>
      </w:r>
    </w:p>
    <w:p>
      <w:pPr>
        <w:spacing w:after="0" w:line="171" w:lineRule="exact"/>
        <w:rPr>
          <w:sz w:val="20"/>
          <w:szCs w:val="20"/>
          <w:color w:val="auto"/>
        </w:rPr>
      </w:pPr>
    </w:p>
    <w:p>
      <w:pPr>
        <w:ind w:left="660" w:right="400" w:hanging="328"/>
        <w:spacing w:after="0" w:line="275" w:lineRule="auto"/>
        <w:tabs>
          <w:tab w:leader="none" w:pos="6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Revaluation of nonfunctional currency assets and liabilities resulted in losses of $0.4 million during the second quarter of 2015 and losses of $0.4 million in the comparable quarter of 2014.</w:t>
      </w:r>
    </w:p>
    <w:p>
      <w:pPr>
        <w:spacing w:after="0" w:line="3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decline in STG&amp;R results principally from the effects of changes in currency translation rates and restructuring activities.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 comparison</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STG&amp;R expenses decreased $9.6 million, compared to the same period in 2014, principally due to the net effect of the following:</w:t>
      </w:r>
    </w:p>
    <w:p>
      <w:pPr>
        <w:spacing w:after="0" w:line="171" w:lineRule="exact"/>
        <w:rPr>
          <w:sz w:val="20"/>
          <w:szCs w:val="20"/>
          <w:color w:val="auto"/>
        </w:rPr>
      </w:pPr>
    </w:p>
    <w:p>
      <w:pPr>
        <w:ind w:left="660" w:right="480" w:hanging="328"/>
        <w:spacing w:after="0" w:line="275" w:lineRule="auto"/>
        <w:tabs>
          <w:tab w:leader="none" w:pos="6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Revaluation of nonfunctional currency assets and liabilities resulted in gains of $2.6 million during the first six months of 2015 and losses of $0.6 million in the comparable period of 2014.</w:t>
      </w:r>
    </w:p>
    <w:p>
      <w:pPr>
        <w:spacing w:after="0" w:line="3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AEC STG&amp;R increased $1.4 million, principally due to research activity.</w:t>
      </w:r>
    </w:p>
    <w:p>
      <w:pPr>
        <w:spacing w:after="0" w:line="11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The remainder of the decrease was principally due to the effects of changes in currency translation rates.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3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expenses associated with internally funded research and development by business segment:</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41"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91"/>
        </w:trPr>
        <w:tc>
          <w:tcPr>
            <w:tcW w:w="4680" w:type="dxa"/>
            <w:vAlign w:val="bottom"/>
            <w:tcBorders>
              <w:top w:val="single" w:sz="8" w:color="auto"/>
            </w:tcBorders>
          </w:tcPr>
          <w:p>
            <w:pPr>
              <w:spacing w:after="0"/>
              <w:rPr>
                <w:sz w:val="16"/>
                <w:szCs w:val="16"/>
                <w:color w:val="auto"/>
              </w:rPr>
            </w:pPr>
          </w:p>
        </w:tc>
        <w:tc>
          <w:tcPr>
            <w:tcW w:w="4300" w:type="dxa"/>
            <w:vAlign w:val="bottom"/>
            <w:tcBorders>
              <w:top w:val="single" w:sz="8" w:color="auto"/>
            </w:tcBorders>
            <w:gridSpan w:val="2"/>
          </w:tcPr>
          <w:p>
            <w:pPr>
              <w:jc w:val="right"/>
              <w:ind w:right="250"/>
              <w:spacing w:after="0" w:line="191" w:lineRule="exact"/>
              <w:rPr>
                <w:sz w:val="20"/>
                <w:szCs w:val="20"/>
                <w:color w:val="auto"/>
              </w:rPr>
            </w:pPr>
            <w:r>
              <w:rPr>
                <w:rFonts w:ascii="Arial" w:cs="Arial" w:eastAsia="Arial" w:hAnsi="Arial"/>
                <w:sz w:val="18"/>
                <w:szCs w:val="18"/>
                <w:b w:val="1"/>
                <w:bCs w:val="1"/>
                <w:color w:val="auto"/>
              </w:rPr>
              <w:t>Three months ended</w:t>
            </w:r>
          </w:p>
        </w:tc>
        <w:tc>
          <w:tcPr>
            <w:tcW w:w="2440" w:type="dxa"/>
            <w:vAlign w:val="bottom"/>
            <w:tcBorders>
              <w:top w:val="single" w:sz="8" w:color="auto"/>
            </w:tcBorders>
            <w:gridSpan w:val="2"/>
          </w:tcPr>
          <w:p>
            <w:pPr>
              <w:jc w:val="right"/>
              <w:ind w:right="210"/>
              <w:spacing w:after="0" w:line="191" w:lineRule="exact"/>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05"/>
        </w:trPr>
        <w:tc>
          <w:tcPr>
            <w:tcW w:w="4680" w:type="dxa"/>
            <w:vAlign w:val="bottom"/>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27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1560" w:type="dxa"/>
            <w:vAlign w:val="bottom"/>
          </w:tcPr>
          <w:p>
            <w:pPr>
              <w:jc w:val="right"/>
              <w:ind w:right="750"/>
              <w:spacing w:after="0" w:line="205" w:lineRule="exact"/>
              <w:rPr>
                <w:sz w:val="20"/>
                <w:szCs w:val="20"/>
                <w:color w:val="auto"/>
              </w:rPr>
            </w:pPr>
            <w:r>
              <w:rPr>
                <w:rFonts w:ascii="Arial" w:cs="Arial" w:eastAsia="Arial" w:hAnsi="Arial"/>
                <w:sz w:val="18"/>
                <w:szCs w:val="18"/>
                <w:b w:val="1"/>
                <w:bCs w:val="1"/>
                <w:color w:val="auto"/>
                <w:w w:val="97"/>
              </w:rPr>
              <w:t>June 30,</w:t>
            </w:r>
          </w:p>
        </w:tc>
        <w:tc>
          <w:tcPr>
            <w:tcW w:w="102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2015</w:t>
            </w:r>
          </w:p>
        </w:tc>
        <w:tc>
          <w:tcPr>
            <w:tcW w:w="1420" w:type="dxa"/>
            <w:vAlign w:val="bottom"/>
          </w:tcPr>
          <w:p>
            <w:pPr>
              <w:jc w:val="right"/>
              <w:ind w:right="610"/>
              <w:spacing w:after="0" w:line="205" w:lineRule="exact"/>
              <w:rPr>
                <w:sz w:val="20"/>
                <w:szCs w:val="20"/>
                <w:color w:val="auto"/>
              </w:rPr>
            </w:pPr>
            <w:r>
              <w:rPr>
                <w:rFonts w:ascii="Arial" w:cs="Arial" w:eastAsia="Arial" w:hAnsi="Arial"/>
                <w:sz w:val="18"/>
                <w:szCs w:val="18"/>
                <w:b w:val="1"/>
                <w:bCs w:val="1"/>
                <w:color w:val="auto"/>
                <w:w w:val="97"/>
              </w:rPr>
              <w:t>June 30,</w:t>
            </w:r>
          </w:p>
        </w:tc>
        <w:tc>
          <w:tcPr>
            <w:tcW w:w="0" w:type="dxa"/>
            <w:vAlign w:val="bottom"/>
          </w:tcPr>
          <w:p>
            <w:pPr>
              <w:spacing w:after="0"/>
              <w:rPr>
                <w:sz w:val="1"/>
                <w:szCs w:val="1"/>
                <w:color w:val="auto"/>
              </w:rPr>
            </w:pPr>
          </w:p>
        </w:tc>
      </w:tr>
      <w:tr>
        <w:trPr>
          <w:trHeight w:val="225"/>
        </w:trPr>
        <w:tc>
          <w:tcPr>
            <w:tcW w:w="4680" w:type="dxa"/>
            <w:vAlign w:val="bottom"/>
            <w:tcBorders>
              <w:bottom w:val="single" w:sz="8" w:color="auto"/>
            </w:tcBorders>
            <w:vMerge w:val="continue"/>
          </w:tcPr>
          <w:p>
            <w:pPr>
              <w:spacing w:after="0"/>
              <w:rPr>
                <w:sz w:val="19"/>
                <w:szCs w:val="19"/>
                <w:color w:val="auto"/>
              </w:rPr>
            </w:pPr>
          </w:p>
        </w:tc>
        <w:tc>
          <w:tcPr>
            <w:tcW w:w="2740" w:type="dxa"/>
            <w:vAlign w:val="bottom"/>
            <w:tcBorders>
              <w:bottom w:val="single" w:sz="8" w:color="auto"/>
            </w:tcBorders>
            <w:vMerge w:val="continue"/>
          </w:tcPr>
          <w:p>
            <w:pPr>
              <w:spacing w:after="0"/>
              <w:rPr>
                <w:sz w:val="19"/>
                <w:szCs w:val="19"/>
                <w:color w:val="auto"/>
              </w:rPr>
            </w:pPr>
          </w:p>
        </w:tc>
        <w:tc>
          <w:tcPr>
            <w:tcW w:w="15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2014</w:t>
            </w:r>
          </w:p>
        </w:tc>
        <w:tc>
          <w:tcPr>
            <w:tcW w:w="1020" w:type="dxa"/>
            <w:vAlign w:val="bottom"/>
            <w:tcBorders>
              <w:bottom w:val="single" w:sz="8" w:color="auto"/>
            </w:tcBorders>
            <w:vMerge w:val="continue"/>
          </w:tcPr>
          <w:p>
            <w:pPr>
              <w:spacing w:after="0"/>
              <w:rPr>
                <w:sz w:val="19"/>
                <w:szCs w:val="19"/>
                <w:color w:val="auto"/>
              </w:rPr>
            </w:pPr>
          </w:p>
        </w:tc>
        <w:tc>
          <w:tcPr>
            <w:tcW w:w="1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171"/>
        </w:trPr>
        <w:tc>
          <w:tcPr>
            <w:tcW w:w="4680" w:type="dxa"/>
            <w:vAlign w:val="bottom"/>
          </w:tcPr>
          <w:p>
            <w:pPr>
              <w:spacing w:after="0" w:line="171" w:lineRule="exact"/>
              <w:rPr>
                <w:sz w:val="20"/>
                <w:szCs w:val="20"/>
                <w:color w:val="auto"/>
              </w:rPr>
            </w:pPr>
            <w:r>
              <w:rPr>
                <w:rFonts w:ascii="Arial" w:cs="Arial" w:eastAsia="Arial" w:hAnsi="Arial"/>
                <w:sz w:val="18"/>
                <w:szCs w:val="18"/>
                <w:color w:val="auto"/>
              </w:rPr>
              <w:t>Machine Clothing</w:t>
            </w:r>
          </w:p>
        </w:tc>
        <w:tc>
          <w:tcPr>
            <w:tcW w:w="2740" w:type="dxa"/>
            <w:vAlign w:val="bottom"/>
          </w:tcPr>
          <w:p>
            <w:pPr>
              <w:jc w:val="right"/>
              <w:spacing w:after="0" w:line="171" w:lineRule="exact"/>
              <w:rPr>
                <w:sz w:val="20"/>
                <w:szCs w:val="20"/>
                <w:color w:val="auto"/>
              </w:rPr>
            </w:pPr>
            <w:r>
              <w:rPr>
                <w:rFonts w:ascii="Arial" w:cs="Arial" w:eastAsia="Arial" w:hAnsi="Arial"/>
                <w:sz w:val="18"/>
                <w:szCs w:val="18"/>
                <w:b w:val="1"/>
                <w:bCs w:val="1"/>
                <w:color w:val="auto"/>
              </w:rPr>
              <w:t>$4,779</w:t>
            </w:r>
          </w:p>
        </w:tc>
        <w:tc>
          <w:tcPr>
            <w:tcW w:w="1560" w:type="dxa"/>
            <w:vAlign w:val="bottom"/>
          </w:tcPr>
          <w:p>
            <w:pPr>
              <w:jc w:val="right"/>
              <w:ind w:right="250"/>
              <w:spacing w:after="0" w:line="171" w:lineRule="exact"/>
              <w:rPr>
                <w:sz w:val="20"/>
                <w:szCs w:val="20"/>
                <w:color w:val="auto"/>
              </w:rPr>
            </w:pPr>
            <w:r>
              <w:rPr>
                <w:rFonts w:ascii="Arial" w:cs="Arial" w:eastAsia="Arial" w:hAnsi="Arial"/>
                <w:sz w:val="18"/>
                <w:szCs w:val="18"/>
                <w:color w:val="auto"/>
              </w:rPr>
              <w:t>$5,185</w:t>
            </w:r>
          </w:p>
        </w:tc>
        <w:tc>
          <w:tcPr>
            <w:tcW w:w="1020" w:type="dxa"/>
            <w:vAlign w:val="bottom"/>
          </w:tcPr>
          <w:p>
            <w:pPr>
              <w:jc w:val="right"/>
              <w:spacing w:after="0" w:line="171" w:lineRule="exact"/>
              <w:rPr>
                <w:sz w:val="20"/>
                <w:szCs w:val="20"/>
                <w:color w:val="auto"/>
              </w:rPr>
            </w:pPr>
            <w:r>
              <w:rPr>
                <w:rFonts w:ascii="Arial" w:cs="Arial" w:eastAsia="Arial" w:hAnsi="Arial"/>
                <w:sz w:val="18"/>
                <w:szCs w:val="18"/>
                <w:b w:val="1"/>
                <w:bCs w:val="1"/>
                <w:color w:val="auto"/>
              </w:rPr>
              <w:t>$9,575</w:t>
            </w:r>
          </w:p>
        </w:tc>
        <w:tc>
          <w:tcPr>
            <w:tcW w:w="1420" w:type="dxa"/>
            <w:vAlign w:val="bottom"/>
          </w:tcPr>
          <w:p>
            <w:pPr>
              <w:jc w:val="right"/>
              <w:ind w:right="10"/>
              <w:spacing w:after="0" w:line="171" w:lineRule="exact"/>
              <w:rPr>
                <w:sz w:val="20"/>
                <w:szCs w:val="20"/>
                <w:color w:val="auto"/>
              </w:rPr>
            </w:pPr>
            <w:r>
              <w:rPr>
                <w:rFonts w:ascii="Arial" w:cs="Arial" w:eastAsia="Arial" w:hAnsi="Arial"/>
                <w:sz w:val="18"/>
                <w:szCs w:val="18"/>
                <w:color w:val="auto"/>
              </w:rPr>
              <w:t>$10,022</w:t>
            </w:r>
          </w:p>
        </w:tc>
        <w:tc>
          <w:tcPr>
            <w:tcW w:w="0" w:type="dxa"/>
            <w:vAlign w:val="bottom"/>
          </w:tcPr>
          <w:p>
            <w:pPr>
              <w:spacing w:after="0"/>
              <w:rPr>
                <w:sz w:val="1"/>
                <w:szCs w:val="1"/>
                <w:color w:val="auto"/>
              </w:rPr>
            </w:pPr>
          </w:p>
        </w:tc>
      </w:tr>
      <w:tr>
        <w:trPr>
          <w:trHeight w:val="203"/>
        </w:trPr>
        <w:tc>
          <w:tcPr>
            <w:tcW w:w="4680" w:type="dxa"/>
            <w:vAlign w:val="bottom"/>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27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2,905</w:t>
            </w:r>
          </w:p>
        </w:tc>
        <w:tc>
          <w:tcPr>
            <w:tcW w:w="156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2,267</w:t>
            </w:r>
          </w:p>
        </w:tc>
        <w:tc>
          <w:tcPr>
            <w:tcW w:w="10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5,779</w:t>
            </w:r>
          </w:p>
        </w:tc>
        <w:tc>
          <w:tcPr>
            <w:tcW w:w="14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4,586</w:t>
            </w:r>
          </w:p>
        </w:tc>
        <w:tc>
          <w:tcPr>
            <w:tcW w:w="0" w:type="dxa"/>
            <w:vAlign w:val="bottom"/>
          </w:tcPr>
          <w:p>
            <w:pPr>
              <w:spacing w:after="0"/>
              <w:rPr>
                <w:sz w:val="1"/>
                <w:szCs w:val="1"/>
                <w:color w:val="auto"/>
              </w:rPr>
            </w:pPr>
          </w:p>
        </w:tc>
      </w:tr>
      <w:tr>
        <w:trPr>
          <w:trHeight w:val="227"/>
        </w:trPr>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Corporate expenses</w:t>
            </w:r>
          </w:p>
        </w:tc>
        <w:tc>
          <w:tcPr>
            <w:tcW w:w="2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190</w:t>
            </w:r>
          </w:p>
        </w:tc>
        <w:tc>
          <w:tcPr>
            <w:tcW w:w="15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199</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484</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196"/>
        </w:trPr>
        <w:tc>
          <w:tcPr>
            <w:tcW w:w="46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2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$7,874</w:t>
            </w:r>
          </w:p>
        </w:tc>
        <w:tc>
          <w:tcPr>
            <w:tcW w:w="156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rPr>
              <w:t>$7,651</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$15,838</w:t>
            </w:r>
          </w:p>
        </w:tc>
        <w:tc>
          <w:tcPr>
            <w:tcW w:w="14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$14,999</w:t>
            </w:r>
          </w:p>
        </w:tc>
        <w:tc>
          <w:tcPr>
            <w:tcW w:w="0" w:type="dxa"/>
            <w:vAlign w:val="bottom"/>
          </w:tcPr>
          <w:p>
            <w:pPr>
              <w:spacing w:after="0"/>
              <w:rPr>
                <w:sz w:val="1"/>
                <w:szCs w:val="1"/>
                <w:color w:val="auto"/>
              </w:rPr>
            </w:pPr>
          </w:p>
        </w:tc>
      </w:tr>
    </w:tbl>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Expense</w:t>
      </w:r>
    </w:p>
    <w:p>
      <w:pPr>
        <w:spacing w:after="0" w:line="376" w:lineRule="exact"/>
        <w:rPr>
          <w:sz w:val="20"/>
          <w:szCs w:val="20"/>
          <w:color w:val="auto"/>
        </w:rPr>
      </w:pPr>
    </w:p>
    <w:p>
      <w:pPr>
        <w:ind w:right="380" w:firstLine="648"/>
        <w:spacing w:after="0" w:line="276" w:lineRule="auto"/>
        <w:rPr>
          <w:sz w:val="20"/>
          <w:szCs w:val="20"/>
          <w:color w:val="auto"/>
        </w:rPr>
      </w:pPr>
      <w:r>
        <w:rPr>
          <w:rFonts w:ascii="Arial" w:cs="Arial" w:eastAsia="Arial" w:hAnsi="Arial"/>
          <w:sz w:val="18"/>
          <w:szCs w:val="18"/>
          <w:color w:val="auto"/>
        </w:rPr>
        <w:t>In addition to the items discussed above affecting gross profit and STG&amp;R, operating income was affected by restructuring costs of $10.2 million in the first six months of 2015 and $3.1 million in the comparable period of 2014.</w:t>
      </w:r>
    </w:p>
    <w:p>
      <w:pPr>
        <w:spacing w:after="0" w:line="3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restructuring expense by business segment: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740" w:type="dxa"/>
            <w:vAlign w:val="bottom"/>
            <w:tcBorders>
              <w:top w:val="single" w:sz="8" w:color="auto"/>
            </w:tcBorders>
          </w:tcPr>
          <w:p>
            <w:pPr>
              <w:spacing w:after="0"/>
              <w:rPr>
                <w:sz w:val="16"/>
                <w:szCs w:val="16"/>
                <w:color w:val="auto"/>
              </w:rPr>
            </w:pPr>
          </w:p>
        </w:tc>
        <w:tc>
          <w:tcPr>
            <w:tcW w:w="4340" w:type="dxa"/>
            <w:vAlign w:val="bottom"/>
            <w:tcBorders>
              <w:top w:val="single" w:sz="8" w:color="auto"/>
            </w:tcBorders>
            <w:gridSpan w:val="2"/>
          </w:tcPr>
          <w:p>
            <w:pPr>
              <w:jc w:val="right"/>
              <w:ind w:right="250"/>
              <w:spacing w:after="0" w:line="191" w:lineRule="exact"/>
              <w:rPr>
                <w:sz w:val="20"/>
                <w:szCs w:val="20"/>
                <w:color w:val="auto"/>
              </w:rPr>
            </w:pPr>
            <w:r>
              <w:rPr>
                <w:rFonts w:ascii="Arial" w:cs="Arial" w:eastAsia="Arial" w:hAnsi="Arial"/>
                <w:sz w:val="18"/>
                <w:szCs w:val="18"/>
                <w:b w:val="1"/>
                <w:bCs w:val="1"/>
                <w:color w:val="auto"/>
              </w:rPr>
              <w:t>Three months ended</w:t>
            </w:r>
          </w:p>
        </w:tc>
        <w:tc>
          <w:tcPr>
            <w:tcW w:w="2340" w:type="dxa"/>
            <w:vAlign w:val="bottom"/>
            <w:tcBorders>
              <w:top w:val="single" w:sz="8" w:color="auto"/>
            </w:tcBorders>
            <w:gridSpan w:val="2"/>
          </w:tcPr>
          <w:p>
            <w:pPr>
              <w:jc w:val="right"/>
              <w:ind w:right="170"/>
              <w:spacing w:after="0" w:line="191" w:lineRule="exact"/>
              <w:rPr>
                <w:sz w:val="20"/>
                <w:szCs w:val="20"/>
                <w:color w:val="auto"/>
              </w:rPr>
            </w:pPr>
            <w:r>
              <w:rPr>
                <w:rFonts w:ascii="Arial" w:cs="Arial" w:eastAsia="Arial" w:hAnsi="Arial"/>
                <w:sz w:val="18"/>
                <w:szCs w:val="18"/>
                <w:b w:val="1"/>
                <w:bCs w:val="1"/>
                <w:color w:val="auto"/>
              </w:rPr>
              <w:t>Six months ended</w:t>
            </w:r>
          </w:p>
        </w:tc>
      </w:tr>
      <w:tr>
        <w:trPr>
          <w:trHeight w:val="203"/>
        </w:trPr>
        <w:tc>
          <w:tcPr>
            <w:tcW w:w="474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580" w:type="dxa"/>
            <w:vAlign w:val="bottom"/>
          </w:tcPr>
          <w:p>
            <w:pPr>
              <w:jc w:val="right"/>
              <w:ind w:right="750"/>
              <w:spacing w:after="0" w:line="202" w:lineRule="exact"/>
              <w:rPr>
                <w:sz w:val="20"/>
                <w:szCs w:val="20"/>
                <w:color w:val="auto"/>
              </w:rPr>
            </w:pPr>
            <w:r>
              <w:rPr>
                <w:rFonts w:ascii="Arial" w:cs="Arial" w:eastAsia="Arial" w:hAnsi="Arial"/>
                <w:sz w:val="18"/>
                <w:szCs w:val="18"/>
                <w:b w:val="1"/>
                <w:bCs w:val="1"/>
                <w:color w:val="auto"/>
                <w:w w:val="99"/>
              </w:rPr>
              <w:t>June 30,</w:t>
            </w:r>
          </w:p>
        </w:tc>
        <w:tc>
          <w:tcPr>
            <w:tcW w:w="2340" w:type="dxa"/>
            <w:vAlign w:val="bottom"/>
            <w:gridSpan w:val="2"/>
          </w:tcPr>
          <w:p>
            <w:pPr>
              <w:jc w:val="right"/>
              <w:ind w:right="550"/>
              <w:spacing w:after="0" w:line="202" w:lineRule="exact"/>
              <w:rPr>
                <w:sz w:val="20"/>
                <w:szCs w:val="20"/>
                <w:color w:val="auto"/>
              </w:rPr>
            </w:pPr>
            <w:r>
              <w:rPr>
                <w:rFonts w:ascii="Arial" w:cs="Arial" w:eastAsia="Arial" w:hAnsi="Arial"/>
                <w:sz w:val="18"/>
                <w:szCs w:val="18"/>
                <w:b w:val="1"/>
                <w:bCs w:val="1"/>
                <w:color w:val="auto"/>
              </w:rPr>
              <w:t>June 30,</w:t>
            </w:r>
          </w:p>
        </w:tc>
      </w:tr>
      <w:tr>
        <w:trPr>
          <w:trHeight w:val="227"/>
        </w:trPr>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15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2014</w:t>
            </w:r>
          </w:p>
        </w:tc>
      </w:tr>
      <w:tr>
        <w:trPr>
          <w:trHeight w:val="173"/>
        </w:trPr>
        <w:tc>
          <w:tcPr>
            <w:tcW w:w="4740" w:type="dxa"/>
            <w:vAlign w:val="bottom"/>
          </w:tcPr>
          <w:p>
            <w:pPr>
              <w:spacing w:after="0" w:line="173" w:lineRule="exact"/>
              <w:rPr>
                <w:sz w:val="20"/>
                <w:szCs w:val="20"/>
                <w:color w:val="auto"/>
              </w:rPr>
            </w:pPr>
            <w:r>
              <w:rPr>
                <w:rFonts w:ascii="Arial" w:cs="Arial" w:eastAsia="Arial" w:hAnsi="Arial"/>
                <w:sz w:val="18"/>
                <w:szCs w:val="18"/>
                <w:color w:val="auto"/>
              </w:rPr>
              <w:t>Machine Clothing</w:t>
            </w:r>
          </w:p>
        </w:tc>
        <w:tc>
          <w:tcPr>
            <w:tcW w:w="2760" w:type="dxa"/>
            <w:vAlign w:val="bottom"/>
          </w:tcPr>
          <w:p>
            <w:pPr>
              <w:jc w:val="right"/>
              <w:spacing w:after="0" w:line="173" w:lineRule="exact"/>
              <w:rPr>
                <w:sz w:val="20"/>
                <w:szCs w:val="20"/>
                <w:color w:val="auto"/>
              </w:rPr>
            </w:pPr>
            <w:r>
              <w:rPr>
                <w:rFonts w:ascii="Arial" w:cs="Arial" w:eastAsia="Arial" w:hAnsi="Arial"/>
                <w:sz w:val="18"/>
                <w:szCs w:val="18"/>
                <w:color w:val="auto"/>
              </w:rPr>
              <w:t>$1,211</w:t>
            </w:r>
          </w:p>
        </w:tc>
        <w:tc>
          <w:tcPr>
            <w:tcW w:w="1580" w:type="dxa"/>
            <w:vAlign w:val="bottom"/>
          </w:tcPr>
          <w:p>
            <w:pPr>
              <w:jc w:val="right"/>
              <w:ind w:right="250"/>
              <w:spacing w:after="0" w:line="173" w:lineRule="exact"/>
              <w:rPr>
                <w:sz w:val="20"/>
                <w:szCs w:val="20"/>
                <w:color w:val="auto"/>
              </w:rPr>
            </w:pPr>
            <w:r>
              <w:rPr>
                <w:rFonts w:ascii="Arial" w:cs="Arial" w:eastAsia="Arial" w:hAnsi="Arial"/>
                <w:sz w:val="18"/>
                <w:szCs w:val="18"/>
                <w:color w:val="auto"/>
              </w:rPr>
              <w:t>$1,297</w:t>
            </w:r>
          </w:p>
        </w:tc>
        <w:tc>
          <w:tcPr>
            <w:tcW w:w="1340" w:type="dxa"/>
            <w:vAlign w:val="bottom"/>
          </w:tcPr>
          <w:p>
            <w:pPr>
              <w:jc w:val="right"/>
              <w:ind w:right="270"/>
              <w:spacing w:after="0" w:line="173" w:lineRule="exact"/>
              <w:rPr>
                <w:sz w:val="20"/>
                <w:szCs w:val="20"/>
                <w:color w:val="auto"/>
              </w:rPr>
            </w:pPr>
            <w:r>
              <w:rPr>
                <w:rFonts w:ascii="Arial" w:cs="Arial" w:eastAsia="Arial" w:hAnsi="Arial"/>
                <w:sz w:val="18"/>
                <w:szCs w:val="18"/>
                <w:color w:val="auto"/>
              </w:rPr>
              <w:t>$10,212</w:t>
            </w:r>
          </w:p>
        </w:tc>
        <w:tc>
          <w:tcPr>
            <w:tcW w:w="1000" w:type="dxa"/>
            <w:vAlign w:val="bottom"/>
          </w:tcPr>
          <w:p>
            <w:pPr>
              <w:jc w:val="right"/>
              <w:ind w:right="10"/>
              <w:spacing w:after="0" w:line="173" w:lineRule="exact"/>
              <w:rPr>
                <w:sz w:val="20"/>
                <w:szCs w:val="20"/>
                <w:color w:val="auto"/>
              </w:rPr>
            </w:pPr>
            <w:r>
              <w:rPr>
                <w:rFonts w:ascii="Arial" w:cs="Arial" w:eastAsia="Arial" w:hAnsi="Arial"/>
                <w:sz w:val="18"/>
                <w:szCs w:val="18"/>
                <w:color w:val="auto"/>
              </w:rPr>
              <w:t>$2,159</w:t>
            </w:r>
          </w:p>
        </w:tc>
      </w:tr>
      <w:tr>
        <w:trPr>
          <w:trHeight w:val="225"/>
        </w:trPr>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Albany Engineered Composites</w:t>
            </w:r>
          </w:p>
        </w:tc>
        <w:tc>
          <w:tcPr>
            <w:tcW w:w="2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660</w:t>
            </w:r>
          </w:p>
        </w:tc>
        <w:tc>
          <w:tcPr>
            <w:tcW w:w="13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980</w:t>
            </w:r>
          </w:p>
        </w:tc>
      </w:tr>
      <w:tr>
        <w:trPr>
          <w:trHeight w:val="196"/>
        </w:trPr>
        <w:tc>
          <w:tcPr>
            <w:tcW w:w="47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2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$1,211</w:t>
            </w:r>
          </w:p>
        </w:tc>
        <w:tc>
          <w:tcPr>
            <w:tcW w:w="158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rPr>
              <w:t>$1,957</w:t>
            </w:r>
          </w:p>
        </w:tc>
        <w:tc>
          <w:tcPr>
            <w:tcW w:w="134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$10,212</w:t>
            </w:r>
          </w:p>
        </w:tc>
        <w:tc>
          <w:tcPr>
            <w:tcW w:w="10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$3,139</w:t>
            </w:r>
          </w:p>
        </w:tc>
      </w:tr>
    </w:tbl>
    <w:p>
      <w:pPr>
        <w:spacing w:after="0" w:line="382" w:lineRule="exact"/>
        <w:rPr>
          <w:sz w:val="20"/>
          <w:szCs w:val="20"/>
          <w:color w:val="auto"/>
        </w:rPr>
      </w:pPr>
    </w:p>
    <w:p>
      <w:pPr>
        <w:ind w:right="200" w:firstLine="648"/>
        <w:spacing w:after="0"/>
        <w:rPr>
          <w:sz w:val="20"/>
          <w:szCs w:val="20"/>
          <w:color w:val="auto"/>
        </w:rPr>
      </w:pPr>
      <w:r>
        <w:rPr>
          <w:rFonts w:ascii="Arial" w:cs="Arial" w:eastAsia="Arial" w:hAnsi="Arial"/>
          <w:sz w:val="18"/>
          <w:szCs w:val="18"/>
          <w:color w:val="auto"/>
        </w:rPr>
        <w:t>During the first quarter of 2015, the Company announced a plan to discontinue manufacturing operations at its press fabric manufacturing facility in Göppingen, Germany. The restructuring program was driven by the Company’s need to balance manufacturing capacity with demand. In April 2015, we reached agreement on the restructuring plan with the Works Council. Approximately 50 employees were terminated under this plan, and the restructuring expense recorded in the first six months of 2015 reflects our estimate of the severance costs. It is possible that we will incur additional charges for impairment of property, plant and equipment, but no impairment is presently determinable. Whereas the affected employees were related to manufacturing operations, cost savings associated with this action were recorded in Cost of goods sold. We expect the annual cost savings associated with this restructuring, expected to be realized by the first quarter of 2016, to be approximately $4 million to $5 million.</w:t>
      </w:r>
    </w:p>
    <w:p>
      <w:pPr>
        <w:spacing w:after="0" w:line="140" w:lineRule="exact"/>
        <w:rPr>
          <w:sz w:val="20"/>
          <w:szCs w:val="20"/>
          <w:color w:val="auto"/>
        </w:rPr>
      </w:pPr>
    </w:p>
    <w:p>
      <w:pPr>
        <w:ind w:right="1000" w:firstLine="648"/>
        <w:spacing w:after="0" w:line="276" w:lineRule="auto"/>
        <w:rPr>
          <w:sz w:val="20"/>
          <w:szCs w:val="20"/>
          <w:color w:val="auto"/>
        </w:rPr>
      </w:pPr>
      <w:r>
        <w:rPr>
          <w:rFonts w:ascii="Arial" w:cs="Arial" w:eastAsia="Arial" w:hAnsi="Arial"/>
          <w:sz w:val="18"/>
          <w:szCs w:val="18"/>
          <w:color w:val="auto"/>
        </w:rPr>
        <w:t>For more information on our restructuring charges, see Note 5 to the Consolidated Financial Statements in Item 1, which is incorporated herein by reference.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operating income by business segment:</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849"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91"/>
        </w:trPr>
        <w:tc>
          <w:tcPr>
            <w:tcW w:w="5820" w:type="dxa"/>
            <w:vAlign w:val="bottom"/>
            <w:tcBorders>
              <w:top w:val="single" w:sz="8" w:color="auto"/>
            </w:tcBorders>
          </w:tcPr>
          <w:p>
            <w:pPr>
              <w:spacing w:after="0"/>
              <w:rPr>
                <w:sz w:val="16"/>
                <w:szCs w:val="16"/>
                <w:color w:val="auto"/>
              </w:rPr>
            </w:pPr>
          </w:p>
        </w:tc>
        <w:tc>
          <w:tcPr>
            <w:tcW w:w="3280" w:type="dxa"/>
            <w:vAlign w:val="bottom"/>
            <w:tcBorders>
              <w:top w:val="single" w:sz="8" w:color="auto"/>
            </w:tcBorders>
            <w:gridSpan w:val="2"/>
          </w:tcPr>
          <w:p>
            <w:pPr>
              <w:jc w:val="right"/>
              <w:ind w:right="410"/>
              <w:spacing w:after="0" w:line="191" w:lineRule="exact"/>
              <w:rPr>
                <w:sz w:val="20"/>
                <w:szCs w:val="20"/>
                <w:color w:val="auto"/>
              </w:rPr>
            </w:pPr>
            <w:r>
              <w:rPr>
                <w:rFonts w:ascii="Arial" w:cs="Arial" w:eastAsia="Arial" w:hAnsi="Arial"/>
                <w:sz w:val="18"/>
                <w:szCs w:val="18"/>
                <w:b w:val="1"/>
                <w:bCs w:val="1"/>
                <w:color w:val="auto"/>
              </w:rPr>
              <w:t>Three months ended</w:t>
            </w:r>
          </w:p>
        </w:tc>
        <w:tc>
          <w:tcPr>
            <w:tcW w:w="2320" w:type="dxa"/>
            <w:vAlign w:val="bottom"/>
            <w:tcBorders>
              <w:top w:val="single" w:sz="8" w:color="auto"/>
            </w:tcBorders>
            <w:gridSpan w:val="2"/>
          </w:tcPr>
          <w:p>
            <w:pPr>
              <w:jc w:val="right"/>
              <w:ind w:right="190"/>
              <w:spacing w:after="0" w:line="191" w:lineRule="exact"/>
              <w:rPr>
                <w:sz w:val="20"/>
                <w:szCs w:val="20"/>
                <w:color w:val="auto"/>
              </w:rPr>
            </w:pPr>
            <w:r>
              <w:rPr>
                <w:rFonts w:ascii="Arial" w:cs="Arial" w:eastAsia="Arial" w:hAnsi="Arial"/>
                <w:sz w:val="18"/>
                <w:szCs w:val="18"/>
                <w:b w:val="1"/>
                <w:bCs w:val="1"/>
                <w:color w:val="auto"/>
              </w:rPr>
              <w:t>Six months ended</w:t>
            </w:r>
          </w:p>
        </w:tc>
      </w:tr>
      <w:tr>
        <w:trPr>
          <w:trHeight w:val="203"/>
        </w:trPr>
        <w:tc>
          <w:tcPr>
            <w:tcW w:w="5820" w:type="dxa"/>
            <w:vAlign w:val="bottom"/>
          </w:tcPr>
          <w:p>
            <w:pPr>
              <w:spacing w:after="0"/>
              <w:rPr>
                <w:sz w:val="17"/>
                <w:szCs w:val="17"/>
                <w:color w:val="auto"/>
              </w:rPr>
            </w:pPr>
          </w:p>
        </w:tc>
        <w:tc>
          <w:tcPr>
            <w:tcW w:w="3280" w:type="dxa"/>
            <w:vAlign w:val="bottom"/>
            <w:gridSpan w:val="2"/>
          </w:tcPr>
          <w:p>
            <w:pPr>
              <w:jc w:val="right"/>
              <w:ind w:right="870"/>
              <w:spacing w:after="0" w:line="202" w:lineRule="exact"/>
              <w:rPr>
                <w:sz w:val="20"/>
                <w:szCs w:val="20"/>
                <w:color w:val="auto"/>
              </w:rPr>
            </w:pPr>
            <w:r>
              <w:rPr>
                <w:rFonts w:ascii="Arial" w:cs="Arial" w:eastAsia="Arial" w:hAnsi="Arial"/>
                <w:sz w:val="18"/>
                <w:szCs w:val="18"/>
                <w:b w:val="1"/>
                <w:bCs w:val="1"/>
                <w:color w:val="auto"/>
              </w:rPr>
              <w:t>June 30,</w:t>
            </w:r>
          </w:p>
        </w:tc>
        <w:tc>
          <w:tcPr>
            <w:tcW w:w="2320" w:type="dxa"/>
            <w:vAlign w:val="bottom"/>
            <w:gridSpan w:val="2"/>
          </w:tcPr>
          <w:p>
            <w:pPr>
              <w:jc w:val="right"/>
              <w:ind w:right="530"/>
              <w:spacing w:after="0" w:line="202" w:lineRule="exact"/>
              <w:rPr>
                <w:sz w:val="20"/>
                <w:szCs w:val="20"/>
                <w:color w:val="auto"/>
              </w:rPr>
            </w:pPr>
            <w:r>
              <w:rPr>
                <w:rFonts w:ascii="Arial" w:cs="Arial" w:eastAsia="Arial" w:hAnsi="Arial"/>
                <w:sz w:val="18"/>
                <w:szCs w:val="18"/>
                <w:b w:val="1"/>
                <w:bCs w:val="1"/>
                <w:color w:val="auto"/>
              </w:rPr>
              <w:t>June 30,</w:t>
            </w:r>
          </w:p>
        </w:tc>
      </w:tr>
      <w:tr>
        <w:trPr>
          <w:trHeight w:val="227"/>
        </w:trPr>
        <w:tc>
          <w:tcPr>
            <w:tcW w:w="5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4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2015</w:t>
            </w:r>
          </w:p>
        </w:tc>
        <w:tc>
          <w:tcPr>
            <w:tcW w:w="12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2014</w:t>
            </w:r>
          </w:p>
        </w:tc>
      </w:tr>
      <w:tr>
        <w:trPr>
          <w:trHeight w:val="171"/>
        </w:trPr>
        <w:tc>
          <w:tcPr>
            <w:tcW w:w="5820" w:type="dxa"/>
            <w:vAlign w:val="bottom"/>
          </w:tcPr>
          <w:p>
            <w:pPr>
              <w:spacing w:after="0" w:line="171" w:lineRule="exact"/>
              <w:rPr>
                <w:sz w:val="20"/>
                <w:szCs w:val="20"/>
                <w:color w:val="auto"/>
              </w:rPr>
            </w:pPr>
            <w:r>
              <w:rPr>
                <w:rFonts w:ascii="Arial" w:cs="Arial" w:eastAsia="Arial" w:hAnsi="Arial"/>
                <w:sz w:val="18"/>
                <w:szCs w:val="18"/>
                <w:color w:val="auto"/>
              </w:rPr>
              <w:t>Machine Clothing</w:t>
            </w:r>
          </w:p>
        </w:tc>
        <w:tc>
          <w:tcPr>
            <w:tcW w:w="1840" w:type="dxa"/>
            <w:vAlign w:val="bottom"/>
          </w:tcPr>
          <w:p>
            <w:pPr>
              <w:jc w:val="right"/>
              <w:ind w:right="250"/>
              <w:spacing w:after="0" w:line="171" w:lineRule="exact"/>
              <w:rPr>
                <w:sz w:val="20"/>
                <w:szCs w:val="20"/>
                <w:color w:val="auto"/>
              </w:rPr>
            </w:pPr>
            <w:r>
              <w:rPr>
                <w:rFonts w:ascii="Arial" w:cs="Arial" w:eastAsia="Arial" w:hAnsi="Arial"/>
                <w:sz w:val="18"/>
                <w:szCs w:val="18"/>
                <w:b w:val="1"/>
                <w:bCs w:val="1"/>
                <w:color w:val="auto"/>
              </w:rPr>
              <w:t>$33,323</w:t>
            </w:r>
          </w:p>
        </w:tc>
        <w:tc>
          <w:tcPr>
            <w:tcW w:w="1440" w:type="dxa"/>
            <w:vAlign w:val="bottom"/>
          </w:tcPr>
          <w:p>
            <w:pPr>
              <w:jc w:val="right"/>
              <w:ind w:right="350"/>
              <w:spacing w:after="0" w:line="171" w:lineRule="exact"/>
              <w:rPr>
                <w:sz w:val="20"/>
                <w:szCs w:val="20"/>
                <w:color w:val="auto"/>
              </w:rPr>
            </w:pPr>
            <w:r>
              <w:rPr>
                <w:rFonts w:ascii="Arial" w:cs="Arial" w:eastAsia="Arial" w:hAnsi="Arial"/>
                <w:sz w:val="18"/>
                <w:szCs w:val="18"/>
                <w:color w:val="auto"/>
              </w:rPr>
              <w:t>$33,879</w:t>
            </w:r>
          </w:p>
        </w:tc>
        <w:tc>
          <w:tcPr>
            <w:tcW w:w="1060" w:type="dxa"/>
            <w:vAlign w:val="bottom"/>
          </w:tcPr>
          <w:p>
            <w:pPr>
              <w:jc w:val="right"/>
              <w:ind w:right="90"/>
              <w:spacing w:after="0" w:line="171" w:lineRule="exact"/>
              <w:rPr>
                <w:sz w:val="20"/>
                <w:szCs w:val="20"/>
                <w:color w:val="auto"/>
              </w:rPr>
            </w:pPr>
            <w:r>
              <w:rPr>
                <w:rFonts w:ascii="Arial" w:cs="Arial" w:eastAsia="Arial" w:hAnsi="Arial"/>
                <w:sz w:val="18"/>
                <w:szCs w:val="18"/>
                <w:b w:val="1"/>
                <w:bCs w:val="1"/>
                <w:color w:val="auto"/>
              </w:rPr>
              <w:t>$69,013</w:t>
            </w:r>
          </w:p>
        </w:tc>
        <w:tc>
          <w:tcPr>
            <w:tcW w:w="1260" w:type="dxa"/>
            <w:vAlign w:val="bottom"/>
          </w:tcPr>
          <w:p>
            <w:pPr>
              <w:jc w:val="right"/>
              <w:ind w:right="10"/>
              <w:spacing w:after="0" w:line="171" w:lineRule="exact"/>
              <w:rPr>
                <w:sz w:val="20"/>
                <w:szCs w:val="20"/>
                <w:color w:val="auto"/>
              </w:rPr>
            </w:pPr>
            <w:r>
              <w:rPr>
                <w:rFonts w:ascii="Arial" w:cs="Arial" w:eastAsia="Arial" w:hAnsi="Arial"/>
                <w:sz w:val="18"/>
                <w:szCs w:val="18"/>
                <w:color w:val="auto"/>
              </w:rPr>
              <w:t>$70,022</w:t>
            </w:r>
          </w:p>
        </w:tc>
      </w:tr>
      <w:tr>
        <w:trPr>
          <w:trHeight w:val="203"/>
        </w:trPr>
        <w:tc>
          <w:tcPr>
            <w:tcW w:w="5820" w:type="dxa"/>
            <w:vAlign w:val="bottom"/>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184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(18,633)</w:t>
            </w:r>
          </w:p>
        </w:tc>
        <w:tc>
          <w:tcPr>
            <w:tcW w:w="14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(3,545)</w:t>
            </w:r>
          </w:p>
        </w:tc>
        <w:tc>
          <w:tcPr>
            <w:tcW w:w="106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(22,444)</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(7,021)</w:t>
            </w:r>
          </w:p>
        </w:tc>
      </w:tr>
      <w:tr>
        <w:trPr>
          <w:trHeight w:val="227"/>
        </w:trPr>
        <w:tc>
          <w:tcPr>
            <w:tcW w:w="5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Corporate expenses</w:t>
            </w:r>
          </w:p>
        </w:tc>
        <w:tc>
          <w:tcPr>
            <w:tcW w:w="1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(11,652)</w:t>
            </w:r>
          </w:p>
        </w:tc>
        <w:tc>
          <w:tcPr>
            <w:tcW w:w="14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(11,357)</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(23,382)</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(23,423)</w:t>
            </w:r>
          </w:p>
        </w:tc>
      </w:tr>
      <w:tr>
        <w:trPr>
          <w:trHeight w:val="196"/>
        </w:trPr>
        <w:tc>
          <w:tcPr>
            <w:tcW w:w="58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184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$3,038</w:t>
            </w:r>
          </w:p>
        </w:tc>
        <w:tc>
          <w:tcPr>
            <w:tcW w:w="144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rPr>
              <w:t>$18,977</w:t>
            </w:r>
          </w:p>
        </w:tc>
        <w:tc>
          <w:tcPr>
            <w:tcW w:w="106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b w:val="1"/>
                <w:bCs w:val="1"/>
                <w:color w:val="auto"/>
              </w:rPr>
              <w:t>$23,187</w:t>
            </w:r>
          </w:p>
        </w:tc>
        <w:tc>
          <w:tcPr>
            <w:tcW w:w="12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$39,578</w:t>
            </w:r>
          </w:p>
        </w:tc>
      </w:tr>
      <w:tr>
        <w:trPr>
          <w:trHeight w:val="600"/>
        </w:trPr>
        <w:tc>
          <w:tcPr>
            <w:tcW w:w="5820" w:type="dxa"/>
            <w:vAlign w:val="bottom"/>
          </w:tcPr>
          <w:p>
            <w:pPr>
              <w:spacing w:after="0"/>
              <w:rPr>
                <w:sz w:val="20"/>
                <w:szCs w:val="20"/>
                <w:color w:val="auto"/>
              </w:rPr>
            </w:pPr>
            <w:r>
              <w:rPr>
                <w:rFonts w:ascii="Arial" w:cs="Arial" w:eastAsia="Arial" w:hAnsi="Arial"/>
                <w:sz w:val="18"/>
                <w:szCs w:val="18"/>
                <w:b w:val="1"/>
                <w:bCs w:val="1"/>
                <w:color w:val="auto"/>
              </w:rPr>
              <w:t>Other Earnings Items</w:t>
            </w:r>
          </w:p>
        </w:tc>
        <w:tc>
          <w:tcPr>
            <w:tcW w:w="18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66"/>
        </w:trPr>
        <w:tc>
          <w:tcPr>
            <w:tcW w:w="58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2"/>
          </w:tcPr>
          <w:p>
            <w:pPr>
              <w:spacing w:after="0"/>
              <w:rPr>
                <w:sz w:val="24"/>
                <w:szCs w:val="24"/>
                <w:color w:val="auto"/>
              </w:rPr>
            </w:pPr>
          </w:p>
        </w:tc>
        <w:tc>
          <w:tcPr>
            <w:tcW w:w="2320" w:type="dxa"/>
            <w:vAlign w:val="bottom"/>
            <w:tcBorders>
              <w:bottom w:val="single" w:sz="8" w:color="auto"/>
            </w:tcBorders>
            <w:gridSpan w:val="2"/>
          </w:tcPr>
          <w:p>
            <w:pPr>
              <w:spacing w:after="0"/>
              <w:rPr>
                <w:sz w:val="24"/>
                <w:szCs w:val="24"/>
                <w:color w:val="auto"/>
              </w:rPr>
            </w:pPr>
          </w:p>
        </w:tc>
      </w:tr>
      <w:tr>
        <w:trPr>
          <w:trHeight w:val="171"/>
        </w:trPr>
        <w:tc>
          <w:tcPr>
            <w:tcW w:w="5820" w:type="dxa"/>
            <w:vAlign w:val="bottom"/>
          </w:tcPr>
          <w:p>
            <w:pPr>
              <w:spacing w:after="0"/>
              <w:rPr>
                <w:sz w:val="14"/>
                <w:szCs w:val="14"/>
                <w:color w:val="auto"/>
              </w:rPr>
            </w:pPr>
          </w:p>
        </w:tc>
        <w:tc>
          <w:tcPr>
            <w:tcW w:w="3280" w:type="dxa"/>
            <w:vAlign w:val="bottom"/>
            <w:gridSpan w:val="2"/>
          </w:tcPr>
          <w:p>
            <w:pPr>
              <w:jc w:val="right"/>
              <w:ind w:right="170"/>
              <w:spacing w:after="0" w:line="171" w:lineRule="exact"/>
              <w:rPr>
                <w:sz w:val="20"/>
                <w:szCs w:val="20"/>
                <w:color w:val="auto"/>
              </w:rPr>
            </w:pPr>
            <w:r>
              <w:rPr>
                <w:rFonts w:ascii="Arial" w:cs="Arial" w:eastAsia="Arial" w:hAnsi="Arial"/>
                <w:sz w:val="18"/>
                <w:szCs w:val="18"/>
                <w:b w:val="1"/>
                <w:bCs w:val="1"/>
                <w:color w:val="auto"/>
              </w:rPr>
              <w:t>Three months ended</w:t>
            </w:r>
          </w:p>
        </w:tc>
        <w:tc>
          <w:tcPr>
            <w:tcW w:w="2320" w:type="dxa"/>
            <w:vAlign w:val="bottom"/>
            <w:gridSpan w:val="2"/>
          </w:tcPr>
          <w:p>
            <w:pPr>
              <w:jc w:val="right"/>
              <w:ind w:right="90"/>
              <w:spacing w:after="0" w:line="171" w:lineRule="exact"/>
              <w:rPr>
                <w:sz w:val="20"/>
                <w:szCs w:val="20"/>
                <w:color w:val="auto"/>
              </w:rPr>
            </w:pPr>
            <w:r>
              <w:rPr>
                <w:rFonts w:ascii="Arial" w:cs="Arial" w:eastAsia="Arial" w:hAnsi="Arial"/>
                <w:sz w:val="18"/>
                <w:szCs w:val="18"/>
                <w:b w:val="1"/>
                <w:bCs w:val="1"/>
                <w:color w:val="auto"/>
              </w:rPr>
              <w:t>Six months ended</w:t>
            </w:r>
          </w:p>
        </w:tc>
      </w:tr>
      <w:tr>
        <w:trPr>
          <w:trHeight w:val="203"/>
        </w:trPr>
        <w:tc>
          <w:tcPr>
            <w:tcW w:w="58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440" w:type="dxa"/>
            <w:vAlign w:val="bottom"/>
          </w:tcPr>
          <w:p>
            <w:pPr>
              <w:jc w:val="right"/>
              <w:ind w:right="610"/>
              <w:spacing w:after="0" w:line="202" w:lineRule="exact"/>
              <w:rPr>
                <w:sz w:val="20"/>
                <w:szCs w:val="20"/>
                <w:color w:val="auto"/>
              </w:rPr>
            </w:pPr>
            <w:r>
              <w:rPr>
                <w:rFonts w:ascii="Arial" w:cs="Arial" w:eastAsia="Arial" w:hAnsi="Arial"/>
                <w:sz w:val="18"/>
                <w:szCs w:val="18"/>
                <w:b w:val="1"/>
                <w:bCs w:val="1"/>
                <w:color w:val="auto"/>
                <w:w w:val="99"/>
              </w:rPr>
              <w:t>June 30,</w:t>
            </w:r>
          </w:p>
        </w:tc>
        <w:tc>
          <w:tcPr>
            <w:tcW w:w="1060" w:type="dxa"/>
            <w:vAlign w:val="bottom"/>
          </w:tcPr>
          <w:p>
            <w:pPr>
              <w:spacing w:after="0"/>
              <w:rPr>
                <w:sz w:val="17"/>
                <w:szCs w:val="17"/>
                <w:color w:val="auto"/>
              </w:rPr>
            </w:pPr>
          </w:p>
        </w:tc>
        <w:tc>
          <w:tcPr>
            <w:tcW w:w="1260" w:type="dxa"/>
            <w:vAlign w:val="bottom"/>
          </w:tcPr>
          <w:p>
            <w:pPr>
              <w:jc w:val="right"/>
              <w:ind w:right="430"/>
              <w:spacing w:after="0" w:line="202" w:lineRule="exact"/>
              <w:rPr>
                <w:sz w:val="20"/>
                <w:szCs w:val="20"/>
                <w:color w:val="auto"/>
              </w:rPr>
            </w:pPr>
            <w:r>
              <w:rPr>
                <w:rFonts w:ascii="Arial" w:cs="Arial" w:eastAsia="Arial" w:hAnsi="Arial"/>
                <w:sz w:val="18"/>
                <w:szCs w:val="18"/>
                <w:b w:val="1"/>
                <w:bCs w:val="1"/>
                <w:color w:val="auto"/>
                <w:w w:val="99"/>
              </w:rPr>
              <w:t>June 30,</w:t>
            </w:r>
          </w:p>
        </w:tc>
      </w:tr>
      <w:tr>
        <w:trPr>
          <w:trHeight w:val="227"/>
        </w:trPr>
        <w:tc>
          <w:tcPr>
            <w:tcW w:w="5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2015</w:t>
            </w:r>
          </w:p>
        </w:tc>
        <w:tc>
          <w:tcPr>
            <w:tcW w:w="14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2014</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2015</w:t>
            </w: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2014</w:t>
            </w:r>
          </w:p>
        </w:tc>
      </w:tr>
      <w:tr>
        <w:trPr>
          <w:trHeight w:val="171"/>
        </w:trPr>
        <w:tc>
          <w:tcPr>
            <w:tcW w:w="5820" w:type="dxa"/>
            <w:vAlign w:val="bottom"/>
          </w:tcPr>
          <w:p>
            <w:pPr>
              <w:spacing w:after="0" w:line="171" w:lineRule="exact"/>
              <w:rPr>
                <w:sz w:val="20"/>
                <w:szCs w:val="20"/>
                <w:color w:val="auto"/>
              </w:rPr>
            </w:pPr>
            <w:r>
              <w:rPr>
                <w:rFonts w:ascii="Arial" w:cs="Arial" w:eastAsia="Arial" w:hAnsi="Arial"/>
                <w:sz w:val="18"/>
                <w:szCs w:val="18"/>
                <w:color w:val="auto"/>
              </w:rPr>
              <w:t>Interest expense, net</w:t>
            </w:r>
          </w:p>
        </w:tc>
        <w:tc>
          <w:tcPr>
            <w:tcW w:w="1840" w:type="dxa"/>
            <w:vAlign w:val="bottom"/>
          </w:tcPr>
          <w:p>
            <w:pPr>
              <w:jc w:val="right"/>
              <w:spacing w:after="0" w:line="171" w:lineRule="exact"/>
              <w:rPr>
                <w:sz w:val="20"/>
                <w:szCs w:val="20"/>
                <w:color w:val="auto"/>
              </w:rPr>
            </w:pPr>
            <w:r>
              <w:rPr>
                <w:rFonts w:ascii="Arial" w:cs="Arial" w:eastAsia="Arial" w:hAnsi="Arial"/>
                <w:sz w:val="18"/>
                <w:szCs w:val="18"/>
                <w:b w:val="1"/>
                <w:bCs w:val="1"/>
                <w:color w:val="auto"/>
              </w:rPr>
              <w:t>$2,702</w:t>
            </w:r>
          </w:p>
        </w:tc>
        <w:tc>
          <w:tcPr>
            <w:tcW w:w="1440" w:type="dxa"/>
            <w:vAlign w:val="bottom"/>
          </w:tcPr>
          <w:p>
            <w:pPr>
              <w:jc w:val="right"/>
              <w:ind w:right="190"/>
              <w:spacing w:after="0" w:line="171" w:lineRule="exact"/>
              <w:rPr>
                <w:sz w:val="20"/>
                <w:szCs w:val="20"/>
                <w:color w:val="auto"/>
              </w:rPr>
            </w:pPr>
            <w:r>
              <w:rPr>
                <w:rFonts w:ascii="Arial" w:cs="Arial" w:eastAsia="Arial" w:hAnsi="Arial"/>
                <w:sz w:val="18"/>
                <w:szCs w:val="18"/>
                <w:color w:val="auto"/>
              </w:rPr>
              <w:t>$2,717</w:t>
            </w:r>
          </w:p>
        </w:tc>
        <w:tc>
          <w:tcPr>
            <w:tcW w:w="1060" w:type="dxa"/>
            <w:vAlign w:val="bottom"/>
          </w:tcPr>
          <w:p>
            <w:pPr>
              <w:jc w:val="right"/>
              <w:ind w:right="10"/>
              <w:spacing w:after="0" w:line="171" w:lineRule="exact"/>
              <w:rPr>
                <w:sz w:val="20"/>
                <w:szCs w:val="20"/>
                <w:color w:val="auto"/>
              </w:rPr>
            </w:pPr>
            <w:r>
              <w:rPr>
                <w:rFonts w:ascii="Arial" w:cs="Arial" w:eastAsia="Arial" w:hAnsi="Arial"/>
                <w:sz w:val="18"/>
                <w:szCs w:val="18"/>
                <w:b w:val="1"/>
                <w:bCs w:val="1"/>
                <w:color w:val="auto"/>
              </w:rPr>
              <w:t>$5,378</w:t>
            </w:r>
          </w:p>
        </w:tc>
        <w:tc>
          <w:tcPr>
            <w:tcW w:w="1260" w:type="dxa"/>
            <w:vAlign w:val="bottom"/>
          </w:tcPr>
          <w:p>
            <w:pPr>
              <w:jc w:val="right"/>
              <w:ind w:right="10"/>
              <w:spacing w:after="0" w:line="171" w:lineRule="exact"/>
              <w:rPr>
                <w:sz w:val="20"/>
                <w:szCs w:val="20"/>
                <w:color w:val="auto"/>
              </w:rPr>
            </w:pPr>
            <w:r>
              <w:rPr>
                <w:rFonts w:ascii="Arial" w:cs="Arial" w:eastAsia="Arial" w:hAnsi="Arial"/>
                <w:sz w:val="18"/>
                <w:szCs w:val="18"/>
                <w:color w:val="auto"/>
              </w:rPr>
              <w:t>$5,635</w:t>
            </w:r>
          </w:p>
        </w:tc>
      </w:tr>
      <w:tr>
        <w:trPr>
          <w:trHeight w:val="203"/>
        </w:trPr>
        <w:tc>
          <w:tcPr>
            <w:tcW w:w="5820" w:type="dxa"/>
            <w:vAlign w:val="bottom"/>
          </w:tcPr>
          <w:p>
            <w:pPr>
              <w:spacing w:after="0" w:line="202" w:lineRule="exact"/>
              <w:rPr>
                <w:sz w:val="20"/>
                <w:szCs w:val="20"/>
                <w:color w:val="auto"/>
              </w:rPr>
            </w:pPr>
            <w:r>
              <w:rPr>
                <w:rFonts w:ascii="Arial" w:cs="Arial" w:eastAsia="Arial" w:hAnsi="Arial"/>
                <w:sz w:val="18"/>
                <w:szCs w:val="18"/>
                <w:color w:val="auto"/>
              </w:rPr>
              <w:t>Other (income)/expenses, net</w:t>
            </w:r>
          </w:p>
        </w:tc>
        <w:tc>
          <w:tcPr>
            <w:tcW w:w="1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2,820</w:t>
            </w:r>
          </w:p>
        </w:tc>
        <w:tc>
          <w:tcPr>
            <w:tcW w:w="14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(2,133)</w:t>
            </w:r>
          </w:p>
        </w:tc>
        <w:tc>
          <w:tcPr>
            <w:tcW w:w="10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(465)</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(2,600)</w:t>
            </w:r>
          </w:p>
        </w:tc>
      </w:tr>
      <w:tr>
        <w:trPr>
          <w:trHeight w:val="203"/>
        </w:trPr>
        <w:tc>
          <w:tcPr>
            <w:tcW w:w="5820" w:type="dxa"/>
            <w:vAlign w:val="bottom"/>
          </w:tcPr>
          <w:p>
            <w:pPr>
              <w:spacing w:after="0" w:line="202" w:lineRule="exact"/>
              <w:rPr>
                <w:sz w:val="20"/>
                <w:szCs w:val="20"/>
                <w:color w:val="auto"/>
              </w:rPr>
            </w:pPr>
            <w:r>
              <w:rPr>
                <w:rFonts w:ascii="Arial" w:cs="Arial" w:eastAsia="Arial" w:hAnsi="Arial"/>
                <w:sz w:val="18"/>
                <w:szCs w:val="18"/>
                <w:color w:val="auto"/>
              </w:rPr>
              <w:t>Income tax expense</w:t>
            </w:r>
          </w:p>
        </w:tc>
        <w:tc>
          <w:tcPr>
            <w:tcW w:w="1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(364)</w:t>
            </w:r>
          </w:p>
        </w:tc>
        <w:tc>
          <w:tcPr>
            <w:tcW w:w="144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7,216</w:t>
            </w:r>
          </w:p>
        </w:tc>
        <w:tc>
          <w:tcPr>
            <w:tcW w:w="106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8,155</w:t>
            </w:r>
          </w:p>
        </w:tc>
        <w:tc>
          <w:tcPr>
            <w:tcW w:w="12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14,673</w:t>
            </w:r>
          </w:p>
        </w:tc>
      </w:tr>
      <w:tr>
        <w:trPr>
          <w:trHeight w:val="227"/>
        </w:trPr>
        <w:tc>
          <w:tcPr>
            <w:tcW w:w="5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income/(loss) net attributable to the noncontrolling interest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w:t>
            </w:r>
          </w:p>
        </w:tc>
        <w:tc>
          <w:tcPr>
            <w:tcW w:w="1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(42)</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78</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w:t>
            </w:r>
          </w:p>
        </w:tc>
      </w:tr>
    </w:tbl>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376"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For the first six months of 2015, Interest expense, net, decreased $0.3 million compared to the same period of 2014. For more information on borrowings and interest rates, see Note 13 to the Consolidated Financial Statements in Item 1, which is incorporated herein by reference.</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(Income)/Expenses, net</w:t>
      </w:r>
    </w:p>
    <w:p>
      <w:pPr>
        <w:spacing w:after="0" w:line="3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(income)/expenses, net included the following:</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389" w:lineRule="exact"/>
        <w:rPr>
          <w:sz w:val="20"/>
          <w:szCs w:val="20"/>
          <w:color w:val="auto"/>
        </w:rPr>
      </w:pPr>
    </w:p>
    <w:p>
      <w:pPr>
        <w:ind w:left="660" w:right="100" w:hanging="328"/>
        <w:spacing w:after="0" w:line="275" w:lineRule="auto"/>
        <w:tabs>
          <w:tab w:leader="none" w:pos="66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Foreign currency revaluations of intercompany balances resulted in losses of $1.9 million during the second quarter of 2015 and gains of $1.4 million in the comparable period of 2014.</w:t>
      </w:r>
    </w:p>
    <w:p>
      <w:pPr>
        <w:spacing w:after="0" w:line="10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In the second quarter of 2014, we recorded an insurance recovery gain of $1.0 million.</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 comparison</w:t>
      </w:r>
    </w:p>
    <w:p>
      <w:pPr>
        <w:spacing w:after="0" w:line="376" w:lineRule="exact"/>
        <w:rPr>
          <w:sz w:val="20"/>
          <w:szCs w:val="20"/>
          <w:color w:val="auto"/>
        </w:rPr>
      </w:pPr>
    </w:p>
    <w:p>
      <w:pPr>
        <w:ind w:left="660" w:right="180" w:hanging="328"/>
        <w:spacing w:after="0" w:line="275" w:lineRule="auto"/>
        <w:tabs>
          <w:tab w:leader="none" w:pos="66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Foreign currency revaluations of intercompany balances resulted in gains of $0.5 million during the first six months of 2015 and gains of $1.9 million in the comparable period of 2014.</w:t>
      </w:r>
    </w:p>
    <w:p>
      <w:pPr>
        <w:spacing w:after="0" w:line="10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Sale of the Company’s total equity investment in an unaffiliated company resulted in a gain of $0.9 million in 2015.</w:t>
      </w:r>
    </w:p>
    <w:p>
      <w:pPr>
        <w:spacing w:after="0" w:line="19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In the second quarter of 2014, we recorded an insurance recovery gain of $1.0 million.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46"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Income Tax</w:t>
      </w:r>
    </w:p>
    <w:p>
      <w:pPr>
        <w:spacing w:after="0" w:line="376" w:lineRule="exact"/>
        <w:rPr>
          <w:sz w:val="20"/>
          <w:szCs w:val="20"/>
          <w:color w:val="auto"/>
        </w:rPr>
      </w:pPr>
    </w:p>
    <w:p>
      <w:pPr>
        <w:jc w:val="both"/>
        <w:ind w:right="180" w:firstLine="648"/>
        <w:spacing w:after="0" w:line="255" w:lineRule="auto"/>
        <w:rPr>
          <w:sz w:val="20"/>
          <w:szCs w:val="20"/>
          <w:color w:val="auto"/>
        </w:rPr>
      </w:pPr>
      <w:r>
        <w:rPr>
          <w:rFonts w:ascii="Arial" w:cs="Arial" w:eastAsia="Arial" w:hAnsi="Arial"/>
          <w:sz w:val="18"/>
          <w:szCs w:val="18"/>
          <w:color w:val="auto"/>
        </w:rPr>
        <w:t>The Company has operations which constitute a taxable presence in 19 countries outside of the United States. All of these countries except one had income tax rates that were lower than the United States federal tax rate of 35% during the periods reported. The jurisdictional location of earnings is a significant component of our effective tax rate each year and therefore on our overall income tax expense.</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376" w:lineRule="exact"/>
        <w:rPr>
          <w:sz w:val="20"/>
          <w:szCs w:val="20"/>
          <w:color w:val="auto"/>
        </w:rPr>
      </w:pPr>
    </w:p>
    <w:p>
      <w:pPr>
        <w:ind w:firstLine="648"/>
        <w:spacing w:after="0" w:line="245" w:lineRule="auto"/>
        <w:rPr>
          <w:sz w:val="20"/>
          <w:szCs w:val="20"/>
          <w:color w:val="auto"/>
        </w:rPr>
      </w:pPr>
      <w:r>
        <w:rPr>
          <w:rFonts w:ascii="Arial" w:cs="Arial" w:eastAsia="Arial" w:hAnsi="Arial"/>
          <w:sz w:val="18"/>
          <w:szCs w:val="18"/>
          <w:color w:val="auto"/>
        </w:rPr>
        <w:t>The Company’s effective tax rates for the second quarter of 2015 and 2014 were 14.7% and 41.4%, respectively. The unusually low tax rate in 2015 was principally due to the $14.0 million charge in the AEC segment which resulted in an unusual geographic mix of income and losses. The Company’s tax rate is affected by recurring items, such as the income tax rate in the U.S. and in non-U.S. jurisdictions and the mix of income earned in those jurisdictions. The tax rate is also affected by U.S. tax costs on foreign earnings that have been or will be repatriated to the U.S., and by discrete items that may occur in any given year but are not consistent from year to year.</w:t>
      </w:r>
    </w:p>
    <w:p>
      <w:pPr>
        <w:spacing w:after="0" w:line="132" w:lineRule="exact"/>
        <w:rPr>
          <w:sz w:val="20"/>
          <w:szCs w:val="20"/>
          <w:color w:val="auto"/>
        </w:rPr>
      </w:pPr>
    </w:p>
    <w:p>
      <w:pPr>
        <w:ind w:right="140" w:firstLine="648"/>
        <w:spacing w:after="0" w:line="276" w:lineRule="auto"/>
        <w:rPr>
          <w:sz w:val="20"/>
          <w:szCs w:val="20"/>
          <w:color w:val="auto"/>
        </w:rPr>
      </w:pPr>
      <w:r>
        <w:rPr>
          <w:rFonts w:ascii="Arial" w:cs="Arial" w:eastAsia="Arial" w:hAnsi="Arial"/>
          <w:sz w:val="18"/>
          <w:szCs w:val="18"/>
          <w:color w:val="auto"/>
        </w:rPr>
        <w:t>Significant items that impacted the tax rate in the second quarter of 2015 included the following (percentages reflect the effect of each item as a percentage of Income before income taxes):</w:t>
      </w:r>
    </w:p>
    <w:p>
      <w:pPr>
        <w:spacing w:after="0" w:line="118" w:lineRule="exact"/>
        <w:rPr>
          <w:sz w:val="20"/>
          <w:szCs w:val="20"/>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A $0.7 million (-28.8%) net tax expense related to discrete items and the effect of a change in the estimated tax rates for the year.</w:t>
      </w:r>
    </w:p>
    <w:p>
      <w:pPr>
        <w:spacing w:after="0" w:line="18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The income tax rate on continuing operations, excluding discrete items, was 43.5%.</w:t>
      </w:r>
    </w:p>
    <w:p>
      <w:pPr>
        <w:spacing w:after="0" w:line="200" w:lineRule="exact"/>
        <w:rPr>
          <w:sz w:val="20"/>
          <w:szCs w:val="20"/>
          <w:color w:val="auto"/>
        </w:rPr>
      </w:pPr>
    </w:p>
    <w:p>
      <w:pPr>
        <w:spacing w:after="0" w:line="3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Significant items that impacted the tax rate in the second quarter of 2014 included the following:</w:t>
      </w:r>
    </w:p>
    <w:p>
      <w:pPr>
        <w:spacing w:after="0" w:line="171" w:lineRule="exact"/>
        <w:rPr>
          <w:sz w:val="20"/>
          <w:szCs w:val="20"/>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A discrete charge of $0.4 million (2.5%) for a change to the beginning-of-year valuation allowance.</w:t>
      </w:r>
    </w:p>
    <w:p>
      <w:pPr>
        <w:spacing w:after="0" w:line="183" w:lineRule="exact"/>
        <w:rPr>
          <w:rFonts w:ascii="Times New Roman" w:cs="Times New Roman" w:eastAsia="Times New Roman" w:hAnsi="Times New Roman"/>
          <w:sz w:val="18"/>
          <w:szCs w:val="18"/>
          <w:color w:val="auto"/>
        </w:rPr>
      </w:pPr>
    </w:p>
    <w:p>
      <w:pPr>
        <w:ind w:left="980" w:right="380" w:hanging="324"/>
        <w:spacing w:after="0" w:line="275" w:lineRule="auto"/>
        <w:tabs>
          <w:tab w:leader="none" w:pos="98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A $0.4 million (2.4%) net tax expense related to other discrete items and the effect of a change in the estimated tax rate for the year.</w:t>
      </w:r>
    </w:p>
    <w:p>
      <w:pPr>
        <w:spacing w:after="0" w:line="11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income tax rate on continuing operations, excluding discrete items, was 36.5%.</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 comparison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effective tax rates for the first six-month periods of 2015 and 2014 were 44.6% and 41.2%, respectively.</w:t>
      </w:r>
    </w:p>
    <w:p>
      <w:pPr>
        <w:spacing w:after="0" w:line="185" w:lineRule="exact"/>
        <w:rPr>
          <w:sz w:val="20"/>
          <w:szCs w:val="20"/>
          <w:color w:val="auto"/>
        </w:rPr>
      </w:pPr>
    </w:p>
    <w:p>
      <w:pPr>
        <w:ind w:right="160" w:firstLine="648"/>
        <w:spacing w:after="0" w:line="276" w:lineRule="auto"/>
        <w:rPr>
          <w:sz w:val="20"/>
          <w:szCs w:val="20"/>
          <w:color w:val="auto"/>
        </w:rPr>
      </w:pPr>
      <w:r>
        <w:rPr>
          <w:rFonts w:ascii="Arial" w:cs="Arial" w:eastAsia="Arial" w:hAnsi="Arial"/>
          <w:sz w:val="18"/>
          <w:szCs w:val="18"/>
          <w:color w:val="auto"/>
        </w:rPr>
        <w:t>Significant items that impacted the 2015 tax rate included the following (percentages reflect the effect of each item as a percentage of income excluding the insurance recovery gain and before income taxes):</w:t>
      </w:r>
    </w:p>
    <w:p>
      <w:pPr>
        <w:spacing w:after="0" w:line="105" w:lineRule="exact"/>
        <w:rPr>
          <w:sz w:val="20"/>
          <w:szCs w:val="20"/>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A $0.2 million (1.1%) net tax expense related to discrete items</w:t>
      </w:r>
    </w:p>
    <w:p>
      <w:pPr>
        <w:spacing w:after="0" w:line="183" w:lineRule="exact"/>
        <w:rPr>
          <w:rFonts w:ascii="Times New Roman" w:cs="Times New Roman" w:eastAsia="Times New Roman" w:hAnsi="Times New Roman"/>
          <w:sz w:val="18"/>
          <w:szCs w:val="18"/>
          <w:color w:val="auto"/>
        </w:rPr>
      </w:pPr>
    </w:p>
    <w:p>
      <w:pPr>
        <w:ind w:left="660" w:right="3840" w:hanging="4"/>
        <w:spacing w:after="0" w:line="453" w:lineRule="auto"/>
        <w:tabs>
          <w:tab w:leader="none" w:pos="984"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income tax rate on continuing operations, excluding discrete items, was 43.5% Significant items that impacted the 2014 tax rate included the following:</w:t>
      </w: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Discrete tax expense related to a change to the beginning of year valuation allowance in the amount of $0.4 million (1.2%)</w:t>
      </w:r>
    </w:p>
    <w:p>
      <w:pPr>
        <w:spacing w:after="0" w:line="18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A net change of $1.3 million (3.5%) for other discrete income tax</w:t>
      </w:r>
    </w:p>
    <w:p>
      <w:pPr>
        <w:spacing w:after="0" w:line="19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income tax rate on continuing operations, excluding discrete items, was 36.5%</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41"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Machine Clothing Segment</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Trends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MC is our primary business segment and accounted for 87 percent of our consolidated revenues during the first six months of 2015.</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Machine Clothing products are purchased primarily by manufacturers of paper and paperboard.</w:t>
      </w:r>
    </w:p>
    <w:p>
      <w:pPr>
        <w:spacing w:after="0" w:line="14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According to RISI, Inc., global production of paper and paperboard is expected to grow at an annual rate of approximately 2% over the next five years, driven primarily by secular demand increases in Asia and South America, with stabilization in the mature markets of Europe and North America.</w:t>
      </w:r>
    </w:p>
    <w:p>
      <w:pPr>
        <w:spacing w:after="0" w:line="124" w:lineRule="exact"/>
        <w:rPr>
          <w:sz w:val="20"/>
          <w:szCs w:val="20"/>
          <w:color w:val="auto"/>
        </w:rPr>
      </w:pPr>
    </w:p>
    <w:p>
      <w:pPr>
        <w:ind w:right="80" w:firstLine="648"/>
        <w:spacing w:after="0" w:line="243" w:lineRule="auto"/>
        <w:rPr>
          <w:sz w:val="20"/>
          <w:szCs w:val="20"/>
          <w:color w:val="auto"/>
        </w:rPr>
      </w:pPr>
      <w:r>
        <w:rPr>
          <w:rFonts w:ascii="Arial" w:cs="Arial" w:eastAsia="Arial" w:hAnsi="Arial"/>
          <w:sz w:val="18"/>
          <w:szCs w:val="18"/>
          <w:color w:val="auto"/>
        </w:rPr>
        <w:t>Shifting demand for paper, across different paper grades as well as across geographical regions, continues to drive the elimination of papermaking capacity in areas with significant established capacity, primarily in the mature markets of Europe and North America. At the same time, the newest, most efficient machines are being installed in areas of growing demand, including Asia and South America generally, as well as tissue and towel paper grades in all regions. Recent technological advances in paper machine clothing, while contributing to the papermaking efficiency of customers, have lengthened the useful life of many of our products and had an adverse impact on overall paper machine clothing demand.</w:t>
      </w:r>
    </w:p>
    <w:p>
      <w:pPr>
        <w:spacing w:after="0" w:line="147" w:lineRule="exact"/>
        <w:rPr>
          <w:sz w:val="20"/>
          <w:szCs w:val="20"/>
          <w:color w:val="auto"/>
        </w:rPr>
      </w:pPr>
    </w:p>
    <w:p>
      <w:pPr>
        <w:ind w:right="60" w:firstLine="648"/>
        <w:spacing w:after="0" w:line="248" w:lineRule="auto"/>
        <w:rPr>
          <w:sz w:val="20"/>
          <w:szCs w:val="20"/>
          <w:color w:val="auto"/>
        </w:rPr>
      </w:pPr>
      <w:r>
        <w:rPr>
          <w:rFonts w:ascii="Arial" w:cs="Arial" w:eastAsia="Arial" w:hAnsi="Arial"/>
          <w:sz w:val="18"/>
          <w:szCs w:val="18"/>
          <w:color w:val="auto"/>
        </w:rPr>
        <w:t>The Company’s manufacturing and product platforms position us well to meet these shifting demands across product grades and geographic regions. Our strategy for meeting these challenges continues to be to grow share in all markets, with new products and technology, and to maintain our manufacturing footprint to align with global demand, while we offset the effects of inflation through continuous productivity improvement.</w:t>
      </w:r>
    </w:p>
    <w:p>
      <w:pPr>
        <w:spacing w:after="0" w:line="130" w:lineRule="exact"/>
        <w:rPr>
          <w:sz w:val="20"/>
          <w:szCs w:val="20"/>
          <w:color w:val="auto"/>
        </w:rPr>
      </w:pPr>
    </w:p>
    <w:p>
      <w:pPr>
        <w:ind w:right="340" w:firstLine="648"/>
        <w:spacing w:after="0" w:line="276" w:lineRule="auto"/>
        <w:rPr>
          <w:sz w:val="20"/>
          <w:szCs w:val="20"/>
          <w:color w:val="auto"/>
        </w:rPr>
      </w:pPr>
      <w:r>
        <w:rPr>
          <w:rFonts w:ascii="Arial" w:cs="Arial" w:eastAsia="Arial" w:hAnsi="Arial"/>
          <w:sz w:val="18"/>
          <w:szCs w:val="18"/>
          <w:color w:val="auto"/>
        </w:rPr>
        <w:t>We have incurred significant restructuring charges in recent periods as we reduced Machine Clothing manufacturing capacity in the United States, Germany, France, and Sweden.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of Operations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620" w:type="dxa"/>
            <w:vAlign w:val="bottom"/>
            <w:tcBorders>
              <w:top w:val="single" w:sz="8" w:color="auto"/>
            </w:tcBorders>
          </w:tcPr>
          <w:p>
            <w:pPr>
              <w:spacing w:after="0"/>
              <w:rPr>
                <w:sz w:val="16"/>
                <w:szCs w:val="16"/>
                <w:color w:val="auto"/>
              </w:rPr>
            </w:pPr>
          </w:p>
        </w:tc>
        <w:tc>
          <w:tcPr>
            <w:tcW w:w="4200" w:type="dxa"/>
            <w:vAlign w:val="bottom"/>
            <w:tcBorders>
              <w:top w:val="single" w:sz="8" w:color="auto"/>
            </w:tcBorders>
            <w:gridSpan w:val="2"/>
          </w:tcPr>
          <w:p>
            <w:pPr>
              <w:ind w:left="1860"/>
              <w:spacing w:after="0" w:line="191" w:lineRule="exact"/>
              <w:rPr>
                <w:sz w:val="20"/>
                <w:szCs w:val="20"/>
                <w:color w:val="auto"/>
              </w:rPr>
            </w:pPr>
            <w:r>
              <w:rPr>
                <w:rFonts w:ascii="Arial" w:cs="Arial" w:eastAsia="Arial" w:hAnsi="Arial"/>
                <w:sz w:val="18"/>
                <w:szCs w:val="18"/>
                <w:b w:val="1"/>
                <w:bCs w:val="1"/>
                <w:color w:val="auto"/>
              </w:rPr>
              <w:t>Three months ended</w:t>
            </w:r>
          </w:p>
        </w:tc>
        <w:tc>
          <w:tcPr>
            <w:tcW w:w="2600" w:type="dxa"/>
            <w:vAlign w:val="bottom"/>
            <w:tcBorders>
              <w:top w:val="single" w:sz="8" w:color="auto"/>
            </w:tcBorders>
            <w:gridSpan w:val="2"/>
          </w:tcPr>
          <w:p>
            <w:pPr>
              <w:jc w:val="right"/>
              <w:ind w:right="330"/>
              <w:spacing w:after="0" w:line="191" w:lineRule="exact"/>
              <w:rPr>
                <w:sz w:val="20"/>
                <w:szCs w:val="20"/>
                <w:color w:val="auto"/>
              </w:rPr>
            </w:pPr>
            <w:r>
              <w:rPr>
                <w:rFonts w:ascii="Arial" w:cs="Arial" w:eastAsia="Arial" w:hAnsi="Arial"/>
                <w:sz w:val="18"/>
                <w:szCs w:val="18"/>
                <w:b w:val="1"/>
                <w:bCs w:val="1"/>
                <w:color w:val="auto"/>
              </w:rPr>
              <w:t>Six months ended</w:t>
            </w:r>
          </w:p>
        </w:tc>
      </w:tr>
      <w:tr>
        <w:trPr>
          <w:trHeight w:val="203"/>
        </w:trPr>
        <w:tc>
          <w:tcPr>
            <w:tcW w:w="4620" w:type="dxa"/>
            <w:vAlign w:val="bottom"/>
          </w:tcPr>
          <w:p>
            <w:pPr>
              <w:spacing w:after="0"/>
              <w:rPr>
                <w:sz w:val="17"/>
                <w:szCs w:val="17"/>
                <w:color w:val="auto"/>
              </w:rPr>
            </w:pPr>
          </w:p>
        </w:tc>
        <w:tc>
          <w:tcPr>
            <w:tcW w:w="4200" w:type="dxa"/>
            <w:vAlign w:val="bottom"/>
            <w:gridSpan w:val="2"/>
          </w:tcPr>
          <w:p>
            <w:pPr>
              <w:jc w:val="right"/>
              <w:ind w:right="990"/>
              <w:spacing w:after="0" w:line="202" w:lineRule="exact"/>
              <w:rPr>
                <w:sz w:val="20"/>
                <w:szCs w:val="20"/>
                <w:color w:val="auto"/>
              </w:rPr>
            </w:pPr>
            <w:r>
              <w:rPr>
                <w:rFonts w:ascii="Arial" w:cs="Arial" w:eastAsia="Arial" w:hAnsi="Arial"/>
                <w:sz w:val="18"/>
                <w:szCs w:val="18"/>
                <w:b w:val="1"/>
                <w:bCs w:val="1"/>
                <w:color w:val="auto"/>
              </w:rPr>
              <w:t>June 30,</w:t>
            </w:r>
          </w:p>
        </w:tc>
        <w:tc>
          <w:tcPr>
            <w:tcW w:w="2600" w:type="dxa"/>
            <w:vAlign w:val="bottom"/>
            <w:gridSpan w:val="2"/>
          </w:tcPr>
          <w:p>
            <w:pPr>
              <w:jc w:val="right"/>
              <w:ind w:right="730"/>
              <w:spacing w:after="0" w:line="202" w:lineRule="exact"/>
              <w:rPr>
                <w:sz w:val="20"/>
                <w:szCs w:val="20"/>
                <w:color w:val="auto"/>
              </w:rPr>
            </w:pPr>
            <w:r>
              <w:rPr>
                <w:rFonts w:ascii="Arial" w:cs="Arial" w:eastAsia="Arial" w:hAnsi="Arial"/>
                <w:sz w:val="18"/>
                <w:szCs w:val="18"/>
                <w:b w:val="1"/>
                <w:bCs w:val="1"/>
                <w:color w:val="auto"/>
              </w:rPr>
              <w:t>June 30,</w:t>
            </w:r>
          </w:p>
        </w:tc>
      </w:tr>
      <w:tr>
        <w:trPr>
          <w:trHeight w:val="227"/>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percentages)</w:t>
            </w:r>
          </w:p>
        </w:tc>
        <w:tc>
          <w:tcPr>
            <w:tcW w:w="2760" w:type="dxa"/>
            <w:vAlign w:val="bottom"/>
            <w:tcBorders>
              <w:bottom w:val="single" w:sz="8" w:color="auto"/>
            </w:tcBorders>
          </w:tcPr>
          <w:p>
            <w:pPr>
              <w:ind w:left="1840"/>
              <w:spacing w:after="0"/>
              <w:rPr>
                <w:sz w:val="20"/>
                <w:szCs w:val="20"/>
                <w:color w:val="auto"/>
              </w:rPr>
            </w:pPr>
            <w:r>
              <w:rPr>
                <w:rFonts w:ascii="Arial" w:cs="Arial" w:eastAsia="Arial" w:hAnsi="Arial"/>
                <w:sz w:val="18"/>
                <w:szCs w:val="18"/>
                <w:b w:val="1"/>
                <w:bCs w:val="1"/>
                <w:color w:val="auto"/>
              </w:rPr>
              <w:t>2015</w:t>
            </w:r>
          </w:p>
        </w:tc>
        <w:tc>
          <w:tcPr>
            <w:tcW w:w="14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14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2014</w:t>
            </w:r>
          </w:p>
        </w:tc>
      </w:tr>
      <w:tr>
        <w:trPr>
          <w:trHeight w:val="171"/>
        </w:trPr>
        <w:tc>
          <w:tcPr>
            <w:tcW w:w="4620" w:type="dxa"/>
            <w:vAlign w:val="bottom"/>
          </w:tcPr>
          <w:p>
            <w:pPr>
              <w:spacing w:after="0" w:line="171" w:lineRule="exact"/>
              <w:rPr>
                <w:sz w:val="20"/>
                <w:szCs w:val="20"/>
                <w:color w:val="auto"/>
              </w:rPr>
            </w:pPr>
            <w:r>
              <w:rPr>
                <w:rFonts w:ascii="Arial" w:cs="Arial" w:eastAsia="Arial" w:hAnsi="Arial"/>
                <w:sz w:val="18"/>
                <w:szCs w:val="18"/>
                <w:color w:val="auto"/>
              </w:rPr>
              <w:t>Net sales</w:t>
            </w:r>
          </w:p>
        </w:tc>
        <w:tc>
          <w:tcPr>
            <w:tcW w:w="2760" w:type="dxa"/>
            <w:vAlign w:val="bottom"/>
          </w:tcPr>
          <w:p>
            <w:pPr>
              <w:jc w:val="right"/>
              <w:ind w:right="330"/>
              <w:spacing w:after="0" w:line="171" w:lineRule="exact"/>
              <w:rPr>
                <w:sz w:val="20"/>
                <w:szCs w:val="20"/>
                <w:color w:val="auto"/>
              </w:rPr>
            </w:pPr>
            <w:r>
              <w:rPr>
                <w:rFonts w:ascii="Arial" w:cs="Arial" w:eastAsia="Arial" w:hAnsi="Arial"/>
                <w:sz w:val="18"/>
                <w:szCs w:val="18"/>
                <w:b w:val="1"/>
                <w:bCs w:val="1"/>
                <w:color w:val="auto"/>
              </w:rPr>
              <w:t>$150,561</w:t>
            </w:r>
          </w:p>
        </w:tc>
        <w:tc>
          <w:tcPr>
            <w:tcW w:w="1440" w:type="dxa"/>
            <w:vAlign w:val="bottom"/>
          </w:tcPr>
          <w:p>
            <w:pPr>
              <w:jc w:val="right"/>
              <w:ind w:right="330"/>
              <w:spacing w:after="0" w:line="171" w:lineRule="exact"/>
              <w:rPr>
                <w:sz w:val="20"/>
                <w:szCs w:val="20"/>
                <w:color w:val="auto"/>
              </w:rPr>
            </w:pPr>
            <w:r>
              <w:rPr>
                <w:rFonts w:ascii="Arial" w:cs="Arial" w:eastAsia="Arial" w:hAnsi="Arial"/>
                <w:sz w:val="18"/>
                <w:szCs w:val="18"/>
                <w:color w:val="auto"/>
              </w:rPr>
              <w:t>$172,809</w:t>
            </w:r>
          </w:p>
        </w:tc>
        <w:tc>
          <w:tcPr>
            <w:tcW w:w="1420" w:type="dxa"/>
            <w:vAlign w:val="bottom"/>
          </w:tcPr>
          <w:p>
            <w:pPr>
              <w:jc w:val="right"/>
              <w:ind w:right="330"/>
              <w:spacing w:after="0" w:line="171" w:lineRule="exact"/>
              <w:rPr>
                <w:sz w:val="20"/>
                <w:szCs w:val="20"/>
                <w:color w:val="auto"/>
              </w:rPr>
            </w:pPr>
            <w:r>
              <w:rPr>
                <w:rFonts w:ascii="Arial" w:cs="Arial" w:eastAsia="Arial" w:hAnsi="Arial"/>
                <w:sz w:val="18"/>
                <w:szCs w:val="18"/>
                <w:b w:val="1"/>
                <w:bCs w:val="1"/>
                <w:color w:val="auto"/>
              </w:rPr>
              <w:t>$309,055</w:t>
            </w:r>
          </w:p>
        </w:tc>
        <w:tc>
          <w:tcPr>
            <w:tcW w:w="1180" w:type="dxa"/>
            <w:vAlign w:val="bottom"/>
          </w:tcPr>
          <w:p>
            <w:pPr>
              <w:jc w:val="right"/>
              <w:ind w:right="70"/>
              <w:spacing w:after="0" w:line="171" w:lineRule="exact"/>
              <w:rPr>
                <w:sz w:val="20"/>
                <w:szCs w:val="20"/>
                <w:color w:val="auto"/>
              </w:rPr>
            </w:pPr>
            <w:r>
              <w:rPr>
                <w:rFonts w:ascii="Arial" w:cs="Arial" w:eastAsia="Arial" w:hAnsi="Arial"/>
                <w:sz w:val="18"/>
                <w:szCs w:val="18"/>
                <w:color w:val="auto"/>
              </w:rPr>
              <w:t>$336,897</w:t>
            </w:r>
          </w:p>
        </w:tc>
      </w:tr>
      <w:tr>
        <w:trPr>
          <w:trHeight w:val="203"/>
        </w:trPr>
        <w:tc>
          <w:tcPr>
            <w:tcW w:w="4620" w:type="dxa"/>
            <w:vAlign w:val="bottom"/>
          </w:tcPr>
          <w:p>
            <w:pPr>
              <w:spacing w:after="0" w:line="202" w:lineRule="exact"/>
              <w:rPr>
                <w:sz w:val="20"/>
                <w:szCs w:val="20"/>
                <w:color w:val="auto"/>
              </w:rPr>
            </w:pPr>
            <w:r>
              <w:rPr>
                <w:rFonts w:ascii="Arial" w:cs="Arial" w:eastAsia="Arial" w:hAnsi="Arial"/>
                <w:sz w:val="18"/>
                <w:szCs w:val="18"/>
                <w:color w:val="auto"/>
              </w:rPr>
              <w:t>Gross profit</w:t>
            </w:r>
          </w:p>
        </w:tc>
        <w:tc>
          <w:tcPr>
            <w:tcW w:w="276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68,103</w:t>
            </w:r>
          </w:p>
        </w:tc>
        <w:tc>
          <w:tcPr>
            <w:tcW w:w="144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73,339</w:t>
            </w:r>
          </w:p>
        </w:tc>
        <w:tc>
          <w:tcPr>
            <w:tcW w:w="1420" w:type="dxa"/>
            <w:vAlign w:val="bottom"/>
          </w:tcPr>
          <w:p>
            <w:pPr>
              <w:jc w:val="right"/>
              <w:ind w:right="330"/>
              <w:spacing w:after="0" w:line="202" w:lineRule="exact"/>
              <w:rPr>
                <w:sz w:val="20"/>
                <w:szCs w:val="20"/>
                <w:color w:val="auto"/>
              </w:rPr>
            </w:pPr>
            <w:r>
              <w:rPr>
                <w:rFonts w:ascii="Arial" w:cs="Arial" w:eastAsia="Arial" w:hAnsi="Arial"/>
                <w:sz w:val="18"/>
                <w:szCs w:val="18"/>
                <w:b w:val="1"/>
                <w:bCs w:val="1"/>
                <w:color w:val="auto"/>
              </w:rPr>
              <w:t>143,364</w:t>
            </w:r>
          </w:p>
        </w:tc>
        <w:tc>
          <w:tcPr>
            <w:tcW w:w="11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147,209</w:t>
            </w:r>
          </w:p>
        </w:tc>
      </w:tr>
      <w:tr>
        <w:trPr>
          <w:trHeight w:val="203"/>
        </w:trPr>
        <w:tc>
          <w:tcPr>
            <w:tcW w:w="4620" w:type="dxa"/>
            <w:vAlign w:val="bottom"/>
          </w:tcPr>
          <w:p>
            <w:pPr>
              <w:spacing w:after="0" w:line="202" w:lineRule="exact"/>
              <w:rPr>
                <w:sz w:val="20"/>
                <w:szCs w:val="20"/>
                <w:color w:val="auto"/>
              </w:rPr>
            </w:pPr>
            <w:r>
              <w:rPr>
                <w:rFonts w:ascii="Arial" w:cs="Arial" w:eastAsia="Arial" w:hAnsi="Arial"/>
                <w:sz w:val="18"/>
                <w:szCs w:val="18"/>
                <w:color w:val="auto"/>
              </w:rPr>
              <w:t>% of net sales</w:t>
            </w:r>
          </w:p>
        </w:tc>
        <w:tc>
          <w:tcPr>
            <w:tcW w:w="276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rPr>
              <w:t>45.2%</w:t>
            </w:r>
          </w:p>
        </w:tc>
        <w:tc>
          <w:tcPr>
            <w:tcW w:w="144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42.4%</w:t>
            </w:r>
          </w:p>
        </w:tc>
        <w:tc>
          <w:tcPr>
            <w:tcW w:w="142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rPr>
              <w:t>46.4%</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43.7%</w:t>
            </w:r>
          </w:p>
        </w:tc>
      </w:tr>
      <w:tr>
        <w:trPr>
          <w:trHeight w:val="227"/>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income</w:t>
            </w:r>
          </w:p>
        </w:tc>
        <w:tc>
          <w:tcPr>
            <w:tcW w:w="27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33,323</w:t>
            </w:r>
          </w:p>
        </w:tc>
        <w:tc>
          <w:tcPr>
            <w:tcW w:w="14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33,879</w:t>
            </w:r>
          </w:p>
        </w:tc>
        <w:tc>
          <w:tcPr>
            <w:tcW w:w="14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69,013</w:t>
            </w: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70,022</w:t>
            </w:r>
          </w:p>
        </w:tc>
      </w:tr>
    </w:tbl>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173"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currency translation rates had the effect of decreasing 2015 sales by $10.0 million.</w:t>
      </w:r>
    </w:p>
    <w:p>
      <w:pPr>
        <w:spacing w:after="0" w:line="336" w:lineRule="exact"/>
        <w:rPr>
          <w:rFonts w:ascii="Times New Roman" w:cs="Times New Roman" w:eastAsia="Times New Roman" w:hAnsi="Times New Roman"/>
          <w:sz w:val="18"/>
          <w:szCs w:val="18"/>
          <w:color w:val="auto"/>
        </w:rPr>
      </w:pPr>
    </w:p>
    <w:p>
      <w:pPr>
        <w:ind w:left="5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41" w:right="239" w:bottom="1440" w:gutter="0" w:footer="0" w:header="0"/>
        </w:sectPr>
      </w:pPr>
    </w:p>
    <w:bookmarkStart w:id="34" w:name="page35"/>
    <w:bookmarkEnd w:id="34"/>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Excluding the effect of changes in currency translation rates, sales decreased 7.1% compared to the same period in 2014.</w:t>
      </w:r>
    </w:p>
    <w:p>
      <w:pPr>
        <w:spacing w:after="0" w:line="183" w:lineRule="exact"/>
        <w:rPr>
          <w:rFonts w:ascii="Times New Roman" w:cs="Times New Roman" w:eastAsia="Times New Roman" w:hAnsi="Times New Roman"/>
          <w:sz w:val="18"/>
          <w:szCs w:val="18"/>
          <w:color w:val="auto"/>
        </w:rPr>
      </w:pPr>
    </w:p>
    <w:p>
      <w:pPr>
        <w:jc w:val="both"/>
        <w:ind w:left="660" w:right="180" w:hanging="328"/>
        <w:spacing w:after="0" w:line="255" w:lineRule="auto"/>
        <w:tabs>
          <w:tab w:leader="none" w:pos="66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The decline in second-quarter MC sales was principally due to lower sales volume in North America and Europe, reflecting a sharply weaker market in publication grades in 2015, as well as changes in currency translation rates. In Asia and South America, year-over-year sales, excluding currency effects, were stable despite the macroeconomic uncertainties.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 comparison</w:t>
      </w:r>
    </w:p>
    <w:p>
      <w:pPr>
        <w:spacing w:after="0" w:line="173"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currency translation rates had the effect of decreasing sales during the first six months of 2015 by $21.3 million.</w:t>
      </w:r>
    </w:p>
    <w:p>
      <w:pPr>
        <w:spacing w:after="0" w:line="18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Excluding the effect of changes in currency translation rates, sales decreased 1.9% compared to the same period in 2014.</w:t>
      </w:r>
    </w:p>
    <w:p>
      <w:pPr>
        <w:spacing w:after="0" w:line="197" w:lineRule="exact"/>
        <w:rPr>
          <w:rFonts w:ascii="Times New Roman" w:cs="Times New Roman" w:eastAsia="Times New Roman" w:hAnsi="Times New Roman"/>
          <w:sz w:val="18"/>
          <w:szCs w:val="18"/>
          <w:color w:val="auto"/>
        </w:rPr>
      </w:pPr>
    </w:p>
    <w:p>
      <w:pPr>
        <w:ind w:left="660" w:right="60" w:hanging="328"/>
        <w:spacing w:after="0" w:line="275" w:lineRule="auto"/>
        <w:tabs>
          <w:tab w:leader="none" w:pos="66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The decline in MC sales was principally due to lower sales volume in North America and Europe, reflecting a sharply weaker market in publication grades in 2015, as well as changes in currency translation rates.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six month comparison</w:t>
      </w:r>
    </w:p>
    <w:p>
      <w:pPr>
        <w:spacing w:after="0" w:line="187"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The decrease in gross profit was principally due to lower sales volume in North America and Europe.</w:t>
      </w:r>
    </w:p>
    <w:p>
      <w:pPr>
        <w:spacing w:after="0" w:line="183" w:lineRule="exact"/>
        <w:rPr>
          <w:rFonts w:ascii="Times New Roman" w:cs="Times New Roman" w:eastAsia="Times New Roman" w:hAnsi="Times New Roman"/>
          <w:sz w:val="18"/>
          <w:szCs w:val="18"/>
          <w:color w:val="auto"/>
        </w:rPr>
      </w:pPr>
    </w:p>
    <w:p>
      <w:pPr>
        <w:ind w:left="660" w:right="360" w:hanging="328"/>
        <w:spacing w:after="0" w:line="255" w:lineRule="auto"/>
        <w:tabs>
          <w:tab w:leader="none" w:pos="6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Gross profit margins increased from 43.7 percent to 46.4 percent in the first six months of 2015 as compared to the same period in 2014, principally due to currency translation effects and the impact of restructuring. Additionally, in the second quarter of 2014, we recorded a charge of $1.6 million to correct the value of inventories.</w:t>
      </w:r>
    </w:p>
    <w:p>
      <w:pPr>
        <w:spacing w:after="0" w:line="1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currency translation rates had a significant effect on MC net sales but had only a minor negative effect on gross profit.</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operating income was principally due to the net effect of the following: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187"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Restructuring charges of $1.2 million in the second quarter of 2015, compared to $1.3 million in 2014.</w:t>
      </w:r>
    </w:p>
    <w:p>
      <w:pPr>
        <w:spacing w:after="0" w:line="18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Revaluation of nonfunctional currency assets and liabilities resulted in second quarter losses of $0.4 million in both 2015 and 2014.</w:t>
      </w:r>
    </w:p>
    <w:p>
      <w:pPr>
        <w:spacing w:after="0" w:line="18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Gross profit decreased $5.2 million principally due to lower sales volume in North America and Europe.</w:t>
      </w:r>
    </w:p>
    <w:p>
      <w:pPr>
        <w:spacing w:after="0" w:line="19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Lower STG&amp;R expenses principally resulting from the effects of changes in currency translation rates and restructuring activities.</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 comparison</w:t>
      </w:r>
    </w:p>
    <w:p>
      <w:pPr>
        <w:spacing w:after="0" w:line="173"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Restructuring charges of $10.2 million for the first six months of 2015, compared to $2.2 million in 2014.</w:t>
      </w:r>
    </w:p>
    <w:p>
      <w:pPr>
        <w:spacing w:after="0" w:line="197" w:lineRule="exact"/>
        <w:rPr>
          <w:rFonts w:ascii="Times New Roman" w:cs="Times New Roman" w:eastAsia="Times New Roman" w:hAnsi="Times New Roman"/>
          <w:sz w:val="18"/>
          <w:szCs w:val="18"/>
          <w:color w:val="auto"/>
        </w:rPr>
      </w:pPr>
    </w:p>
    <w:p>
      <w:pPr>
        <w:ind w:left="660" w:hanging="328"/>
        <w:spacing w:after="0" w:line="275" w:lineRule="auto"/>
        <w:tabs>
          <w:tab w:leader="none" w:pos="66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Revaluation of nonfunctional currency assets and liabilities resulted in gains of $2.5 million for the first six months of 2015 as compared to $0.5 million of gains in 2014.</w:t>
      </w:r>
    </w:p>
    <w:p>
      <w:pPr>
        <w:spacing w:after="0" w:line="10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The remainder of the decrease in STG&amp;R expenses was principally due to the effect of changes in currency translation rates.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643" w:right="2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Albany Engineered Composites Segment</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Trends</w:t>
      </w:r>
    </w:p>
    <w:p>
      <w:pPr>
        <w:spacing w:after="0" w:line="149" w:lineRule="exact"/>
        <w:rPr>
          <w:sz w:val="20"/>
          <w:szCs w:val="20"/>
          <w:color w:val="auto"/>
        </w:rPr>
      </w:pPr>
    </w:p>
    <w:p>
      <w:pPr>
        <w:ind w:right="80" w:firstLine="648"/>
        <w:spacing w:after="0" w:line="248" w:lineRule="auto"/>
        <w:rPr>
          <w:sz w:val="20"/>
          <w:szCs w:val="20"/>
          <w:color w:val="auto"/>
        </w:rPr>
      </w:pPr>
      <w:r>
        <w:rPr>
          <w:rFonts w:ascii="Arial" w:cs="Arial" w:eastAsia="Arial" w:hAnsi="Arial"/>
          <w:sz w:val="18"/>
          <w:szCs w:val="18"/>
          <w:color w:val="auto"/>
        </w:rPr>
        <w:t>AEC, including ASC, provides highly engineered advanced composite structures based on proprietary technology to customers in the aerospace and defense industries. AEC’s largest program relates to CFM International’s LEAP engine, which is scheduled to enter into service in 2016. AEC, through ASC, is the exclusive supplier of advanced composite fan blades and cases for this program under a long-term supply contract. In 2014, approximately 20 percent of this segment’s sales were related to U.S. government contracts or programs.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of Operations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760" w:type="dxa"/>
            <w:vAlign w:val="bottom"/>
            <w:tcBorders>
              <w:top w:val="single" w:sz="8" w:color="auto"/>
            </w:tcBorders>
          </w:tcPr>
          <w:p>
            <w:pPr>
              <w:spacing w:after="0"/>
              <w:rPr>
                <w:sz w:val="16"/>
                <w:szCs w:val="16"/>
                <w:color w:val="auto"/>
              </w:rPr>
            </w:pPr>
          </w:p>
        </w:tc>
        <w:tc>
          <w:tcPr>
            <w:tcW w:w="4220" w:type="dxa"/>
            <w:vAlign w:val="bottom"/>
            <w:tcBorders>
              <w:top w:val="single" w:sz="8" w:color="auto"/>
            </w:tcBorders>
            <w:gridSpan w:val="2"/>
          </w:tcPr>
          <w:p>
            <w:pPr>
              <w:jc w:val="right"/>
              <w:ind w:right="430"/>
              <w:spacing w:after="0" w:line="191" w:lineRule="exact"/>
              <w:rPr>
                <w:sz w:val="20"/>
                <w:szCs w:val="20"/>
                <w:color w:val="auto"/>
              </w:rPr>
            </w:pPr>
            <w:r>
              <w:rPr>
                <w:rFonts w:ascii="Arial" w:cs="Arial" w:eastAsia="Arial" w:hAnsi="Arial"/>
                <w:sz w:val="18"/>
                <w:szCs w:val="18"/>
                <w:b w:val="1"/>
                <w:bCs w:val="1"/>
                <w:color w:val="auto"/>
              </w:rPr>
              <w:t>Three months ended</w:t>
            </w:r>
          </w:p>
        </w:tc>
        <w:tc>
          <w:tcPr>
            <w:tcW w:w="2440" w:type="dxa"/>
            <w:vAlign w:val="bottom"/>
            <w:tcBorders>
              <w:top w:val="single" w:sz="8" w:color="auto"/>
            </w:tcBorders>
            <w:gridSpan w:val="2"/>
          </w:tcPr>
          <w:p>
            <w:pPr>
              <w:jc w:val="right"/>
              <w:ind w:right="250"/>
              <w:spacing w:after="0" w:line="191" w:lineRule="exact"/>
              <w:rPr>
                <w:sz w:val="20"/>
                <w:szCs w:val="20"/>
                <w:color w:val="auto"/>
              </w:rPr>
            </w:pPr>
            <w:r>
              <w:rPr>
                <w:rFonts w:ascii="Arial" w:cs="Arial" w:eastAsia="Arial" w:hAnsi="Arial"/>
                <w:sz w:val="18"/>
                <w:szCs w:val="18"/>
                <w:b w:val="1"/>
                <w:bCs w:val="1"/>
                <w:color w:val="auto"/>
              </w:rPr>
              <w:t>Six months ended</w:t>
            </w:r>
          </w:p>
        </w:tc>
      </w:tr>
      <w:tr>
        <w:trPr>
          <w:trHeight w:val="203"/>
        </w:trPr>
        <w:tc>
          <w:tcPr>
            <w:tcW w:w="4760" w:type="dxa"/>
            <w:vAlign w:val="bottom"/>
          </w:tcPr>
          <w:p>
            <w:pPr>
              <w:spacing w:after="0"/>
              <w:rPr>
                <w:sz w:val="17"/>
                <w:szCs w:val="17"/>
                <w:color w:val="auto"/>
              </w:rPr>
            </w:pPr>
          </w:p>
        </w:tc>
        <w:tc>
          <w:tcPr>
            <w:tcW w:w="4220" w:type="dxa"/>
            <w:vAlign w:val="bottom"/>
            <w:gridSpan w:val="2"/>
          </w:tcPr>
          <w:p>
            <w:pPr>
              <w:jc w:val="right"/>
              <w:ind w:right="930"/>
              <w:spacing w:after="0" w:line="202" w:lineRule="exact"/>
              <w:rPr>
                <w:sz w:val="20"/>
                <w:szCs w:val="20"/>
                <w:color w:val="auto"/>
              </w:rPr>
            </w:pPr>
            <w:r>
              <w:rPr>
                <w:rFonts w:ascii="Arial" w:cs="Arial" w:eastAsia="Arial" w:hAnsi="Arial"/>
                <w:sz w:val="18"/>
                <w:szCs w:val="18"/>
                <w:b w:val="1"/>
                <w:bCs w:val="1"/>
                <w:color w:val="auto"/>
              </w:rPr>
              <w:t>June 30,</w:t>
            </w:r>
          </w:p>
        </w:tc>
        <w:tc>
          <w:tcPr>
            <w:tcW w:w="2440" w:type="dxa"/>
            <w:vAlign w:val="bottom"/>
            <w:gridSpan w:val="2"/>
          </w:tcPr>
          <w:p>
            <w:pPr>
              <w:jc w:val="right"/>
              <w:ind w:right="650"/>
              <w:spacing w:after="0" w:line="202" w:lineRule="exact"/>
              <w:rPr>
                <w:sz w:val="20"/>
                <w:szCs w:val="20"/>
                <w:color w:val="auto"/>
              </w:rPr>
            </w:pPr>
            <w:r>
              <w:rPr>
                <w:rFonts w:ascii="Arial" w:cs="Arial" w:eastAsia="Arial" w:hAnsi="Arial"/>
                <w:sz w:val="18"/>
                <w:szCs w:val="18"/>
                <w:b w:val="1"/>
                <w:bCs w:val="1"/>
                <w:color w:val="auto"/>
              </w:rPr>
              <w:t>June 30,</w:t>
            </w:r>
          </w:p>
        </w:tc>
      </w:tr>
      <w:tr>
        <w:trPr>
          <w:trHeight w:val="227"/>
        </w:trPr>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percentages)</w:t>
            </w:r>
          </w:p>
        </w:tc>
        <w:tc>
          <w:tcPr>
            <w:tcW w:w="28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3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2014</w:t>
            </w:r>
          </w:p>
        </w:tc>
      </w:tr>
      <w:tr>
        <w:trPr>
          <w:trHeight w:val="171"/>
        </w:trPr>
        <w:tc>
          <w:tcPr>
            <w:tcW w:w="4760" w:type="dxa"/>
            <w:vAlign w:val="bottom"/>
          </w:tcPr>
          <w:p>
            <w:pPr>
              <w:spacing w:after="0" w:line="171" w:lineRule="exact"/>
              <w:rPr>
                <w:sz w:val="20"/>
                <w:szCs w:val="20"/>
                <w:color w:val="auto"/>
              </w:rPr>
            </w:pPr>
            <w:r>
              <w:rPr>
                <w:rFonts w:ascii="Arial" w:cs="Arial" w:eastAsia="Arial" w:hAnsi="Arial"/>
                <w:sz w:val="18"/>
                <w:szCs w:val="18"/>
                <w:color w:val="auto"/>
              </w:rPr>
              <w:t>Net sales</w:t>
            </w:r>
          </w:p>
        </w:tc>
        <w:tc>
          <w:tcPr>
            <w:tcW w:w="2840" w:type="dxa"/>
            <w:vAlign w:val="bottom"/>
          </w:tcPr>
          <w:p>
            <w:pPr>
              <w:jc w:val="right"/>
              <w:ind w:right="350"/>
              <w:spacing w:after="0" w:line="171" w:lineRule="exact"/>
              <w:rPr>
                <w:sz w:val="20"/>
                <w:szCs w:val="20"/>
                <w:color w:val="auto"/>
              </w:rPr>
            </w:pPr>
            <w:r>
              <w:rPr>
                <w:rFonts w:ascii="Arial" w:cs="Arial" w:eastAsia="Arial" w:hAnsi="Arial"/>
                <w:sz w:val="18"/>
                <w:szCs w:val="18"/>
                <w:b w:val="1"/>
                <w:bCs w:val="1"/>
                <w:color w:val="auto"/>
              </w:rPr>
              <w:t>$21,728</w:t>
            </w:r>
          </w:p>
        </w:tc>
        <w:tc>
          <w:tcPr>
            <w:tcW w:w="1380" w:type="dxa"/>
            <w:vAlign w:val="bottom"/>
          </w:tcPr>
          <w:p>
            <w:pPr>
              <w:jc w:val="right"/>
              <w:ind w:right="350"/>
              <w:spacing w:after="0" w:line="171" w:lineRule="exact"/>
              <w:rPr>
                <w:sz w:val="20"/>
                <w:szCs w:val="20"/>
                <w:color w:val="auto"/>
              </w:rPr>
            </w:pPr>
            <w:r>
              <w:rPr>
                <w:rFonts w:ascii="Arial" w:cs="Arial" w:eastAsia="Arial" w:hAnsi="Arial"/>
                <w:sz w:val="18"/>
                <w:szCs w:val="18"/>
                <w:color w:val="auto"/>
              </w:rPr>
              <w:t>$20,709</w:t>
            </w:r>
          </w:p>
        </w:tc>
        <w:tc>
          <w:tcPr>
            <w:tcW w:w="1360" w:type="dxa"/>
            <w:vAlign w:val="bottom"/>
          </w:tcPr>
          <w:p>
            <w:pPr>
              <w:jc w:val="right"/>
              <w:ind w:right="350"/>
              <w:spacing w:after="0" w:line="171" w:lineRule="exact"/>
              <w:rPr>
                <w:sz w:val="20"/>
                <w:szCs w:val="20"/>
                <w:color w:val="auto"/>
              </w:rPr>
            </w:pPr>
            <w:r>
              <w:rPr>
                <w:rFonts w:ascii="Arial" w:cs="Arial" w:eastAsia="Arial" w:hAnsi="Arial"/>
                <w:sz w:val="18"/>
                <w:szCs w:val="18"/>
                <w:b w:val="1"/>
                <w:bCs w:val="1"/>
                <w:color w:val="auto"/>
              </w:rPr>
              <w:t>$44,558</w:t>
            </w:r>
          </w:p>
        </w:tc>
        <w:tc>
          <w:tcPr>
            <w:tcW w:w="1080" w:type="dxa"/>
            <w:vAlign w:val="bottom"/>
          </w:tcPr>
          <w:p>
            <w:pPr>
              <w:jc w:val="right"/>
              <w:ind w:right="70"/>
              <w:spacing w:after="0" w:line="171" w:lineRule="exact"/>
              <w:rPr>
                <w:sz w:val="20"/>
                <w:szCs w:val="20"/>
                <w:color w:val="auto"/>
              </w:rPr>
            </w:pPr>
            <w:r>
              <w:rPr>
                <w:rFonts w:ascii="Arial" w:cs="Arial" w:eastAsia="Arial" w:hAnsi="Arial"/>
                <w:sz w:val="18"/>
                <w:szCs w:val="18"/>
                <w:color w:val="auto"/>
              </w:rPr>
              <w:t>$36,928</w:t>
            </w:r>
          </w:p>
        </w:tc>
      </w:tr>
      <w:tr>
        <w:trPr>
          <w:trHeight w:val="203"/>
        </w:trPr>
        <w:tc>
          <w:tcPr>
            <w:tcW w:w="4760" w:type="dxa"/>
            <w:vAlign w:val="bottom"/>
          </w:tcPr>
          <w:p>
            <w:pPr>
              <w:spacing w:after="0" w:line="202" w:lineRule="exact"/>
              <w:rPr>
                <w:sz w:val="20"/>
                <w:szCs w:val="20"/>
                <w:color w:val="auto"/>
              </w:rPr>
            </w:pPr>
            <w:r>
              <w:rPr>
                <w:rFonts w:ascii="Arial" w:cs="Arial" w:eastAsia="Arial" w:hAnsi="Arial"/>
                <w:sz w:val="18"/>
                <w:szCs w:val="18"/>
                <w:color w:val="auto"/>
              </w:rPr>
              <w:t>Gross profit</w:t>
            </w:r>
          </w:p>
        </w:tc>
        <w:tc>
          <w:tcPr>
            <w:tcW w:w="2840" w:type="dxa"/>
            <w:vAlign w:val="bottom"/>
          </w:tcPr>
          <w:p>
            <w:pPr>
              <w:jc w:val="right"/>
              <w:ind w:right="290"/>
              <w:spacing w:after="0" w:line="202" w:lineRule="exact"/>
              <w:rPr>
                <w:sz w:val="20"/>
                <w:szCs w:val="20"/>
                <w:color w:val="auto"/>
              </w:rPr>
            </w:pPr>
            <w:r>
              <w:rPr>
                <w:rFonts w:ascii="Arial" w:cs="Arial" w:eastAsia="Arial" w:hAnsi="Arial"/>
                <w:sz w:val="18"/>
                <w:szCs w:val="18"/>
                <w:b w:val="1"/>
                <w:bCs w:val="1"/>
                <w:color w:val="auto"/>
              </w:rPr>
              <w:t>(13,145)</w:t>
            </w:r>
          </w:p>
        </w:tc>
        <w:tc>
          <w:tcPr>
            <w:tcW w:w="138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2,358</w:t>
            </w:r>
          </w:p>
        </w:tc>
        <w:tc>
          <w:tcPr>
            <w:tcW w:w="1360" w:type="dxa"/>
            <w:vAlign w:val="bottom"/>
          </w:tcPr>
          <w:p>
            <w:pPr>
              <w:jc w:val="right"/>
              <w:ind w:right="290"/>
              <w:spacing w:after="0" w:line="202" w:lineRule="exact"/>
              <w:rPr>
                <w:sz w:val="20"/>
                <w:szCs w:val="20"/>
                <w:color w:val="auto"/>
              </w:rPr>
            </w:pPr>
            <w:r>
              <w:rPr>
                <w:rFonts w:ascii="Arial" w:cs="Arial" w:eastAsia="Arial" w:hAnsi="Arial"/>
                <w:sz w:val="18"/>
                <w:szCs w:val="18"/>
                <w:b w:val="1"/>
                <w:bCs w:val="1"/>
                <w:color w:val="auto"/>
              </w:rPr>
              <w:t>(11,330)</w:t>
            </w:r>
          </w:p>
        </w:tc>
        <w:tc>
          <w:tcPr>
            <w:tcW w:w="10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3,651</w:t>
            </w:r>
          </w:p>
        </w:tc>
      </w:tr>
      <w:tr>
        <w:trPr>
          <w:trHeight w:val="203"/>
        </w:trPr>
        <w:tc>
          <w:tcPr>
            <w:tcW w:w="4760" w:type="dxa"/>
            <w:vAlign w:val="bottom"/>
          </w:tcPr>
          <w:p>
            <w:pPr>
              <w:spacing w:after="0" w:line="202" w:lineRule="exact"/>
              <w:rPr>
                <w:sz w:val="20"/>
                <w:szCs w:val="20"/>
                <w:color w:val="auto"/>
              </w:rPr>
            </w:pPr>
            <w:r>
              <w:rPr>
                <w:rFonts w:ascii="Arial" w:cs="Arial" w:eastAsia="Arial" w:hAnsi="Arial"/>
                <w:sz w:val="18"/>
                <w:szCs w:val="18"/>
                <w:color w:val="auto"/>
              </w:rPr>
              <w:t>% of net sales</w:t>
            </w:r>
          </w:p>
        </w:tc>
        <w:tc>
          <w:tcPr>
            <w:tcW w:w="284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-60.5%</w:t>
            </w:r>
          </w:p>
        </w:tc>
        <w:tc>
          <w:tcPr>
            <w:tcW w:w="13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11.4%</w:t>
            </w:r>
          </w:p>
        </w:tc>
        <w:tc>
          <w:tcPr>
            <w:tcW w:w="136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-25.4%</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9.9%</w:t>
            </w:r>
          </w:p>
        </w:tc>
      </w:tr>
      <w:tr>
        <w:trPr>
          <w:trHeight w:val="227"/>
        </w:trPr>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income/(loss)</w:t>
            </w:r>
          </w:p>
        </w:tc>
        <w:tc>
          <w:tcPr>
            <w:tcW w:w="2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(18,633)</w:t>
            </w:r>
          </w:p>
        </w:tc>
        <w:tc>
          <w:tcPr>
            <w:tcW w:w="13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(3,545)</w:t>
            </w:r>
          </w:p>
        </w:tc>
        <w:tc>
          <w:tcPr>
            <w:tcW w:w="13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(22,444)</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(7,021)</w:t>
            </w:r>
          </w:p>
        </w:tc>
      </w:tr>
    </w:tbl>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six month comparisons</w:t>
      </w:r>
    </w:p>
    <w:p>
      <w:pPr>
        <w:spacing w:after="0" w:line="173"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2015 AEC sales increased due to growth in the LEAP program.</w:t>
      </w:r>
    </w:p>
    <w:p>
      <w:pPr>
        <w:spacing w:after="0" w:line="183" w:lineRule="exact"/>
        <w:rPr>
          <w:rFonts w:ascii="Times New Roman" w:cs="Times New Roman" w:eastAsia="Times New Roman" w:hAnsi="Times New Roman"/>
          <w:sz w:val="18"/>
          <w:szCs w:val="18"/>
          <w:color w:val="auto"/>
        </w:rPr>
      </w:pPr>
    </w:p>
    <w:p>
      <w:pPr>
        <w:ind w:left="660" w:right="100" w:hanging="328"/>
        <w:spacing w:after="0" w:line="275" w:lineRule="auto"/>
        <w:tabs>
          <w:tab w:leader="none" w:pos="66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Approximately half of AEC sales were related to LEAP production activities, which were affected in Q1 2014 by a temporary lag due to start-up and inventory effects.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six month comparisons</w:t>
      </w:r>
    </w:p>
    <w:p>
      <w:pPr>
        <w:spacing w:after="0" w:line="173"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Gross profit during the second quarter of 2015 was negatively affected by an unfavorable sales mix in legacy programs.</w:t>
      </w:r>
    </w:p>
    <w:p>
      <w:pPr>
        <w:spacing w:after="0" w:line="19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Gross profit declined in 2015 principally due to the $14.0 million charge for the BR 725 contract.</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contracts</w:t>
      </w:r>
    </w:p>
    <w:p>
      <w:pPr>
        <w:spacing w:after="0" w:line="173"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AEC has contracts with certain customers, including its contract for the LEAP program, where revenue is determined by cost, plus a defined profit margin. Revenue earned under these arrangements accounted for approximately 48.7 percent and 43.8 percent of total revenue for the first six months of 2015 and 2014, respectively.</w:t>
      </w:r>
    </w:p>
    <w:p>
      <w:pPr>
        <w:spacing w:after="0" w:line="205" w:lineRule="exact"/>
        <w:rPr>
          <w:sz w:val="20"/>
          <w:szCs w:val="20"/>
          <w:color w:val="auto"/>
        </w:rPr>
      </w:pPr>
    </w:p>
    <w:p>
      <w:pPr>
        <w:ind w:right="80" w:firstLine="648"/>
        <w:spacing w:after="0" w:line="243" w:lineRule="auto"/>
        <w:rPr>
          <w:sz w:val="20"/>
          <w:szCs w:val="20"/>
          <w:color w:val="auto"/>
        </w:rPr>
      </w:pPr>
      <w:r>
        <w:rPr>
          <w:rFonts w:ascii="Arial" w:cs="Arial" w:eastAsia="Arial" w:hAnsi="Arial"/>
          <w:sz w:val="18"/>
          <w:szCs w:val="18"/>
          <w:color w:val="auto"/>
        </w:rPr>
        <w:t>In addition, AEC has long-term fixed price contracts. In accounting for those contracts, we estimate the profit margin expected at the completion of the contract and recognize a pro-rata share of that profit during the course of the contract using a cost-to-cost or units of delivery approach. Changes in estimated contract profitability will affect revenue and gross profit when the change occurs, which could have a significant favorable or unfavorable effect on revenue and gross profit in any reporting period. As noted above, we recorded a charge of $14.0 million in the second quarter of 2015 for revisions to estimated costs of our BR 725 contract. Excluding that charge, changes in contract estimates increased gross profit $0.3 million in the first six months of 2015, but reduced gross profit by $0.5 million in the same period of 2014.</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provides a summary of long-term fixed price contracts that were in process at the end of each period.</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41" w:right="239" w:bottom="1440" w:gutter="0" w:footer="0" w:header="0"/>
        </w:sectPr>
      </w:pPr>
    </w:p>
    <w:bookmarkStart w:id="36" w:name="page37"/>
    <w:bookmarkEnd w:id="36"/>
    <w:tbl>
      <w:tblPr>
        <w:tblLayout w:type="fixed"/>
        <w:tblInd w:w="10" w:type="dxa"/>
        <w:tblCellMar>
          <w:top w:w="0" w:type="dxa"/>
          <w:left w:w="0" w:type="dxa"/>
          <w:bottom w:w="0" w:type="dxa"/>
          <w:right w:w="0" w:type="dxa"/>
        </w:tblCellMar>
      </w:tblPr>
      <w:tr>
        <w:trPr>
          <w:trHeight w:val="191"/>
        </w:trPr>
        <w:tc>
          <w:tcPr>
            <w:tcW w:w="6460" w:type="dxa"/>
            <w:vAlign w:val="bottom"/>
            <w:tcBorders>
              <w:top w:val="single" w:sz="8" w:color="auto"/>
              <w:left w:val="single" w:sz="8" w:color="auto"/>
            </w:tcBorders>
          </w:tcPr>
          <w:p>
            <w:pPr>
              <w:spacing w:after="0"/>
              <w:rPr>
                <w:sz w:val="16"/>
                <w:szCs w:val="16"/>
                <w:color w:val="auto"/>
              </w:rPr>
            </w:pPr>
          </w:p>
        </w:tc>
        <w:tc>
          <w:tcPr>
            <w:tcW w:w="4960" w:type="dxa"/>
            <w:vAlign w:val="bottom"/>
            <w:tcBorders>
              <w:top w:val="single" w:sz="8" w:color="auto"/>
              <w:right w:val="single" w:sz="8" w:color="auto"/>
            </w:tcBorders>
            <w:gridSpan w:val="2"/>
          </w:tcPr>
          <w:p>
            <w:pPr>
              <w:ind w:left="2980"/>
              <w:spacing w:after="0" w:line="191" w:lineRule="exact"/>
              <w:rPr>
                <w:sz w:val="20"/>
                <w:szCs w:val="20"/>
                <w:color w:val="auto"/>
              </w:rPr>
            </w:pPr>
            <w:r>
              <w:rPr>
                <w:rFonts w:ascii="Arial" w:cs="Arial" w:eastAsia="Arial" w:hAnsi="Arial"/>
                <w:sz w:val="18"/>
                <w:szCs w:val="18"/>
                <w:b w:val="1"/>
                <w:bCs w:val="1"/>
                <w:color w:val="auto"/>
              </w:rPr>
              <w:t>Six months ended</w:t>
            </w:r>
          </w:p>
        </w:tc>
      </w:tr>
      <w:tr>
        <w:trPr>
          <w:trHeight w:val="203"/>
        </w:trPr>
        <w:tc>
          <w:tcPr>
            <w:tcW w:w="6460" w:type="dxa"/>
            <w:vAlign w:val="bottom"/>
            <w:tcBorders>
              <w:left w:val="single" w:sz="8" w:color="auto"/>
            </w:tcBorders>
          </w:tcPr>
          <w:p>
            <w:pPr>
              <w:spacing w:after="0"/>
              <w:rPr>
                <w:sz w:val="17"/>
                <w:szCs w:val="17"/>
                <w:color w:val="auto"/>
              </w:rPr>
            </w:pPr>
          </w:p>
        </w:tc>
        <w:tc>
          <w:tcPr>
            <w:tcW w:w="41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June 30,</w:t>
            </w:r>
          </w:p>
        </w:tc>
        <w:tc>
          <w:tcPr>
            <w:tcW w:w="820" w:type="dxa"/>
            <w:vAlign w:val="bottom"/>
            <w:tcBorders>
              <w:right w:val="single" w:sz="8" w:color="auto"/>
            </w:tcBorders>
          </w:tcPr>
          <w:p>
            <w:pPr>
              <w:spacing w:after="0"/>
              <w:rPr>
                <w:sz w:val="17"/>
                <w:szCs w:val="17"/>
                <w:color w:val="auto"/>
              </w:rPr>
            </w:pPr>
          </w:p>
        </w:tc>
      </w:tr>
      <w:tr>
        <w:trPr>
          <w:trHeight w:val="227"/>
        </w:trPr>
        <w:tc>
          <w:tcPr>
            <w:tcW w:w="64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(in thousands)</w:t>
            </w:r>
          </w:p>
        </w:tc>
        <w:tc>
          <w:tcPr>
            <w:tcW w:w="4140" w:type="dxa"/>
            <w:vAlign w:val="bottom"/>
            <w:tcBorders>
              <w:bottom w:val="single" w:sz="8" w:color="auto"/>
            </w:tcBorders>
          </w:tcPr>
          <w:p>
            <w:pPr>
              <w:ind w:left="2980"/>
              <w:spacing w:after="0"/>
              <w:rPr>
                <w:sz w:val="20"/>
                <w:szCs w:val="20"/>
                <w:color w:val="auto"/>
              </w:rPr>
            </w:pPr>
            <w:r>
              <w:rPr>
                <w:rFonts w:ascii="Arial" w:cs="Arial" w:eastAsia="Arial" w:hAnsi="Arial"/>
                <w:sz w:val="18"/>
                <w:szCs w:val="18"/>
                <w:b w:val="1"/>
                <w:bCs w:val="1"/>
                <w:color w:val="auto"/>
              </w:rPr>
              <w:t>2015</w:t>
            </w:r>
          </w:p>
        </w:tc>
        <w:tc>
          <w:tcPr>
            <w:tcW w:w="820" w:type="dxa"/>
            <w:vAlign w:val="bottom"/>
            <w:tcBorders>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2014</w:t>
            </w:r>
          </w:p>
        </w:tc>
      </w:tr>
      <w:tr>
        <w:trPr>
          <w:trHeight w:val="171"/>
        </w:trPr>
        <w:tc>
          <w:tcPr>
            <w:tcW w:w="6460" w:type="dxa"/>
            <w:vAlign w:val="bottom"/>
            <w:tcBorders>
              <w:left w:val="single" w:sz="8" w:color="auto"/>
            </w:tcBorders>
          </w:tcPr>
          <w:p>
            <w:pPr>
              <w:ind w:left="20"/>
              <w:spacing w:after="0" w:line="171" w:lineRule="exact"/>
              <w:rPr>
                <w:sz w:val="20"/>
                <w:szCs w:val="20"/>
                <w:color w:val="auto"/>
              </w:rPr>
            </w:pPr>
            <w:r>
              <w:rPr>
                <w:rFonts w:ascii="Arial" w:cs="Arial" w:eastAsia="Arial" w:hAnsi="Arial"/>
                <w:sz w:val="18"/>
                <w:szCs w:val="18"/>
                <w:color w:val="auto"/>
              </w:rPr>
              <w:t>Revenue earned during period</w:t>
            </w:r>
          </w:p>
        </w:tc>
        <w:tc>
          <w:tcPr>
            <w:tcW w:w="4140" w:type="dxa"/>
            <w:vAlign w:val="bottom"/>
          </w:tcPr>
          <w:p>
            <w:pPr>
              <w:jc w:val="right"/>
              <w:ind w:right="370"/>
              <w:spacing w:after="0" w:line="171" w:lineRule="exact"/>
              <w:rPr>
                <w:sz w:val="20"/>
                <w:szCs w:val="20"/>
                <w:color w:val="auto"/>
              </w:rPr>
            </w:pPr>
            <w:r>
              <w:rPr>
                <w:rFonts w:ascii="Arial" w:cs="Arial" w:eastAsia="Arial" w:hAnsi="Arial"/>
                <w:sz w:val="18"/>
                <w:szCs w:val="18"/>
                <w:b w:val="1"/>
                <w:bCs w:val="1"/>
                <w:color w:val="auto"/>
              </w:rPr>
              <w:t>$9,025</w:t>
            </w:r>
          </w:p>
        </w:tc>
        <w:tc>
          <w:tcPr>
            <w:tcW w:w="820" w:type="dxa"/>
            <w:vAlign w:val="bottom"/>
            <w:tcBorders>
              <w:right w:val="single" w:sz="8" w:color="auto"/>
            </w:tcBorders>
          </w:tcPr>
          <w:p>
            <w:pPr>
              <w:jc w:val="right"/>
              <w:ind w:right="30"/>
              <w:spacing w:after="0" w:line="171" w:lineRule="exact"/>
              <w:rPr>
                <w:sz w:val="20"/>
                <w:szCs w:val="20"/>
                <w:color w:val="auto"/>
              </w:rPr>
            </w:pPr>
            <w:r>
              <w:rPr>
                <w:rFonts w:ascii="Arial" w:cs="Arial" w:eastAsia="Arial" w:hAnsi="Arial"/>
                <w:sz w:val="18"/>
                <w:szCs w:val="18"/>
                <w:color w:val="auto"/>
              </w:rPr>
              <w:t>$6,989</w:t>
            </w:r>
          </w:p>
        </w:tc>
      </w:tr>
      <w:tr>
        <w:trPr>
          <w:trHeight w:val="203"/>
        </w:trPr>
        <w:tc>
          <w:tcPr>
            <w:tcW w:w="6460" w:type="dxa"/>
            <w:vAlign w:val="bottom"/>
            <w:tcBorders>
              <w:left w:val="single" w:sz="8" w:color="auto"/>
            </w:tcBorders>
          </w:tcPr>
          <w:p>
            <w:pPr>
              <w:ind w:left="20"/>
              <w:spacing w:after="0" w:line="202" w:lineRule="exact"/>
              <w:rPr>
                <w:sz w:val="20"/>
                <w:szCs w:val="20"/>
                <w:color w:val="auto"/>
              </w:rPr>
            </w:pPr>
            <w:r>
              <w:rPr>
                <w:rFonts w:ascii="Arial" w:cs="Arial" w:eastAsia="Arial" w:hAnsi="Arial"/>
                <w:sz w:val="18"/>
                <w:szCs w:val="18"/>
                <w:color w:val="auto"/>
              </w:rPr>
              <w:t>Total value of contracts in process</w:t>
            </w:r>
          </w:p>
        </w:tc>
        <w:tc>
          <w:tcPr>
            <w:tcW w:w="4140" w:type="dxa"/>
            <w:vAlign w:val="bottom"/>
          </w:tcPr>
          <w:p>
            <w:pPr>
              <w:jc w:val="right"/>
              <w:ind w:right="370"/>
              <w:spacing w:after="0" w:line="202" w:lineRule="exact"/>
              <w:rPr>
                <w:sz w:val="20"/>
                <w:szCs w:val="20"/>
                <w:color w:val="auto"/>
              </w:rPr>
            </w:pPr>
            <w:r>
              <w:rPr>
                <w:rFonts w:ascii="Arial" w:cs="Arial" w:eastAsia="Arial" w:hAnsi="Arial"/>
                <w:sz w:val="18"/>
                <w:szCs w:val="18"/>
                <w:b w:val="1"/>
                <w:bCs w:val="1"/>
                <w:color w:val="auto"/>
              </w:rPr>
              <w:t>29,778</w:t>
            </w:r>
          </w:p>
        </w:tc>
        <w:tc>
          <w:tcPr>
            <w:tcW w:w="820" w:type="dxa"/>
            <w:vAlign w:val="bottom"/>
            <w:tcBorders>
              <w:right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28,474</w:t>
            </w:r>
          </w:p>
        </w:tc>
      </w:tr>
      <w:tr>
        <w:trPr>
          <w:trHeight w:val="203"/>
        </w:trPr>
        <w:tc>
          <w:tcPr>
            <w:tcW w:w="6460" w:type="dxa"/>
            <w:vAlign w:val="bottom"/>
            <w:tcBorders>
              <w:left w:val="single" w:sz="8" w:color="auto"/>
            </w:tcBorders>
          </w:tcPr>
          <w:p>
            <w:pPr>
              <w:ind w:left="20"/>
              <w:spacing w:after="0" w:line="202" w:lineRule="exact"/>
              <w:rPr>
                <w:sz w:val="20"/>
                <w:szCs w:val="20"/>
                <w:color w:val="auto"/>
              </w:rPr>
            </w:pPr>
            <w:r>
              <w:rPr>
                <w:rFonts w:ascii="Arial" w:cs="Arial" w:eastAsia="Arial" w:hAnsi="Arial"/>
                <w:sz w:val="18"/>
                <w:szCs w:val="18"/>
                <w:color w:val="auto"/>
              </w:rPr>
              <w:t>Revenue recognized to date</w:t>
            </w:r>
          </w:p>
        </w:tc>
        <w:tc>
          <w:tcPr>
            <w:tcW w:w="4140" w:type="dxa"/>
            <w:vAlign w:val="bottom"/>
          </w:tcPr>
          <w:p>
            <w:pPr>
              <w:jc w:val="right"/>
              <w:ind w:right="370"/>
              <w:spacing w:after="0" w:line="202" w:lineRule="exact"/>
              <w:rPr>
                <w:sz w:val="20"/>
                <w:szCs w:val="20"/>
                <w:color w:val="auto"/>
              </w:rPr>
            </w:pPr>
            <w:r>
              <w:rPr>
                <w:rFonts w:ascii="Arial" w:cs="Arial" w:eastAsia="Arial" w:hAnsi="Arial"/>
                <w:sz w:val="18"/>
                <w:szCs w:val="18"/>
                <w:b w:val="1"/>
                <w:bCs w:val="1"/>
                <w:color w:val="auto"/>
              </w:rPr>
              <w:t>24,046</w:t>
            </w:r>
          </w:p>
        </w:tc>
        <w:tc>
          <w:tcPr>
            <w:tcW w:w="820" w:type="dxa"/>
            <w:vAlign w:val="bottom"/>
            <w:tcBorders>
              <w:right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16,004</w:t>
            </w:r>
          </w:p>
        </w:tc>
      </w:tr>
      <w:tr>
        <w:trPr>
          <w:trHeight w:val="227"/>
        </w:trPr>
        <w:tc>
          <w:tcPr>
            <w:tcW w:w="64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Revenue to be recognized in future periods</w:t>
            </w:r>
          </w:p>
        </w:tc>
        <w:tc>
          <w:tcPr>
            <w:tcW w:w="41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5,732</w:t>
            </w:r>
          </w:p>
        </w:tc>
        <w:tc>
          <w:tcPr>
            <w:tcW w:w="8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12,470</w:t>
            </w:r>
          </w:p>
        </w:tc>
      </w:tr>
    </w:tbl>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Income/(Loss)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Three and six month comparison</w:t>
      </w:r>
    </w:p>
    <w:p>
      <w:pPr>
        <w:spacing w:after="0" w:line="187"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operating loss increased in 2015 due to the $14.0 million BR 725 charge and higher STG&amp;R expenses.</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Flow Summary</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7280" w:type="dxa"/>
            <w:vAlign w:val="bottom"/>
            <w:tcBorders>
              <w:top w:val="single" w:sz="8" w:color="auto"/>
            </w:tcBorders>
          </w:tcPr>
          <w:p>
            <w:pPr>
              <w:spacing w:after="0"/>
              <w:rPr>
                <w:sz w:val="16"/>
                <w:szCs w:val="16"/>
                <w:color w:val="auto"/>
              </w:rPr>
            </w:pPr>
          </w:p>
        </w:tc>
        <w:tc>
          <w:tcPr>
            <w:tcW w:w="4120" w:type="dxa"/>
            <w:vAlign w:val="bottom"/>
            <w:tcBorders>
              <w:top w:val="single" w:sz="8" w:color="auto"/>
            </w:tcBorders>
            <w:gridSpan w:val="2"/>
          </w:tcPr>
          <w:p>
            <w:pPr>
              <w:jc w:val="right"/>
              <w:ind w:right="310"/>
              <w:spacing w:after="0" w:line="191" w:lineRule="exact"/>
              <w:rPr>
                <w:sz w:val="20"/>
                <w:szCs w:val="20"/>
                <w:color w:val="auto"/>
              </w:rPr>
            </w:pPr>
            <w:r>
              <w:rPr>
                <w:rFonts w:ascii="Arial" w:cs="Arial" w:eastAsia="Arial" w:hAnsi="Arial"/>
                <w:sz w:val="18"/>
                <w:szCs w:val="18"/>
                <w:b w:val="1"/>
                <w:bCs w:val="1"/>
                <w:color w:val="auto"/>
              </w:rPr>
              <w:t>Six months ended</w:t>
            </w:r>
          </w:p>
        </w:tc>
      </w:tr>
      <w:tr>
        <w:trPr>
          <w:trHeight w:val="203"/>
        </w:trPr>
        <w:tc>
          <w:tcPr>
            <w:tcW w:w="20" w:type="dxa"/>
            <w:vAlign w:val="bottom"/>
          </w:tcPr>
          <w:p>
            <w:pPr>
              <w:spacing w:after="0"/>
              <w:rPr>
                <w:sz w:val="17"/>
                <w:szCs w:val="17"/>
                <w:color w:val="auto"/>
              </w:rPr>
            </w:pPr>
          </w:p>
        </w:tc>
        <w:tc>
          <w:tcPr>
            <w:tcW w:w="7280" w:type="dxa"/>
            <w:vAlign w:val="bottom"/>
          </w:tcPr>
          <w:p>
            <w:pPr>
              <w:spacing w:after="0"/>
              <w:rPr>
                <w:sz w:val="17"/>
                <w:szCs w:val="17"/>
                <w:color w:val="auto"/>
              </w:rPr>
            </w:pPr>
          </w:p>
        </w:tc>
        <w:tc>
          <w:tcPr>
            <w:tcW w:w="4120" w:type="dxa"/>
            <w:vAlign w:val="bottom"/>
            <w:gridSpan w:val="2"/>
          </w:tcPr>
          <w:p>
            <w:pPr>
              <w:jc w:val="right"/>
              <w:ind w:right="690"/>
              <w:spacing w:after="0" w:line="202" w:lineRule="exact"/>
              <w:rPr>
                <w:sz w:val="20"/>
                <w:szCs w:val="20"/>
                <w:color w:val="auto"/>
              </w:rPr>
            </w:pPr>
            <w:r>
              <w:rPr>
                <w:rFonts w:ascii="Arial" w:cs="Arial" w:eastAsia="Arial" w:hAnsi="Arial"/>
                <w:sz w:val="18"/>
                <w:szCs w:val="18"/>
                <w:b w:val="1"/>
                <w:bCs w:val="1"/>
                <w:color w:val="auto"/>
              </w:rPr>
              <w:t>June 30,</w:t>
            </w:r>
          </w:p>
        </w:tc>
      </w:tr>
      <w:tr>
        <w:trPr>
          <w:trHeight w:val="227"/>
        </w:trPr>
        <w:tc>
          <w:tcPr>
            <w:tcW w:w="7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2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2014</w:t>
            </w:r>
          </w:p>
        </w:tc>
      </w:tr>
      <w:tr>
        <w:trPr>
          <w:trHeight w:val="171"/>
        </w:trPr>
        <w:tc>
          <w:tcPr>
            <w:tcW w:w="7300" w:type="dxa"/>
            <w:vAlign w:val="bottom"/>
            <w:gridSpan w:val="2"/>
          </w:tcPr>
          <w:p>
            <w:pPr>
              <w:spacing w:after="0" w:line="171" w:lineRule="exact"/>
              <w:rPr>
                <w:sz w:val="20"/>
                <w:szCs w:val="20"/>
                <w:color w:val="auto"/>
              </w:rPr>
            </w:pPr>
            <w:r>
              <w:rPr>
                <w:rFonts w:ascii="Arial" w:cs="Arial" w:eastAsia="Arial" w:hAnsi="Arial"/>
                <w:sz w:val="18"/>
                <w:szCs w:val="18"/>
                <w:color w:val="auto"/>
              </w:rPr>
              <w:t>Net income</w:t>
            </w:r>
          </w:p>
        </w:tc>
        <w:tc>
          <w:tcPr>
            <w:tcW w:w="2960" w:type="dxa"/>
            <w:vAlign w:val="bottom"/>
          </w:tcPr>
          <w:p>
            <w:pPr>
              <w:jc w:val="right"/>
              <w:ind w:right="270"/>
              <w:spacing w:after="0" w:line="171" w:lineRule="exact"/>
              <w:rPr>
                <w:sz w:val="20"/>
                <w:szCs w:val="20"/>
                <w:color w:val="auto"/>
              </w:rPr>
            </w:pPr>
            <w:r>
              <w:rPr>
                <w:rFonts w:ascii="Arial" w:cs="Arial" w:eastAsia="Arial" w:hAnsi="Arial"/>
                <w:sz w:val="18"/>
                <w:szCs w:val="18"/>
                <w:b w:val="1"/>
                <w:bCs w:val="1"/>
                <w:color w:val="auto"/>
              </w:rPr>
              <w:t>$10,119</w:t>
            </w:r>
          </w:p>
        </w:tc>
        <w:tc>
          <w:tcPr>
            <w:tcW w:w="1160" w:type="dxa"/>
            <w:vAlign w:val="bottom"/>
          </w:tcPr>
          <w:p>
            <w:pPr>
              <w:jc w:val="right"/>
              <w:ind w:right="10"/>
              <w:spacing w:after="0" w:line="171" w:lineRule="exact"/>
              <w:rPr>
                <w:sz w:val="20"/>
                <w:szCs w:val="20"/>
                <w:color w:val="auto"/>
              </w:rPr>
            </w:pPr>
            <w:r>
              <w:rPr>
                <w:rFonts w:ascii="Arial" w:cs="Arial" w:eastAsia="Arial" w:hAnsi="Arial"/>
                <w:sz w:val="18"/>
                <w:szCs w:val="18"/>
                <w:color w:val="auto"/>
              </w:rPr>
              <w:t>$21,870</w:t>
            </w:r>
          </w:p>
        </w:tc>
      </w:tr>
      <w:tr>
        <w:trPr>
          <w:trHeight w:val="203"/>
        </w:trPr>
        <w:tc>
          <w:tcPr>
            <w:tcW w:w="20" w:type="dxa"/>
            <w:vAlign w:val="bottom"/>
          </w:tcPr>
          <w:p>
            <w:pPr>
              <w:spacing w:after="0"/>
              <w:rPr>
                <w:sz w:val="17"/>
                <w:szCs w:val="17"/>
                <w:color w:val="auto"/>
              </w:rPr>
            </w:pPr>
          </w:p>
        </w:tc>
        <w:tc>
          <w:tcPr>
            <w:tcW w:w="7280" w:type="dxa"/>
            <w:vAlign w:val="bottom"/>
          </w:tcPr>
          <w:p>
            <w:pPr>
              <w:ind w:left="340"/>
              <w:spacing w:after="0" w:line="202" w:lineRule="exact"/>
              <w:rPr>
                <w:sz w:val="20"/>
                <w:szCs w:val="20"/>
                <w:color w:val="auto"/>
              </w:rPr>
            </w:pPr>
            <w:r>
              <w:rPr>
                <w:rFonts w:ascii="Arial" w:cs="Arial" w:eastAsia="Arial" w:hAnsi="Arial"/>
                <w:sz w:val="18"/>
                <w:szCs w:val="18"/>
                <w:color w:val="auto"/>
              </w:rPr>
              <w:t>Depreciation and amortization</w:t>
            </w:r>
          </w:p>
        </w:tc>
        <w:tc>
          <w:tcPr>
            <w:tcW w:w="2960" w:type="dxa"/>
            <w:vAlign w:val="bottom"/>
          </w:tcPr>
          <w:p>
            <w:pPr>
              <w:jc w:val="right"/>
              <w:ind w:right="270"/>
              <w:spacing w:after="0" w:line="202" w:lineRule="exact"/>
              <w:rPr>
                <w:sz w:val="20"/>
                <w:szCs w:val="20"/>
                <w:color w:val="auto"/>
              </w:rPr>
            </w:pPr>
            <w:r>
              <w:rPr>
                <w:rFonts w:ascii="Arial" w:cs="Arial" w:eastAsia="Arial" w:hAnsi="Arial"/>
                <w:sz w:val="18"/>
                <w:szCs w:val="18"/>
                <w:b w:val="1"/>
                <w:bCs w:val="1"/>
                <w:color w:val="auto"/>
              </w:rPr>
              <w:t>30,538</w:t>
            </w: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32,005</w:t>
            </w:r>
          </w:p>
        </w:tc>
      </w:tr>
      <w:tr>
        <w:trPr>
          <w:trHeight w:val="203"/>
        </w:trPr>
        <w:tc>
          <w:tcPr>
            <w:tcW w:w="20" w:type="dxa"/>
            <w:vAlign w:val="bottom"/>
          </w:tcPr>
          <w:p>
            <w:pPr>
              <w:spacing w:after="0"/>
              <w:rPr>
                <w:sz w:val="17"/>
                <w:szCs w:val="17"/>
                <w:color w:val="auto"/>
              </w:rPr>
            </w:pPr>
          </w:p>
        </w:tc>
        <w:tc>
          <w:tcPr>
            <w:tcW w:w="7280" w:type="dxa"/>
            <w:vAlign w:val="bottom"/>
          </w:tcPr>
          <w:p>
            <w:pPr>
              <w:ind w:left="340"/>
              <w:spacing w:after="0" w:line="202" w:lineRule="exact"/>
              <w:rPr>
                <w:sz w:val="20"/>
                <w:szCs w:val="20"/>
                <w:color w:val="auto"/>
              </w:rPr>
            </w:pPr>
            <w:r>
              <w:rPr>
                <w:rFonts w:ascii="Arial" w:cs="Arial" w:eastAsia="Arial" w:hAnsi="Arial"/>
                <w:sz w:val="18"/>
                <w:szCs w:val="18"/>
                <w:color w:val="auto"/>
              </w:rPr>
              <w:t>Changes in working capital</w:t>
            </w:r>
          </w:p>
        </w:tc>
        <w:tc>
          <w:tcPr>
            <w:tcW w:w="296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(16,859)</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(15,640)</w:t>
            </w:r>
          </w:p>
        </w:tc>
      </w:tr>
      <w:tr>
        <w:trPr>
          <w:trHeight w:val="203"/>
        </w:trPr>
        <w:tc>
          <w:tcPr>
            <w:tcW w:w="20" w:type="dxa"/>
            <w:vAlign w:val="bottom"/>
          </w:tcPr>
          <w:p>
            <w:pPr>
              <w:spacing w:after="0"/>
              <w:rPr>
                <w:sz w:val="17"/>
                <w:szCs w:val="17"/>
                <w:color w:val="auto"/>
              </w:rPr>
            </w:pPr>
          </w:p>
        </w:tc>
        <w:tc>
          <w:tcPr>
            <w:tcW w:w="7280" w:type="dxa"/>
            <w:vAlign w:val="bottom"/>
          </w:tcPr>
          <w:p>
            <w:pPr>
              <w:ind w:left="340"/>
              <w:spacing w:after="0" w:line="202" w:lineRule="exact"/>
              <w:rPr>
                <w:sz w:val="20"/>
                <w:szCs w:val="20"/>
                <w:color w:val="auto"/>
              </w:rPr>
            </w:pPr>
            <w:r>
              <w:rPr>
                <w:rFonts w:ascii="Arial" w:cs="Arial" w:eastAsia="Arial" w:hAnsi="Arial"/>
                <w:sz w:val="18"/>
                <w:szCs w:val="18"/>
                <w:color w:val="auto"/>
              </w:rPr>
              <w:t>Gain on disposition of assets</w:t>
            </w:r>
          </w:p>
        </w:tc>
        <w:tc>
          <w:tcPr>
            <w:tcW w:w="296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(1,056)</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(961)</w:t>
            </w:r>
          </w:p>
        </w:tc>
      </w:tr>
      <w:tr>
        <w:trPr>
          <w:trHeight w:val="203"/>
        </w:trPr>
        <w:tc>
          <w:tcPr>
            <w:tcW w:w="20" w:type="dxa"/>
            <w:vAlign w:val="bottom"/>
          </w:tcPr>
          <w:p>
            <w:pPr>
              <w:spacing w:after="0"/>
              <w:rPr>
                <w:sz w:val="17"/>
                <w:szCs w:val="17"/>
                <w:color w:val="auto"/>
              </w:rPr>
            </w:pPr>
          </w:p>
        </w:tc>
        <w:tc>
          <w:tcPr>
            <w:tcW w:w="7280" w:type="dxa"/>
            <w:vAlign w:val="bottom"/>
          </w:tcPr>
          <w:p>
            <w:pPr>
              <w:ind w:left="340"/>
              <w:spacing w:after="0" w:line="202" w:lineRule="exact"/>
              <w:rPr>
                <w:sz w:val="20"/>
                <w:szCs w:val="20"/>
                <w:color w:val="auto"/>
              </w:rPr>
            </w:pPr>
            <w:r>
              <w:rPr>
                <w:rFonts w:ascii="Arial" w:cs="Arial" w:eastAsia="Arial" w:hAnsi="Arial"/>
                <w:sz w:val="18"/>
                <w:szCs w:val="18"/>
                <w:color w:val="auto"/>
              </w:rPr>
              <w:t>Changes in long-term liabilities, deferred taxes and other credits</w:t>
            </w:r>
          </w:p>
        </w:tc>
        <w:tc>
          <w:tcPr>
            <w:tcW w:w="296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(6,197)</w:t>
            </w: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2,732</w:t>
            </w:r>
          </w:p>
        </w:tc>
      </w:tr>
      <w:tr>
        <w:trPr>
          <w:trHeight w:val="227"/>
        </w:trPr>
        <w:tc>
          <w:tcPr>
            <w:tcW w:w="20" w:type="dxa"/>
            <w:vAlign w:val="bottom"/>
          </w:tcPr>
          <w:p>
            <w:pPr>
              <w:spacing w:after="0"/>
              <w:rPr>
                <w:sz w:val="19"/>
                <w:szCs w:val="19"/>
                <w:color w:val="auto"/>
              </w:rPr>
            </w:pPr>
          </w:p>
        </w:tc>
        <w:tc>
          <w:tcPr>
            <w:tcW w:w="72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Other operating items</w:t>
            </w:r>
          </w:p>
        </w:tc>
        <w:tc>
          <w:tcPr>
            <w:tcW w:w="2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807</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1,531</w:t>
            </w:r>
          </w:p>
        </w:tc>
      </w:tr>
      <w:tr>
        <w:trPr>
          <w:trHeight w:val="171"/>
        </w:trPr>
        <w:tc>
          <w:tcPr>
            <w:tcW w:w="20" w:type="dxa"/>
            <w:vAlign w:val="bottom"/>
          </w:tcPr>
          <w:p>
            <w:pPr>
              <w:spacing w:after="0"/>
              <w:rPr>
                <w:sz w:val="14"/>
                <w:szCs w:val="14"/>
                <w:color w:val="auto"/>
              </w:rPr>
            </w:pPr>
          </w:p>
        </w:tc>
        <w:tc>
          <w:tcPr>
            <w:tcW w:w="7280" w:type="dxa"/>
            <w:vAlign w:val="bottom"/>
          </w:tcPr>
          <w:p>
            <w:pPr>
              <w:spacing w:after="0" w:line="171" w:lineRule="exact"/>
              <w:rPr>
                <w:sz w:val="20"/>
                <w:szCs w:val="20"/>
                <w:color w:val="auto"/>
              </w:rPr>
            </w:pPr>
            <w:r>
              <w:rPr>
                <w:rFonts w:ascii="Arial" w:cs="Arial" w:eastAsia="Arial" w:hAnsi="Arial"/>
                <w:sz w:val="18"/>
                <w:szCs w:val="18"/>
                <w:color w:val="auto"/>
              </w:rPr>
              <w:t>Net cash provided by operating activities</w:t>
            </w:r>
          </w:p>
        </w:tc>
        <w:tc>
          <w:tcPr>
            <w:tcW w:w="2960" w:type="dxa"/>
            <w:vAlign w:val="bottom"/>
          </w:tcPr>
          <w:p>
            <w:pPr>
              <w:jc w:val="right"/>
              <w:ind w:right="270"/>
              <w:spacing w:after="0" w:line="171" w:lineRule="exact"/>
              <w:rPr>
                <w:sz w:val="20"/>
                <w:szCs w:val="20"/>
                <w:color w:val="auto"/>
              </w:rPr>
            </w:pPr>
            <w:r>
              <w:rPr>
                <w:rFonts w:ascii="Arial" w:cs="Arial" w:eastAsia="Arial" w:hAnsi="Arial"/>
                <w:sz w:val="18"/>
                <w:szCs w:val="18"/>
                <w:b w:val="1"/>
                <w:bCs w:val="1"/>
                <w:color w:val="auto"/>
              </w:rPr>
              <w:t>17,352</w:t>
            </w:r>
          </w:p>
        </w:tc>
        <w:tc>
          <w:tcPr>
            <w:tcW w:w="1160" w:type="dxa"/>
            <w:vAlign w:val="bottom"/>
          </w:tcPr>
          <w:p>
            <w:pPr>
              <w:jc w:val="right"/>
              <w:ind w:right="10"/>
              <w:spacing w:after="0" w:line="171" w:lineRule="exact"/>
              <w:rPr>
                <w:sz w:val="20"/>
                <w:szCs w:val="20"/>
                <w:color w:val="auto"/>
              </w:rPr>
            </w:pPr>
            <w:r>
              <w:rPr>
                <w:rFonts w:ascii="Arial" w:cs="Arial" w:eastAsia="Arial" w:hAnsi="Arial"/>
                <w:sz w:val="18"/>
                <w:szCs w:val="18"/>
                <w:color w:val="auto"/>
              </w:rPr>
              <w:t>41,537</w:t>
            </w:r>
          </w:p>
        </w:tc>
      </w:tr>
      <w:tr>
        <w:trPr>
          <w:trHeight w:val="203"/>
        </w:trPr>
        <w:tc>
          <w:tcPr>
            <w:tcW w:w="7300" w:type="dxa"/>
            <w:vAlign w:val="bottom"/>
            <w:gridSpan w:val="2"/>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296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(28,206)</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(26,756)</w:t>
            </w:r>
          </w:p>
        </w:tc>
      </w:tr>
      <w:tr>
        <w:trPr>
          <w:trHeight w:val="203"/>
        </w:trPr>
        <w:tc>
          <w:tcPr>
            <w:tcW w:w="7300" w:type="dxa"/>
            <w:vAlign w:val="bottom"/>
            <w:gridSpan w:val="2"/>
          </w:tcPr>
          <w:p>
            <w:pPr>
              <w:spacing w:after="0" w:line="202" w:lineRule="exact"/>
              <w:rPr>
                <w:sz w:val="20"/>
                <w:szCs w:val="20"/>
                <w:color w:val="auto"/>
              </w:rPr>
            </w:pPr>
            <w:r>
              <w:rPr>
                <w:rFonts w:ascii="Arial" w:cs="Arial" w:eastAsia="Arial" w:hAnsi="Arial"/>
                <w:sz w:val="18"/>
                <w:szCs w:val="18"/>
                <w:color w:val="auto"/>
              </w:rPr>
              <w:t>Net cash provided by/(used in) financing activities</w:t>
            </w:r>
          </w:p>
        </w:tc>
        <w:tc>
          <w:tcPr>
            <w:tcW w:w="2960" w:type="dxa"/>
            <w:vAlign w:val="bottom"/>
          </w:tcPr>
          <w:p>
            <w:pPr>
              <w:jc w:val="right"/>
              <w:ind w:right="270"/>
              <w:spacing w:after="0" w:line="202" w:lineRule="exact"/>
              <w:rPr>
                <w:sz w:val="20"/>
                <w:szCs w:val="20"/>
                <w:color w:val="auto"/>
              </w:rPr>
            </w:pPr>
            <w:r>
              <w:rPr>
                <w:rFonts w:ascii="Arial" w:cs="Arial" w:eastAsia="Arial" w:hAnsi="Arial"/>
                <w:sz w:val="18"/>
                <w:szCs w:val="18"/>
                <w:b w:val="1"/>
                <w:bCs w:val="1"/>
                <w:color w:val="auto"/>
              </w:rPr>
              <w:t>20,366</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(28,446)</w:t>
            </w:r>
          </w:p>
        </w:tc>
      </w:tr>
      <w:tr>
        <w:trPr>
          <w:trHeight w:val="227"/>
        </w:trPr>
        <w:tc>
          <w:tcPr>
            <w:tcW w:w="7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Effect of exchange rate changes on cash flows</w:t>
            </w:r>
          </w:p>
        </w:tc>
        <w:tc>
          <w:tcPr>
            <w:tcW w:w="2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(6,840)</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(2,165)</w:t>
            </w:r>
          </w:p>
        </w:tc>
      </w:tr>
      <w:tr>
        <w:trPr>
          <w:trHeight w:val="171"/>
        </w:trPr>
        <w:tc>
          <w:tcPr>
            <w:tcW w:w="7300" w:type="dxa"/>
            <w:vAlign w:val="bottom"/>
            <w:gridSpan w:val="2"/>
          </w:tcPr>
          <w:p>
            <w:pPr>
              <w:spacing w:after="0" w:line="171" w:lineRule="exact"/>
              <w:rPr>
                <w:sz w:val="20"/>
                <w:szCs w:val="20"/>
                <w:color w:val="auto"/>
              </w:rPr>
            </w:pPr>
            <w:r>
              <w:rPr>
                <w:rFonts w:ascii="Arial" w:cs="Arial" w:eastAsia="Arial" w:hAnsi="Arial"/>
                <w:sz w:val="18"/>
                <w:szCs w:val="18"/>
                <w:color w:val="auto"/>
              </w:rPr>
              <w:t>Increase/(decrease) in cash and cash equivalents</w:t>
            </w:r>
          </w:p>
        </w:tc>
        <w:tc>
          <w:tcPr>
            <w:tcW w:w="2960" w:type="dxa"/>
            <w:vAlign w:val="bottom"/>
          </w:tcPr>
          <w:p>
            <w:pPr>
              <w:jc w:val="right"/>
              <w:ind w:right="270"/>
              <w:spacing w:after="0" w:line="171" w:lineRule="exact"/>
              <w:rPr>
                <w:sz w:val="20"/>
                <w:szCs w:val="20"/>
                <w:color w:val="auto"/>
              </w:rPr>
            </w:pPr>
            <w:r>
              <w:rPr>
                <w:rFonts w:ascii="Arial" w:cs="Arial" w:eastAsia="Arial" w:hAnsi="Arial"/>
                <w:sz w:val="18"/>
                <w:szCs w:val="18"/>
                <w:b w:val="1"/>
                <w:bCs w:val="1"/>
                <w:color w:val="auto"/>
              </w:rPr>
              <w:t>2,672</w:t>
            </w:r>
          </w:p>
        </w:tc>
        <w:tc>
          <w:tcPr>
            <w:tcW w:w="1160" w:type="dxa"/>
            <w:vAlign w:val="bottom"/>
          </w:tcPr>
          <w:p>
            <w:pPr>
              <w:jc w:val="right"/>
              <w:spacing w:after="0" w:line="171" w:lineRule="exact"/>
              <w:rPr>
                <w:sz w:val="20"/>
                <w:szCs w:val="20"/>
                <w:color w:val="auto"/>
              </w:rPr>
            </w:pPr>
            <w:r>
              <w:rPr>
                <w:rFonts w:ascii="Arial" w:cs="Arial" w:eastAsia="Arial" w:hAnsi="Arial"/>
                <w:sz w:val="18"/>
                <w:szCs w:val="18"/>
                <w:color w:val="auto"/>
              </w:rPr>
              <w:t>(15,830)</w:t>
            </w:r>
          </w:p>
        </w:tc>
      </w:tr>
      <w:tr>
        <w:trPr>
          <w:trHeight w:val="227"/>
        </w:trPr>
        <w:tc>
          <w:tcPr>
            <w:tcW w:w="7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Cash and cash equivalents at beginning of year</w:t>
            </w:r>
          </w:p>
        </w:tc>
        <w:tc>
          <w:tcPr>
            <w:tcW w:w="2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179,802</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222,666</w:t>
            </w:r>
          </w:p>
        </w:tc>
      </w:tr>
      <w:tr>
        <w:trPr>
          <w:trHeight w:val="196"/>
        </w:trPr>
        <w:tc>
          <w:tcPr>
            <w:tcW w:w="730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Cash and cash equivalents at end of period</w:t>
            </w:r>
          </w:p>
        </w:tc>
        <w:tc>
          <w:tcPr>
            <w:tcW w:w="296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$182,474</w:t>
            </w:r>
          </w:p>
        </w:tc>
        <w:tc>
          <w:tcPr>
            <w:tcW w:w="11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$206,836</w:t>
            </w:r>
          </w:p>
        </w:tc>
      </w:tr>
    </w:tbl>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73" w:lineRule="exact"/>
        <w:rPr>
          <w:sz w:val="20"/>
          <w:szCs w:val="20"/>
          <w:color w:val="auto"/>
        </w:rPr>
      </w:pPr>
    </w:p>
    <w:p>
      <w:pPr>
        <w:jc w:val="both"/>
        <w:ind w:right="40" w:firstLine="648"/>
        <w:spacing w:after="0" w:line="247" w:lineRule="auto"/>
        <w:rPr>
          <w:sz w:val="20"/>
          <w:szCs w:val="20"/>
          <w:color w:val="auto"/>
        </w:rPr>
      </w:pPr>
      <w:r>
        <w:rPr>
          <w:rFonts w:ascii="Arial" w:cs="Arial" w:eastAsia="Arial" w:hAnsi="Arial"/>
          <w:sz w:val="18"/>
          <w:szCs w:val="18"/>
          <w:color w:val="auto"/>
        </w:rPr>
        <w:t>Cash provided by operating activities was $17.4 million for the first six months of 2015, compared to $41.5 million in the same period of 2014. Changes in working capital for the first six months of 2015 resulted in a use of cash totaling $16.9 million compared to $15.6 million in</w:t>
      </w:r>
    </w:p>
    <w:p>
      <w:pPr>
        <w:spacing w:after="0" w:line="1"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color w:val="auto"/>
        </w:rPr>
        <w:t>2014. Compared to the first two quarters of 2014, changes in Accounts receivable used $23.8 million of cash flow, while the cash flows from Inventories improved $3.8 million. The year-over-year change in Accounts receivable and inventories was principally due to a 2015 build-up of working capital for the</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849" w:right="239" w:bottom="1440" w:gutter="0" w:footer="0" w:header="0"/>
        </w:sectPr>
      </w:pPr>
    </w:p>
    <w:bookmarkStart w:id="37" w:name="page38"/>
    <w:bookmarkEnd w:id="37"/>
    <w:p>
      <w:pPr>
        <w:ind w:right="60"/>
        <w:spacing w:after="0" w:line="276" w:lineRule="auto"/>
        <w:rPr>
          <w:sz w:val="20"/>
          <w:szCs w:val="20"/>
          <w:color w:val="auto"/>
        </w:rPr>
      </w:pPr>
      <w:r>
        <w:rPr>
          <w:rFonts w:ascii="Arial" w:cs="Arial" w:eastAsia="Arial" w:hAnsi="Arial"/>
          <w:sz w:val="18"/>
          <w:szCs w:val="18"/>
          <w:color w:val="auto"/>
        </w:rPr>
        <w:t>LEAP program. Changes in Accrued liabilities resulted in a use of cash of $2.5 million in 2015 compared to $12.7 million in 2014. Cash paid for income taxes was $12.0 million and $9.3 million for the first six months of 2015 and 2014, respectively.</w:t>
      </w:r>
    </w:p>
    <w:p>
      <w:pPr>
        <w:spacing w:after="0" w:line="105" w:lineRule="exact"/>
        <w:rPr>
          <w:sz w:val="20"/>
          <w:szCs w:val="20"/>
          <w:color w:val="auto"/>
        </w:rPr>
      </w:pPr>
    </w:p>
    <w:p>
      <w:pPr>
        <w:ind w:right="40" w:firstLine="648"/>
        <w:spacing w:after="0" w:line="241" w:lineRule="auto"/>
        <w:rPr>
          <w:sz w:val="20"/>
          <w:szCs w:val="20"/>
          <w:color w:val="auto"/>
        </w:rPr>
      </w:pPr>
      <w:r>
        <w:rPr>
          <w:rFonts w:ascii="Arial" w:cs="Arial" w:eastAsia="Arial" w:hAnsi="Arial"/>
          <w:sz w:val="18"/>
          <w:szCs w:val="18"/>
          <w:color w:val="auto"/>
        </w:rPr>
        <w:t>At June 30, 2015, we had $ 182.5 million of cash and cash equivalents, of which $165.0 million was held by subsidiaries outside of the United States. As disclosed in Note 7 contained in Item 1, “Notes to Consolidated Financial Statements”, we determined that all but $59.4 million of this amount (which represents the amount of prior year earnings to be repatriated to the United States at some point in the future) is intended to be utilized by these non-U.S. operations for an indefinite period of time. Our current plans do not anticipate that we will need funds generated from foreign operations to fund our domestic operations or satisfy debt obligations in the United States. In the event that such funds were to be needed to fund operations in the U.S., and if associated accruals for U.S. tax have not already been provided, we would be required to accrue and pay additional U.S. taxes to repatriate these funds.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73" w:lineRule="exact"/>
        <w:rPr>
          <w:sz w:val="20"/>
          <w:szCs w:val="20"/>
          <w:color w:val="auto"/>
        </w:rPr>
      </w:pPr>
    </w:p>
    <w:p>
      <w:pPr>
        <w:ind w:right="60" w:firstLine="648"/>
        <w:spacing w:after="0" w:line="306" w:lineRule="auto"/>
        <w:rPr>
          <w:sz w:val="20"/>
          <w:szCs w:val="20"/>
          <w:color w:val="auto"/>
        </w:rPr>
      </w:pPr>
      <w:r>
        <w:rPr>
          <w:rFonts w:ascii="Arial" w:cs="Arial" w:eastAsia="Arial" w:hAnsi="Arial"/>
          <w:sz w:val="17"/>
          <w:szCs w:val="17"/>
          <w:color w:val="auto"/>
        </w:rPr>
        <w:t>Capital spending for equipment and software was $ 31.0 million for the first six months of 2015, including $9.0 million for the lease buyout of the building in Rochester, New Hampshire, which houses the Company’s headquarters and AEC’s research and development center.</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87" w:lineRule="exact"/>
        <w:rPr>
          <w:sz w:val="20"/>
          <w:szCs w:val="20"/>
          <w:color w:val="auto"/>
        </w:rPr>
      </w:pPr>
    </w:p>
    <w:p>
      <w:pPr>
        <w:ind w:firstLine="648"/>
        <w:spacing w:after="0" w:line="248" w:lineRule="auto"/>
        <w:rPr>
          <w:sz w:val="20"/>
          <w:szCs w:val="20"/>
          <w:color w:val="auto"/>
        </w:rPr>
      </w:pPr>
      <w:r>
        <w:rPr>
          <w:rFonts w:ascii="Arial" w:cs="Arial" w:eastAsia="Arial" w:hAnsi="Arial"/>
          <w:sz w:val="18"/>
          <w:szCs w:val="18"/>
          <w:color w:val="auto"/>
        </w:rPr>
        <w:t>Dividends have been declared each quarter since the fourth quarter of 2001. Decisions with respect to whether a dividend will be paid, and the amount of the dividend, are made by the Board of Directors each quarter. To the extent the Board declares cash dividends in the future, we expect to pay such dividends out of operating cash flows. Future cash dividends will also depend on debt covenants and on the Board’s assessment of our ability to generate sufficient cash flows.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173" w:lineRule="exact"/>
        <w:rPr>
          <w:sz w:val="20"/>
          <w:szCs w:val="20"/>
          <w:color w:val="auto"/>
        </w:rPr>
      </w:pPr>
    </w:p>
    <w:p>
      <w:pPr>
        <w:ind w:right="220" w:firstLine="648"/>
        <w:spacing w:after="0" w:line="245" w:lineRule="auto"/>
        <w:rPr>
          <w:sz w:val="20"/>
          <w:szCs w:val="20"/>
          <w:color w:val="auto"/>
        </w:rPr>
      </w:pPr>
      <w:r>
        <w:rPr>
          <w:rFonts w:ascii="Arial" w:cs="Arial" w:eastAsia="Arial" w:hAnsi="Arial"/>
          <w:sz w:val="18"/>
          <w:szCs w:val="18"/>
          <w:color w:val="auto"/>
        </w:rPr>
        <w:t>We finance our business activities primarily with cash generated from operations and borrowings, largely through our revolving credit agreement as discussed below. Our subsidiaries outside of the United States may also maintain working capital lines with local banks, but borrowings under such local facilities tend not to be significant. Substantially all of our cash balance at June 30, 2015 was held by non-U.S. subsidiaries. Based on cash on hand and credit facilities, we anticipate that the Company has sufficient capital resources to operate for the foreseeable future. We were in compliance with all debt covenants as of June 30, 2015.</w:t>
      </w:r>
    </w:p>
    <w:p>
      <w:pPr>
        <w:spacing w:after="0" w:line="145" w:lineRule="exact"/>
        <w:rPr>
          <w:sz w:val="20"/>
          <w:szCs w:val="20"/>
          <w:color w:val="auto"/>
        </w:rPr>
      </w:pPr>
    </w:p>
    <w:p>
      <w:pPr>
        <w:ind w:right="220" w:firstLine="648"/>
        <w:spacing w:after="0" w:line="245" w:lineRule="auto"/>
        <w:rPr>
          <w:sz w:val="20"/>
          <w:szCs w:val="20"/>
          <w:color w:val="auto"/>
        </w:rPr>
      </w:pPr>
      <w:r>
        <w:rPr>
          <w:rFonts w:ascii="Arial" w:cs="Arial" w:eastAsia="Arial" w:hAnsi="Arial"/>
          <w:sz w:val="18"/>
          <w:szCs w:val="18"/>
          <w:color w:val="auto"/>
        </w:rPr>
        <w:t>On June 18, 2015, we entered into a $400 million, unsecured Five-Year Revolving Credit Facility Agreement (“Credit Agreement”), under which $202 million of borrowings were outstanding as of June 30, 2015. The Credit Agreement replaces the previous $330 million five-year credit agreement made in 2013. The applicable interest rate for borrowings under the Credit Agreement, as well as under the former agreement, is LIBOR plus a spread, based on our leverage ratio at the time of borrowing. At the time of the last borrowing on June 18, 2015, the spread was 1.375%. The spread is based on a pricing grid, which ranges from 1.25% to 1.75%, based on our leverage ratio.</w:t>
      </w:r>
    </w:p>
    <w:p>
      <w:pPr>
        <w:spacing w:after="0" w:line="132" w:lineRule="exact"/>
        <w:rPr>
          <w:sz w:val="20"/>
          <w:szCs w:val="20"/>
          <w:color w:val="auto"/>
        </w:rPr>
      </w:pPr>
    </w:p>
    <w:p>
      <w:pPr>
        <w:ind w:right="40" w:firstLine="648"/>
        <w:spacing w:after="0" w:line="276" w:lineRule="auto"/>
        <w:rPr>
          <w:sz w:val="20"/>
          <w:szCs w:val="20"/>
          <w:color w:val="auto"/>
        </w:rPr>
      </w:pPr>
      <w:r>
        <w:rPr>
          <w:rFonts w:ascii="Arial" w:cs="Arial" w:eastAsia="Arial" w:hAnsi="Arial"/>
          <w:sz w:val="18"/>
          <w:szCs w:val="18"/>
          <w:color w:val="auto"/>
        </w:rPr>
        <w:t>On July 16, 2010, May 20, 2013 and July 16, 2015 we entered into hedging transactions that had the effect of fixing the interest rate on $100 million to $120 million of borrowings drawn under the Credit Agreement at the rate during the period.</w:t>
      </w: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43" w:right="239" w:bottom="1440" w:gutter="0" w:footer="0" w:header="0"/>
        </w:sectPr>
      </w:pPr>
    </w:p>
    <w:bookmarkStart w:id="38" w:name="page39"/>
    <w:bookmarkEnd w:id="38"/>
    <w:p>
      <w:pPr>
        <w:ind w:right="480" w:firstLine="648"/>
        <w:spacing w:after="0" w:line="255" w:lineRule="auto"/>
        <w:rPr>
          <w:sz w:val="20"/>
          <w:szCs w:val="20"/>
          <w:color w:val="auto"/>
        </w:rPr>
      </w:pPr>
      <w:r>
        <w:rPr>
          <w:rFonts w:ascii="Arial" w:cs="Arial" w:eastAsia="Arial" w:hAnsi="Arial"/>
          <w:sz w:val="18"/>
          <w:szCs w:val="18"/>
          <w:color w:val="auto"/>
        </w:rPr>
        <w:t>As of June 30, 2015, our leverage ratio was 1.55 to 1.00 and our interest coverage ratio was 12.59 to 1.00. We may purchase our Common Stock or pay dividends to the extent our leverage ratio remains at or below 3.50 to 1.00, and may make acquisitions with cash provided our leverage ratio would not exceed 3.50 to 1.00 after giving pro forma effect to the acquisition.</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more information, see Note 13 to the Consolidated Financial Statements in Item 1, which is incorporated herein by reference.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2015, we have no off-balance sheet arrangements required to be disclosed pursuant to Item 303(a)(4) of Regulation 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7" w:lineRule="exact"/>
        <w:rPr>
          <w:sz w:val="20"/>
          <w:szCs w:val="20"/>
          <w:color w:val="auto"/>
        </w:rPr>
      </w:pPr>
    </w:p>
    <w:p>
      <w:pPr>
        <w:ind w:right="540" w:firstLine="648"/>
        <w:spacing w:after="0" w:line="276" w:lineRule="auto"/>
        <w:rPr>
          <w:sz w:val="20"/>
          <w:szCs w:val="20"/>
          <w:color w:val="auto"/>
        </w:rPr>
      </w:pPr>
      <w:r>
        <w:rPr>
          <w:rFonts w:ascii="Arial" w:cs="Arial" w:eastAsia="Arial" w:hAnsi="Arial"/>
          <w:sz w:val="18"/>
          <w:szCs w:val="18"/>
          <w:color w:val="auto"/>
        </w:rPr>
        <w:t>The information set forth under Note 17 contained in Item 1, “Notes to Consolidated Financial Statements”, which is incorporated herein by reference.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73"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This Form 10-Q contains certain items, such as earnings before interest, taxes, depreciation and amortization (EBITDA), Adjusted EBITDA, sales excluding currency effects, income tax rate excluding adjustments, net debt, net income attributable to the Company, excluding adjustments (on an absolute and per-share basis), and certain income and expense items on a per- share basis that could be considered non-GAAP financial measures. Such items are provided because management believes that, when presented together with the GAAP items to which they relate, they provide additional useful information to investors regarding the Company’s operational performance. Presenting increases or decreases in sales, after currency effects are excluded, can give management and investors insight into underlying sales trends. An understanding of the impact in a particular period of specific restructuring costs, or other gains and losses, on operating income or EBITDA can give management and investors additional insight into period performance, especially when compared to periods in which such items had a greater or lesser effect, or no effect. All non-GAAP financial measures in this report relate to the Company’s continuing operations.</w:t>
      </w:r>
    </w:p>
    <w:p>
      <w:pPr>
        <w:spacing w:after="0" w:line="149" w:lineRule="exact"/>
        <w:rPr>
          <w:sz w:val="20"/>
          <w:szCs w:val="20"/>
          <w:color w:val="auto"/>
        </w:rPr>
      </w:pPr>
    </w:p>
    <w:p>
      <w:pPr>
        <w:ind w:right="100" w:firstLine="695"/>
        <w:spacing w:after="0" w:line="239" w:lineRule="auto"/>
        <w:rPr>
          <w:sz w:val="20"/>
          <w:szCs w:val="20"/>
          <w:color w:val="auto"/>
        </w:rPr>
      </w:pPr>
      <w:r>
        <w:rPr>
          <w:rFonts w:ascii="Arial" w:cs="Arial" w:eastAsia="Arial" w:hAnsi="Arial"/>
          <w:sz w:val="18"/>
          <w:szCs w:val="18"/>
          <w:color w:val="auto"/>
        </w:rPr>
        <w:t>The effect of changes in currency translation rates is calculated by converting amounts reported in local currencies into U.S. dollars at the exchange rate of a prior period. That amount is then compared to the U.S. dollar amount reported in the current period. The Company calculates Income tax adjustments by adding discrete tax items to the effect of a change in tax rate for the reporting period. The Company calculates its income tax rate, exclusive of income tax adjustments, by removing income tax adjustments from total income tax expense, then dividing that result by income before income taxes. The Company calculates EBITDA by removing the following from Net income: Interest expense net, Income tax expense, and Depreciation and amortization. Adjusted EBITDA is calculated by: adding to EBITDA costs associated with restructuring; adding (or subtracting) revaluation losses (or gains); subtracting (or adding) gains (or losses) from the sale of investments and insurance recoveries; and subtracting Income attributable to the noncontrolling interest in Albany Safran Composites, LLC (ASC). The Company believes that EBITDA and Adjusted EBITDA provide useful information to investors because they provide an indication of the strength and performance of the Company's ongoing business operations, including its ability to fund discretionary spending such as capital expenditures and strategic investments, as well as its ability to incur and service debt. While</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43" w:right="239" w:bottom="1440" w:gutter="0" w:footer="0" w:header="0"/>
        </w:sectPr>
      </w:pPr>
    </w:p>
    <w:bookmarkStart w:id="39" w:name="page40"/>
    <w:bookmarkEnd w:id="39"/>
    <w:p>
      <w:pPr>
        <w:ind w:right="40"/>
        <w:spacing w:after="0"/>
        <w:rPr>
          <w:sz w:val="20"/>
          <w:szCs w:val="20"/>
          <w:color w:val="auto"/>
        </w:rPr>
      </w:pPr>
      <w:r>
        <w:rPr>
          <w:rFonts w:ascii="Arial" w:cs="Arial" w:eastAsia="Arial" w:hAnsi="Arial"/>
          <w:sz w:val="18"/>
          <w:szCs w:val="18"/>
          <w:color w:val="auto"/>
        </w:rPr>
        <w:t>depreciation and amortization are operating costs under GAAP, they are non-cash expenses equal to current period allocation of costs associated with capital and other long-lived investments made in prior periods. While restructuring expenses, foreign currency revaluation losses or gains, and gains and losses from investments have an impact on the Company's net income, removing them from EBITDA can provide, in the opinion of the Company, a better measure of operating performance. EBITDA is also a calculation commonly used by investors and analysts to evaluate and compare the periodic and future operating performance and value of companies. EBITDA, as defined by the Company, may not be similar to EBITDA measures of other companies. Such EBITDA measures may not be considered measurements under GAAP, and should be considered in addition to, but not as substitutes for, the information contained in the Company’s Consolidated Statements of Income.</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show the calculation of EBITDA and Adjusted EBITDA: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518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Three months ended June 30, 2015</w:t>
            </w:r>
          </w:p>
        </w:tc>
        <w:tc>
          <w:tcPr>
            <w:tcW w:w="2460" w:type="dxa"/>
            <w:vAlign w:val="bottom"/>
            <w:tcBorders>
              <w:top w:val="single" w:sz="8" w:color="auto"/>
            </w:tcBorders>
          </w:tcPr>
          <w:p>
            <w:pPr>
              <w:spacing w:after="0"/>
              <w:rPr>
                <w:sz w:val="23"/>
                <w:szCs w:val="23"/>
                <w:color w:val="auto"/>
              </w:rPr>
            </w:pPr>
          </w:p>
        </w:tc>
        <w:tc>
          <w:tcPr>
            <w:tcW w:w="1300" w:type="dxa"/>
            <w:vAlign w:val="bottom"/>
            <w:tcBorders>
              <w:top w:val="single" w:sz="8" w:color="auto"/>
            </w:tcBorders>
          </w:tcPr>
          <w:p>
            <w:pPr>
              <w:spacing w:after="0"/>
              <w:rPr>
                <w:sz w:val="23"/>
                <w:szCs w:val="23"/>
                <w:color w:val="auto"/>
              </w:rPr>
            </w:pPr>
          </w:p>
        </w:tc>
        <w:tc>
          <w:tcPr>
            <w:tcW w:w="1420" w:type="dxa"/>
            <w:vAlign w:val="bottom"/>
            <w:tcBorders>
              <w:top w:val="single" w:sz="8" w:color="auto"/>
            </w:tcBorders>
            <w:vMerge w:val="restart"/>
          </w:tcPr>
          <w:p>
            <w:pPr>
              <w:ind w:left="300"/>
              <w:spacing w:after="0"/>
              <w:rPr>
                <w:sz w:val="20"/>
                <w:szCs w:val="20"/>
                <w:color w:val="auto"/>
              </w:rPr>
            </w:pPr>
            <w:r>
              <w:rPr>
                <w:rFonts w:ascii="Arial" w:cs="Arial" w:eastAsia="Arial" w:hAnsi="Arial"/>
                <w:sz w:val="18"/>
                <w:szCs w:val="18"/>
                <w:b w:val="1"/>
                <w:bCs w:val="1"/>
                <w:color w:val="auto"/>
              </w:rPr>
              <w:t>Corporate</w:t>
            </w:r>
          </w:p>
        </w:tc>
        <w:tc>
          <w:tcPr>
            <w:tcW w:w="10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246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Machine</w:t>
            </w:r>
          </w:p>
        </w:tc>
        <w:tc>
          <w:tcPr>
            <w:tcW w:w="1300" w:type="dxa"/>
            <w:vAlign w:val="bottom"/>
          </w:tcPr>
          <w:p>
            <w:pPr>
              <w:spacing w:after="0"/>
              <w:rPr>
                <w:sz w:val="17"/>
                <w:szCs w:val="17"/>
                <w:color w:val="auto"/>
              </w:rPr>
            </w:pPr>
          </w:p>
        </w:tc>
        <w:tc>
          <w:tcPr>
            <w:tcW w:w="1420" w:type="dxa"/>
            <w:vAlign w:val="bottom"/>
          </w:tcPr>
          <w:p>
            <w:pPr>
              <w:ind w:left="320"/>
              <w:spacing w:after="0" w:line="202" w:lineRule="exact"/>
              <w:rPr>
                <w:sz w:val="20"/>
                <w:szCs w:val="20"/>
                <w:color w:val="auto"/>
              </w:rPr>
            </w:pPr>
            <w:r>
              <w:rPr>
                <w:rFonts w:ascii="Arial" w:cs="Arial" w:eastAsia="Arial" w:hAnsi="Arial"/>
                <w:sz w:val="18"/>
                <w:szCs w:val="18"/>
                <w:b w:val="1"/>
                <w:bCs w:val="1"/>
                <w:color w:val="auto"/>
              </w:rPr>
              <w:t>expenses</w:t>
            </w:r>
          </w:p>
        </w:tc>
        <w:tc>
          <w:tcPr>
            <w:tcW w:w="1060" w:type="dxa"/>
            <w:vAlign w:val="bottom"/>
          </w:tcPr>
          <w:p>
            <w:pPr>
              <w:jc w:val="center"/>
              <w:ind w:left="190"/>
              <w:spacing w:after="0" w:line="202" w:lineRule="exact"/>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227"/>
        </w:trPr>
        <w:tc>
          <w:tcPr>
            <w:tcW w:w="5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24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Clothing</w:t>
            </w:r>
          </w:p>
        </w:tc>
        <w:tc>
          <w:tcPr>
            <w:tcW w:w="13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AEC</w:t>
            </w:r>
          </w:p>
        </w:tc>
        <w:tc>
          <w:tcPr>
            <w:tcW w:w="142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and other</w:t>
            </w:r>
          </w:p>
        </w:tc>
        <w:tc>
          <w:tcPr>
            <w:tcW w:w="106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color w:val="auto"/>
              </w:rPr>
              <w:t>Company</w:t>
            </w:r>
          </w:p>
        </w:tc>
        <w:tc>
          <w:tcPr>
            <w:tcW w:w="0" w:type="dxa"/>
            <w:vAlign w:val="bottom"/>
          </w:tcPr>
          <w:p>
            <w:pPr>
              <w:spacing w:after="0"/>
              <w:rPr>
                <w:sz w:val="1"/>
                <w:szCs w:val="1"/>
                <w:color w:val="auto"/>
              </w:rPr>
            </w:pPr>
          </w:p>
        </w:tc>
      </w:tr>
      <w:tr>
        <w:trPr>
          <w:trHeight w:val="171"/>
        </w:trPr>
        <w:tc>
          <w:tcPr>
            <w:tcW w:w="5180" w:type="dxa"/>
            <w:vAlign w:val="bottom"/>
            <w:gridSpan w:val="2"/>
          </w:tcPr>
          <w:p>
            <w:pPr>
              <w:spacing w:after="0" w:line="171" w:lineRule="exact"/>
              <w:rPr>
                <w:sz w:val="20"/>
                <w:szCs w:val="20"/>
                <w:color w:val="auto"/>
              </w:rPr>
            </w:pPr>
            <w:r>
              <w:rPr>
                <w:rFonts w:ascii="Arial" w:cs="Arial" w:eastAsia="Arial" w:hAnsi="Arial"/>
                <w:sz w:val="18"/>
                <w:szCs w:val="18"/>
                <w:color w:val="auto"/>
              </w:rPr>
              <w:t>Net income</w:t>
            </w:r>
          </w:p>
        </w:tc>
        <w:tc>
          <w:tcPr>
            <w:tcW w:w="2460" w:type="dxa"/>
            <w:vAlign w:val="bottom"/>
          </w:tcPr>
          <w:p>
            <w:pPr>
              <w:jc w:val="right"/>
              <w:ind w:right="330"/>
              <w:spacing w:after="0" w:line="171" w:lineRule="exact"/>
              <w:rPr>
                <w:sz w:val="20"/>
                <w:szCs w:val="20"/>
                <w:color w:val="auto"/>
              </w:rPr>
            </w:pPr>
            <w:r>
              <w:rPr>
                <w:rFonts w:ascii="Arial" w:cs="Arial" w:eastAsia="Arial" w:hAnsi="Arial"/>
                <w:sz w:val="18"/>
                <w:szCs w:val="18"/>
                <w:color w:val="auto"/>
              </w:rPr>
              <w:t>$33,323</w:t>
            </w:r>
          </w:p>
        </w:tc>
        <w:tc>
          <w:tcPr>
            <w:tcW w:w="1300" w:type="dxa"/>
            <w:vAlign w:val="bottom"/>
          </w:tcPr>
          <w:p>
            <w:pPr>
              <w:jc w:val="right"/>
              <w:ind w:right="190"/>
              <w:spacing w:after="0" w:line="171" w:lineRule="exact"/>
              <w:rPr>
                <w:sz w:val="20"/>
                <w:szCs w:val="20"/>
                <w:color w:val="auto"/>
              </w:rPr>
            </w:pPr>
            <w:r>
              <w:rPr>
                <w:rFonts w:ascii="Arial" w:cs="Arial" w:eastAsia="Arial" w:hAnsi="Arial"/>
                <w:sz w:val="18"/>
                <w:szCs w:val="18"/>
                <w:color w:val="auto"/>
              </w:rPr>
              <w:t>($18,633)</w:t>
            </w:r>
          </w:p>
        </w:tc>
        <w:tc>
          <w:tcPr>
            <w:tcW w:w="1420" w:type="dxa"/>
            <w:vAlign w:val="bottom"/>
          </w:tcPr>
          <w:p>
            <w:pPr>
              <w:jc w:val="right"/>
              <w:ind w:right="250"/>
              <w:spacing w:after="0" w:line="171" w:lineRule="exact"/>
              <w:rPr>
                <w:sz w:val="20"/>
                <w:szCs w:val="20"/>
                <w:color w:val="auto"/>
              </w:rPr>
            </w:pPr>
            <w:r>
              <w:rPr>
                <w:rFonts w:ascii="Arial" w:cs="Arial" w:eastAsia="Arial" w:hAnsi="Arial"/>
                <w:sz w:val="18"/>
                <w:szCs w:val="18"/>
                <w:color w:val="auto"/>
              </w:rPr>
              <w:t>($16,810)</w:t>
            </w:r>
          </w:p>
        </w:tc>
        <w:tc>
          <w:tcPr>
            <w:tcW w:w="1060" w:type="dxa"/>
            <w:vAlign w:val="bottom"/>
          </w:tcPr>
          <w:p>
            <w:pPr>
              <w:jc w:val="right"/>
              <w:spacing w:after="0" w:line="171" w:lineRule="exact"/>
              <w:rPr>
                <w:sz w:val="20"/>
                <w:szCs w:val="20"/>
                <w:color w:val="auto"/>
              </w:rPr>
            </w:pPr>
            <w:r>
              <w:rPr>
                <w:rFonts w:ascii="Arial" w:cs="Arial" w:eastAsia="Arial" w:hAnsi="Arial"/>
                <w:sz w:val="18"/>
                <w:szCs w:val="18"/>
                <w:b w:val="1"/>
                <w:bCs w:val="1"/>
                <w:color w:val="auto"/>
              </w:rPr>
              <w:t>($2,120)</w:t>
            </w:r>
          </w:p>
        </w:tc>
        <w:tc>
          <w:tcPr>
            <w:tcW w:w="0" w:type="dxa"/>
            <w:vAlign w:val="bottom"/>
          </w:tcPr>
          <w:p>
            <w:pPr>
              <w:spacing w:after="0"/>
              <w:rPr>
                <w:sz w:val="1"/>
                <w:szCs w:val="1"/>
                <w:color w:val="auto"/>
              </w:rPr>
            </w:pPr>
          </w:p>
        </w:tc>
      </w:tr>
      <w:tr>
        <w:trPr>
          <w:trHeight w:val="203"/>
        </w:trPr>
        <w:tc>
          <w:tcPr>
            <w:tcW w:w="5180" w:type="dxa"/>
            <w:vAlign w:val="bottom"/>
            <w:gridSpan w:val="2"/>
          </w:tcPr>
          <w:p>
            <w:pPr>
              <w:spacing w:after="0" w:line="202" w:lineRule="exact"/>
              <w:rPr>
                <w:sz w:val="20"/>
                <w:szCs w:val="20"/>
                <w:color w:val="auto"/>
              </w:rPr>
            </w:pPr>
            <w:r>
              <w:rPr>
                <w:rFonts w:ascii="Arial" w:cs="Arial" w:eastAsia="Arial" w:hAnsi="Arial"/>
                <w:sz w:val="18"/>
                <w:szCs w:val="18"/>
                <w:color w:val="auto"/>
              </w:rPr>
              <w:t>Interest expense, net</w:t>
            </w:r>
          </w:p>
        </w:tc>
        <w:tc>
          <w:tcPr>
            <w:tcW w:w="24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2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2,702</w:t>
            </w:r>
          </w:p>
        </w:tc>
        <w:tc>
          <w:tcPr>
            <w:tcW w:w="106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2,702</w:t>
            </w:r>
          </w:p>
        </w:tc>
        <w:tc>
          <w:tcPr>
            <w:tcW w:w="0" w:type="dxa"/>
            <w:vAlign w:val="bottom"/>
          </w:tcPr>
          <w:p>
            <w:pPr>
              <w:spacing w:after="0"/>
              <w:rPr>
                <w:sz w:val="1"/>
                <w:szCs w:val="1"/>
                <w:color w:val="auto"/>
              </w:rPr>
            </w:pPr>
          </w:p>
        </w:tc>
      </w:tr>
      <w:tr>
        <w:trPr>
          <w:trHeight w:val="203"/>
        </w:trPr>
        <w:tc>
          <w:tcPr>
            <w:tcW w:w="5180" w:type="dxa"/>
            <w:vAlign w:val="bottom"/>
            <w:gridSpan w:val="2"/>
          </w:tcPr>
          <w:p>
            <w:pPr>
              <w:spacing w:after="0" w:line="202" w:lineRule="exact"/>
              <w:rPr>
                <w:sz w:val="20"/>
                <w:szCs w:val="20"/>
                <w:color w:val="auto"/>
              </w:rPr>
            </w:pPr>
            <w:r>
              <w:rPr>
                <w:rFonts w:ascii="Arial" w:cs="Arial" w:eastAsia="Arial" w:hAnsi="Arial"/>
                <w:sz w:val="18"/>
                <w:szCs w:val="18"/>
                <w:color w:val="auto"/>
              </w:rPr>
              <w:t>Income tax benefit</w:t>
            </w:r>
          </w:p>
        </w:tc>
        <w:tc>
          <w:tcPr>
            <w:tcW w:w="24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2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(364)</w:t>
            </w:r>
          </w:p>
        </w:tc>
        <w:tc>
          <w:tcPr>
            <w:tcW w:w="10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(364)</w:t>
            </w:r>
          </w:p>
        </w:tc>
        <w:tc>
          <w:tcPr>
            <w:tcW w:w="0" w:type="dxa"/>
            <w:vAlign w:val="bottom"/>
          </w:tcPr>
          <w:p>
            <w:pPr>
              <w:spacing w:after="0"/>
              <w:rPr>
                <w:sz w:val="1"/>
                <w:szCs w:val="1"/>
                <w:color w:val="auto"/>
              </w:rPr>
            </w:pPr>
          </w:p>
        </w:tc>
      </w:tr>
      <w:tr>
        <w:trPr>
          <w:trHeight w:val="227"/>
        </w:trPr>
        <w:tc>
          <w:tcPr>
            <w:tcW w:w="5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Depreciation and amortization</w:t>
            </w:r>
          </w:p>
        </w:tc>
        <w:tc>
          <w:tcPr>
            <w:tcW w:w="24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10,212</w:t>
            </w:r>
          </w:p>
        </w:tc>
        <w:tc>
          <w:tcPr>
            <w:tcW w:w="13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2,869</w:t>
            </w:r>
          </w:p>
        </w:tc>
        <w:tc>
          <w:tcPr>
            <w:tcW w:w="14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2,103</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15,184</w:t>
            </w:r>
          </w:p>
        </w:tc>
        <w:tc>
          <w:tcPr>
            <w:tcW w:w="0" w:type="dxa"/>
            <w:vAlign w:val="bottom"/>
          </w:tcPr>
          <w:p>
            <w:pPr>
              <w:spacing w:after="0"/>
              <w:rPr>
                <w:sz w:val="1"/>
                <w:szCs w:val="1"/>
                <w:color w:val="auto"/>
              </w:rPr>
            </w:pPr>
          </w:p>
        </w:tc>
      </w:tr>
      <w:tr>
        <w:trPr>
          <w:trHeight w:val="171"/>
        </w:trPr>
        <w:tc>
          <w:tcPr>
            <w:tcW w:w="5180" w:type="dxa"/>
            <w:vAlign w:val="bottom"/>
            <w:gridSpan w:val="2"/>
          </w:tcPr>
          <w:p>
            <w:pPr>
              <w:spacing w:after="0" w:line="171" w:lineRule="exact"/>
              <w:rPr>
                <w:sz w:val="20"/>
                <w:szCs w:val="20"/>
                <w:color w:val="auto"/>
              </w:rPr>
            </w:pPr>
            <w:r>
              <w:rPr>
                <w:rFonts w:ascii="Arial" w:cs="Arial" w:eastAsia="Arial" w:hAnsi="Arial"/>
                <w:sz w:val="18"/>
                <w:szCs w:val="18"/>
                <w:color w:val="auto"/>
              </w:rPr>
              <w:t>EBITDA</w:t>
            </w:r>
          </w:p>
        </w:tc>
        <w:tc>
          <w:tcPr>
            <w:tcW w:w="2460" w:type="dxa"/>
            <w:vAlign w:val="bottom"/>
          </w:tcPr>
          <w:p>
            <w:pPr>
              <w:jc w:val="right"/>
              <w:ind w:right="330"/>
              <w:spacing w:after="0" w:line="171" w:lineRule="exact"/>
              <w:rPr>
                <w:sz w:val="20"/>
                <w:szCs w:val="20"/>
                <w:color w:val="auto"/>
              </w:rPr>
            </w:pPr>
            <w:r>
              <w:rPr>
                <w:rFonts w:ascii="Arial" w:cs="Arial" w:eastAsia="Arial" w:hAnsi="Arial"/>
                <w:sz w:val="18"/>
                <w:szCs w:val="18"/>
                <w:color w:val="auto"/>
              </w:rPr>
              <w:t>43,535</w:t>
            </w:r>
          </w:p>
        </w:tc>
        <w:tc>
          <w:tcPr>
            <w:tcW w:w="1300" w:type="dxa"/>
            <w:vAlign w:val="bottom"/>
          </w:tcPr>
          <w:p>
            <w:pPr>
              <w:jc w:val="right"/>
              <w:ind w:right="190"/>
              <w:spacing w:after="0" w:line="171" w:lineRule="exact"/>
              <w:rPr>
                <w:sz w:val="20"/>
                <w:szCs w:val="20"/>
                <w:color w:val="auto"/>
              </w:rPr>
            </w:pPr>
            <w:r>
              <w:rPr>
                <w:rFonts w:ascii="Arial" w:cs="Arial" w:eastAsia="Arial" w:hAnsi="Arial"/>
                <w:sz w:val="18"/>
                <w:szCs w:val="18"/>
                <w:color w:val="auto"/>
              </w:rPr>
              <w:t>(15,764)</w:t>
            </w:r>
          </w:p>
        </w:tc>
        <w:tc>
          <w:tcPr>
            <w:tcW w:w="1420" w:type="dxa"/>
            <w:vAlign w:val="bottom"/>
          </w:tcPr>
          <w:p>
            <w:pPr>
              <w:jc w:val="right"/>
              <w:ind w:right="250"/>
              <w:spacing w:after="0" w:line="171" w:lineRule="exact"/>
              <w:rPr>
                <w:sz w:val="20"/>
                <w:szCs w:val="20"/>
                <w:color w:val="auto"/>
              </w:rPr>
            </w:pPr>
            <w:r>
              <w:rPr>
                <w:rFonts w:ascii="Arial" w:cs="Arial" w:eastAsia="Arial" w:hAnsi="Arial"/>
                <w:sz w:val="18"/>
                <w:szCs w:val="18"/>
                <w:color w:val="auto"/>
              </w:rPr>
              <w:t>(12,369)</w:t>
            </w:r>
          </w:p>
        </w:tc>
        <w:tc>
          <w:tcPr>
            <w:tcW w:w="1060" w:type="dxa"/>
            <w:vAlign w:val="bottom"/>
          </w:tcPr>
          <w:p>
            <w:pPr>
              <w:jc w:val="right"/>
              <w:ind w:right="30"/>
              <w:spacing w:after="0" w:line="171" w:lineRule="exact"/>
              <w:rPr>
                <w:sz w:val="20"/>
                <w:szCs w:val="20"/>
                <w:color w:val="auto"/>
              </w:rPr>
            </w:pPr>
            <w:r>
              <w:rPr>
                <w:rFonts w:ascii="Arial" w:cs="Arial" w:eastAsia="Arial" w:hAnsi="Arial"/>
                <w:sz w:val="18"/>
                <w:szCs w:val="18"/>
                <w:b w:val="1"/>
                <w:bCs w:val="1"/>
                <w:color w:val="auto"/>
              </w:rPr>
              <w:t>15,402</w:t>
            </w:r>
          </w:p>
        </w:tc>
        <w:tc>
          <w:tcPr>
            <w:tcW w:w="0" w:type="dxa"/>
            <w:vAlign w:val="bottom"/>
          </w:tcPr>
          <w:p>
            <w:pPr>
              <w:spacing w:after="0"/>
              <w:rPr>
                <w:sz w:val="1"/>
                <w:szCs w:val="1"/>
                <w:color w:val="auto"/>
              </w:rPr>
            </w:pPr>
          </w:p>
        </w:tc>
      </w:tr>
      <w:tr>
        <w:trPr>
          <w:trHeight w:val="203"/>
        </w:trPr>
        <w:tc>
          <w:tcPr>
            <w:tcW w:w="5180" w:type="dxa"/>
            <w:vAlign w:val="bottom"/>
            <w:gridSpan w:val="2"/>
          </w:tcPr>
          <w:p>
            <w:pPr>
              <w:spacing w:after="0" w:line="202" w:lineRule="exact"/>
              <w:rPr>
                <w:sz w:val="20"/>
                <w:szCs w:val="20"/>
                <w:color w:val="auto"/>
              </w:rPr>
            </w:pPr>
            <w:r>
              <w:rPr>
                <w:rFonts w:ascii="Arial" w:cs="Arial" w:eastAsia="Arial" w:hAnsi="Arial"/>
                <w:sz w:val="18"/>
                <w:szCs w:val="18"/>
                <w:color w:val="auto"/>
              </w:rPr>
              <w:t>Restructuring expenses, net</w:t>
            </w:r>
          </w:p>
        </w:tc>
        <w:tc>
          <w:tcPr>
            <w:tcW w:w="246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1,211</w:t>
            </w:r>
          </w:p>
        </w:tc>
        <w:tc>
          <w:tcPr>
            <w:tcW w:w="130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42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1,211</w:t>
            </w:r>
          </w:p>
        </w:tc>
        <w:tc>
          <w:tcPr>
            <w:tcW w:w="0" w:type="dxa"/>
            <w:vAlign w:val="bottom"/>
          </w:tcPr>
          <w:p>
            <w:pPr>
              <w:spacing w:after="0"/>
              <w:rPr>
                <w:sz w:val="1"/>
                <w:szCs w:val="1"/>
                <w:color w:val="auto"/>
              </w:rPr>
            </w:pPr>
          </w:p>
        </w:tc>
      </w:tr>
      <w:tr>
        <w:trPr>
          <w:trHeight w:val="203"/>
        </w:trPr>
        <w:tc>
          <w:tcPr>
            <w:tcW w:w="5180" w:type="dxa"/>
            <w:vAlign w:val="bottom"/>
            <w:gridSpan w:val="2"/>
          </w:tcPr>
          <w:p>
            <w:pPr>
              <w:spacing w:after="0" w:line="202" w:lineRule="exact"/>
              <w:rPr>
                <w:sz w:val="20"/>
                <w:szCs w:val="20"/>
                <w:color w:val="auto"/>
              </w:rPr>
            </w:pPr>
            <w:r>
              <w:rPr>
                <w:rFonts w:ascii="Arial" w:cs="Arial" w:eastAsia="Arial" w:hAnsi="Arial"/>
                <w:sz w:val="18"/>
                <w:szCs w:val="18"/>
                <w:color w:val="auto"/>
              </w:rPr>
              <w:t>Foreign currency revaluation (gains)/losses</w:t>
            </w:r>
          </w:p>
        </w:tc>
        <w:tc>
          <w:tcPr>
            <w:tcW w:w="246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394</w:t>
            </w:r>
          </w:p>
        </w:tc>
        <w:tc>
          <w:tcPr>
            <w:tcW w:w="130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1</w:t>
            </w:r>
          </w:p>
        </w:tc>
        <w:tc>
          <w:tcPr>
            <w:tcW w:w="142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1,880</w:t>
            </w:r>
          </w:p>
        </w:tc>
        <w:tc>
          <w:tcPr>
            <w:tcW w:w="106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2,275</w:t>
            </w:r>
          </w:p>
        </w:tc>
        <w:tc>
          <w:tcPr>
            <w:tcW w:w="0" w:type="dxa"/>
            <w:vAlign w:val="bottom"/>
          </w:tcPr>
          <w:p>
            <w:pPr>
              <w:spacing w:after="0"/>
              <w:rPr>
                <w:sz w:val="1"/>
                <w:szCs w:val="1"/>
                <w:color w:val="auto"/>
              </w:rPr>
            </w:pPr>
          </w:p>
        </w:tc>
      </w:tr>
      <w:tr>
        <w:trPr>
          <w:trHeight w:val="227"/>
        </w:trPr>
        <w:tc>
          <w:tcPr>
            <w:tcW w:w="5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Pretax income attributable to noncontrolling interest in ASC</w:t>
            </w:r>
          </w:p>
        </w:tc>
        <w:tc>
          <w:tcPr>
            <w:tcW w:w="24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(64)</w:t>
            </w:r>
          </w:p>
        </w:tc>
        <w:tc>
          <w:tcPr>
            <w:tcW w:w="1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w:t>
            </w:r>
          </w:p>
        </w:tc>
        <w:tc>
          <w:tcPr>
            <w:tcW w:w="0" w:type="dxa"/>
            <w:vAlign w:val="bottom"/>
          </w:tcPr>
          <w:p>
            <w:pPr>
              <w:spacing w:after="0"/>
              <w:rPr>
                <w:sz w:val="1"/>
                <w:szCs w:val="1"/>
                <w:color w:val="auto"/>
              </w:rPr>
            </w:pPr>
          </w:p>
        </w:tc>
      </w:tr>
      <w:tr>
        <w:trPr>
          <w:trHeight w:val="196"/>
        </w:trPr>
        <w:tc>
          <w:tcPr>
            <w:tcW w:w="518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Adjusted EBITDA</w:t>
            </w:r>
          </w:p>
        </w:tc>
        <w:tc>
          <w:tcPr>
            <w:tcW w:w="246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color w:val="auto"/>
              </w:rPr>
              <w:t>$45,140</w:t>
            </w:r>
          </w:p>
        </w:tc>
        <w:tc>
          <w:tcPr>
            <w:tcW w:w="130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($15,827)</w:t>
            </w:r>
          </w:p>
        </w:tc>
        <w:tc>
          <w:tcPr>
            <w:tcW w:w="142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rPr>
              <w:t>($10,489)</w:t>
            </w:r>
          </w:p>
        </w:tc>
        <w:tc>
          <w:tcPr>
            <w:tcW w:w="10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$18,824</w:t>
            </w:r>
          </w:p>
        </w:tc>
        <w:tc>
          <w:tcPr>
            <w:tcW w:w="0" w:type="dxa"/>
            <w:vAlign w:val="bottom"/>
          </w:tcPr>
          <w:p>
            <w:pPr>
              <w:spacing w:after="0"/>
              <w:rPr>
                <w:sz w:val="1"/>
                <w:szCs w:val="1"/>
                <w:color w:val="auto"/>
              </w:rPr>
            </w:pPr>
          </w:p>
        </w:tc>
      </w:tr>
      <w:tr>
        <w:trPr>
          <w:trHeight w:val="399"/>
        </w:trPr>
        <w:tc>
          <w:tcPr>
            <w:tcW w:w="20" w:type="dxa"/>
            <w:vAlign w:val="bottom"/>
            <w:vMerge w:val="restart"/>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vMerge w:val="continue"/>
          </w:tcPr>
          <w:p>
            <w:pPr>
              <w:spacing w:after="0"/>
              <w:rPr>
                <w:sz w:val="21"/>
                <w:szCs w:val="21"/>
                <w:color w:val="auto"/>
              </w:rPr>
            </w:pPr>
          </w:p>
        </w:tc>
        <w:tc>
          <w:tcPr>
            <w:tcW w:w="5160" w:type="dxa"/>
            <w:vAlign w:val="bottom"/>
          </w:tcPr>
          <w:p>
            <w:pPr>
              <w:spacing w:after="0"/>
              <w:rPr>
                <w:sz w:val="20"/>
                <w:szCs w:val="20"/>
                <w:color w:val="auto"/>
              </w:rPr>
            </w:pPr>
            <w:r>
              <w:rPr>
                <w:rFonts w:ascii="Arial" w:cs="Arial" w:eastAsia="Arial" w:hAnsi="Arial"/>
                <w:sz w:val="18"/>
                <w:szCs w:val="18"/>
                <w:b w:val="1"/>
                <w:bCs w:val="1"/>
                <w:color w:val="auto"/>
              </w:rPr>
              <w:t>Three months ended June 30, 2014</w:t>
            </w:r>
          </w:p>
        </w:tc>
        <w:tc>
          <w:tcPr>
            <w:tcW w:w="24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42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Corporate</w:t>
            </w: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246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rPr>
              <w:t>Machine</w:t>
            </w:r>
          </w:p>
        </w:tc>
        <w:tc>
          <w:tcPr>
            <w:tcW w:w="1300" w:type="dxa"/>
            <w:vAlign w:val="bottom"/>
          </w:tcPr>
          <w:p>
            <w:pPr>
              <w:spacing w:after="0"/>
              <w:rPr>
                <w:sz w:val="17"/>
                <w:szCs w:val="17"/>
                <w:color w:val="auto"/>
              </w:rPr>
            </w:pPr>
          </w:p>
        </w:tc>
        <w:tc>
          <w:tcPr>
            <w:tcW w:w="1420" w:type="dxa"/>
            <w:vAlign w:val="bottom"/>
          </w:tcPr>
          <w:p>
            <w:pPr>
              <w:ind w:left="300"/>
              <w:spacing w:after="0" w:line="202" w:lineRule="exact"/>
              <w:rPr>
                <w:sz w:val="20"/>
                <w:szCs w:val="20"/>
                <w:color w:val="auto"/>
              </w:rPr>
            </w:pPr>
            <w:r>
              <w:rPr>
                <w:rFonts w:ascii="Arial" w:cs="Arial" w:eastAsia="Arial" w:hAnsi="Arial"/>
                <w:sz w:val="18"/>
                <w:szCs w:val="18"/>
                <w:b w:val="1"/>
                <w:bCs w:val="1"/>
                <w:color w:val="auto"/>
              </w:rPr>
              <w:t>expenses</w:t>
            </w:r>
          </w:p>
        </w:tc>
        <w:tc>
          <w:tcPr>
            <w:tcW w:w="1060" w:type="dxa"/>
            <w:vAlign w:val="bottom"/>
          </w:tcPr>
          <w:p>
            <w:pPr>
              <w:jc w:val="center"/>
              <w:ind w:left="150"/>
              <w:spacing w:after="0" w:line="202" w:lineRule="exact"/>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227"/>
        </w:trPr>
        <w:tc>
          <w:tcPr>
            <w:tcW w:w="5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2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Clothing</w:t>
            </w:r>
          </w:p>
        </w:tc>
        <w:tc>
          <w:tcPr>
            <w:tcW w:w="13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AEC</w:t>
            </w:r>
          </w:p>
        </w:tc>
        <w:tc>
          <w:tcPr>
            <w:tcW w:w="142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and other</w:t>
            </w:r>
          </w:p>
        </w:tc>
        <w:tc>
          <w:tcPr>
            <w:tcW w:w="106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99"/>
              </w:rPr>
              <w:t>Company</w:t>
            </w:r>
          </w:p>
        </w:tc>
        <w:tc>
          <w:tcPr>
            <w:tcW w:w="0" w:type="dxa"/>
            <w:vAlign w:val="bottom"/>
          </w:tcPr>
          <w:p>
            <w:pPr>
              <w:spacing w:after="0"/>
              <w:rPr>
                <w:sz w:val="1"/>
                <w:szCs w:val="1"/>
                <w:color w:val="auto"/>
              </w:rPr>
            </w:pPr>
          </w:p>
        </w:tc>
      </w:tr>
      <w:tr>
        <w:trPr>
          <w:trHeight w:val="173"/>
        </w:trPr>
        <w:tc>
          <w:tcPr>
            <w:tcW w:w="5180" w:type="dxa"/>
            <w:vAlign w:val="bottom"/>
            <w:gridSpan w:val="2"/>
          </w:tcPr>
          <w:p>
            <w:pPr>
              <w:spacing w:after="0" w:line="173" w:lineRule="exact"/>
              <w:rPr>
                <w:sz w:val="20"/>
                <w:szCs w:val="20"/>
                <w:color w:val="auto"/>
              </w:rPr>
            </w:pPr>
            <w:r>
              <w:rPr>
                <w:rFonts w:ascii="Arial" w:cs="Arial" w:eastAsia="Arial" w:hAnsi="Arial"/>
                <w:sz w:val="18"/>
                <w:szCs w:val="18"/>
                <w:color w:val="auto"/>
              </w:rPr>
              <w:t>Net income</w:t>
            </w:r>
          </w:p>
        </w:tc>
        <w:tc>
          <w:tcPr>
            <w:tcW w:w="2460" w:type="dxa"/>
            <w:vAlign w:val="bottom"/>
          </w:tcPr>
          <w:p>
            <w:pPr>
              <w:jc w:val="right"/>
              <w:ind w:right="270"/>
              <w:spacing w:after="0" w:line="173" w:lineRule="exact"/>
              <w:rPr>
                <w:sz w:val="20"/>
                <w:szCs w:val="20"/>
                <w:color w:val="auto"/>
              </w:rPr>
            </w:pPr>
            <w:r>
              <w:rPr>
                <w:rFonts w:ascii="Arial" w:cs="Arial" w:eastAsia="Arial" w:hAnsi="Arial"/>
                <w:sz w:val="18"/>
                <w:szCs w:val="18"/>
                <w:color w:val="auto"/>
              </w:rPr>
              <w:t>$33,879</w:t>
            </w:r>
          </w:p>
        </w:tc>
        <w:tc>
          <w:tcPr>
            <w:tcW w:w="1300" w:type="dxa"/>
            <w:vAlign w:val="bottom"/>
          </w:tcPr>
          <w:p>
            <w:pPr>
              <w:jc w:val="right"/>
              <w:ind w:right="210"/>
              <w:spacing w:after="0" w:line="173" w:lineRule="exact"/>
              <w:rPr>
                <w:sz w:val="20"/>
                <w:szCs w:val="20"/>
                <w:color w:val="auto"/>
              </w:rPr>
            </w:pPr>
            <w:r>
              <w:rPr>
                <w:rFonts w:ascii="Arial" w:cs="Arial" w:eastAsia="Arial" w:hAnsi="Arial"/>
                <w:sz w:val="18"/>
                <w:szCs w:val="18"/>
                <w:color w:val="auto"/>
              </w:rPr>
              <w:t>($3,545)</w:t>
            </w:r>
          </w:p>
        </w:tc>
        <w:tc>
          <w:tcPr>
            <w:tcW w:w="1420" w:type="dxa"/>
            <w:vAlign w:val="bottom"/>
          </w:tcPr>
          <w:p>
            <w:pPr>
              <w:jc w:val="right"/>
              <w:ind w:right="270"/>
              <w:spacing w:after="0" w:line="173" w:lineRule="exact"/>
              <w:rPr>
                <w:sz w:val="20"/>
                <w:szCs w:val="20"/>
                <w:color w:val="auto"/>
              </w:rPr>
            </w:pPr>
            <w:r>
              <w:rPr>
                <w:rFonts w:ascii="Arial" w:cs="Arial" w:eastAsia="Arial" w:hAnsi="Arial"/>
                <w:sz w:val="18"/>
                <w:szCs w:val="18"/>
                <w:color w:val="auto"/>
              </w:rPr>
              <w:t>($19,157)</w:t>
            </w:r>
          </w:p>
        </w:tc>
        <w:tc>
          <w:tcPr>
            <w:tcW w:w="1060" w:type="dxa"/>
            <w:vAlign w:val="bottom"/>
          </w:tcPr>
          <w:p>
            <w:pPr>
              <w:jc w:val="right"/>
              <w:ind w:right="50"/>
              <w:spacing w:after="0" w:line="173" w:lineRule="exact"/>
              <w:rPr>
                <w:sz w:val="20"/>
                <w:szCs w:val="20"/>
                <w:color w:val="auto"/>
              </w:rPr>
            </w:pPr>
            <w:r>
              <w:rPr>
                <w:rFonts w:ascii="Arial" w:cs="Arial" w:eastAsia="Arial" w:hAnsi="Arial"/>
                <w:sz w:val="18"/>
                <w:szCs w:val="18"/>
                <w:color w:val="auto"/>
              </w:rPr>
              <w:t>$11,177</w:t>
            </w:r>
          </w:p>
        </w:tc>
        <w:tc>
          <w:tcPr>
            <w:tcW w:w="0" w:type="dxa"/>
            <w:vAlign w:val="bottom"/>
          </w:tcPr>
          <w:p>
            <w:pPr>
              <w:spacing w:after="0"/>
              <w:rPr>
                <w:sz w:val="1"/>
                <w:szCs w:val="1"/>
                <w:color w:val="auto"/>
              </w:rPr>
            </w:pPr>
          </w:p>
        </w:tc>
      </w:tr>
      <w:tr>
        <w:trPr>
          <w:trHeight w:val="203"/>
        </w:trPr>
        <w:tc>
          <w:tcPr>
            <w:tcW w:w="5180" w:type="dxa"/>
            <w:vAlign w:val="bottom"/>
            <w:gridSpan w:val="2"/>
          </w:tcPr>
          <w:p>
            <w:pPr>
              <w:spacing w:after="0" w:line="202" w:lineRule="exact"/>
              <w:rPr>
                <w:sz w:val="20"/>
                <w:szCs w:val="20"/>
                <w:color w:val="auto"/>
              </w:rPr>
            </w:pPr>
            <w:r>
              <w:rPr>
                <w:rFonts w:ascii="Arial" w:cs="Arial" w:eastAsia="Arial" w:hAnsi="Arial"/>
                <w:sz w:val="18"/>
                <w:szCs w:val="18"/>
                <w:color w:val="auto"/>
              </w:rPr>
              <w:t>Interest expense, net</w:t>
            </w:r>
          </w:p>
        </w:tc>
        <w:tc>
          <w:tcPr>
            <w:tcW w:w="246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4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2,717</w:t>
            </w:r>
          </w:p>
        </w:tc>
        <w:tc>
          <w:tcPr>
            <w:tcW w:w="10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2,717</w:t>
            </w:r>
          </w:p>
        </w:tc>
        <w:tc>
          <w:tcPr>
            <w:tcW w:w="0" w:type="dxa"/>
            <w:vAlign w:val="bottom"/>
          </w:tcPr>
          <w:p>
            <w:pPr>
              <w:spacing w:after="0"/>
              <w:rPr>
                <w:sz w:val="1"/>
                <w:szCs w:val="1"/>
                <w:color w:val="auto"/>
              </w:rPr>
            </w:pPr>
          </w:p>
        </w:tc>
      </w:tr>
      <w:tr>
        <w:trPr>
          <w:trHeight w:val="203"/>
        </w:trPr>
        <w:tc>
          <w:tcPr>
            <w:tcW w:w="5180" w:type="dxa"/>
            <w:vAlign w:val="bottom"/>
            <w:gridSpan w:val="2"/>
          </w:tcPr>
          <w:p>
            <w:pPr>
              <w:spacing w:after="0" w:line="202" w:lineRule="exact"/>
              <w:rPr>
                <w:sz w:val="20"/>
                <w:szCs w:val="20"/>
                <w:color w:val="auto"/>
              </w:rPr>
            </w:pPr>
            <w:r>
              <w:rPr>
                <w:rFonts w:ascii="Arial" w:cs="Arial" w:eastAsia="Arial" w:hAnsi="Arial"/>
                <w:sz w:val="18"/>
                <w:szCs w:val="18"/>
                <w:color w:val="auto"/>
              </w:rPr>
              <w:t>Income tax expense</w:t>
            </w:r>
          </w:p>
        </w:tc>
        <w:tc>
          <w:tcPr>
            <w:tcW w:w="246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4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7,216</w:t>
            </w:r>
          </w:p>
        </w:tc>
        <w:tc>
          <w:tcPr>
            <w:tcW w:w="10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7,216</w:t>
            </w:r>
          </w:p>
        </w:tc>
        <w:tc>
          <w:tcPr>
            <w:tcW w:w="0" w:type="dxa"/>
            <w:vAlign w:val="bottom"/>
          </w:tcPr>
          <w:p>
            <w:pPr>
              <w:spacing w:after="0"/>
              <w:rPr>
                <w:sz w:val="1"/>
                <w:szCs w:val="1"/>
                <w:color w:val="auto"/>
              </w:rPr>
            </w:pPr>
          </w:p>
        </w:tc>
      </w:tr>
      <w:tr>
        <w:trPr>
          <w:trHeight w:val="225"/>
        </w:trPr>
        <w:tc>
          <w:tcPr>
            <w:tcW w:w="5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Depreciation and amortization</w:t>
            </w:r>
          </w:p>
        </w:tc>
        <w:tc>
          <w:tcPr>
            <w:tcW w:w="2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11,554</w:t>
            </w:r>
          </w:p>
        </w:tc>
        <w:tc>
          <w:tcPr>
            <w:tcW w:w="13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2,453</w:t>
            </w:r>
          </w:p>
        </w:tc>
        <w:tc>
          <w:tcPr>
            <w:tcW w:w="14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2,090</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16,097</w:t>
            </w:r>
          </w:p>
        </w:tc>
        <w:tc>
          <w:tcPr>
            <w:tcW w:w="0" w:type="dxa"/>
            <w:vAlign w:val="bottom"/>
          </w:tcPr>
          <w:p>
            <w:pPr>
              <w:spacing w:after="0"/>
              <w:rPr>
                <w:sz w:val="1"/>
                <w:szCs w:val="1"/>
                <w:color w:val="auto"/>
              </w:rPr>
            </w:pPr>
          </w:p>
        </w:tc>
      </w:tr>
      <w:tr>
        <w:trPr>
          <w:trHeight w:val="173"/>
        </w:trPr>
        <w:tc>
          <w:tcPr>
            <w:tcW w:w="5180" w:type="dxa"/>
            <w:vAlign w:val="bottom"/>
            <w:gridSpan w:val="2"/>
          </w:tcPr>
          <w:p>
            <w:pPr>
              <w:spacing w:after="0" w:line="173" w:lineRule="exact"/>
              <w:rPr>
                <w:sz w:val="20"/>
                <w:szCs w:val="20"/>
                <w:color w:val="auto"/>
              </w:rPr>
            </w:pPr>
            <w:r>
              <w:rPr>
                <w:rFonts w:ascii="Arial" w:cs="Arial" w:eastAsia="Arial" w:hAnsi="Arial"/>
                <w:sz w:val="18"/>
                <w:szCs w:val="18"/>
                <w:color w:val="auto"/>
              </w:rPr>
              <w:t>EBITDA</w:t>
            </w:r>
          </w:p>
        </w:tc>
        <w:tc>
          <w:tcPr>
            <w:tcW w:w="2460" w:type="dxa"/>
            <w:vAlign w:val="bottom"/>
          </w:tcPr>
          <w:p>
            <w:pPr>
              <w:jc w:val="right"/>
              <w:ind w:right="270"/>
              <w:spacing w:after="0" w:line="173" w:lineRule="exact"/>
              <w:rPr>
                <w:sz w:val="20"/>
                <w:szCs w:val="20"/>
                <w:color w:val="auto"/>
              </w:rPr>
            </w:pPr>
            <w:r>
              <w:rPr>
                <w:rFonts w:ascii="Arial" w:cs="Arial" w:eastAsia="Arial" w:hAnsi="Arial"/>
                <w:sz w:val="18"/>
                <w:szCs w:val="18"/>
                <w:color w:val="auto"/>
              </w:rPr>
              <w:t>45,433</w:t>
            </w:r>
          </w:p>
        </w:tc>
        <w:tc>
          <w:tcPr>
            <w:tcW w:w="1300" w:type="dxa"/>
            <w:vAlign w:val="bottom"/>
          </w:tcPr>
          <w:p>
            <w:pPr>
              <w:jc w:val="right"/>
              <w:ind w:right="210"/>
              <w:spacing w:after="0" w:line="173" w:lineRule="exact"/>
              <w:rPr>
                <w:sz w:val="20"/>
                <w:szCs w:val="20"/>
                <w:color w:val="auto"/>
              </w:rPr>
            </w:pPr>
            <w:r>
              <w:rPr>
                <w:rFonts w:ascii="Arial" w:cs="Arial" w:eastAsia="Arial" w:hAnsi="Arial"/>
                <w:sz w:val="18"/>
                <w:szCs w:val="18"/>
                <w:color w:val="auto"/>
              </w:rPr>
              <w:t>(1,092)</w:t>
            </w:r>
          </w:p>
        </w:tc>
        <w:tc>
          <w:tcPr>
            <w:tcW w:w="1420" w:type="dxa"/>
            <w:vAlign w:val="bottom"/>
          </w:tcPr>
          <w:p>
            <w:pPr>
              <w:jc w:val="right"/>
              <w:ind w:right="270"/>
              <w:spacing w:after="0" w:line="173" w:lineRule="exact"/>
              <w:rPr>
                <w:sz w:val="20"/>
                <w:szCs w:val="20"/>
                <w:color w:val="auto"/>
              </w:rPr>
            </w:pPr>
            <w:r>
              <w:rPr>
                <w:rFonts w:ascii="Arial" w:cs="Arial" w:eastAsia="Arial" w:hAnsi="Arial"/>
                <w:sz w:val="18"/>
                <w:szCs w:val="18"/>
                <w:color w:val="auto"/>
              </w:rPr>
              <w:t>(7,134)</w:t>
            </w:r>
          </w:p>
        </w:tc>
        <w:tc>
          <w:tcPr>
            <w:tcW w:w="1060" w:type="dxa"/>
            <w:vAlign w:val="bottom"/>
          </w:tcPr>
          <w:p>
            <w:pPr>
              <w:jc w:val="right"/>
              <w:ind w:right="50"/>
              <w:spacing w:after="0" w:line="173" w:lineRule="exact"/>
              <w:rPr>
                <w:sz w:val="20"/>
                <w:szCs w:val="20"/>
                <w:color w:val="auto"/>
              </w:rPr>
            </w:pPr>
            <w:r>
              <w:rPr>
                <w:rFonts w:ascii="Arial" w:cs="Arial" w:eastAsia="Arial" w:hAnsi="Arial"/>
                <w:sz w:val="18"/>
                <w:szCs w:val="18"/>
                <w:color w:val="auto"/>
              </w:rPr>
              <w:t>37,207</w:t>
            </w:r>
          </w:p>
        </w:tc>
        <w:tc>
          <w:tcPr>
            <w:tcW w:w="0" w:type="dxa"/>
            <w:vAlign w:val="bottom"/>
          </w:tcPr>
          <w:p>
            <w:pPr>
              <w:spacing w:after="0"/>
              <w:rPr>
                <w:sz w:val="1"/>
                <w:szCs w:val="1"/>
                <w:color w:val="auto"/>
              </w:rPr>
            </w:pPr>
          </w:p>
        </w:tc>
      </w:tr>
      <w:tr>
        <w:trPr>
          <w:trHeight w:val="203"/>
        </w:trPr>
        <w:tc>
          <w:tcPr>
            <w:tcW w:w="5180" w:type="dxa"/>
            <w:vAlign w:val="bottom"/>
            <w:gridSpan w:val="2"/>
          </w:tcPr>
          <w:p>
            <w:pPr>
              <w:spacing w:after="0" w:line="202" w:lineRule="exact"/>
              <w:rPr>
                <w:sz w:val="20"/>
                <w:szCs w:val="20"/>
                <w:color w:val="auto"/>
              </w:rPr>
            </w:pPr>
            <w:r>
              <w:rPr>
                <w:rFonts w:ascii="Arial" w:cs="Arial" w:eastAsia="Arial" w:hAnsi="Arial"/>
                <w:sz w:val="18"/>
                <w:szCs w:val="18"/>
                <w:color w:val="auto"/>
              </w:rPr>
              <w:t>Restructuring expenses, net</w:t>
            </w:r>
          </w:p>
        </w:tc>
        <w:tc>
          <w:tcPr>
            <w:tcW w:w="246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1,297</w:t>
            </w:r>
          </w:p>
        </w:tc>
        <w:tc>
          <w:tcPr>
            <w:tcW w:w="130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660</w:t>
            </w:r>
          </w:p>
        </w:tc>
        <w:tc>
          <w:tcPr>
            <w:tcW w:w="142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1,957</w:t>
            </w:r>
          </w:p>
        </w:tc>
        <w:tc>
          <w:tcPr>
            <w:tcW w:w="0" w:type="dxa"/>
            <w:vAlign w:val="bottom"/>
          </w:tcPr>
          <w:p>
            <w:pPr>
              <w:spacing w:after="0"/>
              <w:rPr>
                <w:sz w:val="1"/>
                <w:szCs w:val="1"/>
                <w:color w:val="auto"/>
              </w:rPr>
            </w:pPr>
          </w:p>
        </w:tc>
      </w:tr>
      <w:tr>
        <w:trPr>
          <w:trHeight w:val="203"/>
        </w:trPr>
        <w:tc>
          <w:tcPr>
            <w:tcW w:w="5180" w:type="dxa"/>
            <w:vAlign w:val="bottom"/>
            <w:gridSpan w:val="2"/>
          </w:tcPr>
          <w:p>
            <w:pPr>
              <w:spacing w:after="0" w:line="202" w:lineRule="exact"/>
              <w:rPr>
                <w:sz w:val="20"/>
                <w:szCs w:val="20"/>
                <w:color w:val="auto"/>
              </w:rPr>
            </w:pPr>
            <w:r>
              <w:rPr>
                <w:rFonts w:ascii="Arial" w:cs="Arial" w:eastAsia="Arial" w:hAnsi="Arial"/>
                <w:sz w:val="18"/>
                <w:szCs w:val="18"/>
                <w:color w:val="auto"/>
              </w:rPr>
              <w:t>Foreign currency revaluation (gains)/losses</w:t>
            </w:r>
          </w:p>
        </w:tc>
        <w:tc>
          <w:tcPr>
            <w:tcW w:w="246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350</w:t>
            </w:r>
          </w:p>
        </w:tc>
        <w:tc>
          <w:tcPr>
            <w:tcW w:w="130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61</w:t>
            </w:r>
          </w:p>
        </w:tc>
        <w:tc>
          <w:tcPr>
            <w:tcW w:w="14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(1,395)</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03"/>
        </w:trPr>
        <w:tc>
          <w:tcPr>
            <w:tcW w:w="5180" w:type="dxa"/>
            <w:vAlign w:val="bottom"/>
            <w:gridSpan w:val="2"/>
          </w:tcPr>
          <w:p>
            <w:pPr>
              <w:spacing w:after="0" w:line="202" w:lineRule="exact"/>
              <w:rPr>
                <w:sz w:val="20"/>
                <w:szCs w:val="20"/>
                <w:color w:val="auto"/>
              </w:rPr>
            </w:pPr>
            <w:r>
              <w:rPr>
                <w:rFonts w:ascii="Arial" w:cs="Arial" w:eastAsia="Arial" w:hAnsi="Arial"/>
                <w:sz w:val="18"/>
                <w:szCs w:val="18"/>
                <w:color w:val="auto"/>
              </w:rPr>
              <w:t>Gain on insurance recovery</w:t>
            </w:r>
          </w:p>
        </w:tc>
        <w:tc>
          <w:tcPr>
            <w:tcW w:w="24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2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(961)</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25"/>
        </w:trPr>
        <w:tc>
          <w:tcPr>
            <w:tcW w:w="5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Pretax income attributable to noncontrolling interest in ASC</w:t>
            </w:r>
          </w:p>
        </w:tc>
        <w:tc>
          <w:tcPr>
            <w:tcW w:w="2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45</w:t>
            </w:r>
          </w:p>
        </w:tc>
        <w:tc>
          <w:tcPr>
            <w:tcW w:w="14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5180" w:type="dxa"/>
            <w:vAlign w:val="bottom"/>
            <w:gridSpan w:val="2"/>
          </w:tcPr>
          <w:p>
            <w:pPr>
              <w:spacing w:after="0" w:line="196" w:lineRule="exact"/>
              <w:rPr>
                <w:sz w:val="20"/>
                <w:szCs w:val="20"/>
                <w:color w:val="auto"/>
              </w:rPr>
            </w:pPr>
            <w:r>
              <w:rPr>
                <w:rFonts w:ascii="Arial" w:cs="Arial" w:eastAsia="Arial" w:hAnsi="Arial"/>
                <w:sz w:val="18"/>
                <w:szCs w:val="18"/>
                <w:color w:val="auto"/>
              </w:rPr>
              <w:t>Adjusted EBITDA</w:t>
            </w:r>
          </w:p>
        </w:tc>
        <w:tc>
          <w:tcPr>
            <w:tcW w:w="246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$47,080</w:t>
            </w:r>
          </w:p>
        </w:tc>
        <w:tc>
          <w:tcPr>
            <w:tcW w:w="130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($326)</w:t>
            </w:r>
          </w:p>
        </w:tc>
        <w:tc>
          <w:tcPr>
            <w:tcW w:w="1420" w:type="dxa"/>
            <w:vAlign w:val="bottom"/>
          </w:tcPr>
          <w:p>
            <w:pPr>
              <w:jc w:val="right"/>
              <w:ind w:right="270"/>
              <w:spacing w:after="0" w:line="196" w:lineRule="exact"/>
              <w:rPr>
                <w:sz w:val="20"/>
                <w:szCs w:val="20"/>
                <w:color w:val="auto"/>
              </w:rPr>
            </w:pPr>
            <w:r>
              <w:rPr>
                <w:rFonts w:ascii="Arial" w:cs="Arial" w:eastAsia="Arial" w:hAnsi="Arial"/>
                <w:sz w:val="18"/>
                <w:szCs w:val="18"/>
                <w:color w:val="auto"/>
              </w:rPr>
              <w:t>($9,490)</w:t>
            </w:r>
          </w:p>
        </w:tc>
        <w:tc>
          <w:tcPr>
            <w:tcW w:w="1060" w:type="dxa"/>
            <w:vAlign w:val="bottom"/>
          </w:tcPr>
          <w:p>
            <w:pPr>
              <w:jc w:val="right"/>
              <w:ind w:right="50"/>
              <w:spacing w:after="0" w:line="196" w:lineRule="exact"/>
              <w:rPr>
                <w:sz w:val="20"/>
                <w:szCs w:val="20"/>
                <w:color w:val="auto"/>
              </w:rPr>
            </w:pPr>
            <w:r>
              <w:rPr>
                <w:rFonts w:ascii="Arial" w:cs="Arial" w:eastAsia="Arial" w:hAnsi="Arial"/>
                <w:sz w:val="18"/>
                <w:szCs w:val="18"/>
                <w:color w:val="auto"/>
              </w:rPr>
              <w:t>$37,264</w:t>
            </w:r>
          </w:p>
        </w:tc>
        <w:tc>
          <w:tcPr>
            <w:tcW w:w="0" w:type="dxa"/>
            <w:vAlign w:val="bottom"/>
          </w:tcPr>
          <w:p>
            <w:pPr>
              <w:spacing w:after="0"/>
              <w:rPr>
                <w:sz w:val="1"/>
                <w:szCs w:val="1"/>
                <w:color w:val="auto"/>
              </w:rPr>
            </w:pPr>
          </w:p>
        </w:tc>
      </w:tr>
      <w:tr>
        <w:trPr>
          <w:trHeight w:val="736"/>
        </w:trPr>
        <w:tc>
          <w:tcPr>
            <w:tcW w:w="20" w:type="dxa"/>
            <w:vAlign w:val="bottom"/>
          </w:tcPr>
          <w:p>
            <w:pPr>
              <w:spacing w:after="0"/>
              <w:rPr>
                <w:sz w:val="24"/>
                <w:szCs w:val="24"/>
                <w:color w:val="auto"/>
              </w:rPr>
            </w:pPr>
          </w:p>
        </w:tc>
        <w:tc>
          <w:tcPr>
            <w:tcW w:w="5160" w:type="dxa"/>
            <w:vAlign w:val="bottom"/>
            <w:tcBorders>
              <w:top w:val="single" w:sz="8" w:color="auto"/>
            </w:tcBorders>
          </w:tcPr>
          <w:p>
            <w:pPr>
              <w:spacing w:after="0"/>
              <w:rPr>
                <w:sz w:val="24"/>
                <w:szCs w:val="24"/>
                <w:color w:val="auto"/>
              </w:rPr>
            </w:pPr>
          </w:p>
        </w:tc>
        <w:tc>
          <w:tcPr>
            <w:tcW w:w="2460" w:type="dxa"/>
            <w:vAlign w:val="bottom"/>
            <w:tcBorders>
              <w:top w:val="single" w:sz="8" w:color="auto"/>
            </w:tcBorders>
          </w:tcPr>
          <w:p>
            <w:pPr>
              <w:jc w:val="right"/>
              <w:ind w:right="1750"/>
              <w:spacing w:after="0"/>
              <w:rPr>
                <w:sz w:val="20"/>
                <w:szCs w:val="20"/>
                <w:color w:val="auto"/>
              </w:rPr>
            </w:pPr>
            <w:r>
              <w:rPr>
                <w:rFonts w:ascii="Times New Roman" w:cs="Times New Roman" w:eastAsia="Times New Roman" w:hAnsi="Times New Roman"/>
                <w:sz w:val="18"/>
                <w:szCs w:val="18"/>
                <w:color w:val="auto"/>
              </w:rPr>
              <w:t>40</w:t>
            </w:r>
          </w:p>
        </w:tc>
        <w:tc>
          <w:tcPr>
            <w:tcW w:w="130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tcBorders>
              <w:bottom w:val="single" w:sz="8" w:color="auto"/>
            </w:tcBorders>
          </w:tcPr>
          <w:p>
            <w:pPr>
              <w:spacing w:after="0"/>
              <w:rPr>
                <w:sz w:val="12"/>
                <w:szCs w:val="12"/>
                <w:color w:val="auto"/>
              </w:rPr>
            </w:pPr>
          </w:p>
        </w:tc>
        <w:tc>
          <w:tcPr>
            <w:tcW w:w="24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43" w:right="239" w:bottom="1440" w:gutter="0" w:footer="0" w:header="0"/>
        </w:sectPr>
      </w:pPr>
    </w:p>
    <w:bookmarkStart w:id="40" w:name="page41"/>
    <w:bookmarkEnd w:id="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56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Six months ended June 30, 2015</w:t>
            </w:r>
          </w:p>
        </w:tc>
        <w:tc>
          <w:tcPr>
            <w:tcW w:w="1980" w:type="dxa"/>
            <w:vAlign w:val="bottom"/>
            <w:tcBorders>
              <w:top w:val="single" w:sz="8" w:color="auto"/>
            </w:tcBorders>
          </w:tcPr>
          <w:p>
            <w:pPr>
              <w:spacing w:after="0"/>
              <w:rPr>
                <w:sz w:val="23"/>
                <w:szCs w:val="23"/>
                <w:color w:val="auto"/>
              </w:rPr>
            </w:pPr>
          </w:p>
        </w:tc>
        <w:tc>
          <w:tcPr>
            <w:tcW w:w="1300" w:type="dxa"/>
            <w:vAlign w:val="bottom"/>
            <w:tcBorders>
              <w:top w:val="single" w:sz="8" w:color="auto"/>
            </w:tcBorders>
          </w:tcPr>
          <w:p>
            <w:pPr>
              <w:spacing w:after="0"/>
              <w:rPr>
                <w:sz w:val="23"/>
                <w:szCs w:val="23"/>
                <w:color w:val="auto"/>
              </w:rPr>
            </w:pPr>
          </w:p>
        </w:tc>
        <w:tc>
          <w:tcPr>
            <w:tcW w:w="1420" w:type="dxa"/>
            <w:vAlign w:val="bottom"/>
            <w:tcBorders>
              <w:top w:val="single" w:sz="8" w:color="auto"/>
            </w:tcBorders>
            <w:vMerge w:val="restart"/>
          </w:tcPr>
          <w:p>
            <w:pPr>
              <w:ind w:left="300"/>
              <w:spacing w:after="0"/>
              <w:rPr>
                <w:sz w:val="20"/>
                <w:szCs w:val="20"/>
                <w:color w:val="auto"/>
              </w:rPr>
            </w:pPr>
            <w:r>
              <w:rPr>
                <w:rFonts w:ascii="Arial" w:cs="Arial" w:eastAsia="Arial" w:hAnsi="Arial"/>
                <w:sz w:val="18"/>
                <w:szCs w:val="18"/>
                <w:b w:val="1"/>
                <w:bCs w:val="1"/>
                <w:color w:val="auto"/>
              </w:rPr>
              <w:t>Corporate</w:t>
            </w:r>
          </w:p>
        </w:tc>
        <w:tc>
          <w:tcPr>
            <w:tcW w:w="108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6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198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Machine</w:t>
            </w:r>
          </w:p>
        </w:tc>
        <w:tc>
          <w:tcPr>
            <w:tcW w:w="1300" w:type="dxa"/>
            <w:vAlign w:val="bottom"/>
          </w:tcPr>
          <w:p>
            <w:pPr>
              <w:spacing w:after="0"/>
              <w:rPr>
                <w:sz w:val="17"/>
                <w:szCs w:val="17"/>
                <w:color w:val="auto"/>
              </w:rPr>
            </w:pPr>
          </w:p>
        </w:tc>
        <w:tc>
          <w:tcPr>
            <w:tcW w:w="1420" w:type="dxa"/>
            <w:vAlign w:val="bottom"/>
          </w:tcPr>
          <w:p>
            <w:pPr>
              <w:ind w:left="320"/>
              <w:spacing w:after="0" w:line="202" w:lineRule="exact"/>
              <w:rPr>
                <w:sz w:val="20"/>
                <w:szCs w:val="20"/>
                <w:color w:val="auto"/>
              </w:rPr>
            </w:pPr>
            <w:r>
              <w:rPr>
                <w:rFonts w:ascii="Arial" w:cs="Arial" w:eastAsia="Arial" w:hAnsi="Arial"/>
                <w:sz w:val="18"/>
                <w:szCs w:val="18"/>
                <w:b w:val="1"/>
                <w:bCs w:val="1"/>
                <w:color w:val="auto"/>
              </w:rPr>
              <w:t>expenses</w:t>
            </w:r>
          </w:p>
        </w:tc>
        <w:tc>
          <w:tcPr>
            <w:tcW w:w="1080" w:type="dxa"/>
            <w:vAlign w:val="bottom"/>
          </w:tcPr>
          <w:p>
            <w:pPr>
              <w:jc w:val="center"/>
              <w:ind w:left="170"/>
              <w:spacing w:after="0" w:line="202" w:lineRule="exact"/>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227"/>
        </w:trPr>
        <w:tc>
          <w:tcPr>
            <w:tcW w:w="5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19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Clothing</w:t>
            </w:r>
          </w:p>
        </w:tc>
        <w:tc>
          <w:tcPr>
            <w:tcW w:w="13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AEC</w:t>
            </w:r>
          </w:p>
        </w:tc>
        <w:tc>
          <w:tcPr>
            <w:tcW w:w="142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and other</w:t>
            </w:r>
          </w:p>
        </w:tc>
        <w:tc>
          <w:tcPr>
            <w:tcW w:w="1080" w:type="dxa"/>
            <w:vAlign w:val="bottom"/>
            <w:tcBorders>
              <w:bottom w:val="single" w:sz="8" w:color="auto"/>
            </w:tcBorders>
          </w:tcPr>
          <w:p>
            <w:pPr>
              <w:jc w:val="center"/>
              <w:ind w:left="170"/>
              <w:spacing w:after="0"/>
              <w:rPr>
                <w:sz w:val="20"/>
                <w:szCs w:val="20"/>
                <w:color w:val="auto"/>
              </w:rPr>
            </w:pPr>
            <w:r>
              <w:rPr>
                <w:rFonts w:ascii="Arial" w:cs="Arial" w:eastAsia="Arial" w:hAnsi="Arial"/>
                <w:sz w:val="18"/>
                <w:szCs w:val="18"/>
                <w:b w:val="1"/>
                <w:bCs w:val="1"/>
                <w:color w:val="auto"/>
                <w:w w:val="99"/>
              </w:rPr>
              <w:t>Company</w:t>
            </w:r>
          </w:p>
        </w:tc>
        <w:tc>
          <w:tcPr>
            <w:tcW w:w="0" w:type="dxa"/>
            <w:vAlign w:val="bottom"/>
          </w:tcPr>
          <w:p>
            <w:pPr>
              <w:spacing w:after="0"/>
              <w:rPr>
                <w:sz w:val="1"/>
                <w:szCs w:val="1"/>
                <w:color w:val="auto"/>
              </w:rPr>
            </w:pPr>
          </w:p>
        </w:tc>
      </w:tr>
      <w:tr>
        <w:trPr>
          <w:trHeight w:val="171"/>
        </w:trPr>
        <w:tc>
          <w:tcPr>
            <w:tcW w:w="5640" w:type="dxa"/>
            <w:vAlign w:val="bottom"/>
            <w:gridSpan w:val="2"/>
          </w:tcPr>
          <w:p>
            <w:pPr>
              <w:spacing w:after="0" w:line="171" w:lineRule="exact"/>
              <w:rPr>
                <w:sz w:val="20"/>
                <w:szCs w:val="20"/>
                <w:color w:val="auto"/>
              </w:rPr>
            </w:pPr>
            <w:r>
              <w:rPr>
                <w:rFonts w:ascii="Arial" w:cs="Arial" w:eastAsia="Arial" w:hAnsi="Arial"/>
                <w:sz w:val="18"/>
                <w:szCs w:val="18"/>
                <w:color w:val="auto"/>
              </w:rPr>
              <w:t>Net income</w:t>
            </w:r>
          </w:p>
        </w:tc>
        <w:tc>
          <w:tcPr>
            <w:tcW w:w="1980" w:type="dxa"/>
            <w:vAlign w:val="bottom"/>
          </w:tcPr>
          <w:p>
            <w:pPr>
              <w:jc w:val="right"/>
              <w:ind w:right="330"/>
              <w:spacing w:after="0" w:line="171" w:lineRule="exact"/>
              <w:rPr>
                <w:sz w:val="20"/>
                <w:szCs w:val="20"/>
                <w:color w:val="auto"/>
              </w:rPr>
            </w:pPr>
            <w:r>
              <w:rPr>
                <w:rFonts w:ascii="Arial" w:cs="Arial" w:eastAsia="Arial" w:hAnsi="Arial"/>
                <w:sz w:val="18"/>
                <w:szCs w:val="18"/>
                <w:color w:val="auto"/>
              </w:rPr>
              <w:t>$69,013</w:t>
            </w:r>
          </w:p>
        </w:tc>
        <w:tc>
          <w:tcPr>
            <w:tcW w:w="1300" w:type="dxa"/>
            <w:vAlign w:val="bottom"/>
          </w:tcPr>
          <w:p>
            <w:pPr>
              <w:jc w:val="right"/>
              <w:ind w:right="190"/>
              <w:spacing w:after="0" w:line="171" w:lineRule="exact"/>
              <w:rPr>
                <w:sz w:val="20"/>
                <w:szCs w:val="20"/>
                <w:color w:val="auto"/>
              </w:rPr>
            </w:pPr>
            <w:r>
              <w:rPr>
                <w:rFonts w:ascii="Arial" w:cs="Arial" w:eastAsia="Arial" w:hAnsi="Arial"/>
                <w:sz w:val="18"/>
                <w:szCs w:val="18"/>
                <w:color w:val="auto"/>
              </w:rPr>
              <w:t>($22,444)</w:t>
            </w:r>
          </w:p>
        </w:tc>
        <w:tc>
          <w:tcPr>
            <w:tcW w:w="1420" w:type="dxa"/>
            <w:vAlign w:val="bottom"/>
          </w:tcPr>
          <w:p>
            <w:pPr>
              <w:jc w:val="right"/>
              <w:ind w:right="250"/>
              <w:spacing w:after="0" w:line="171" w:lineRule="exact"/>
              <w:rPr>
                <w:sz w:val="20"/>
                <w:szCs w:val="20"/>
                <w:color w:val="auto"/>
              </w:rPr>
            </w:pPr>
            <w:r>
              <w:rPr>
                <w:rFonts w:ascii="Arial" w:cs="Arial" w:eastAsia="Arial" w:hAnsi="Arial"/>
                <w:sz w:val="18"/>
                <w:szCs w:val="18"/>
                <w:color w:val="auto"/>
              </w:rPr>
              <w:t>($36,450)</w:t>
            </w:r>
          </w:p>
        </w:tc>
        <w:tc>
          <w:tcPr>
            <w:tcW w:w="1080" w:type="dxa"/>
            <w:vAlign w:val="bottom"/>
          </w:tcPr>
          <w:p>
            <w:pPr>
              <w:jc w:val="right"/>
              <w:ind w:right="50"/>
              <w:spacing w:after="0" w:line="171" w:lineRule="exact"/>
              <w:rPr>
                <w:sz w:val="20"/>
                <w:szCs w:val="20"/>
                <w:color w:val="auto"/>
              </w:rPr>
            </w:pPr>
            <w:r>
              <w:rPr>
                <w:rFonts w:ascii="Arial" w:cs="Arial" w:eastAsia="Arial" w:hAnsi="Arial"/>
                <w:sz w:val="18"/>
                <w:szCs w:val="18"/>
                <w:b w:val="1"/>
                <w:bCs w:val="1"/>
                <w:color w:val="auto"/>
              </w:rPr>
              <w:t>$10,119</w:t>
            </w:r>
          </w:p>
        </w:tc>
        <w:tc>
          <w:tcPr>
            <w:tcW w:w="0" w:type="dxa"/>
            <w:vAlign w:val="bottom"/>
          </w:tcPr>
          <w:p>
            <w:pPr>
              <w:spacing w:after="0"/>
              <w:rPr>
                <w:sz w:val="1"/>
                <w:szCs w:val="1"/>
                <w:color w:val="auto"/>
              </w:rPr>
            </w:pPr>
          </w:p>
        </w:tc>
      </w:tr>
      <w:tr>
        <w:trPr>
          <w:trHeight w:val="203"/>
        </w:trPr>
        <w:tc>
          <w:tcPr>
            <w:tcW w:w="5640" w:type="dxa"/>
            <w:vAlign w:val="bottom"/>
            <w:gridSpan w:val="2"/>
          </w:tcPr>
          <w:p>
            <w:pPr>
              <w:spacing w:after="0" w:line="202" w:lineRule="exact"/>
              <w:rPr>
                <w:sz w:val="20"/>
                <w:szCs w:val="20"/>
                <w:color w:val="auto"/>
              </w:rPr>
            </w:pPr>
            <w:r>
              <w:rPr>
                <w:rFonts w:ascii="Arial" w:cs="Arial" w:eastAsia="Arial" w:hAnsi="Arial"/>
                <w:sz w:val="18"/>
                <w:szCs w:val="18"/>
                <w:color w:val="auto"/>
              </w:rPr>
              <w:t>Interest expense, net</w:t>
            </w:r>
          </w:p>
        </w:tc>
        <w:tc>
          <w:tcPr>
            <w:tcW w:w="1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2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5,378</w:t>
            </w:r>
          </w:p>
        </w:tc>
        <w:tc>
          <w:tcPr>
            <w:tcW w:w="108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5,378</w:t>
            </w:r>
          </w:p>
        </w:tc>
        <w:tc>
          <w:tcPr>
            <w:tcW w:w="0" w:type="dxa"/>
            <w:vAlign w:val="bottom"/>
          </w:tcPr>
          <w:p>
            <w:pPr>
              <w:spacing w:after="0"/>
              <w:rPr>
                <w:sz w:val="1"/>
                <w:szCs w:val="1"/>
                <w:color w:val="auto"/>
              </w:rPr>
            </w:pPr>
          </w:p>
        </w:tc>
      </w:tr>
      <w:tr>
        <w:trPr>
          <w:trHeight w:val="203"/>
        </w:trPr>
        <w:tc>
          <w:tcPr>
            <w:tcW w:w="5640" w:type="dxa"/>
            <w:vAlign w:val="bottom"/>
            <w:gridSpan w:val="2"/>
          </w:tcPr>
          <w:p>
            <w:pPr>
              <w:spacing w:after="0" w:line="202" w:lineRule="exact"/>
              <w:rPr>
                <w:sz w:val="20"/>
                <w:szCs w:val="20"/>
                <w:color w:val="auto"/>
              </w:rPr>
            </w:pPr>
            <w:r>
              <w:rPr>
                <w:rFonts w:ascii="Arial" w:cs="Arial" w:eastAsia="Arial" w:hAnsi="Arial"/>
                <w:sz w:val="18"/>
                <w:szCs w:val="18"/>
                <w:color w:val="auto"/>
              </w:rPr>
              <w:t>Income tax expense</w:t>
            </w:r>
          </w:p>
        </w:tc>
        <w:tc>
          <w:tcPr>
            <w:tcW w:w="1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2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8,155</w:t>
            </w:r>
          </w:p>
        </w:tc>
        <w:tc>
          <w:tcPr>
            <w:tcW w:w="108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8,155</w:t>
            </w:r>
          </w:p>
        </w:tc>
        <w:tc>
          <w:tcPr>
            <w:tcW w:w="0" w:type="dxa"/>
            <w:vAlign w:val="bottom"/>
          </w:tcPr>
          <w:p>
            <w:pPr>
              <w:spacing w:after="0"/>
              <w:rPr>
                <w:sz w:val="1"/>
                <w:szCs w:val="1"/>
                <w:color w:val="auto"/>
              </w:rPr>
            </w:pPr>
          </w:p>
        </w:tc>
      </w:tr>
      <w:tr>
        <w:trPr>
          <w:trHeight w:val="227"/>
        </w:trPr>
        <w:tc>
          <w:tcPr>
            <w:tcW w:w="5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Depreciation and amortization</w:t>
            </w:r>
          </w:p>
        </w:tc>
        <w:tc>
          <w:tcPr>
            <w:tcW w:w="1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20,416</w:t>
            </w:r>
          </w:p>
        </w:tc>
        <w:tc>
          <w:tcPr>
            <w:tcW w:w="13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5,865</w:t>
            </w:r>
          </w:p>
        </w:tc>
        <w:tc>
          <w:tcPr>
            <w:tcW w:w="14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4,257</w:t>
            </w: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30,538</w:t>
            </w:r>
          </w:p>
        </w:tc>
        <w:tc>
          <w:tcPr>
            <w:tcW w:w="0" w:type="dxa"/>
            <w:vAlign w:val="bottom"/>
          </w:tcPr>
          <w:p>
            <w:pPr>
              <w:spacing w:after="0"/>
              <w:rPr>
                <w:sz w:val="1"/>
                <w:szCs w:val="1"/>
                <w:color w:val="auto"/>
              </w:rPr>
            </w:pPr>
          </w:p>
        </w:tc>
      </w:tr>
      <w:tr>
        <w:trPr>
          <w:trHeight w:val="171"/>
        </w:trPr>
        <w:tc>
          <w:tcPr>
            <w:tcW w:w="5640" w:type="dxa"/>
            <w:vAlign w:val="bottom"/>
            <w:gridSpan w:val="2"/>
          </w:tcPr>
          <w:p>
            <w:pPr>
              <w:spacing w:after="0" w:line="171" w:lineRule="exact"/>
              <w:rPr>
                <w:sz w:val="20"/>
                <w:szCs w:val="20"/>
                <w:color w:val="auto"/>
              </w:rPr>
            </w:pPr>
            <w:r>
              <w:rPr>
                <w:rFonts w:ascii="Arial" w:cs="Arial" w:eastAsia="Arial" w:hAnsi="Arial"/>
                <w:sz w:val="18"/>
                <w:szCs w:val="18"/>
                <w:color w:val="auto"/>
              </w:rPr>
              <w:t>EBITDA</w:t>
            </w:r>
          </w:p>
        </w:tc>
        <w:tc>
          <w:tcPr>
            <w:tcW w:w="1980" w:type="dxa"/>
            <w:vAlign w:val="bottom"/>
          </w:tcPr>
          <w:p>
            <w:pPr>
              <w:jc w:val="right"/>
              <w:ind w:right="330"/>
              <w:spacing w:after="0" w:line="171" w:lineRule="exact"/>
              <w:rPr>
                <w:sz w:val="20"/>
                <w:szCs w:val="20"/>
                <w:color w:val="auto"/>
              </w:rPr>
            </w:pPr>
            <w:r>
              <w:rPr>
                <w:rFonts w:ascii="Arial" w:cs="Arial" w:eastAsia="Arial" w:hAnsi="Arial"/>
                <w:sz w:val="18"/>
                <w:szCs w:val="18"/>
                <w:color w:val="auto"/>
              </w:rPr>
              <w:t>89,429</w:t>
            </w:r>
          </w:p>
        </w:tc>
        <w:tc>
          <w:tcPr>
            <w:tcW w:w="1300" w:type="dxa"/>
            <w:vAlign w:val="bottom"/>
          </w:tcPr>
          <w:p>
            <w:pPr>
              <w:jc w:val="right"/>
              <w:ind w:right="190"/>
              <w:spacing w:after="0" w:line="171" w:lineRule="exact"/>
              <w:rPr>
                <w:sz w:val="20"/>
                <w:szCs w:val="20"/>
                <w:color w:val="auto"/>
              </w:rPr>
            </w:pPr>
            <w:r>
              <w:rPr>
                <w:rFonts w:ascii="Arial" w:cs="Arial" w:eastAsia="Arial" w:hAnsi="Arial"/>
                <w:sz w:val="18"/>
                <w:szCs w:val="18"/>
                <w:color w:val="auto"/>
              </w:rPr>
              <w:t>(16,579)</w:t>
            </w:r>
          </w:p>
        </w:tc>
        <w:tc>
          <w:tcPr>
            <w:tcW w:w="1420" w:type="dxa"/>
            <w:vAlign w:val="bottom"/>
          </w:tcPr>
          <w:p>
            <w:pPr>
              <w:jc w:val="right"/>
              <w:ind w:right="250"/>
              <w:spacing w:after="0" w:line="171" w:lineRule="exact"/>
              <w:rPr>
                <w:sz w:val="20"/>
                <w:szCs w:val="20"/>
                <w:color w:val="auto"/>
              </w:rPr>
            </w:pPr>
            <w:r>
              <w:rPr>
                <w:rFonts w:ascii="Arial" w:cs="Arial" w:eastAsia="Arial" w:hAnsi="Arial"/>
                <w:sz w:val="18"/>
                <w:szCs w:val="18"/>
                <w:color w:val="auto"/>
              </w:rPr>
              <w:t>(18,660)</w:t>
            </w:r>
          </w:p>
        </w:tc>
        <w:tc>
          <w:tcPr>
            <w:tcW w:w="1080" w:type="dxa"/>
            <w:vAlign w:val="bottom"/>
          </w:tcPr>
          <w:p>
            <w:pPr>
              <w:jc w:val="right"/>
              <w:ind w:right="50"/>
              <w:spacing w:after="0" w:line="171" w:lineRule="exact"/>
              <w:rPr>
                <w:sz w:val="20"/>
                <w:szCs w:val="20"/>
                <w:color w:val="auto"/>
              </w:rPr>
            </w:pPr>
            <w:r>
              <w:rPr>
                <w:rFonts w:ascii="Arial" w:cs="Arial" w:eastAsia="Arial" w:hAnsi="Arial"/>
                <w:sz w:val="18"/>
                <w:szCs w:val="18"/>
                <w:b w:val="1"/>
                <w:bCs w:val="1"/>
                <w:color w:val="auto"/>
              </w:rPr>
              <w:t>54,190</w:t>
            </w:r>
          </w:p>
        </w:tc>
        <w:tc>
          <w:tcPr>
            <w:tcW w:w="0" w:type="dxa"/>
            <w:vAlign w:val="bottom"/>
          </w:tcPr>
          <w:p>
            <w:pPr>
              <w:spacing w:after="0"/>
              <w:rPr>
                <w:sz w:val="1"/>
                <w:szCs w:val="1"/>
                <w:color w:val="auto"/>
              </w:rPr>
            </w:pPr>
          </w:p>
        </w:tc>
      </w:tr>
      <w:tr>
        <w:trPr>
          <w:trHeight w:val="203"/>
        </w:trPr>
        <w:tc>
          <w:tcPr>
            <w:tcW w:w="5640" w:type="dxa"/>
            <w:vAlign w:val="bottom"/>
            <w:gridSpan w:val="2"/>
          </w:tcPr>
          <w:p>
            <w:pPr>
              <w:spacing w:after="0" w:line="202" w:lineRule="exact"/>
              <w:rPr>
                <w:sz w:val="20"/>
                <w:szCs w:val="20"/>
                <w:color w:val="auto"/>
              </w:rPr>
            </w:pPr>
            <w:r>
              <w:rPr>
                <w:rFonts w:ascii="Arial" w:cs="Arial" w:eastAsia="Arial" w:hAnsi="Arial"/>
                <w:sz w:val="18"/>
                <w:szCs w:val="18"/>
                <w:color w:val="auto"/>
              </w:rPr>
              <w:t>Restructuring expenses, net</w:t>
            </w:r>
          </w:p>
        </w:tc>
        <w:tc>
          <w:tcPr>
            <w:tcW w:w="198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10,212</w:t>
            </w:r>
          </w:p>
        </w:tc>
        <w:tc>
          <w:tcPr>
            <w:tcW w:w="1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8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10,212</w:t>
            </w:r>
          </w:p>
        </w:tc>
        <w:tc>
          <w:tcPr>
            <w:tcW w:w="0" w:type="dxa"/>
            <w:vAlign w:val="bottom"/>
          </w:tcPr>
          <w:p>
            <w:pPr>
              <w:spacing w:after="0"/>
              <w:rPr>
                <w:sz w:val="1"/>
                <w:szCs w:val="1"/>
                <w:color w:val="auto"/>
              </w:rPr>
            </w:pPr>
          </w:p>
        </w:tc>
      </w:tr>
      <w:tr>
        <w:trPr>
          <w:trHeight w:val="203"/>
        </w:trPr>
        <w:tc>
          <w:tcPr>
            <w:tcW w:w="5640" w:type="dxa"/>
            <w:vAlign w:val="bottom"/>
            <w:gridSpan w:val="2"/>
          </w:tcPr>
          <w:p>
            <w:pPr>
              <w:spacing w:after="0" w:line="202" w:lineRule="exact"/>
              <w:rPr>
                <w:sz w:val="20"/>
                <w:szCs w:val="20"/>
                <w:color w:val="auto"/>
              </w:rPr>
            </w:pPr>
            <w:r>
              <w:rPr>
                <w:rFonts w:ascii="Arial" w:cs="Arial" w:eastAsia="Arial" w:hAnsi="Arial"/>
                <w:sz w:val="18"/>
                <w:szCs w:val="18"/>
                <w:color w:val="auto"/>
              </w:rPr>
              <w:t>Foreign currency revaluation (gains)/losses</w:t>
            </w:r>
          </w:p>
        </w:tc>
        <w:tc>
          <w:tcPr>
            <w:tcW w:w="198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(2,529)</w:t>
            </w:r>
          </w:p>
        </w:tc>
        <w:tc>
          <w:tcPr>
            <w:tcW w:w="130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(17)</w:t>
            </w:r>
          </w:p>
        </w:tc>
        <w:tc>
          <w:tcPr>
            <w:tcW w:w="142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(551)</w:t>
            </w:r>
          </w:p>
        </w:tc>
        <w:tc>
          <w:tcPr>
            <w:tcW w:w="10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(3,097)</w:t>
            </w:r>
          </w:p>
        </w:tc>
        <w:tc>
          <w:tcPr>
            <w:tcW w:w="0" w:type="dxa"/>
            <w:vAlign w:val="bottom"/>
          </w:tcPr>
          <w:p>
            <w:pPr>
              <w:spacing w:after="0"/>
              <w:rPr>
                <w:sz w:val="1"/>
                <w:szCs w:val="1"/>
                <w:color w:val="auto"/>
              </w:rPr>
            </w:pPr>
          </w:p>
        </w:tc>
      </w:tr>
      <w:tr>
        <w:trPr>
          <w:trHeight w:val="203"/>
        </w:trPr>
        <w:tc>
          <w:tcPr>
            <w:tcW w:w="5640" w:type="dxa"/>
            <w:vAlign w:val="bottom"/>
            <w:gridSpan w:val="2"/>
          </w:tcPr>
          <w:p>
            <w:pPr>
              <w:spacing w:after="0" w:line="202" w:lineRule="exact"/>
              <w:rPr>
                <w:sz w:val="20"/>
                <w:szCs w:val="20"/>
                <w:color w:val="auto"/>
              </w:rPr>
            </w:pPr>
            <w:r>
              <w:rPr>
                <w:rFonts w:ascii="Arial" w:cs="Arial" w:eastAsia="Arial" w:hAnsi="Arial"/>
                <w:sz w:val="18"/>
                <w:szCs w:val="18"/>
                <w:color w:val="auto"/>
              </w:rPr>
              <w:t>Gain on sale of investment</w:t>
            </w:r>
          </w:p>
        </w:tc>
        <w:tc>
          <w:tcPr>
            <w:tcW w:w="1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2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(872)</w:t>
            </w:r>
          </w:p>
        </w:tc>
        <w:tc>
          <w:tcPr>
            <w:tcW w:w="10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(872)</w:t>
            </w:r>
          </w:p>
        </w:tc>
        <w:tc>
          <w:tcPr>
            <w:tcW w:w="0" w:type="dxa"/>
            <w:vAlign w:val="bottom"/>
          </w:tcPr>
          <w:p>
            <w:pPr>
              <w:spacing w:after="0"/>
              <w:rPr>
                <w:sz w:val="1"/>
                <w:szCs w:val="1"/>
                <w:color w:val="auto"/>
              </w:rPr>
            </w:pPr>
          </w:p>
        </w:tc>
      </w:tr>
      <w:tr>
        <w:trPr>
          <w:trHeight w:val="227"/>
        </w:trPr>
        <w:tc>
          <w:tcPr>
            <w:tcW w:w="5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Pretax income attributable to noncontrolling interest in ASC</w:t>
            </w:r>
          </w:p>
        </w:tc>
        <w:tc>
          <w:tcPr>
            <w:tcW w:w="19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(90)</w:t>
            </w:r>
          </w:p>
        </w:tc>
        <w:tc>
          <w:tcPr>
            <w:tcW w:w="1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w:t>
            </w:r>
          </w:p>
        </w:tc>
        <w:tc>
          <w:tcPr>
            <w:tcW w:w="0" w:type="dxa"/>
            <w:vAlign w:val="bottom"/>
          </w:tcPr>
          <w:p>
            <w:pPr>
              <w:spacing w:after="0"/>
              <w:rPr>
                <w:sz w:val="1"/>
                <w:szCs w:val="1"/>
                <w:color w:val="auto"/>
              </w:rPr>
            </w:pPr>
          </w:p>
        </w:tc>
      </w:tr>
      <w:tr>
        <w:trPr>
          <w:trHeight w:val="196"/>
        </w:trPr>
        <w:tc>
          <w:tcPr>
            <w:tcW w:w="564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Adjusted EBITDA</w:t>
            </w:r>
          </w:p>
        </w:tc>
        <w:tc>
          <w:tcPr>
            <w:tcW w:w="198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color w:val="auto"/>
              </w:rPr>
              <w:t>$97,112</w:t>
            </w:r>
          </w:p>
        </w:tc>
        <w:tc>
          <w:tcPr>
            <w:tcW w:w="130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($16,686)</w:t>
            </w:r>
          </w:p>
        </w:tc>
        <w:tc>
          <w:tcPr>
            <w:tcW w:w="142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rPr>
              <w:t>($20,083)</w:t>
            </w:r>
          </w:p>
        </w:tc>
        <w:tc>
          <w:tcPr>
            <w:tcW w:w="108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$60,343</w:t>
            </w:r>
          </w:p>
        </w:tc>
        <w:tc>
          <w:tcPr>
            <w:tcW w:w="0" w:type="dxa"/>
            <w:vAlign w:val="bottom"/>
          </w:tcPr>
          <w:p>
            <w:pPr>
              <w:spacing w:after="0"/>
              <w:rPr>
                <w:sz w:val="1"/>
                <w:szCs w:val="1"/>
                <w:color w:val="auto"/>
              </w:rPr>
            </w:pPr>
          </w:p>
        </w:tc>
      </w:tr>
      <w:tr>
        <w:trPr>
          <w:trHeight w:val="399"/>
        </w:trPr>
        <w:tc>
          <w:tcPr>
            <w:tcW w:w="20" w:type="dxa"/>
            <w:vAlign w:val="bottom"/>
            <w:vMerge w:val="restart"/>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vMerge w:val="continue"/>
          </w:tcPr>
          <w:p>
            <w:pPr>
              <w:spacing w:after="0"/>
              <w:rPr>
                <w:sz w:val="21"/>
                <w:szCs w:val="21"/>
                <w:color w:val="auto"/>
              </w:rPr>
            </w:pPr>
          </w:p>
        </w:tc>
        <w:tc>
          <w:tcPr>
            <w:tcW w:w="5620" w:type="dxa"/>
            <w:vAlign w:val="bottom"/>
          </w:tcPr>
          <w:p>
            <w:pPr>
              <w:spacing w:after="0"/>
              <w:rPr>
                <w:sz w:val="20"/>
                <w:szCs w:val="20"/>
                <w:color w:val="auto"/>
              </w:rPr>
            </w:pPr>
            <w:r>
              <w:rPr>
                <w:rFonts w:ascii="Arial" w:cs="Arial" w:eastAsia="Arial" w:hAnsi="Arial"/>
                <w:sz w:val="18"/>
                <w:szCs w:val="18"/>
                <w:b w:val="1"/>
                <w:bCs w:val="1"/>
                <w:color w:val="auto"/>
              </w:rPr>
              <w:t>Six months ended June 30, 2014</w:t>
            </w:r>
          </w:p>
        </w:tc>
        <w:tc>
          <w:tcPr>
            <w:tcW w:w="19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420" w:type="dxa"/>
            <w:vAlign w:val="bottom"/>
            <w:vMerge w:val="restart"/>
          </w:tcPr>
          <w:p>
            <w:pPr>
              <w:ind w:left="300"/>
              <w:spacing w:after="0"/>
              <w:rPr>
                <w:sz w:val="20"/>
                <w:szCs w:val="20"/>
                <w:color w:val="auto"/>
              </w:rPr>
            </w:pPr>
            <w:r>
              <w:rPr>
                <w:rFonts w:ascii="Arial" w:cs="Arial" w:eastAsia="Arial" w:hAnsi="Arial"/>
                <w:sz w:val="18"/>
                <w:szCs w:val="18"/>
                <w:b w:val="1"/>
                <w:bCs w:val="1"/>
                <w:color w:val="auto"/>
              </w:rPr>
              <w:t>Corporate</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6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198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Machine</w:t>
            </w:r>
          </w:p>
        </w:tc>
        <w:tc>
          <w:tcPr>
            <w:tcW w:w="1300" w:type="dxa"/>
            <w:vAlign w:val="bottom"/>
          </w:tcPr>
          <w:p>
            <w:pPr>
              <w:spacing w:after="0"/>
              <w:rPr>
                <w:sz w:val="17"/>
                <w:szCs w:val="17"/>
                <w:color w:val="auto"/>
              </w:rPr>
            </w:pPr>
          </w:p>
        </w:tc>
        <w:tc>
          <w:tcPr>
            <w:tcW w:w="1420" w:type="dxa"/>
            <w:vAlign w:val="bottom"/>
          </w:tcPr>
          <w:p>
            <w:pPr>
              <w:ind w:left="320"/>
              <w:spacing w:after="0" w:line="202" w:lineRule="exact"/>
              <w:rPr>
                <w:sz w:val="20"/>
                <w:szCs w:val="20"/>
                <w:color w:val="auto"/>
              </w:rPr>
            </w:pPr>
            <w:r>
              <w:rPr>
                <w:rFonts w:ascii="Arial" w:cs="Arial" w:eastAsia="Arial" w:hAnsi="Arial"/>
                <w:sz w:val="18"/>
                <w:szCs w:val="18"/>
                <w:b w:val="1"/>
                <w:bCs w:val="1"/>
                <w:color w:val="auto"/>
              </w:rPr>
              <w:t>expenses</w:t>
            </w:r>
          </w:p>
        </w:tc>
        <w:tc>
          <w:tcPr>
            <w:tcW w:w="1080" w:type="dxa"/>
            <w:vAlign w:val="bottom"/>
          </w:tcPr>
          <w:p>
            <w:pPr>
              <w:jc w:val="center"/>
              <w:ind w:left="170"/>
              <w:spacing w:after="0" w:line="202" w:lineRule="exact"/>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227"/>
        </w:trPr>
        <w:tc>
          <w:tcPr>
            <w:tcW w:w="5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19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Clothing</w:t>
            </w:r>
          </w:p>
        </w:tc>
        <w:tc>
          <w:tcPr>
            <w:tcW w:w="13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AEC</w:t>
            </w:r>
          </w:p>
        </w:tc>
        <w:tc>
          <w:tcPr>
            <w:tcW w:w="142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and other</w:t>
            </w:r>
          </w:p>
        </w:tc>
        <w:tc>
          <w:tcPr>
            <w:tcW w:w="1080" w:type="dxa"/>
            <w:vAlign w:val="bottom"/>
            <w:tcBorders>
              <w:bottom w:val="single" w:sz="8" w:color="auto"/>
            </w:tcBorders>
          </w:tcPr>
          <w:p>
            <w:pPr>
              <w:jc w:val="center"/>
              <w:ind w:left="170"/>
              <w:spacing w:after="0"/>
              <w:rPr>
                <w:sz w:val="20"/>
                <w:szCs w:val="20"/>
                <w:color w:val="auto"/>
              </w:rPr>
            </w:pPr>
            <w:r>
              <w:rPr>
                <w:rFonts w:ascii="Arial" w:cs="Arial" w:eastAsia="Arial" w:hAnsi="Arial"/>
                <w:sz w:val="18"/>
                <w:szCs w:val="18"/>
                <w:b w:val="1"/>
                <w:bCs w:val="1"/>
                <w:color w:val="auto"/>
                <w:w w:val="99"/>
              </w:rPr>
              <w:t>Company</w:t>
            </w:r>
          </w:p>
        </w:tc>
        <w:tc>
          <w:tcPr>
            <w:tcW w:w="0" w:type="dxa"/>
            <w:vAlign w:val="bottom"/>
          </w:tcPr>
          <w:p>
            <w:pPr>
              <w:spacing w:after="0"/>
              <w:rPr>
                <w:sz w:val="1"/>
                <w:szCs w:val="1"/>
                <w:color w:val="auto"/>
              </w:rPr>
            </w:pPr>
          </w:p>
        </w:tc>
      </w:tr>
      <w:tr>
        <w:trPr>
          <w:trHeight w:val="173"/>
        </w:trPr>
        <w:tc>
          <w:tcPr>
            <w:tcW w:w="5640" w:type="dxa"/>
            <w:vAlign w:val="bottom"/>
            <w:gridSpan w:val="2"/>
          </w:tcPr>
          <w:p>
            <w:pPr>
              <w:spacing w:after="0" w:line="173" w:lineRule="exact"/>
              <w:rPr>
                <w:sz w:val="20"/>
                <w:szCs w:val="20"/>
                <w:color w:val="auto"/>
              </w:rPr>
            </w:pPr>
            <w:r>
              <w:rPr>
                <w:rFonts w:ascii="Arial" w:cs="Arial" w:eastAsia="Arial" w:hAnsi="Arial"/>
                <w:sz w:val="18"/>
                <w:szCs w:val="18"/>
                <w:color w:val="auto"/>
              </w:rPr>
              <w:t>Net income</w:t>
            </w:r>
          </w:p>
        </w:tc>
        <w:tc>
          <w:tcPr>
            <w:tcW w:w="1980" w:type="dxa"/>
            <w:vAlign w:val="bottom"/>
          </w:tcPr>
          <w:p>
            <w:pPr>
              <w:jc w:val="right"/>
              <w:ind w:right="250"/>
              <w:spacing w:after="0" w:line="173" w:lineRule="exact"/>
              <w:rPr>
                <w:sz w:val="20"/>
                <w:szCs w:val="20"/>
                <w:color w:val="auto"/>
              </w:rPr>
            </w:pPr>
            <w:r>
              <w:rPr>
                <w:rFonts w:ascii="Arial" w:cs="Arial" w:eastAsia="Arial" w:hAnsi="Arial"/>
                <w:sz w:val="18"/>
                <w:szCs w:val="18"/>
                <w:color w:val="auto"/>
              </w:rPr>
              <w:t>$70,022</w:t>
            </w:r>
          </w:p>
        </w:tc>
        <w:tc>
          <w:tcPr>
            <w:tcW w:w="1300" w:type="dxa"/>
            <w:vAlign w:val="bottom"/>
          </w:tcPr>
          <w:p>
            <w:pPr>
              <w:jc w:val="right"/>
              <w:ind w:right="190"/>
              <w:spacing w:after="0" w:line="173" w:lineRule="exact"/>
              <w:rPr>
                <w:sz w:val="20"/>
                <w:szCs w:val="20"/>
                <w:color w:val="auto"/>
              </w:rPr>
            </w:pPr>
            <w:r>
              <w:rPr>
                <w:rFonts w:ascii="Arial" w:cs="Arial" w:eastAsia="Arial" w:hAnsi="Arial"/>
                <w:sz w:val="18"/>
                <w:szCs w:val="18"/>
                <w:color w:val="auto"/>
              </w:rPr>
              <w:t>($7,021)</w:t>
            </w:r>
          </w:p>
        </w:tc>
        <w:tc>
          <w:tcPr>
            <w:tcW w:w="1420" w:type="dxa"/>
            <w:vAlign w:val="bottom"/>
          </w:tcPr>
          <w:p>
            <w:pPr>
              <w:jc w:val="right"/>
              <w:ind w:right="250"/>
              <w:spacing w:after="0" w:line="173" w:lineRule="exact"/>
              <w:rPr>
                <w:sz w:val="20"/>
                <w:szCs w:val="20"/>
                <w:color w:val="auto"/>
              </w:rPr>
            </w:pPr>
            <w:r>
              <w:rPr>
                <w:rFonts w:ascii="Arial" w:cs="Arial" w:eastAsia="Arial" w:hAnsi="Arial"/>
                <w:sz w:val="18"/>
                <w:szCs w:val="18"/>
                <w:color w:val="auto"/>
              </w:rPr>
              <w:t>($41,131)</w:t>
            </w:r>
          </w:p>
        </w:tc>
        <w:tc>
          <w:tcPr>
            <w:tcW w:w="1080" w:type="dxa"/>
            <w:vAlign w:val="bottom"/>
          </w:tcPr>
          <w:p>
            <w:pPr>
              <w:jc w:val="right"/>
              <w:ind w:right="50"/>
              <w:spacing w:after="0" w:line="173" w:lineRule="exact"/>
              <w:rPr>
                <w:sz w:val="20"/>
                <w:szCs w:val="20"/>
                <w:color w:val="auto"/>
              </w:rPr>
            </w:pPr>
            <w:r>
              <w:rPr>
                <w:rFonts w:ascii="Arial" w:cs="Arial" w:eastAsia="Arial" w:hAnsi="Arial"/>
                <w:sz w:val="18"/>
                <w:szCs w:val="18"/>
                <w:color w:val="auto"/>
              </w:rPr>
              <w:t>$21,870</w:t>
            </w:r>
          </w:p>
        </w:tc>
        <w:tc>
          <w:tcPr>
            <w:tcW w:w="0" w:type="dxa"/>
            <w:vAlign w:val="bottom"/>
          </w:tcPr>
          <w:p>
            <w:pPr>
              <w:spacing w:after="0"/>
              <w:rPr>
                <w:sz w:val="1"/>
                <w:szCs w:val="1"/>
                <w:color w:val="auto"/>
              </w:rPr>
            </w:pPr>
          </w:p>
        </w:tc>
      </w:tr>
      <w:tr>
        <w:trPr>
          <w:trHeight w:val="203"/>
        </w:trPr>
        <w:tc>
          <w:tcPr>
            <w:tcW w:w="5640" w:type="dxa"/>
            <w:vAlign w:val="bottom"/>
            <w:gridSpan w:val="2"/>
          </w:tcPr>
          <w:p>
            <w:pPr>
              <w:spacing w:after="0" w:line="202" w:lineRule="exact"/>
              <w:rPr>
                <w:sz w:val="20"/>
                <w:szCs w:val="20"/>
                <w:color w:val="auto"/>
              </w:rPr>
            </w:pPr>
            <w:r>
              <w:rPr>
                <w:rFonts w:ascii="Arial" w:cs="Arial" w:eastAsia="Arial" w:hAnsi="Arial"/>
                <w:sz w:val="18"/>
                <w:szCs w:val="18"/>
                <w:color w:val="auto"/>
              </w:rPr>
              <w:t>Interest expense, net</w:t>
            </w:r>
          </w:p>
        </w:tc>
        <w:tc>
          <w:tcPr>
            <w:tcW w:w="198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42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5,635</w:t>
            </w:r>
          </w:p>
        </w:tc>
        <w:tc>
          <w:tcPr>
            <w:tcW w:w="10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5,635</w:t>
            </w:r>
          </w:p>
        </w:tc>
        <w:tc>
          <w:tcPr>
            <w:tcW w:w="0" w:type="dxa"/>
            <w:vAlign w:val="bottom"/>
          </w:tcPr>
          <w:p>
            <w:pPr>
              <w:spacing w:after="0"/>
              <w:rPr>
                <w:sz w:val="1"/>
                <w:szCs w:val="1"/>
                <w:color w:val="auto"/>
              </w:rPr>
            </w:pPr>
          </w:p>
        </w:tc>
      </w:tr>
      <w:tr>
        <w:trPr>
          <w:trHeight w:val="203"/>
        </w:trPr>
        <w:tc>
          <w:tcPr>
            <w:tcW w:w="5640" w:type="dxa"/>
            <w:vAlign w:val="bottom"/>
            <w:gridSpan w:val="2"/>
          </w:tcPr>
          <w:p>
            <w:pPr>
              <w:spacing w:after="0" w:line="202" w:lineRule="exact"/>
              <w:rPr>
                <w:sz w:val="20"/>
                <w:szCs w:val="20"/>
                <w:color w:val="auto"/>
              </w:rPr>
            </w:pPr>
            <w:r>
              <w:rPr>
                <w:rFonts w:ascii="Arial" w:cs="Arial" w:eastAsia="Arial" w:hAnsi="Arial"/>
                <w:sz w:val="18"/>
                <w:szCs w:val="18"/>
                <w:color w:val="auto"/>
              </w:rPr>
              <w:t>Income tax expense</w:t>
            </w:r>
          </w:p>
        </w:tc>
        <w:tc>
          <w:tcPr>
            <w:tcW w:w="198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42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14,673</w:t>
            </w:r>
          </w:p>
        </w:tc>
        <w:tc>
          <w:tcPr>
            <w:tcW w:w="10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14,673</w:t>
            </w:r>
          </w:p>
        </w:tc>
        <w:tc>
          <w:tcPr>
            <w:tcW w:w="0" w:type="dxa"/>
            <w:vAlign w:val="bottom"/>
          </w:tcPr>
          <w:p>
            <w:pPr>
              <w:spacing w:after="0"/>
              <w:rPr>
                <w:sz w:val="1"/>
                <w:szCs w:val="1"/>
                <w:color w:val="auto"/>
              </w:rPr>
            </w:pPr>
          </w:p>
        </w:tc>
      </w:tr>
      <w:tr>
        <w:trPr>
          <w:trHeight w:val="225"/>
        </w:trPr>
        <w:tc>
          <w:tcPr>
            <w:tcW w:w="5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Depreciation and amortization</w:t>
            </w:r>
          </w:p>
        </w:tc>
        <w:tc>
          <w:tcPr>
            <w:tcW w:w="19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23,009</w:t>
            </w:r>
          </w:p>
        </w:tc>
        <w:tc>
          <w:tcPr>
            <w:tcW w:w="13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4,775</w:t>
            </w:r>
          </w:p>
        </w:tc>
        <w:tc>
          <w:tcPr>
            <w:tcW w:w="14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4,221</w:t>
            </w: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32,005</w:t>
            </w:r>
          </w:p>
        </w:tc>
        <w:tc>
          <w:tcPr>
            <w:tcW w:w="0" w:type="dxa"/>
            <w:vAlign w:val="bottom"/>
          </w:tcPr>
          <w:p>
            <w:pPr>
              <w:spacing w:after="0"/>
              <w:rPr>
                <w:sz w:val="1"/>
                <w:szCs w:val="1"/>
                <w:color w:val="auto"/>
              </w:rPr>
            </w:pPr>
          </w:p>
        </w:tc>
      </w:tr>
      <w:tr>
        <w:trPr>
          <w:trHeight w:val="173"/>
        </w:trPr>
        <w:tc>
          <w:tcPr>
            <w:tcW w:w="5640" w:type="dxa"/>
            <w:vAlign w:val="bottom"/>
            <w:gridSpan w:val="2"/>
          </w:tcPr>
          <w:p>
            <w:pPr>
              <w:spacing w:after="0" w:line="173" w:lineRule="exact"/>
              <w:rPr>
                <w:sz w:val="20"/>
                <w:szCs w:val="20"/>
                <w:color w:val="auto"/>
              </w:rPr>
            </w:pPr>
            <w:r>
              <w:rPr>
                <w:rFonts w:ascii="Arial" w:cs="Arial" w:eastAsia="Arial" w:hAnsi="Arial"/>
                <w:sz w:val="18"/>
                <w:szCs w:val="18"/>
                <w:color w:val="auto"/>
              </w:rPr>
              <w:t>EBITDA</w:t>
            </w:r>
          </w:p>
        </w:tc>
        <w:tc>
          <w:tcPr>
            <w:tcW w:w="1980" w:type="dxa"/>
            <w:vAlign w:val="bottom"/>
          </w:tcPr>
          <w:p>
            <w:pPr>
              <w:jc w:val="right"/>
              <w:ind w:right="250"/>
              <w:spacing w:after="0" w:line="173" w:lineRule="exact"/>
              <w:rPr>
                <w:sz w:val="20"/>
                <w:szCs w:val="20"/>
                <w:color w:val="auto"/>
              </w:rPr>
            </w:pPr>
            <w:r>
              <w:rPr>
                <w:rFonts w:ascii="Arial" w:cs="Arial" w:eastAsia="Arial" w:hAnsi="Arial"/>
                <w:sz w:val="18"/>
                <w:szCs w:val="18"/>
                <w:color w:val="auto"/>
              </w:rPr>
              <w:t>93,031</w:t>
            </w:r>
          </w:p>
        </w:tc>
        <w:tc>
          <w:tcPr>
            <w:tcW w:w="1300" w:type="dxa"/>
            <w:vAlign w:val="bottom"/>
          </w:tcPr>
          <w:p>
            <w:pPr>
              <w:jc w:val="right"/>
              <w:ind w:right="190"/>
              <w:spacing w:after="0" w:line="173" w:lineRule="exact"/>
              <w:rPr>
                <w:sz w:val="20"/>
                <w:szCs w:val="20"/>
                <w:color w:val="auto"/>
              </w:rPr>
            </w:pPr>
            <w:r>
              <w:rPr>
                <w:rFonts w:ascii="Arial" w:cs="Arial" w:eastAsia="Arial" w:hAnsi="Arial"/>
                <w:sz w:val="18"/>
                <w:szCs w:val="18"/>
                <w:color w:val="auto"/>
              </w:rPr>
              <w:t>(2,246)</w:t>
            </w:r>
          </w:p>
        </w:tc>
        <w:tc>
          <w:tcPr>
            <w:tcW w:w="1420" w:type="dxa"/>
            <w:vAlign w:val="bottom"/>
          </w:tcPr>
          <w:p>
            <w:pPr>
              <w:jc w:val="right"/>
              <w:ind w:right="250"/>
              <w:spacing w:after="0" w:line="173" w:lineRule="exact"/>
              <w:rPr>
                <w:sz w:val="20"/>
                <w:szCs w:val="20"/>
                <w:color w:val="auto"/>
              </w:rPr>
            </w:pPr>
            <w:r>
              <w:rPr>
                <w:rFonts w:ascii="Arial" w:cs="Arial" w:eastAsia="Arial" w:hAnsi="Arial"/>
                <w:sz w:val="18"/>
                <w:szCs w:val="18"/>
                <w:color w:val="auto"/>
              </w:rPr>
              <w:t>(16,602)</w:t>
            </w:r>
          </w:p>
        </w:tc>
        <w:tc>
          <w:tcPr>
            <w:tcW w:w="1080" w:type="dxa"/>
            <w:vAlign w:val="bottom"/>
          </w:tcPr>
          <w:p>
            <w:pPr>
              <w:jc w:val="right"/>
              <w:ind w:right="50"/>
              <w:spacing w:after="0" w:line="173" w:lineRule="exact"/>
              <w:rPr>
                <w:sz w:val="20"/>
                <w:szCs w:val="20"/>
                <w:color w:val="auto"/>
              </w:rPr>
            </w:pPr>
            <w:r>
              <w:rPr>
                <w:rFonts w:ascii="Arial" w:cs="Arial" w:eastAsia="Arial" w:hAnsi="Arial"/>
                <w:sz w:val="18"/>
                <w:szCs w:val="18"/>
                <w:color w:val="auto"/>
              </w:rPr>
              <w:t>74,183</w:t>
            </w:r>
          </w:p>
        </w:tc>
        <w:tc>
          <w:tcPr>
            <w:tcW w:w="0" w:type="dxa"/>
            <w:vAlign w:val="bottom"/>
          </w:tcPr>
          <w:p>
            <w:pPr>
              <w:spacing w:after="0"/>
              <w:rPr>
                <w:sz w:val="1"/>
                <w:szCs w:val="1"/>
                <w:color w:val="auto"/>
              </w:rPr>
            </w:pPr>
          </w:p>
        </w:tc>
      </w:tr>
      <w:tr>
        <w:trPr>
          <w:trHeight w:val="203"/>
        </w:trPr>
        <w:tc>
          <w:tcPr>
            <w:tcW w:w="5640" w:type="dxa"/>
            <w:vAlign w:val="bottom"/>
            <w:gridSpan w:val="2"/>
          </w:tcPr>
          <w:p>
            <w:pPr>
              <w:spacing w:after="0" w:line="202" w:lineRule="exact"/>
              <w:rPr>
                <w:sz w:val="20"/>
                <w:szCs w:val="20"/>
                <w:color w:val="auto"/>
              </w:rPr>
            </w:pPr>
            <w:r>
              <w:rPr>
                <w:rFonts w:ascii="Arial" w:cs="Arial" w:eastAsia="Arial" w:hAnsi="Arial"/>
                <w:sz w:val="18"/>
                <w:szCs w:val="18"/>
                <w:color w:val="auto"/>
              </w:rPr>
              <w:t>Restructuring expenses, net</w:t>
            </w:r>
          </w:p>
        </w:tc>
        <w:tc>
          <w:tcPr>
            <w:tcW w:w="198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2,159</w:t>
            </w:r>
          </w:p>
        </w:tc>
        <w:tc>
          <w:tcPr>
            <w:tcW w:w="130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980</w:t>
            </w:r>
          </w:p>
        </w:tc>
        <w:tc>
          <w:tcPr>
            <w:tcW w:w="142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3,139</w:t>
            </w:r>
          </w:p>
        </w:tc>
        <w:tc>
          <w:tcPr>
            <w:tcW w:w="0" w:type="dxa"/>
            <w:vAlign w:val="bottom"/>
          </w:tcPr>
          <w:p>
            <w:pPr>
              <w:spacing w:after="0"/>
              <w:rPr>
                <w:sz w:val="1"/>
                <w:szCs w:val="1"/>
                <w:color w:val="auto"/>
              </w:rPr>
            </w:pPr>
          </w:p>
        </w:tc>
      </w:tr>
      <w:tr>
        <w:trPr>
          <w:trHeight w:val="203"/>
        </w:trPr>
        <w:tc>
          <w:tcPr>
            <w:tcW w:w="5640" w:type="dxa"/>
            <w:vAlign w:val="bottom"/>
            <w:gridSpan w:val="2"/>
          </w:tcPr>
          <w:p>
            <w:pPr>
              <w:spacing w:after="0" w:line="202" w:lineRule="exact"/>
              <w:rPr>
                <w:sz w:val="20"/>
                <w:szCs w:val="20"/>
                <w:color w:val="auto"/>
              </w:rPr>
            </w:pPr>
            <w:r>
              <w:rPr>
                <w:rFonts w:ascii="Arial" w:cs="Arial" w:eastAsia="Arial" w:hAnsi="Arial"/>
                <w:sz w:val="18"/>
                <w:szCs w:val="18"/>
                <w:color w:val="auto"/>
              </w:rPr>
              <w:t>Foreign currency revaluation (gains)/losses</w:t>
            </w:r>
          </w:p>
        </w:tc>
        <w:tc>
          <w:tcPr>
            <w:tcW w:w="198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502</w:t>
            </w:r>
          </w:p>
        </w:tc>
        <w:tc>
          <w:tcPr>
            <w:tcW w:w="130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99</w:t>
            </w:r>
          </w:p>
        </w:tc>
        <w:tc>
          <w:tcPr>
            <w:tcW w:w="142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(1,901)</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03"/>
        </w:trPr>
        <w:tc>
          <w:tcPr>
            <w:tcW w:w="5640" w:type="dxa"/>
            <w:vAlign w:val="bottom"/>
            <w:gridSpan w:val="2"/>
          </w:tcPr>
          <w:p>
            <w:pPr>
              <w:spacing w:after="0" w:line="202" w:lineRule="exact"/>
              <w:rPr>
                <w:sz w:val="20"/>
                <w:szCs w:val="20"/>
                <w:color w:val="auto"/>
              </w:rPr>
            </w:pPr>
            <w:r>
              <w:rPr>
                <w:rFonts w:ascii="Arial" w:cs="Arial" w:eastAsia="Arial" w:hAnsi="Arial"/>
                <w:sz w:val="18"/>
                <w:szCs w:val="18"/>
                <w:color w:val="auto"/>
              </w:rPr>
              <w:t>Gain on insurance recovery</w:t>
            </w:r>
          </w:p>
        </w:tc>
        <w:tc>
          <w:tcPr>
            <w:tcW w:w="1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2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(961)</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25"/>
        </w:trPr>
        <w:tc>
          <w:tcPr>
            <w:tcW w:w="5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Pretax income attributable to noncontrolling interest in ASC</w:t>
            </w:r>
          </w:p>
        </w:tc>
        <w:tc>
          <w:tcPr>
            <w:tcW w:w="19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(13)</w:t>
            </w:r>
          </w:p>
        </w:tc>
        <w:tc>
          <w:tcPr>
            <w:tcW w:w="14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564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Adjusted EBITDA</w:t>
            </w:r>
          </w:p>
        </w:tc>
        <w:tc>
          <w:tcPr>
            <w:tcW w:w="198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rPr>
              <w:t>$95,692</w:t>
            </w:r>
          </w:p>
        </w:tc>
        <w:tc>
          <w:tcPr>
            <w:tcW w:w="130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($1,180)</w:t>
            </w:r>
          </w:p>
        </w:tc>
        <w:tc>
          <w:tcPr>
            <w:tcW w:w="142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rPr>
              <w:t>($19,464)</w:t>
            </w:r>
          </w:p>
        </w:tc>
        <w:tc>
          <w:tcPr>
            <w:tcW w:w="108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$75,048</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right="60" w:firstLine="648"/>
        <w:spacing w:after="0" w:line="245" w:lineRule="auto"/>
        <w:rPr>
          <w:sz w:val="20"/>
          <w:szCs w:val="20"/>
          <w:color w:val="auto"/>
        </w:rPr>
      </w:pPr>
      <w:r>
        <w:rPr>
          <w:rFonts w:ascii="Arial" w:cs="Arial" w:eastAsia="Arial" w:hAnsi="Arial"/>
          <w:sz w:val="18"/>
          <w:szCs w:val="18"/>
          <w:color w:val="auto"/>
        </w:rPr>
        <w:t>The Company discloses certain income and expense items on a per-share basis. The Company believes that such disclosures provide important insight into the underlying quarterly earnings and are financial performance metrics commonly used by investors. The Company calculates the quarterly per-share amount for items included in continuing operations by using the estimated effective annual tax rate and the weighted average number of shares outstanding for each period. The year-to-date earnings per-share effects are determined by adding the amounts calculated at each reporting period.</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show the earnings per share effect of certain income and expense items: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849"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91"/>
        </w:trPr>
        <w:tc>
          <w:tcPr>
            <w:tcW w:w="544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b w:val="1"/>
                <w:bCs w:val="1"/>
                <w:color w:val="auto"/>
              </w:rPr>
              <w:t>Three months ended June 30, 2015</w:t>
            </w:r>
          </w:p>
        </w:tc>
        <w:tc>
          <w:tcPr>
            <w:tcW w:w="2400" w:type="dxa"/>
            <w:vAlign w:val="bottom"/>
            <w:tcBorders>
              <w:top w:val="single" w:sz="8" w:color="auto"/>
            </w:tcBorders>
          </w:tcPr>
          <w:p>
            <w:pPr>
              <w:jc w:val="right"/>
              <w:ind w:right="310"/>
              <w:spacing w:after="0" w:line="191" w:lineRule="exact"/>
              <w:rPr>
                <w:sz w:val="20"/>
                <w:szCs w:val="20"/>
                <w:color w:val="auto"/>
              </w:rPr>
            </w:pPr>
            <w:r>
              <w:rPr>
                <w:rFonts w:ascii="Arial" w:cs="Arial" w:eastAsia="Arial" w:hAnsi="Arial"/>
                <w:sz w:val="18"/>
                <w:szCs w:val="18"/>
                <w:b w:val="1"/>
                <w:bCs w:val="1"/>
                <w:color w:val="auto"/>
              </w:rPr>
              <w:t>Pre tax</w:t>
            </w:r>
          </w:p>
        </w:tc>
        <w:tc>
          <w:tcPr>
            <w:tcW w:w="1140" w:type="dxa"/>
            <w:vAlign w:val="bottom"/>
            <w:tcBorders>
              <w:top w:val="single" w:sz="8" w:color="auto"/>
            </w:tcBorders>
          </w:tcPr>
          <w:p>
            <w:pPr>
              <w:jc w:val="right"/>
              <w:ind w:right="330"/>
              <w:spacing w:after="0" w:line="191" w:lineRule="exact"/>
              <w:rPr>
                <w:sz w:val="20"/>
                <w:szCs w:val="20"/>
                <w:color w:val="auto"/>
              </w:rPr>
            </w:pPr>
            <w:r>
              <w:rPr>
                <w:rFonts w:ascii="Arial" w:cs="Arial" w:eastAsia="Arial" w:hAnsi="Arial"/>
                <w:sz w:val="18"/>
                <w:szCs w:val="18"/>
                <w:b w:val="1"/>
                <w:bCs w:val="1"/>
                <w:color w:val="auto"/>
              </w:rPr>
              <w:t>Tax</w:t>
            </w:r>
          </w:p>
        </w:tc>
        <w:tc>
          <w:tcPr>
            <w:tcW w:w="1320" w:type="dxa"/>
            <w:vAlign w:val="bottom"/>
            <w:tcBorders>
              <w:top w:val="single" w:sz="8" w:color="auto"/>
            </w:tcBorders>
          </w:tcPr>
          <w:p>
            <w:pPr>
              <w:jc w:val="right"/>
              <w:ind w:right="190"/>
              <w:spacing w:after="0" w:line="191" w:lineRule="exact"/>
              <w:rPr>
                <w:sz w:val="20"/>
                <w:szCs w:val="20"/>
                <w:color w:val="auto"/>
              </w:rPr>
            </w:pPr>
            <w:r>
              <w:rPr>
                <w:rFonts w:ascii="Arial" w:cs="Arial" w:eastAsia="Arial" w:hAnsi="Arial"/>
                <w:sz w:val="18"/>
                <w:szCs w:val="18"/>
                <w:b w:val="1"/>
                <w:bCs w:val="1"/>
                <w:color w:val="auto"/>
              </w:rPr>
              <w:t>After tax</w:t>
            </w:r>
          </w:p>
        </w:tc>
        <w:tc>
          <w:tcPr>
            <w:tcW w:w="112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Per Share</w:t>
            </w:r>
          </w:p>
        </w:tc>
      </w:tr>
      <w:tr>
        <w:trPr>
          <w:trHeight w:val="227"/>
        </w:trPr>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per share amounts)</w:t>
            </w:r>
          </w:p>
        </w:tc>
        <w:tc>
          <w:tcPr>
            <w:tcW w:w="24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Amounts</w:t>
            </w:r>
          </w:p>
        </w:tc>
        <w:tc>
          <w:tcPr>
            <w:tcW w:w="11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Effect</w:t>
            </w:r>
          </w:p>
        </w:tc>
        <w:tc>
          <w:tcPr>
            <w:tcW w:w="13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Effect</w:t>
            </w: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Effect</w:t>
            </w:r>
          </w:p>
        </w:tc>
      </w:tr>
      <w:tr>
        <w:trPr>
          <w:trHeight w:val="173"/>
        </w:trPr>
        <w:tc>
          <w:tcPr>
            <w:tcW w:w="5440" w:type="dxa"/>
            <w:vAlign w:val="bottom"/>
          </w:tcPr>
          <w:p>
            <w:pPr>
              <w:spacing w:after="0" w:line="173" w:lineRule="exact"/>
              <w:rPr>
                <w:sz w:val="20"/>
                <w:szCs w:val="20"/>
                <w:color w:val="auto"/>
              </w:rPr>
            </w:pPr>
            <w:r>
              <w:rPr>
                <w:rFonts w:ascii="Arial" w:cs="Arial" w:eastAsia="Arial" w:hAnsi="Arial"/>
                <w:sz w:val="18"/>
                <w:szCs w:val="18"/>
                <w:color w:val="auto"/>
              </w:rPr>
              <w:t>Restructuring expenses, net</w:t>
            </w:r>
          </w:p>
        </w:tc>
        <w:tc>
          <w:tcPr>
            <w:tcW w:w="2400" w:type="dxa"/>
            <w:vAlign w:val="bottom"/>
          </w:tcPr>
          <w:p>
            <w:pPr>
              <w:jc w:val="right"/>
              <w:ind w:right="350"/>
              <w:spacing w:after="0" w:line="173" w:lineRule="exact"/>
              <w:rPr>
                <w:sz w:val="20"/>
                <w:szCs w:val="20"/>
                <w:color w:val="auto"/>
              </w:rPr>
            </w:pPr>
            <w:r>
              <w:rPr>
                <w:rFonts w:ascii="Arial" w:cs="Arial" w:eastAsia="Arial" w:hAnsi="Arial"/>
                <w:sz w:val="18"/>
                <w:szCs w:val="18"/>
                <w:color w:val="auto"/>
              </w:rPr>
              <w:t>$1,211</w:t>
            </w:r>
          </w:p>
        </w:tc>
        <w:tc>
          <w:tcPr>
            <w:tcW w:w="1140" w:type="dxa"/>
            <w:vAlign w:val="bottom"/>
          </w:tcPr>
          <w:p>
            <w:pPr>
              <w:jc w:val="right"/>
              <w:ind w:right="250"/>
              <w:spacing w:after="0" w:line="173" w:lineRule="exact"/>
              <w:rPr>
                <w:sz w:val="20"/>
                <w:szCs w:val="20"/>
                <w:color w:val="auto"/>
              </w:rPr>
            </w:pPr>
            <w:r>
              <w:rPr>
                <w:rFonts w:ascii="Arial" w:cs="Arial" w:eastAsia="Arial" w:hAnsi="Arial"/>
                <w:sz w:val="18"/>
                <w:szCs w:val="18"/>
                <w:color w:val="auto"/>
              </w:rPr>
              <w:t>$448</w:t>
            </w:r>
          </w:p>
        </w:tc>
        <w:tc>
          <w:tcPr>
            <w:tcW w:w="1320" w:type="dxa"/>
            <w:vAlign w:val="bottom"/>
          </w:tcPr>
          <w:p>
            <w:pPr>
              <w:jc w:val="right"/>
              <w:ind w:right="310"/>
              <w:spacing w:after="0" w:line="173" w:lineRule="exact"/>
              <w:rPr>
                <w:sz w:val="20"/>
                <w:szCs w:val="20"/>
                <w:color w:val="auto"/>
              </w:rPr>
            </w:pPr>
            <w:r>
              <w:rPr>
                <w:rFonts w:ascii="Arial" w:cs="Arial" w:eastAsia="Arial" w:hAnsi="Arial"/>
                <w:sz w:val="18"/>
                <w:szCs w:val="18"/>
                <w:color w:val="auto"/>
              </w:rPr>
              <w:t>$763</w:t>
            </w:r>
          </w:p>
        </w:tc>
        <w:tc>
          <w:tcPr>
            <w:tcW w:w="1120" w:type="dxa"/>
            <w:vAlign w:val="bottom"/>
          </w:tcPr>
          <w:p>
            <w:pPr>
              <w:jc w:val="right"/>
              <w:ind w:right="50"/>
              <w:spacing w:after="0" w:line="173" w:lineRule="exact"/>
              <w:rPr>
                <w:sz w:val="20"/>
                <w:szCs w:val="20"/>
                <w:color w:val="auto"/>
              </w:rPr>
            </w:pPr>
            <w:r>
              <w:rPr>
                <w:rFonts w:ascii="Arial" w:cs="Arial" w:eastAsia="Arial" w:hAnsi="Arial"/>
                <w:sz w:val="18"/>
                <w:szCs w:val="18"/>
                <w:color w:val="auto"/>
              </w:rPr>
              <w:t>$0.02</w:t>
            </w: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Foreign currency revaluation losses</w:t>
            </w:r>
          </w:p>
        </w:tc>
        <w:tc>
          <w:tcPr>
            <w:tcW w:w="24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2,275</w:t>
            </w:r>
          </w:p>
        </w:tc>
        <w:tc>
          <w:tcPr>
            <w:tcW w:w="114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$842</w:t>
            </w:r>
          </w:p>
        </w:tc>
        <w:tc>
          <w:tcPr>
            <w:tcW w:w="132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1,433</w:t>
            </w:r>
          </w:p>
        </w:tc>
        <w:tc>
          <w:tcPr>
            <w:tcW w:w="11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0.04</w:t>
            </w: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Net discrete income tax benefit</w:t>
            </w:r>
          </w:p>
        </w:tc>
        <w:tc>
          <w:tcPr>
            <w:tcW w:w="24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20</w:t>
            </w:r>
          </w:p>
        </w:tc>
        <w:tc>
          <w:tcPr>
            <w:tcW w:w="132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20</w:t>
            </w:r>
          </w:p>
        </w:tc>
        <w:tc>
          <w:tcPr>
            <w:tcW w:w="11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0.00</w:t>
            </w: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Unfavorable effect of change in income tax rate</w:t>
            </w:r>
          </w:p>
        </w:tc>
        <w:tc>
          <w:tcPr>
            <w:tcW w:w="24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736</w:t>
            </w:r>
          </w:p>
        </w:tc>
        <w:tc>
          <w:tcPr>
            <w:tcW w:w="132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736</w:t>
            </w:r>
          </w:p>
        </w:tc>
        <w:tc>
          <w:tcPr>
            <w:tcW w:w="11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0.02</w:t>
            </w:r>
          </w:p>
        </w:tc>
      </w:tr>
      <w:tr>
        <w:trPr>
          <w:trHeight w:val="225"/>
        </w:trPr>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Charge for revision in estimated contract profitability</w:t>
            </w:r>
          </w:p>
        </w:tc>
        <w:tc>
          <w:tcPr>
            <w:tcW w:w="24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14,000</w:t>
            </w:r>
          </w:p>
        </w:tc>
        <w:tc>
          <w:tcPr>
            <w:tcW w:w="11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5,180</w:t>
            </w:r>
          </w:p>
        </w:tc>
        <w:tc>
          <w:tcPr>
            <w:tcW w:w="13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8,820</w:t>
            </w: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0.28</w:t>
            </w:r>
          </w:p>
        </w:tc>
      </w:tr>
    </w:tbl>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26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b w:val="1"/>
                <w:bCs w:val="1"/>
                <w:color w:val="auto"/>
              </w:rPr>
              <w:t>Three months ended June 30, 2014</w:t>
            </w:r>
          </w:p>
        </w:tc>
        <w:tc>
          <w:tcPr>
            <w:tcW w:w="2580" w:type="dxa"/>
            <w:vAlign w:val="bottom"/>
            <w:tcBorders>
              <w:top w:val="single" w:sz="8" w:color="auto"/>
            </w:tcBorders>
          </w:tcPr>
          <w:p>
            <w:pPr>
              <w:jc w:val="right"/>
              <w:ind w:right="310"/>
              <w:spacing w:after="0" w:line="191" w:lineRule="exact"/>
              <w:rPr>
                <w:sz w:val="20"/>
                <w:szCs w:val="20"/>
                <w:color w:val="auto"/>
              </w:rPr>
            </w:pPr>
            <w:r>
              <w:rPr>
                <w:rFonts w:ascii="Arial" w:cs="Arial" w:eastAsia="Arial" w:hAnsi="Arial"/>
                <w:sz w:val="18"/>
                <w:szCs w:val="18"/>
                <w:b w:val="1"/>
                <w:bCs w:val="1"/>
                <w:color w:val="auto"/>
              </w:rPr>
              <w:t>Pre tax</w:t>
            </w:r>
          </w:p>
        </w:tc>
        <w:tc>
          <w:tcPr>
            <w:tcW w:w="1140" w:type="dxa"/>
            <w:vAlign w:val="bottom"/>
            <w:tcBorders>
              <w:top w:val="single" w:sz="8" w:color="auto"/>
            </w:tcBorders>
          </w:tcPr>
          <w:p>
            <w:pPr>
              <w:jc w:val="right"/>
              <w:ind w:right="330"/>
              <w:spacing w:after="0" w:line="191" w:lineRule="exact"/>
              <w:rPr>
                <w:sz w:val="20"/>
                <w:szCs w:val="20"/>
                <w:color w:val="auto"/>
              </w:rPr>
            </w:pPr>
            <w:r>
              <w:rPr>
                <w:rFonts w:ascii="Arial" w:cs="Arial" w:eastAsia="Arial" w:hAnsi="Arial"/>
                <w:sz w:val="18"/>
                <w:szCs w:val="18"/>
                <w:b w:val="1"/>
                <w:bCs w:val="1"/>
                <w:color w:val="auto"/>
              </w:rPr>
              <w:t>Tax</w:t>
            </w:r>
          </w:p>
        </w:tc>
        <w:tc>
          <w:tcPr>
            <w:tcW w:w="1320" w:type="dxa"/>
            <w:vAlign w:val="bottom"/>
            <w:tcBorders>
              <w:top w:val="single" w:sz="8" w:color="auto"/>
            </w:tcBorders>
          </w:tcPr>
          <w:p>
            <w:pPr>
              <w:jc w:val="right"/>
              <w:ind w:right="190"/>
              <w:spacing w:after="0" w:line="191" w:lineRule="exact"/>
              <w:rPr>
                <w:sz w:val="20"/>
                <w:szCs w:val="20"/>
                <w:color w:val="auto"/>
              </w:rPr>
            </w:pPr>
            <w:r>
              <w:rPr>
                <w:rFonts w:ascii="Arial" w:cs="Arial" w:eastAsia="Arial" w:hAnsi="Arial"/>
                <w:sz w:val="18"/>
                <w:szCs w:val="18"/>
                <w:b w:val="1"/>
                <w:bCs w:val="1"/>
                <w:color w:val="auto"/>
              </w:rPr>
              <w:t>After tax</w:t>
            </w:r>
          </w:p>
        </w:tc>
        <w:tc>
          <w:tcPr>
            <w:tcW w:w="112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Per Share</w:t>
            </w:r>
          </w:p>
        </w:tc>
      </w:tr>
      <w:tr>
        <w:trPr>
          <w:trHeight w:val="227"/>
        </w:trPr>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per share amounts)</w:t>
            </w:r>
          </w:p>
        </w:tc>
        <w:tc>
          <w:tcPr>
            <w:tcW w:w="25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Amounts</w:t>
            </w:r>
          </w:p>
        </w:tc>
        <w:tc>
          <w:tcPr>
            <w:tcW w:w="11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Effect</w:t>
            </w:r>
          </w:p>
        </w:tc>
        <w:tc>
          <w:tcPr>
            <w:tcW w:w="13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Effect</w:t>
            </w: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Effect</w:t>
            </w:r>
          </w:p>
        </w:tc>
      </w:tr>
      <w:tr>
        <w:trPr>
          <w:trHeight w:val="173"/>
        </w:trPr>
        <w:tc>
          <w:tcPr>
            <w:tcW w:w="5260" w:type="dxa"/>
            <w:vAlign w:val="bottom"/>
          </w:tcPr>
          <w:p>
            <w:pPr>
              <w:spacing w:after="0" w:line="173" w:lineRule="exact"/>
              <w:rPr>
                <w:sz w:val="20"/>
                <w:szCs w:val="20"/>
                <w:color w:val="auto"/>
              </w:rPr>
            </w:pPr>
            <w:r>
              <w:rPr>
                <w:rFonts w:ascii="Arial" w:cs="Arial" w:eastAsia="Arial" w:hAnsi="Arial"/>
                <w:sz w:val="18"/>
                <w:szCs w:val="18"/>
                <w:color w:val="auto"/>
              </w:rPr>
              <w:t>Restructuring expenses, net</w:t>
            </w:r>
          </w:p>
        </w:tc>
        <w:tc>
          <w:tcPr>
            <w:tcW w:w="2580" w:type="dxa"/>
            <w:vAlign w:val="bottom"/>
          </w:tcPr>
          <w:p>
            <w:pPr>
              <w:jc w:val="right"/>
              <w:ind w:right="350"/>
              <w:spacing w:after="0" w:line="173" w:lineRule="exact"/>
              <w:rPr>
                <w:sz w:val="20"/>
                <w:szCs w:val="20"/>
                <w:color w:val="auto"/>
              </w:rPr>
            </w:pPr>
            <w:r>
              <w:rPr>
                <w:rFonts w:ascii="Arial" w:cs="Arial" w:eastAsia="Arial" w:hAnsi="Arial"/>
                <w:sz w:val="18"/>
                <w:szCs w:val="18"/>
                <w:color w:val="auto"/>
              </w:rPr>
              <w:t>$1,957</w:t>
            </w:r>
          </w:p>
        </w:tc>
        <w:tc>
          <w:tcPr>
            <w:tcW w:w="1140" w:type="dxa"/>
            <w:vAlign w:val="bottom"/>
          </w:tcPr>
          <w:p>
            <w:pPr>
              <w:jc w:val="right"/>
              <w:ind w:right="250"/>
              <w:spacing w:after="0" w:line="173" w:lineRule="exact"/>
              <w:rPr>
                <w:sz w:val="20"/>
                <w:szCs w:val="20"/>
                <w:color w:val="auto"/>
              </w:rPr>
            </w:pPr>
            <w:r>
              <w:rPr>
                <w:rFonts w:ascii="Arial" w:cs="Arial" w:eastAsia="Arial" w:hAnsi="Arial"/>
                <w:sz w:val="18"/>
                <w:szCs w:val="18"/>
                <w:color w:val="auto"/>
              </w:rPr>
              <w:t>$714</w:t>
            </w:r>
          </w:p>
        </w:tc>
        <w:tc>
          <w:tcPr>
            <w:tcW w:w="1320" w:type="dxa"/>
            <w:vAlign w:val="bottom"/>
          </w:tcPr>
          <w:p>
            <w:pPr>
              <w:jc w:val="right"/>
              <w:ind w:right="310"/>
              <w:spacing w:after="0" w:line="173" w:lineRule="exact"/>
              <w:rPr>
                <w:sz w:val="20"/>
                <w:szCs w:val="20"/>
                <w:color w:val="auto"/>
              </w:rPr>
            </w:pPr>
            <w:r>
              <w:rPr>
                <w:rFonts w:ascii="Arial" w:cs="Arial" w:eastAsia="Arial" w:hAnsi="Arial"/>
                <w:sz w:val="18"/>
                <w:szCs w:val="18"/>
                <w:color w:val="auto"/>
              </w:rPr>
              <w:t>$1,243</w:t>
            </w:r>
          </w:p>
        </w:tc>
        <w:tc>
          <w:tcPr>
            <w:tcW w:w="1120" w:type="dxa"/>
            <w:vAlign w:val="bottom"/>
          </w:tcPr>
          <w:p>
            <w:pPr>
              <w:jc w:val="right"/>
              <w:ind w:right="50"/>
              <w:spacing w:after="0" w:line="173" w:lineRule="exact"/>
              <w:rPr>
                <w:sz w:val="20"/>
                <w:szCs w:val="20"/>
                <w:color w:val="auto"/>
              </w:rPr>
            </w:pPr>
            <w:r>
              <w:rPr>
                <w:rFonts w:ascii="Arial" w:cs="Arial" w:eastAsia="Arial" w:hAnsi="Arial"/>
                <w:sz w:val="18"/>
                <w:szCs w:val="18"/>
                <w:color w:val="auto"/>
              </w:rPr>
              <w:t>$0.04</w:t>
            </w:r>
          </w:p>
        </w:tc>
      </w:tr>
      <w:tr>
        <w:trPr>
          <w:trHeight w:val="203"/>
        </w:trPr>
        <w:tc>
          <w:tcPr>
            <w:tcW w:w="5260" w:type="dxa"/>
            <w:vAlign w:val="bottom"/>
          </w:tcPr>
          <w:p>
            <w:pPr>
              <w:spacing w:after="0" w:line="202" w:lineRule="exact"/>
              <w:rPr>
                <w:sz w:val="20"/>
                <w:szCs w:val="20"/>
                <w:color w:val="auto"/>
              </w:rPr>
            </w:pPr>
            <w:r>
              <w:rPr>
                <w:rFonts w:ascii="Arial" w:cs="Arial" w:eastAsia="Arial" w:hAnsi="Arial"/>
                <w:sz w:val="18"/>
                <w:szCs w:val="18"/>
                <w:color w:val="auto"/>
              </w:rPr>
              <w:t>Foreign currency revaluation gains</w:t>
            </w:r>
          </w:p>
        </w:tc>
        <w:tc>
          <w:tcPr>
            <w:tcW w:w="258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984</w:t>
            </w:r>
          </w:p>
        </w:tc>
        <w:tc>
          <w:tcPr>
            <w:tcW w:w="114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359</w:t>
            </w:r>
          </w:p>
        </w:tc>
        <w:tc>
          <w:tcPr>
            <w:tcW w:w="132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625</w:t>
            </w:r>
          </w:p>
        </w:tc>
        <w:tc>
          <w:tcPr>
            <w:tcW w:w="11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0.02</w:t>
            </w:r>
          </w:p>
        </w:tc>
      </w:tr>
      <w:tr>
        <w:trPr>
          <w:trHeight w:val="203"/>
        </w:trPr>
        <w:tc>
          <w:tcPr>
            <w:tcW w:w="5260" w:type="dxa"/>
            <w:vAlign w:val="bottom"/>
          </w:tcPr>
          <w:p>
            <w:pPr>
              <w:spacing w:after="0" w:line="202" w:lineRule="exact"/>
              <w:rPr>
                <w:sz w:val="20"/>
                <w:szCs w:val="20"/>
                <w:color w:val="auto"/>
              </w:rPr>
            </w:pPr>
            <w:r>
              <w:rPr>
                <w:rFonts w:ascii="Arial" w:cs="Arial" w:eastAsia="Arial" w:hAnsi="Arial"/>
                <w:sz w:val="18"/>
                <w:szCs w:val="18"/>
                <w:color w:val="auto"/>
              </w:rPr>
              <w:t>Gain on insurance recovery</w:t>
            </w:r>
          </w:p>
        </w:tc>
        <w:tc>
          <w:tcPr>
            <w:tcW w:w="258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961</w:t>
            </w:r>
          </w:p>
        </w:tc>
        <w:tc>
          <w:tcPr>
            <w:tcW w:w="114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961</w:t>
            </w:r>
          </w:p>
        </w:tc>
        <w:tc>
          <w:tcPr>
            <w:tcW w:w="11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0.03</w:t>
            </w:r>
          </w:p>
        </w:tc>
      </w:tr>
      <w:tr>
        <w:trPr>
          <w:trHeight w:val="203"/>
        </w:trPr>
        <w:tc>
          <w:tcPr>
            <w:tcW w:w="5260" w:type="dxa"/>
            <w:vAlign w:val="bottom"/>
          </w:tcPr>
          <w:p>
            <w:pPr>
              <w:spacing w:after="0" w:line="202" w:lineRule="exact"/>
              <w:rPr>
                <w:sz w:val="20"/>
                <w:szCs w:val="20"/>
                <w:color w:val="auto"/>
              </w:rPr>
            </w:pPr>
            <w:r>
              <w:rPr>
                <w:rFonts w:ascii="Arial" w:cs="Arial" w:eastAsia="Arial" w:hAnsi="Arial"/>
                <w:sz w:val="18"/>
                <w:szCs w:val="18"/>
                <w:color w:val="auto"/>
              </w:rPr>
              <w:t>Net discrete income tax charge</w:t>
            </w:r>
          </w:p>
        </w:tc>
        <w:tc>
          <w:tcPr>
            <w:tcW w:w="258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569</w:t>
            </w:r>
          </w:p>
        </w:tc>
        <w:tc>
          <w:tcPr>
            <w:tcW w:w="132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569</w:t>
            </w:r>
          </w:p>
        </w:tc>
        <w:tc>
          <w:tcPr>
            <w:tcW w:w="11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0.02</w:t>
            </w:r>
          </w:p>
        </w:tc>
      </w:tr>
      <w:tr>
        <w:trPr>
          <w:trHeight w:val="225"/>
        </w:trPr>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Unfavorable effect of change in income tax rate</w:t>
            </w:r>
          </w:p>
        </w:tc>
        <w:tc>
          <w:tcPr>
            <w:tcW w:w="25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278</w:t>
            </w:r>
          </w:p>
        </w:tc>
        <w:tc>
          <w:tcPr>
            <w:tcW w:w="13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278</w:t>
            </w: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0.01</w:t>
            </w:r>
          </w:p>
        </w:tc>
      </w:tr>
    </w:tbl>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440" w:type="dxa"/>
            <w:vAlign w:val="bottom"/>
            <w:tcBorders>
              <w:top w:val="single" w:sz="8" w:color="auto"/>
            </w:tcBorders>
          </w:tcPr>
          <w:p>
            <w:pPr>
              <w:spacing w:after="0" w:line="205" w:lineRule="exact"/>
              <w:rPr>
                <w:sz w:val="20"/>
                <w:szCs w:val="20"/>
                <w:color w:val="auto"/>
              </w:rPr>
            </w:pPr>
            <w:r>
              <w:rPr>
                <w:rFonts w:ascii="Arial" w:cs="Arial" w:eastAsia="Arial" w:hAnsi="Arial"/>
                <w:sz w:val="18"/>
                <w:szCs w:val="18"/>
                <w:b w:val="1"/>
                <w:bCs w:val="1"/>
                <w:color w:val="auto"/>
              </w:rPr>
              <w:t>Six months ended June 30, 2015</w:t>
            </w:r>
          </w:p>
        </w:tc>
        <w:tc>
          <w:tcPr>
            <w:tcW w:w="2360" w:type="dxa"/>
            <w:vAlign w:val="bottom"/>
            <w:tcBorders>
              <w:top w:val="single" w:sz="8" w:color="auto"/>
            </w:tcBorders>
          </w:tcPr>
          <w:p>
            <w:pPr>
              <w:jc w:val="right"/>
              <w:ind w:right="290"/>
              <w:spacing w:after="0" w:line="205" w:lineRule="exact"/>
              <w:rPr>
                <w:sz w:val="20"/>
                <w:szCs w:val="20"/>
                <w:color w:val="auto"/>
              </w:rPr>
            </w:pPr>
            <w:r>
              <w:rPr>
                <w:rFonts w:ascii="Arial" w:cs="Arial" w:eastAsia="Arial" w:hAnsi="Arial"/>
                <w:sz w:val="18"/>
                <w:szCs w:val="18"/>
                <w:b w:val="1"/>
                <w:bCs w:val="1"/>
                <w:color w:val="auto"/>
              </w:rPr>
              <w:t>Pre tax</w:t>
            </w:r>
          </w:p>
        </w:tc>
        <w:tc>
          <w:tcPr>
            <w:tcW w:w="1180" w:type="dxa"/>
            <w:vAlign w:val="bottom"/>
            <w:tcBorders>
              <w:top w:val="single" w:sz="8" w:color="auto"/>
            </w:tcBorders>
          </w:tcPr>
          <w:p>
            <w:pPr>
              <w:jc w:val="right"/>
              <w:ind w:right="330"/>
              <w:spacing w:after="0" w:line="205" w:lineRule="exact"/>
              <w:rPr>
                <w:sz w:val="20"/>
                <w:szCs w:val="20"/>
                <w:color w:val="auto"/>
              </w:rPr>
            </w:pPr>
            <w:r>
              <w:rPr>
                <w:rFonts w:ascii="Arial" w:cs="Arial" w:eastAsia="Arial" w:hAnsi="Arial"/>
                <w:sz w:val="18"/>
                <w:szCs w:val="18"/>
                <w:b w:val="1"/>
                <w:bCs w:val="1"/>
                <w:color w:val="auto"/>
              </w:rPr>
              <w:t>Tax</w:t>
            </w:r>
          </w:p>
        </w:tc>
        <w:tc>
          <w:tcPr>
            <w:tcW w:w="1320" w:type="dxa"/>
            <w:vAlign w:val="bottom"/>
            <w:tcBorders>
              <w:top w:val="single" w:sz="8" w:color="auto"/>
            </w:tcBorders>
          </w:tcPr>
          <w:p>
            <w:pPr>
              <w:jc w:val="right"/>
              <w:ind w:right="190"/>
              <w:spacing w:after="0" w:line="205" w:lineRule="exact"/>
              <w:rPr>
                <w:sz w:val="20"/>
                <w:szCs w:val="20"/>
                <w:color w:val="auto"/>
              </w:rPr>
            </w:pPr>
            <w:r>
              <w:rPr>
                <w:rFonts w:ascii="Arial" w:cs="Arial" w:eastAsia="Arial" w:hAnsi="Arial"/>
                <w:sz w:val="18"/>
                <w:szCs w:val="18"/>
                <w:b w:val="1"/>
                <w:bCs w:val="1"/>
                <w:color w:val="auto"/>
              </w:rPr>
              <w:t>After tax</w:t>
            </w:r>
          </w:p>
        </w:tc>
        <w:tc>
          <w:tcPr>
            <w:tcW w:w="112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b w:val="1"/>
                <w:bCs w:val="1"/>
                <w:color w:val="auto"/>
              </w:rPr>
              <w:t>Per Share</w:t>
            </w:r>
          </w:p>
        </w:tc>
      </w:tr>
      <w:tr>
        <w:trPr>
          <w:trHeight w:val="227"/>
        </w:trPr>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per share amounts)</w:t>
            </w:r>
          </w:p>
        </w:tc>
        <w:tc>
          <w:tcPr>
            <w:tcW w:w="23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Amounts</w:t>
            </w:r>
          </w:p>
        </w:tc>
        <w:tc>
          <w:tcPr>
            <w:tcW w:w="11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Effect</w:t>
            </w:r>
          </w:p>
        </w:tc>
        <w:tc>
          <w:tcPr>
            <w:tcW w:w="13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Effect</w:t>
            </w: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Effect</w:t>
            </w:r>
          </w:p>
        </w:tc>
      </w:tr>
      <w:tr>
        <w:trPr>
          <w:trHeight w:val="173"/>
        </w:trPr>
        <w:tc>
          <w:tcPr>
            <w:tcW w:w="5440" w:type="dxa"/>
            <w:vAlign w:val="bottom"/>
          </w:tcPr>
          <w:p>
            <w:pPr>
              <w:spacing w:after="0" w:line="173" w:lineRule="exact"/>
              <w:rPr>
                <w:sz w:val="20"/>
                <w:szCs w:val="20"/>
                <w:color w:val="auto"/>
              </w:rPr>
            </w:pPr>
            <w:r>
              <w:rPr>
                <w:rFonts w:ascii="Arial" w:cs="Arial" w:eastAsia="Arial" w:hAnsi="Arial"/>
                <w:sz w:val="18"/>
                <w:szCs w:val="18"/>
                <w:color w:val="auto"/>
              </w:rPr>
              <w:t>Restructuring expenses, net</w:t>
            </w:r>
          </w:p>
        </w:tc>
        <w:tc>
          <w:tcPr>
            <w:tcW w:w="2360" w:type="dxa"/>
            <w:vAlign w:val="bottom"/>
          </w:tcPr>
          <w:p>
            <w:pPr>
              <w:jc w:val="right"/>
              <w:ind w:right="310"/>
              <w:spacing w:after="0" w:line="173" w:lineRule="exact"/>
              <w:rPr>
                <w:sz w:val="20"/>
                <w:szCs w:val="20"/>
                <w:color w:val="auto"/>
              </w:rPr>
            </w:pPr>
            <w:r>
              <w:rPr>
                <w:rFonts w:ascii="Arial" w:cs="Arial" w:eastAsia="Arial" w:hAnsi="Arial"/>
                <w:sz w:val="18"/>
                <w:szCs w:val="18"/>
                <w:color w:val="auto"/>
              </w:rPr>
              <w:t>$10,212</w:t>
            </w:r>
          </w:p>
        </w:tc>
        <w:tc>
          <w:tcPr>
            <w:tcW w:w="1180" w:type="dxa"/>
            <w:vAlign w:val="bottom"/>
          </w:tcPr>
          <w:p>
            <w:pPr>
              <w:jc w:val="right"/>
              <w:ind w:right="250"/>
              <w:spacing w:after="0" w:line="173" w:lineRule="exact"/>
              <w:rPr>
                <w:sz w:val="20"/>
                <w:szCs w:val="20"/>
                <w:color w:val="auto"/>
              </w:rPr>
            </w:pPr>
            <w:r>
              <w:rPr>
                <w:rFonts w:ascii="Arial" w:cs="Arial" w:eastAsia="Arial" w:hAnsi="Arial"/>
                <w:sz w:val="18"/>
                <w:szCs w:val="18"/>
                <w:color w:val="auto"/>
              </w:rPr>
              <w:t>$3,868</w:t>
            </w:r>
          </w:p>
        </w:tc>
        <w:tc>
          <w:tcPr>
            <w:tcW w:w="1320" w:type="dxa"/>
            <w:vAlign w:val="bottom"/>
          </w:tcPr>
          <w:p>
            <w:pPr>
              <w:jc w:val="right"/>
              <w:ind w:right="310"/>
              <w:spacing w:after="0" w:line="173" w:lineRule="exact"/>
              <w:rPr>
                <w:sz w:val="20"/>
                <w:szCs w:val="20"/>
                <w:color w:val="auto"/>
              </w:rPr>
            </w:pPr>
            <w:r>
              <w:rPr>
                <w:rFonts w:ascii="Arial" w:cs="Arial" w:eastAsia="Arial" w:hAnsi="Arial"/>
                <w:sz w:val="18"/>
                <w:szCs w:val="18"/>
                <w:color w:val="auto"/>
              </w:rPr>
              <w:t>$6,344</w:t>
            </w:r>
          </w:p>
        </w:tc>
        <w:tc>
          <w:tcPr>
            <w:tcW w:w="1120" w:type="dxa"/>
            <w:vAlign w:val="bottom"/>
          </w:tcPr>
          <w:p>
            <w:pPr>
              <w:jc w:val="right"/>
              <w:ind w:right="50"/>
              <w:spacing w:after="0" w:line="173" w:lineRule="exact"/>
              <w:rPr>
                <w:sz w:val="20"/>
                <w:szCs w:val="20"/>
                <w:color w:val="auto"/>
              </w:rPr>
            </w:pPr>
            <w:r>
              <w:rPr>
                <w:rFonts w:ascii="Arial" w:cs="Arial" w:eastAsia="Arial" w:hAnsi="Arial"/>
                <w:sz w:val="18"/>
                <w:szCs w:val="18"/>
                <w:color w:val="auto"/>
              </w:rPr>
              <w:t>$0.20</w:t>
            </w: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Foreign currency revaluation gains</w:t>
            </w:r>
          </w:p>
        </w:tc>
        <w:tc>
          <w:tcPr>
            <w:tcW w:w="236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3,097</w:t>
            </w:r>
          </w:p>
        </w:tc>
        <w:tc>
          <w:tcPr>
            <w:tcW w:w="118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1,199</w:t>
            </w:r>
          </w:p>
        </w:tc>
        <w:tc>
          <w:tcPr>
            <w:tcW w:w="132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1,898</w:t>
            </w:r>
          </w:p>
        </w:tc>
        <w:tc>
          <w:tcPr>
            <w:tcW w:w="11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0.06</w:t>
            </w: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Gain on sale of investment</w:t>
            </w:r>
          </w:p>
        </w:tc>
        <w:tc>
          <w:tcPr>
            <w:tcW w:w="236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872</w:t>
            </w:r>
          </w:p>
        </w:tc>
        <w:tc>
          <w:tcPr>
            <w:tcW w:w="118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331</w:t>
            </w:r>
          </w:p>
        </w:tc>
        <w:tc>
          <w:tcPr>
            <w:tcW w:w="132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541</w:t>
            </w:r>
          </w:p>
        </w:tc>
        <w:tc>
          <w:tcPr>
            <w:tcW w:w="11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0.02</w:t>
            </w: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Net discrete income tax charge</w:t>
            </w:r>
          </w:p>
        </w:tc>
        <w:tc>
          <w:tcPr>
            <w:tcW w:w="236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199</w:t>
            </w:r>
          </w:p>
        </w:tc>
        <w:tc>
          <w:tcPr>
            <w:tcW w:w="132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199</w:t>
            </w:r>
          </w:p>
        </w:tc>
        <w:tc>
          <w:tcPr>
            <w:tcW w:w="11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0.01</w:t>
            </w:r>
          </w:p>
        </w:tc>
      </w:tr>
      <w:tr>
        <w:trPr>
          <w:trHeight w:val="239"/>
        </w:trPr>
        <w:tc>
          <w:tcPr>
            <w:tcW w:w="5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Charge for revision in estimated contract profitability</w:t>
            </w:r>
          </w:p>
        </w:tc>
        <w:tc>
          <w:tcPr>
            <w:tcW w:w="23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14,000</w:t>
            </w:r>
          </w:p>
        </w:tc>
        <w:tc>
          <w:tcPr>
            <w:tcW w:w="11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5,180</w:t>
            </w:r>
          </w:p>
        </w:tc>
        <w:tc>
          <w:tcPr>
            <w:tcW w:w="13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8,820</w:t>
            </w: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0.28</w:t>
            </w:r>
          </w:p>
        </w:tc>
      </w:tr>
    </w:tbl>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10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b w:val="1"/>
                <w:bCs w:val="1"/>
                <w:color w:val="auto"/>
              </w:rPr>
              <w:t>Six months ended June 30, 2014</w:t>
            </w:r>
          </w:p>
        </w:tc>
        <w:tc>
          <w:tcPr>
            <w:tcW w:w="2660" w:type="dxa"/>
            <w:vAlign w:val="bottom"/>
            <w:tcBorders>
              <w:top w:val="single" w:sz="8" w:color="auto"/>
            </w:tcBorders>
          </w:tcPr>
          <w:p>
            <w:pPr>
              <w:jc w:val="right"/>
              <w:ind w:right="290"/>
              <w:spacing w:after="0" w:line="191" w:lineRule="exact"/>
              <w:rPr>
                <w:sz w:val="20"/>
                <w:szCs w:val="20"/>
                <w:color w:val="auto"/>
              </w:rPr>
            </w:pPr>
            <w:r>
              <w:rPr>
                <w:rFonts w:ascii="Arial" w:cs="Arial" w:eastAsia="Arial" w:hAnsi="Arial"/>
                <w:sz w:val="18"/>
                <w:szCs w:val="18"/>
                <w:b w:val="1"/>
                <w:bCs w:val="1"/>
                <w:color w:val="auto"/>
              </w:rPr>
              <w:t>Pre tax</w:t>
            </w:r>
          </w:p>
        </w:tc>
        <w:tc>
          <w:tcPr>
            <w:tcW w:w="1200" w:type="dxa"/>
            <w:vAlign w:val="bottom"/>
            <w:tcBorders>
              <w:top w:val="single" w:sz="8" w:color="auto"/>
            </w:tcBorders>
          </w:tcPr>
          <w:p>
            <w:pPr>
              <w:jc w:val="right"/>
              <w:ind w:right="310"/>
              <w:spacing w:after="0" w:line="191" w:lineRule="exact"/>
              <w:rPr>
                <w:sz w:val="20"/>
                <w:szCs w:val="20"/>
                <w:color w:val="auto"/>
              </w:rPr>
            </w:pPr>
            <w:r>
              <w:rPr>
                <w:rFonts w:ascii="Arial" w:cs="Arial" w:eastAsia="Arial" w:hAnsi="Arial"/>
                <w:sz w:val="18"/>
                <w:szCs w:val="18"/>
                <w:b w:val="1"/>
                <w:bCs w:val="1"/>
                <w:color w:val="auto"/>
              </w:rPr>
              <w:t>Tax</w:t>
            </w:r>
          </w:p>
        </w:tc>
        <w:tc>
          <w:tcPr>
            <w:tcW w:w="1340" w:type="dxa"/>
            <w:vAlign w:val="bottom"/>
            <w:tcBorders>
              <w:top w:val="single" w:sz="8" w:color="auto"/>
            </w:tcBorders>
          </w:tcPr>
          <w:p>
            <w:pPr>
              <w:jc w:val="right"/>
              <w:ind w:right="190"/>
              <w:spacing w:after="0" w:line="191" w:lineRule="exact"/>
              <w:rPr>
                <w:sz w:val="20"/>
                <w:szCs w:val="20"/>
                <w:color w:val="auto"/>
              </w:rPr>
            </w:pPr>
            <w:r>
              <w:rPr>
                <w:rFonts w:ascii="Arial" w:cs="Arial" w:eastAsia="Arial" w:hAnsi="Arial"/>
                <w:sz w:val="18"/>
                <w:szCs w:val="18"/>
                <w:b w:val="1"/>
                <w:bCs w:val="1"/>
                <w:color w:val="auto"/>
              </w:rPr>
              <w:t>After tax</w:t>
            </w:r>
          </w:p>
        </w:tc>
        <w:tc>
          <w:tcPr>
            <w:tcW w:w="112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Per Share</w:t>
            </w:r>
          </w:p>
        </w:tc>
      </w:tr>
      <w:tr>
        <w:trPr>
          <w:trHeight w:val="241"/>
        </w:trPr>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per share amounts)</w:t>
            </w:r>
          </w:p>
        </w:tc>
        <w:tc>
          <w:tcPr>
            <w:tcW w:w="26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Amounts</w:t>
            </w:r>
          </w:p>
        </w:tc>
        <w:tc>
          <w:tcPr>
            <w:tcW w:w="12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Effect</w:t>
            </w:r>
          </w:p>
        </w:tc>
        <w:tc>
          <w:tcPr>
            <w:tcW w:w="13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Effect</w:t>
            </w: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Effect</w:t>
            </w:r>
          </w:p>
        </w:tc>
      </w:tr>
      <w:tr>
        <w:trPr>
          <w:trHeight w:val="173"/>
        </w:trPr>
        <w:tc>
          <w:tcPr>
            <w:tcW w:w="5100" w:type="dxa"/>
            <w:vAlign w:val="bottom"/>
          </w:tcPr>
          <w:p>
            <w:pPr>
              <w:spacing w:after="0" w:line="173" w:lineRule="exact"/>
              <w:rPr>
                <w:sz w:val="20"/>
                <w:szCs w:val="20"/>
                <w:color w:val="auto"/>
              </w:rPr>
            </w:pPr>
            <w:r>
              <w:rPr>
                <w:rFonts w:ascii="Arial" w:cs="Arial" w:eastAsia="Arial" w:hAnsi="Arial"/>
                <w:sz w:val="18"/>
                <w:szCs w:val="18"/>
                <w:color w:val="auto"/>
              </w:rPr>
              <w:t>Restructuring expenses, net</w:t>
            </w:r>
          </w:p>
        </w:tc>
        <w:tc>
          <w:tcPr>
            <w:tcW w:w="2660" w:type="dxa"/>
            <w:vAlign w:val="bottom"/>
          </w:tcPr>
          <w:p>
            <w:pPr>
              <w:jc w:val="right"/>
              <w:ind w:right="250"/>
              <w:spacing w:after="0" w:line="173" w:lineRule="exact"/>
              <w:rPr>
                <w:sz w:val="20"/>
                <w:szCs w:val="20"/>
                <w:color w:val="auto"/>
              </w:rPr>
            </w:pPr>
            <w:r>
              <w:rPr>
                <w:rFonts w:ascii="Arial" w:cs="Arial" w:eastAsia="Arial" w:hAnsi="Arial"/>
                <w:sz w:val="18"/>
                <w:szCs w:val="18"/>
                <w:color w:val="auto"/>
              </w:rPr>
              <w:t>$3,139</w:t>
            </w:r>
          </w:p>
        </w:tc>
        <w:tc>
          <w:tcPr>
            <w:tcW w:w="1200" w:type="dxa"/>
            <w:vAlign w:val="bottom"/>
          </w:tcPr>
          <w:p>
            <w:pPr>
              <w:jc w:val="right"/>
              <w:ind w:right="230"/>
              <w:spacing w:after="0" w:line="173" w:lineRule="exact"/>
              <w:rPr>
                <w:sz w:val="20"/>
                <w:szCs w:val="20"/>
                <w:color w:val="auto"/>
              </w:rPr>
            </w:pPr>
            <w:r>
              <w:rPr>
                <w:rFonts w:ascii="Arial" w:cs="Arial" w:eastAsia="Arial" w:hAnsi="Arial"/>
                <w:sz w:val="18"/>
                <w:szCs w:val="18"/>
                <w:color w:val="auto"/>
              </w:rPr>
              <w:t>$1,128</w:t>
            </w:r>
          </w:p>
        </w:tc>
        <w:tc>
          <w:tcPr>
            <w:tcW w:w="1340" w:type="dxa"/>
            <w:vAlign w:val="bottom"/>
          </w:tcPr>
          <w:p>
            <w:pPr>
              <w:jc w:val="right"/>
              <w:ind w:right="310"/>
              <w:spacing w:after="0" w:line="173" w:lineRule="exact"/>
              <w:rPr>
                <w:sz w:val="20"/>
                <w:szCs w:val="20"/>
                <w:color w:val="auto"/>
              </w:rPr>
            </w:pPr>
            <w:r>
              <w:rPr>
                <w:rFonts w:ascii="Arial" w:cs="Arial" w:eastAsia="Arial" w:hAnsi="Arial"/>
                <w:sz w:val="18"/>
                <w:szCs w:val="18"/>
                <w:color w:val="auto"/>
              </w:rPr>
              <w:t>$2,011</w:t>
            </w:r>
          </w:p>
        </w:tc>
        <w:tc>
          <w:tcPr>
            <w:tcW w:w="1120" w:type="dxa"/>
            <w:vAlign w:val="bottom"/>
          </w:tcPr>
          <w:p>
            <w:pPr>
              <w:jc w:val="right"/>
              <w:ind w:right="50"/>
              <w:spacing w:after="0" w:line="173" w:lineRule="exact"/>
              <w:rPr>
                <w:sz w:val="20"/>
                <w:szCs w:val="20"/>
                <w:color w:val="auto"/>
              </w:rPr>
            </w:pPr>
            <w:r>
              <w:rPr>
                <w:rFonts w:ascii="Arial" w:cs="Arial" w:eastAsia="Arial" w:hAnsi="Arial"/>
                <w:sz w:val="18"/>
                <w:szCs w:val="18"/>
                <w:color w:val="auto"/>
              </w:rPr>
              <w:t>$0.06</w:t>
            </w:r>
          </w:p>
        </w:tc>
      </w:tr>
      <w:tr>
        <w:trPr>
          <w:trHeight w:val="203"/>
        </w:trPr>
        <w:tc>
          <w:tcPr>
            <w:tcW w:w="5100" w:type="dxa"/>
            <w:vAlign w:val="bottom"/>
          </w:tcPr>
          <w:p>
            <w:pPr>
              <w:spacing w:after="0" w:line="202" w:lineRule="exact"/>
              <w:rPr>
                <w:sz w:val="20"/>
                <w:szCs w:val="20"/>
                <w:color w:val="auto"/>
              </w:rPr>
            </w:pPr>
            <w:r>
              <w:rPr>
                <w:rFonts w:ascii="Arial" w:cs="Arial" w:eastAsia="Arial" w:hAnsi="Arial"/>
                <w:sz w:val="18"/>
                <w:szCs w:val="18"/>
                <w:color w:val="auto"/>
              </w:rPr>
              <w:t>Foreign currency revaluation gains</w:t>
            </w:r>
          </w:p>
        </w:tc>
        <w:tc>
          <w:tcPr>
            <w:tcW w:w="266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1,300</w:t>
            </w:r>
          </w:p>
        </w:tc>
        <w:tc>
          <w:tcPr>
            <w:tcW w:w="120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469</w:t>
            </w:r>
          </w:p>
        </w:tc>
        <w:tc>
          <w:tcPr>
            <w:tcW w:w="134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831</w:t>
            </w:r>
          </w:p>
        </w:tc>
        <w:tc>
          <w:tcPr>
            <w:tcW w:w="11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0.03</w:t>
            </w:r>
          </w:p>
        </w:tc>
      </w:tr>
      <w:tr>
        <w:trPr>
          <w:trHeight w:val="203"/>
        </w:trPr>
        <w:tc>
          <w:tcPr>
            <w:tcW w:w="5100" w:type="dxa"/>
            <w:vAlign w:val="bottom"/>
          </w:tcPr>
          <w:p>
            <w:pPr>
              <w:spacing w:after="0" w:line="202" w:lineRule="exact"/>
              <w:rPr>
                <w:sz w:val="20"/>
                <w:szCs w:val="20"/>
                <w:color w:val="auto"/>
              </w:rPr>
            </w:pPr>
            <w:r>
              <w:rPr>
                <w:rFonts w:ascii="Arial" w:cs="Arial" w:eastAsia="Arial" w:hAnsi="Arial"/>
                <w:sz w:val="18"/>
                <w:szCs w:val="18"/>
                <w:color w:val="auto"/>
              </w:rPr>
              <w:t>Gain on insurance recovery</w:t>
            </w:r>
          </w:p>
        </w:tc>
        <w:tc>
          <w:tcPr>
            <w:tcW w:w="266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961</w:t>
            </w:r>
          </w:p>
        </w:tc>
        <w:tc>
          <w:tcPr>
            <w:tcW w:w="120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961</w:t>
            </w:r>
          </w:p>
        </w:tc>
        <w:tc>
          <w:tcPr>
            <w:tcW w:w="11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0.03</w:t>
            </w:r>
          </w:p>
        </w:tc>
      </w:tr>
      <w:tr>
        <w:trPr>
          <w:trHeight w:val="239"/>
        </w:trPr>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discrete income tax charge</w:t>
            </w:r>
          </w:p>
        </w:tc>
        <w:tc>
          <w:tcPr>
            <w:tcW w:w="26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1,673</w:t>
            </w:r>
          </w:p>
        </w:tc>
        <w:tc>
          <w:tcPr>
            <w:tcW w:w="13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1,673</w:t>
            </w: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0.05</w:t>
            </w:r>
          </w:p>
        </w:tc>
      </w:tr>
    </w:tbl>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contains the calculation of net income per share attributable to the Company, excluding adjustments: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580" w:type="dxa"/>
            <w:vAlign w:val="bottom"/>
            <w:tcBorders>
              <w:top w:val="single" w:sz="8" w:color="auto"/>
            </w:tcBorders>
          </w:tcPr>
          <w:p>
            <w:pPr>
              <w:spacing w:after="0"/>
              <w:rPr>
                <w:sz w:val="16"/>
                <w:szCs w:val="16"/>
                <w:color w:val="auto"/>
              </w:rPr>
            </w:pPr>
          </w:p>
        </w:tc>
        <w:tc>
          <w:tcPr>
            <w:tcW w:w="3300" w:type="dxa"/>
            <w:vAlign w:val="bottom"/>
            <w:tcBorders>
              <w:top w:val="single" w:sz="8" w:color="auto"/>
            </w:tcBorders>
            <w:gridSpan w:val="2"/>
          </w:tcPr>
          <w:p>
            <w:pPr>
              <w:jc w:val="right"/>
              <w:ind w:right="550"/>
              <w:spacing w:after="0" w:line="191" w:lineRule="exact"/>
              <w:rPr>
                <w:sz w:val="20"/>
                <w:szCs w:val="20"/>
                <w:color w:val="auto"/>
              </w:rPr>
            </w:pPr>
            <w:r>
              <w:rPr>
                <w:rFonts w:ascii="Arial" w:cs="Arial" w:eastAsia="Arial" w:hAnsi="Arial"/>
                <w:sz w:val="18"/>
                <w:szCs w:val="18"/>
                <w:b w:val="1"/>
                <w:bCs w:val="1"/>
                <w:color w:val="auto"/>
              </w:rPr>
              <w:t>Three months ended</w:t>
            </w:r>
          </w:p>
        </w:tc>
        <w:tc>
          <w:tcPr>
            <w:tcW w:w="2540" w:type="dxa"/>
            <w:vAlign w:val="bottom"/>
            <w:tcBorders>
              <w:top w:val="single" w:sz="8" w:color="auto"/>
            </w:tcBorders>
            <w:gridSpan w:val="2"/>
          </w:tcPr>
          <w:p>
            <w:pPr>
              <w:jc w:val="right"/>
              <w:ind w:right="270"/>
              <w:spacing w:after="0" w:line="191" w:lineRule="exact"/>
              <w:rPr>
                <w:sz w:val="20"/>
                <w:szCs w:val="20"/>
                <w:color w:val="auto"/>
              </w:rPr>
            </w:pPr>
            <w:r>
              <w:rPr>
                <w:rFonts w:ascii="Arial" w:cs="Arial" w:eastAsia="Arial" w:hAnsi="Arial"/>
                <w:sz w:val="18"/>
                <w:szCs w:val="18"/>
                <w:b w:val="1"/>
                <w:bCs w:val="1"/>
                <w:color w:val="auto"/>
              </w:rPr>
              <w:t>Six months ended</w:t>
            </w:r>
          </w:p>
        </w:tc>
      </w:tr>
      <w:tr>
        <w:trPr>
          <w:trHeight w:val="203"/>
        </w:trPr>
        <w:tc>
          <w:tcPr>
            <w:tcW w:w="55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80" w:type="dxa"/>
            <w:vAlign w:val="bottom"/>
          </w:tcPr>
          <w:p>
            <w:pPr>
              <w:jc w:val="right"/>
              <w:ind w:right="1050"/>
              <w:spacing w:after="0" w:line="202" w:lineRule="exact"/>
              <w:rPr>
                <w:sz w:val="20"/>
                <w:szCs w:val="20"/>
                <w:color w:val="auto"/>
              </w:rPr>
            </w:pPr>
            <w:r>
              <w:rPr>
                <w:rFonts w:ascii="Arial" w:cs="Arial" w:eastAsia="Arial" w:hAnsi="Arial"/>
                <w:sz w:val="18"/>
                <w:szCs w:val="18"/>
                <w:b w:val="1"/>
                <w:bCs w:val="1"/>
                <w:color w:val="auto"/>
                <w:w w:val="99"/>
              </w:rPr>
              <w:t>June 30,</w:t>
            </w:r>
          </w:p>
        </w:tc>
        <w:tc>
          <w:tcPr>
            <w:tcW w:w="1020" w:type="dxa"/>
            <w:vAlign w:val="bottom"/>
          </w:tcPr>
          <w:p>
            <w:pPr>
              <w:spacing w:after="0"/>
              <w:rPr>
                <w:sz w:val="17"/>
                <w:szCs w:val="17"/>
                <w:color w:val="auto"/>
              </w:rPr>
            </w:pPr>
          </w:p>
        </w:tc>
        <w:tc>
          <w:tcPr>
            <w:tcW w:w="1520" w:type="dxa"/>
            <w:vAlign w:val="bottom"/>
          </w:tcPr>
          <w:p>
            <w:pPr>
              <w:jc w:val="right"/>
              <w:ind w:right="650"/>
              <w:spacing w:after="0" w:line="202" w:lineRule="exact"/>
              <w:rPr>
                <w:sz w:val="20"/>
                <w:szCs w:val="20"/>
                <w:color w:val="auto"/>
              </w:rPr>
            </w:pPr>
            <w:r>
              <w:rPr>
                <w:rFonts w:ascii="Arial" w:cs="Arial" w:eastAsia="Arial" w:hAnsi="Arial"/>
                <w:sz w:val="18"/>
                <w:szCs w:val="18"/>
                <w:b w:val="1"/>
                <w:bCs w:val="1"/>
                <w:color w:val="auto"/>
              </w:rPr>
              <w:t>June 30,</w:t>
            </w:r>
          </w:p>
        </w:tc>
      </w:tr>
      <w:tr>
        <w:trPr>
          <w:trHeight w:val="227"/>
        </w:trPr>
        <w:tc>
          <w:tcPr>
            <w:tcW w:w="5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 share amounts (Basic)</w:t>
            </w:r>
          </w:p>
        </w:tc>
        <w:tc>
          <w:tcPr>
            <w:tcW w:w="1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2015</w:t>
            </w:r>
          </w:p>
        </w:tc>
        <w:tc>
          <w:tcPr>
            <w:tcW w:w="18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2015</w:t>
            </w:r>
          </w:p>
        </w:tc>
        <w:tc>
          <w:tcPr>
            <w:tcW w:w="15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2014</w:t>
            </w:r>
          </w:p>
        </w:tc>
      </w:tr>
      <w:tr>
        <w:trPr>
          <w:trHeight w:val="173"/>
        </w:trPr>
        <w:tc>
          <w:tcPr>
            <w:tcW w:w="5580" w:type="dxa"/>
            <w:vAlign w:val="bottom"/>
          </w:tcPr>
          <w:p>
            <w:pPr>
              <w:spacing w:after="0" w:line="173" w:lineRule="exact"/>
              <w:rPr>
                <w:sz w:val="20"/>
                <w:szCs w:val="20"/>
                <w:color w:val="auto"/>
              </w:rPr>
            </w:pPr>
            <w:r>
              <w:rPr>
                <w:rFonts w:ascii="Arial" w:cs="Arial" w:eastAsia="Arial" w:hAnsi="Arial"/>
                <w:sz w:val="18"/>
                <w:szCs w:val="18"/>
                <w:color w:val="auto"/>
              </w:rPr>
              <w:t>Net income/(loss) attributable to the Company</w:t>
            </w:r>
          </w:p>
        </w:tc>
        <w:tc>
          <w:tcPr>
            <w:tcW w:w="1420" w:type="dxa"/>
            <w:vAlign w:val="bottom"/>
          </w:tcPr>
          <w:p>
            <w:pPr>
              <w:jc w:val="right"/>
              <w:spacing w:after="0" w:line="173" w:lineRule="exact"/>
              <w:rPr>
                <w:sz w:val="20"/>
                <w:szCs w:val="20"/>
                <w:color w:val="auto"/>
              </w:rPr>
            </w:pPr>
            <w:r>
              <w:rPr>
                <w:rFonts w:ascii="Arial" w:cs="Arial" w:eastAsia="Arial" w:hAnsi="Arial"/>
                <w:sz w:val="18"/>
                <w:szCs w:val="18"/>
                <w:color w:val="auto"/>
              </w:rPr>
              <w:t>($0.07)</w:t>
            </w:r>
          </w:p>
        </w:tc>
        <w:tc>
          <w:tcPr>
            <w:tcW w:w="1880" w:type="dxa"/>
            <w:vAlign w:val="bottom"/>
          </w:tcPr>
          <w:p>
            <w:pPr>
              <w:jc w:val="right"/>
              <w:ind w:right="430"/>
              <w:spacing w:after="0" w:line="173" w:lineRule="exact"/>
              <w:rPr>
                <w:sz w:val="20"/>
                <w:szCs w:val="20"/>
                <w:color w:val="auto"/>
              </w:rPr>
            </w:pPr>
            <w:r>
              <w:rPr>
                <w:rFonts w:ascii="Arial" w:cs="Arial" w:eastAsia="Arial" w:hAnsi="Arial"/>
                <w:sz w:val="18"/>
                <w:szCs w:val="18"/>
                <w:color w:val="auto"/>
              </w:rPr>
              <w:t>$0.35</w:t>
            </w:r>
          </w:p>
        </w:tc>
        <w:tc>
          <w:tcPr>
            <w:tcW w:w="1020" w:type="dxa"/>
            <w:vAlign w:val="bottom"/>
          </w:tcPr>
          <w:p>
            <w:pPr>
              <w:jc w:val="right"/>
              <w:ind w:right="10"/>
              <w:spacing w:after="0" w:line="173" w:lineRule="exact"/>
              <w:rPr>
                <w:sz w:val="20"/>
                <w:szCs w:val="20"/>
                <w:color w:val="auto"/>
              </w:rPr>
            </w:pPr>
            <w:r>
              <w:rPr>
                <w:rFonts w:ascii="Arial" w:cs="Arial" w:eastAsia="Arial" w:hAnsi="Arial"/>
                <w:sz w:val="18"/>
                <w:szCs w:val="18"/>
                <w:color w:val="auto"/>
              </w:rPr>
              <w:t>$0.31</w:t>
            </w:r>
          </w:p>
        </w:tc>
        <w:tc>
          <w:tcPr>
            <w:tcW w:w="1520" w:type="dxa"/>
            <w:vAlign w:val="bottom"/>
          </w:tcPr>
          <w:p>
            <w:pPr>
              <w:jc w:val="right"/>
              <w:ind w:right="50"/>
              <w:spacing w:after="0" w:line="173" w:lineRule="exact"/>
              <w:rPr>
                <w:sz w:val="20"/>
                <w:szCs w:val="20"/>
                <w:color w:val="auto"/>
              </w:rPr>
            </w:pPr>
            <w:r>
              <w:rPr>
                <w:rFonts w:ascii="Arial" w:cs="Arial" w:eastAsia="Arial" w:hAnsi="Arial"/>
                <w:sz w:val="18"/>
                <w:szCs w:val="18"/>
                <w:color w:val="auto"/>
              </w:rPr>
              <w:t>$0.69</w:t>
            </w:r>
          </w:p>
        </w:tc>
      </w:tr>
      <w:tr>
        <w:trPr>
          <w:trHeight w:val="203"/>
        </w:trPr>
        <w:tc>
          <w:tcPr>
            <w:tcW w:w="5580" w:type="dxa"/>
            <w:vAlign w:val="bottom"/>
          </w:tcPr>
          <w:p>
            <w:pPr>
              <w:spacing w:after="0" w:line="202" w:lineRule="exact"/>
              <w:rPr>
                <w:sz w:val="20"/>
                <w:szCs w:val="20"/>
                <w:color w:val="auto"/>
              </w:rPr>
            </w:pPr>
            <w:r>
              <w:rPr>
                <w:rFonts w:ascii="Arial" w:cs="Arial" w:eastAsia="Arial" w:hAnsi="Arial"/>
                <w:sz w:val="18"/>
                <w:szCs w:val="18"/>
                <w:color w:val="auto"/>
              </w:rPr>
              <w:t>Adjustments:</w:t>
            </w:r>
          </w:p>
        </w:tc>
        <w:tc>
          <w:tcPr>
            <w:tcW w:w="14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5580" w:type="dxa"/>
            <w:vAlign w:val="bottom"/>
          </w:tcPr>
          <w:p>
            <w:pPr>
              <w:spacing w:after="0" w:line="202" w:lineRule="exact"/>
              <w:rPr>
                <w:sz w:val="20"/>
                <w:szCs w:val="20"/>
                <w:color w:val="auto"/>
              </w:rPr>
            </w:pPr>
            <w:r>
              <w:rPr>
                <w:rFonts w:ascii="Arial" w:cs="Arial" w:eastAsia="Arial" w:hAnsi="Arial"/>
                <w:sz w:val="18"/>
                <w:szCs w:val="18"/>
                <w:color w:val="auto"/>
              </w:rPr>
              <w:t>Restructuring expenses, net</w:t>
            </w:r>
          </w:p>
        </w:tc>
        <w:tc>
          <w:tcPr>
            <w:tcW w:w="14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0.02</w:t>
            </w:r>
          </w:p>
        </w:tc>
        <w:tc>
          <w:tcPr>
            <w:tcW w:w="188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0.04</w:t>
            </w: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0.20</w:t>
            </w:r>
          </w:p>
        </w:tc>
        <w:tc>
          <w:tcPr>
            <w:tcW w:w="15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0.06</w:t>
            </w:r>
          </w:p>
        </w:tc>
      </w:tr>
      <w:tr>
        <w:trPr>
          <w:trHeight w:val="203"/>
        </w:trPr>
        <w:tc>
          <w:tcPr>
            <w:tcW w:w="5580" w:type="dxa"/>
            <w:vAlign w:val="bottom"/>
          </w:tcPr>
          <w:p>
            <w:pPr>
              <w:spacing w:after="0" w:line="202" w:lineRule="exact"/>
              <w:rPr>
                <w:sz w:val="20"/>
                <w:szCs w:val="20"/>
                <w:color w:val="auto"/>
              </w:rPr>
            </w:pPr>
            <w:r>
              <w:rPr>
                <w:rFonts w:ascii="Arial" w:cs="Arial" w:eastAsia="Arial" w:hAnsi="Arial"/>
                <w:sz w:val="18"/>
                <w:szCs w:val="18"/>
                <w:color w:val="auto"/>
              </w:rPr>
              <w:t>Discrete tax charges/(benefits)</w:t>
            </w:r>
          </w:p>
        </w:tc>
        <w:tc>
          <w:tcPr>
            <w:tcW w:w="14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0.02</w:t>
            </w:r>
          </w:p>
        </w:tc>
        <w:tc>
          <w:tcPr>
            <w:tcW w:w="188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0.03</w:t>
            </w: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0.01</w:t>
            </w:r>
          </w:p>
        </w:tc>
        <w:tc>
          <w:tcPr>
            <w:tcW w:w="15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0.05</w:t>
            </w:r>
          </w:p>
        </w:tc>
      </w:tr>
      <w:tr>
        <w:trPr>
          <w:trHeight w:val="203"/>
        </w:trPr>
        <w:tc>
          <w:tcPr>
            <w:tcW w:w="5580" w:type="dxa"/>
            <w:vAlign w:val="bottom"/>
          </w:tcPr>
          <w:p>
            <w:pPr>
              <w:spacing w:after="0" w:line="202" w:lineRule="exact"/>
              <w:rPr>
                <w:sz w:val="20"/>
                <w:szCs w:val="20"/>
                <w:color w:val="auto"/>
              </w:rPr>
            </w:pPr>
            <w:r>
              <w:rPr>
                <w:rFonts w:ascii="Arial" w:cs="Arial" w:eastAsia="Arial" w:hAnsi="Arial"/>
                <w:sz w:val="18"/>
                <w:szCs w:val="18"/>
                <w:color w:val="auto"/>
              </w:rPr>
              <w:t>Foreign currency revaluation (gains)/losses</w:t>
            </w:r>
          </w:p>
        </w:tc>
        <w:tc>
          <w:tcPr>
            <w:tcW w:w="14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0.04</w:t>
            </w:r>
          </w:p>
        </w:tc>
        <w:tc>
          <w:tcPr>
            <w:tcW w:w="188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(0.02)</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(0.06)</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(0.03)</w:t>
            </w:r>
          </w:p>
        </w:tc>
      </w:tr>
      <w:tr>
        <w:trPr>
          <w:trHeight w:val="225"/>
        </w:trPr>
        <w:tc>
          <w:tcPr>
            <w:tcW w:w="5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Gain on sale of investment/insurance recovery</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(0.03)</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r>
      <w:tr>
        <w:trPr>
          <w:trHeight w:val="196"/>
        </w:trPr>
        <w:tc>
          <w:tcPr>
            <w:tcW w:w="55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income/(loss) attributable to the Company, excluding adjustments</w:t>
            </w:r>
          </w:p>
        </w:tc>
        <w:tc>
          <w:tcPr>
            <w:tcW w:w="14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$0.01</w:t>
            </w:r>
          </w:p>
        </w:tc>
        <w:tc>
          <w:tcPr>
            <w:tcW w:w="188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color w:val="auto"/>
              </w:rPr>
              <w:t>$0.37</w:t>
            </w:r>
          </w:p>
        </w:tc>
        <w:tc>
          <w:tcPr>
            <w:tcW w:w="10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$0.44</w:t>
            </w:r>
          </w:p>
        </w:tc>
        <w:tc>
          <w:tcPr>
            <w:tcW w:w="152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$0.74</w:t>
            </w:r>
          </w:p>
        </w:tc>
      </w:tr>
      <w:tr>
        <w:trPr>
          <w:trHeight w:val="939"/>
        </w:trPr>
        <w:tc>
          <w:tcPr>
            <w:tcW w:w="5580" w:type="dxa"/>
            <w:vAlign w:val="bottom"/>
          </w:tcPr>
          <w:p>
            <w:pPr>
              <w:spacing w:after="0"/>
              <w:rPr>
                <w:sz w:val="24"/>
                <w:szCs w:val="24"/>
                <w:color w:val="auto"/>
              </w:rPr>
            </w:pPr>
          </w:p>
        </w:tc>
        <w:tc>
          <w:tcPr>
            <w:tcW w:w="142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42</w:t>
            </w:r>
          </w:p>
        </w:tc>
        <w:tc>
          <w:tcPr>
            <w:tcW w:w="1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42"/>
        </w:trPr>
        <w:tc>
          <w:tcPr>
            <w:tcW w:w="558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r>
    </w:tbl>
    <w:p>
      <w:pPr>
        <w:sectPr>
          <w:pgSz w:w="11900" w:h="16838" w:orient="portrait"/>
          <w:cols w:equalWidth="0" w:num="1">
            <w:col w:w="11420"/>
          </w:cols>
          <w:pgMar w:left="240" w:top="646" w:right="239" w:bottom="1440" w:gutter="0" w:footer="0" w:header="0"/>
        </w:sectPr>
      </w:pPr>
    </w:p>
    <w:bookmarkStart w:id="42" w:name="page43"/>
    <w:bookmarkEnd w:id="42"/>
    <w:p>
      <w:pPr>
        <w:ind w:left="980"/>
        <w:spacing w:after="0"/>
        <w:rPr>
          <w:sz w:val="20"/>
          <w:szCs w:val="20"/>
          <w:color w:val="auto"/>
        </w:rPr>
      </w:pPr>
      <w:r>
        <w:rPr>
          <w:rFonts w:ascii="Arial" w:cs="Arial" w:eastAsia="Arial" w:hAnsi="Arial"/>
          <w:sz w:val="18"/>
          <w:szCs w:val="18"/>
          <w:color w:val="auto"/>
        </w:rPr>
        <w:t>The following table contains the calculation of net debt: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220" w:type="dxa"/>
            <w:vAlign w:val="bottom"/>
            <w:tcBorders>
              <w:top w:val="single" w:sz="8" w:color="auto"/>
            </w:tcBorders>
          </w:tcPr>
          <w:p>
            <w:pPr>
              <w:spacing w:after="0"/>
              <w:rPr>
                <w:sz w:val="16"/>
                <w:szCs w:val="16"/>
                <w:color w:val="auto"/>
              </w:rPr>
            </w:pPr>
          </w:p>
        </w:tc>
        <w:tc>
          <w:tcPr>
            <w:tcW w:w="2440" w:type="dxa"/>
            <w:vAlign w:val="bottom"/>
            <w:tcBorders>
              <w:top w:val="single" w:sz="8" w:color="auto"/>
            </w:tcBorders>
          </w:tcPr>
          <w:p>
            <w:pPr>
              <w:jc w:val="right"/>
              <w:ind w:right="210"/>
              <w:spacing w:after="0" w:line="191" w:lineRule="exact"/>
              <w:rPr>
                <w:sz w:val="20"/>
                <w:szCs w:val="20"/>
                <w:color w:val="auto"/>
              </w:rPr>
            </w:pPr>
            <w:r>
              <w:rPr>
                <w:rFonts w:ascii="Arial" w:cs="Arial" w:eastAsia="Arial" w:hAnsi="Arial"/>
                <w:sz w:val="18"/>
                <w:szCs w:val="18"/>
                <w:b w:val="1"/>
                <w:bCs w:val="1"/>
                <w:color w:val="auto"/>
              </w:rPr>
              <w:t>June 30,</w:t>
            </w:r>
          </w:p>
        </w:tc>
        <w:tc>
          <w:tcPr>
            <w:tcW w:w="1700" w:type="dxa"/>
            <w:vAlign w:val="bottom"/>
            <w:tcBorders>
              <w:top w:val="single" w:sz="8" w:color="auto"/>
            </w:tcBorders>
          </w:tcPr>
          <w:p>
            <w:pPr>
              <w:jc w:val="right"/>
              <w:ind w:right="170"/>
              <w:spacing w:after="0" w:line="191" w:lineRule="exact"/>
              <w:rPr>
                <w:sz w:val="20"/>
                <w:szCs w:val="20"/>
                <w:color w:val="auto"/>
              </w:rPr>
            </w:pPr>
            <w:r>
              <w:rPr>
                <w:rFonts w:ascii="Arial" w:cs="Arial" w:eastAsia="Arial" w:hAnsi="Arial"/>
                <w:sz w:val="18"/>
                <w:szCs w:val="18"/>
                <w:b w:val="1"/>
                <w:bCs w:val="1"/>
                <w:color w:val="auto"/>
              </w:rPr>
              <w:t>December 31,</w:t>
            </w:r>
          </w:p>
        </w:tc>
        <w:tc>
          <w:tcPr>
            <w:tcW w:w="1660" w:type="dxa"/>
            <w:vAlign w:val="bottom"/>
            <w:tcBorders>
              <w:top w:val="single" w:sz="8" w:color="auto"/>
            </w:tcBorders>
          </w:tcPr>
          <w:p>
            <w:pPr>
              <w:jc w:val="right"/>
              <w:ind w:right="170"/>
              <w:spacing w:after="0" w:line="191" w:lineRule="exact"/>
              <w:rPr>
                <w:sz w:val="20"/>
                <w:szCs w:val="20"/>
                <w:color w:val="auto"/>
              </w:rPr>
            </w:pPr>
            <w:r>
              <w:rPr>
                <w:rFonts w:ascii="Arial" w:cs="Arial" w:eastAsia="Arial" w:hAnsi="Arial"/>
                <w:sz w:val="18"/>
                <w:szCs w:val="18"/>
                <w:b w:val="1"/>
                <w:bCs w:val="1"/>
                <w:color w:val="auto"/>
              </w:rPr>
              <w:t>December 31,</w:t>
            </w:r>
          </w:p>
        </w:tc>
        <w:tc>
          <w:tcPr>
            <w:tcW w:w="140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December 31,</w:t>
            </w:r>
          </w:p>
        </w:tc>
      </w:tr>
      <w:tr>
        <w:trPr>
          <w:trHeight w:val="227"/>
        </w:trPr>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4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7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2014</w:t>
            </w:r>
          </w:p>
        </w:tc>
        <w:tc>
          <w:tcPr>
            <w:tcW w:w="16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2013</w:t>
            </w:r>
          </w:p>
        </w:tc>
        <w:tc>
          <w:tcPr>
            <w:tcW w:w="14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r>
      <w:tr>
        <w:trPr>
          <w:trHeight w:val="173"/>
        </w:trPr>
        <w:tc>
          <w:tcPr>
            <w:tcW w:w="4220" w:type="dxa"/>
            <w:vAlign w:val="bottom"/>
          </w:tcPr>
          <w:p>
            <w:pPr>
              <w:spacing w:after="0" w:line="173" w:lineRule="exact"/>
              <w:rPr>
                <w:sz w:val="20"/>
                <w:szCs w:val="20"/>
                <w:color w:val="auto"/>
              </w:rPr>
            </w:pPr>
            <w:r>
              <w:rPr>
                <w:rFonts w:ascii="Arial" w:cs="Arial" w:eastAsia="Arial" w:hAnsi="Arial"/>
                <w:sz w:val="18"/>
                <w:szCs w:val="18"/>
                <w:color w:val="auto"/>
              </w:rPr>
              <w:t>Notes and loans payable</w:t>
            </w:r>
          </w:p>
        </w:tc>
        <w:tc>
          <w:tcPr>
            <w:tcW w:w="2440" w:type="dxa"/>
            <w:vAlign w:val="bottom"/>
          </w:tcPr>
          <w:p>
            <w:pPr>
              <w:jc w:val="right"/>
              <w:ind w:right="250"/>
              <w:spacing w:after="0" w:line="173" w:lineRule="exact"/>
              <w:rPr>
                <w:sz w:val="20"/>
                <w:szCs w:val="20"/>
                <w:color w:val="auto"/>
              </w:rPr>
            </w:pPr>
            <w:r>
              <w:rPr>
                <w:rFonts w:ascii="Arial" w:cs="Arial" w:eastAsia="Arial" w:hAnsi="Arial"/>
                <w:sz w:val="18"/>
                <w:szCs w:val="18"/>
                <w:color w:val="auto"/>
              </w:rPr>
              <w:t>$543</w:t>
            </w:r>
          </w:p>
        </w:tc>
        <w:tc>
          <w:tcPr>
            <w:tcW w:w="1700" w:type="dxa"/>
            <w:vAlign w:val="bottom"/>
          </w:tcPr>
          <w:p>
            <w:pPr>
              <w:jc w:val="right"/>
              <w:ind w:right="370"/>
              <w:spacing w:after="0" w:line="173" w:lineRule="exact"/>
              <w:rPr>
                <w:sz w:val="20"/>
                <w:szCs w:val="20"/>
                <w:color w:val="auto"/>
              </w:rPr>
            </w:pPr>
            <w:r>
              <w:rPr>
                <w:rFonts w:ascii="Arial" w:cs="Arial" w:eastAsia="Arial" w:hAnsi="Arial"/>
                <w:sz w:val="18"/>
                <w:szCs w:val="18"/>
                <w:color w:val="auto"/>
              </w:rPr>
              <w:t>$661</w:t>
            </w:r>
          </w:p>
        </w:tc>
        <w:tc>
          <w:tcPr>
            <w:tcW w:w="1660" w:type="dxa"/>
            <w:vAlign w:val="bottom"/>
          </w:tcPr>
          <w:p>
            <w:pPr>
              <w:jc w:val="right"/>
              <w:ind w:right="370"/>
              <w:spacing w:after="0" w:line="173" w:lineRule="exact"/>
              <w:rPr>
                <w:sz w:val="20"/>
                <w:szCs w:val="20"/>
                <w:color w:val="auto"/>
              </w:rPr>
            </w:pPr>
            <w:r>
              <w:rPr>
                <w:rFonts w:ascii="Arial" w:cs="Arial" w:eastAsia="Arial" w:hAnsi="Arial"/>
                <w:sz w:val="18"/>
                <w:szCs w:val="18"/>
                <w:color w:val="auto"/>
              </w:rPr>
              <w:t>$625</w:t>
            </w:r>
          </w:p>
        </w:tc>
        <w:tc>
          <w:tcPr>
            <w:tcW w:w="1400" w:type="dxa"/>
            <w:vAlign w:val="bottom"/>
          </w:tcPr>
          <w:p>
            <w:pPr>
              <w:jc w:val="right"/>
              <w:ind w:right="90"/>
              <w:spacing w:after="0" w:line="173" w:lineRule="exact"/>
              <w:rPr>
                <w:sz w:val="20"/>
                <w:szCs w:val="20"/>
                <w:color w:val="auto"/>
              </w:rPr>
            </w:pPr>
            <w:r>
              <w:rPr>
                <w:rFonts w:ascii="Arial" w:cs="Arial" w:eastAsia="Arial" w:hAnsi="Arial"/>
                <w:sz w:val="18"/>
                <w:szCs w:val="18"/>
                <w:color w:val="auto"/>
              </w:rPr>
              <w:t>$586</w:t>
            </w:r>
          </w:p>
        </w:tc>
      </w:tr>
      <w:tr>
        <w:trPr>
          <w:trHeight w:val="203"/>
        </w:trPr>
        <w:tc>
          <w:tcPr>
            <w:tcW w:w="4220" w:type="dxa"/>
            <w:vAlign w:val="bottom"/>
          </w:tcPr>
          <w:p>
            <w:pPr>
              <w:spacing w:after="0" w:line="202" w:lineRule="exact"/>
              <w:rPr>
                <w:sz w:val="20"/>
                <w:szCs w:val="20"/>
                <w:color w:val="auto"/>
              </w:rPr>
            </w:pPr>
            <w:r>
              <w:rPr>
                <w:rFonts w:ascii="Arial" w:cs="Arial" w:eastAsia="Arial" w:hAnsi="Arial"/>
                <w:sz w:val="18"/>
                <w:szCs w:val="18"/>
                <w:color w:val="auto"/>
              </w:rPr>
              <w:t>Current maturities of long-term debt</w:t>
            </w:r>
          </w:p>
        </w:tc>
        <w:tc>
          <w:tcPr>
            <w:tcW w:w="244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50,015</w:t>
            </w:r>
          </w:p>
        </w:tc>
        <w:tc>
          <w:tcPr>
            <w:tcW w:w="170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50,015</w:t>
            </w:r>
          </w:p>
        </w:tc>
        <w:tc>
          <w:tcPr>
            <w:tcW w:w="166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3,764</w:t>
            </w:r>
          </w:p>
        </w:tc>
        <w:tc>
          <w:tcPr>
            <w:tcW w:w="1400" w:type="dxa"/>
            <w:vAlign w:val="bottom"/>
          </w:tcPr>
          <w:p>
            <w:pPr>
              <w:jc w:val="right"/>
              <w:ind w:right="90"/>
              <w:spacing w:after="0" w:line="202" w:lineRule="exact"/>
              <w:rPr>
                <w:sz w:val="20"/>
                <w:szCs w:val="20"/>
                <w:color w:val="auto"/>
              </w:rPr>
            </w:pPr>
            <w:r>
              <w:rPr>
                <w:rFonts w:ascii="Arial" w:cs="Arial" w:eastAsia="Arial" w:hAnsi="Arial"/>
                <w:sz w:val="18"/>
                <w:szCs w:val="18"/>
                <w:color w:val="auto"/>
              </w:rPr>
              <w:t>83,276</w:t>
            </w:r>
          </w:p>
        </w:tc>
      </w:tr>
      <w:tr>
        <w:trPr>
          <w:trHeight w:val="225"/>
        </w:trPr>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Long-term debt</w:t>
            </w:r>
          </w:p>
        </w:tc>
        <w:tc>
          <w:tcPr>
            <w:tcW w:w="2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252,088</w:t>
            </w:r>
          </w:p>
        </w:tc>
        <w:tc>
          <w:tcPr>
            <w:tcW w:w="17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222,096</w:t>
            </w:r>
          </w:p>
        </w:tc>
        <w:tc>
          <w:tcPr>
            <w:tcW w:w="16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300,111</w:t>
            </w:r>
          </w:p>
        </w:tc>
        <w:tc>
          <w:tcPr>
            <w:tcW w:w="1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235,877</w:t>
            </w:r>
          </w:p>
        </w:tc>
      </w:tr>
      <w:tr>
        <w:trPr>
          <w:trHeight w:val="196"/>
        </w:trPr>
        <w:tc>
          <w:tcPr>
            <w:tcW w:w="4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Total debt</w:t>
            </w:r>
          </w:p>
        </w:tc>
        <w:tc>
          <w:tcPr>
            <w:tcW w:w="244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rPr>
              <w:t>302,646</w:t>
            </w:r>
          </w:p>
        </w:tc>
        <w:tc>
          <w:tcPr>
            <w:tcW w:w="170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color w:val="auto"/>
              </w:rPr>
              <w:t>272,772</w:t>
            </w:r>
          </w:p>
        </w:tc>
        <w:tc>
          <w:tcPr>
            <w:tcW w:w="166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color w:val="auto"/>
              </w:rPr>
              <w:t>304,500</w:t>
            </w:r>
          </w:p>
        </w:tc>
        <w:tc>
          <w:tcPr>
            <w:tcW w:w="140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319,739</w:t>
            </w:r>
          </w:p>
        </w:tc>
      </w:tr>
      <w:tr>
        <w:trPr>
          <w:trHeight w:val="196"/>
        </w:trPr>
        <w:tc>
          <w:tcPr>
            <w:tcW w:w="4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Cash and cash equivalents</w:t>
            </w:r>
          </w:p>
        </w:tc>
        <w:tc>
          <w:tcPr>
            <w:tcW w:w="244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rPr>
              <w:t>182,474</w:t>
            </w:r>
          </w:p>
        </w:tc>
        <w:tc>
          <w:tcPr>
            <w:tcW w:w="170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color w:val="auto"/>
              </w:rPr>
              <w:t>179,802</w:t>
            </w:r>
          </w:p>
        </w:tc>
        <w:tc>
          <w:tcPr>
            <w:tcW w:w="166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color w:val="auto"/>
              </w:rPr>
              <w:t>222,666</w:t>
            </w:r>
          </w:p>
        </w:tc>
        <w:tc>
          <w:tcPr>
            <w:tcW w:w="140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190,718</w:t>
            </w:r>
          </w:p>
        </w:tc>
      </w:tr>
      <w:tr>
        <w:trPr>
          <w:trHeight w:val="196"/>
        </w:trPr>
        <w:tc>
          <w:tcPr>
            <w:tcW w:w="4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Net debt</w:t>
            </w:r>
          </w:p>
        </w:tc>
        <w:tc>
          <w:tcPr>
            <w:tcW w:w="244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rPr>
              <w:t>$120,172</w:t>
            </w:r>
          </w:p>
        </w:tc>
        <w:tc>
          <w:tcPr>
            <w:tcW w:w="170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color w:val="auto"/>
              </w:rPr>
              <w:t>$92,970</w:t>
            </w:r>
          </w:p>
        </w:tc>
        <w:tc>
          <w:tcPr>
            <w:tcW w:w="166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color w:val="auto"/>
              </w:rPr>
              <w:t>$81,834</w:t>
            </w:r>
          </w:p>
        </w:tc>
        <w:tc>
          <w:tcPr>
            <w:tcW w:w="140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$129,021</w:t>
            </w:r>
          </w:p>
        </w:tc>
      </w:tr>
    </w:tbl>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3" w:lineRule="exact"/>
        <w:rPr>
          <w:sz w:val="20"/>
          <w:szCs w:val="20"/>
          <w:color w:val="auto"/>
        </w:rPr>
      </w:pPr>
    </w:p>
    <w:p>
      <w:pPr>
        <w:ind w:right="160" w:firstLine="648"/>
        <w:spacing w:after="0" w:line="276" w:lineRule="auto"/>
        <w:rPr>
          <w:sz w:val="20"/>
          <w:szCs w:val="20"/>
          <w:color w:val="auto"/>
        </w:rPr>
      </w:pPr>
      <w:r>
        <w:rPr>
          <w:rFonts w:ascii="Arial" w:cs="Arial" w:eastAsia="Arial" w:hAnsi="Arial"/>
          <w:sz w:val="18"/>
          <w:szCs w:val="18"/>
          <w:color w:val="auto"/>
        </w:rPr>
        <w:t>For discussion of our exposure to market risk, refer to “Quantitative and Qualitative Disclosures About Market Risk”, which is included as an exhibit to this Form 10-Q.</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7"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Disclosure controls and procedures.</w:t>
      </w:r>
    </w:p>
    <w:p>
      <w:pPr>
        <w:spacing w:after="0" w:line="171" w:lineRule="exact"/>
        <w:rPr>
          <w:sz w:val="20"/>
          <w:szCs w:val="20"/>
          <w:color w:val="auto"/>
        </w:rPr>
      </w:pPr>
    </w:p>
    <w:p>
      <w:pPr>
        <w:ind w:right="100" w:firstLine="648"/>
        <w:spacing w:after="0"/>
        <w:rPr>
          <w:sz w:val="20"/>
          <w:szCs w:val="20"/>
          <w:color w:val="auto"/>
        </w:rPr>
      </w:pPr>
      <w:r>
        <w:rPr>
          <w:rFonts w:ascii="Arial" w:cs="Arial" w:eastAsia="Arial" w:hAnsi="Arial"/>
          <w:sz w:val="18"/>
          <w:szCs w:val="18"/>
          <w:color w:val="auto"/>
        </w:rPr>
        <w:t>The principal executive officers and principal financial officer, based on their evaluation of disclosure controls and procedures (as defined in Exchange Act Rules 13a-15(e) and 15d -15(e)) as of the end of the period covered by this Quarterly Report on Form 10-Q, have concluded that the Company’s disclosure controls and procedures are effective for ensuring that information required to be disclosed in the reports that it files or submits under the Securities Exchange Act of 1934 is recorded, processed, summarized and reported within the time periods specified in the Commission’s rules and forms. Disclosure controls and procedures include, without limitation, controls and procedures designed to ensure that information required to be disclosed in filed or submitted reports is accumulated and communicated to the Company’s management, including its principal executive officer and principal financial officer as appropriate, to allow timely decisions regarding required disclosure.</w:t>
      </w:r>
    </w:p>
    <w:p>
      <w:pPr>
        <w:spacing w:after="0" w:line="140"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internal control over financial reporting.</w:t>
      </w:r>
    </w:p>
    <w:p>
      <w:pPr>
        <w:spacing w:after="0" w:line="185" w:lineRule="exact"/>
        <w:rPr>
          <w:sz w:val="20"/>
          <w:szCs w:val="20"/>
          <w:color w:val="auto"/>
        </w:rPr>
      </w:pPr>
    </w:p>
    <w:p>
      <w:pPr>
        <w:ind w:right="180" w:firstLine="648"/>
        <w:spacing w:after="0" w:line="276" w:lineRule="auto"/>
        <w:rPr>
          <w:sz w:val="20"/>
          <w:szCs w:val="20"/>
          <w:color w:val="auto"/>
        </w:rPr>
      </w:pPr>
      <w:r>
        <w:rPr>
          <w:rFonts w:ascii="Arial" w:cs="Arial" w:eastAsia="Arial" w:hAnsi="Arial"/>
          <w:sz w:val="18"/>
          <w:szCs w:val="18"/>
          <w:color w:val="auto"/>
        </w:rPr>
        <w:t>There were no changes in the Company’s internal control over financial reporting that occurred during the last fiscal quarter that have materially affected, or are reasonably likely to materially affect, the Company’s internal control over financial reporting.</w:t>
      </w:r>
    </w:p>
    <w:p>
      <w:pPr>
        <w:spacing w:after="0" w:line="103"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7" w:lineRule="exact"/>
        <w:rPr>
          <w:sz w:val="20"/>
          <w:szCs w:val="20"/>
          <w:color w:val="auto"/>
        </w:rPr>
      </w:pPr>
    </w:p>
    <w:p>
      <w:pPr>
        <w:ind w:right="600" w:firstLine="648"/>
        <w:spacing w:after="0" w:line="276" w:lineRule="auto"/>
        <w:rPr>
          <w:sz w:val="20"/>
          <w:szCs w:val="20"/>
          <w:color w:val="auto"/>
        </w:rPr>
      </w:pPr>
      <w:r>
        <w:rPr>
          <w:rFonts w:ascii="Arial" w:cs="Arial" w:eastAsia="Arial" w:hAnsi="Arial"/>
          <w:sz w:val="18"/>
          <w:szCs w:val="18"/>
          <w:color w:val="auto"/>
        </w:rPr>
        <w:t>The information set forth above under Note 15 in Item 1, “Notes to Consolidated Financial Statements” is incorporated herein by reference.</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43"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Item 1A. Risk Factors</w:t>
      </w:r>
    </w:p>
    <w:p>
      <w:pPr>
        <w:spacing w:after="0" w:line="173" w:lineRule="exact"/>
        <w:rPr>
          <w:sz w:val="20"/>
          <w:szCs w:val="20"/>
          <w:color w:val="auto"/>
        </w:rPr>
      </w:pPr>
    </w:p>
    <w:p>
      <w:pPr>
        <w:ind w:right="60" w:firstLine="648"/>
        <w:spacing w:after="0" w:line="276" w:lineRule="auto"/>
        <w:rPr>
          <w:sz w:val="20"/>
          <w:szCs w:val="20"/>
          <w:color w:val="auto"/>
        </w:rPr>
      </w:pPr>
      <w:r>
        <w:rPr>
          <w:rFonts w:ascii="Arial" w:cs="Arial" w:eastAsia="Arial" w:hAnsi="Arial"/>
          <w:sz w:val="18"/>
          <w:szCs w:val="18"/>
          <w:color w:val="auto"/>
        </w:rPr>
        <w:t>There have been no material changes in risks since December 31, 2014. For discussion of risk factors, refer to Item 1A of our Annual Report on Form 10-K for the year ended December 31, 2014.</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3" w:lineRule="exact"/>
        <w:rPr>
          <w:sz w:val="20"/>
          <w:szCs w:val="20"/>
          <w:color w:val="auto"/>
        </w:rPr>
      </w:pPr>
    </w:p>
    <w:p>
      <w:pPr>
        <w:ind w:firstLine="648"/>
        <w:spacing w:after="0" w:line="276" w:lineRule="auto"/>
        <w:rPr>
          <w:sz w:val="20"/>
          <w:szCs w:val="20"/>
          <w:color w:val="auto"/>
        </w:rPr>
      </w:pPr>
      <w:r>
        <w:rPr>
          <w:rFonts w:ascii="Arial" w:cs="Arial" w:eastAsia="Arial" w:hAnsi="Arial"/>
          <w:sz w:val="18"/>
          <w:szCs w:val="18"/>
          <w:color w:val="auto"/>
        </w:rPr>
        <w:t>We made no share purchases during the second quarter of 2015. We remain authorized by the Board of Directors to purchase up to 2 million shares of our Class A Common Stock.</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360" w:type="dxa"/>
            <w:vAlign w:val="bottom"/>
          </w:tcPr>
          <w:p>
            <w:pPr>
              <w:ind w:left="660"/>
              <w:spacing w:after="0"/>
              <w:rPr>
                <w:sz w:val="20"/>
                <w:szCs w:val="20"/>
                <w:color w:val="auto"/>
              </w:rPr>
            </w:pPr>
            <w:r>
              <w:rPr>
                <w:rFonts w:ascii="Arial" w:cs="Arial" w:eastAsia="Arial" w:hAnsi="Arial"/>
                <w:sz w:val="18"/>
                <w:szCs w:val="18"/>
                <w:color w:val="auto"/>
              </w:rPr>
              <w:t>None.</w:t>
            </w:r>
          </w:p>
        </w:tc>
        <w:tc>
          <w:tcPr>
            <w:tcW w:w="8120" w:type="dxa"/>
            <w:vAlign w:val="bottom"/>
          </w:tcPr>
          <w:p>
            <w:pPr>
              <w:spacing w:after="0"/>
              <w:rPr>
                <w:sz w:val="21"/>
                <w:szCs w:val="21"/>
                <w:color w:val="auto"/>
              </w:rPr>
            </w:pPr>
          </w:p>
        </w:tc>
      </w:tr>
      <w:tr>
        <w:trPr>
          <w:trHeight w:val="386"/>
        </w:trPr>
        <w:tc>
          <w:tcPr>
            <w:tcW w:w="1360" w:type="dxa"/>
            <w:vAlign w:val="bottom"/>
          </w:tcPr>
          <w:p>
            <w:pPr>
              <w:spacing w:after="0"/>
              <w:rPr>
                <w:sz w:val="20"/>
                <w:szCs w:val="20"/>
                <w:color w:val="auto"/>
              </w:rPr>
            </w:pPr>
            <w:r>
              <w:rPr>
                <w:rFonts w:ascii="Arial" w:cs="Arial" w:eastAsia="Arial" w:hAnsi="Arial"/>
                <w:sz w:val="18"/>
                <w:szCs w:val="18"/>
                <w:b w:val="1"/>
                <w:bCs w:val="1"/>
                <w:color w:val="auto"/>
              </w:rPr>
              <w:t>Item 6. Exhibits</w:t>
            </w:r>
          </w:p>
        </w:tc>
        <w:tc>
          <w:tcPr>
            <w:tcW w:w="8120" w:type="dxa"/>
            <w:vAlign w:val="bottom"/>
          </w:tcPr>
          <w:p>
            <w:pPr>
              <w:spacing w:after="0"/>
              <w:rPr>
                <w:sz w:val="24"/>
                <w:szCs w:val="24"/>
                <w:color w:val="auto"/>
              </w:rPr>
            </w:pPr>
          </w:p>
        </w:tc>
      </w:tr>
      <w:tr>
        <w:trPr>
          <w:trHeight w:val="424"/>
        </w:trPr>
        <w:tc>
          <w:tcPr>
            <w:tcW w:w="1360" w:type="dxa"/>
            <w:vAlign w:val="bottom"/>
          </w:tcPr>
          <w:p>
            <w:pPr>
              <w:spacing w:after="0"/>
              <w:rPr>
                <w:sz w:val="20"/>
                <w:szCs w:val="20"/>
                <w:color w:val="auto"/>
              </w:rPr>
            </w:pPr>
            <w:r>
              <w:rPr>
                <w:rFonts w:ascii="Arial" w:cs="Arial" w:eastAsia="Arial" w:hAnsi="Arial"/>
                <w:sz w:val="18"/>
                <w:szCs w:val="18"/>
                <w:color w:val="auto"/>
              </w:rPr>
              <w:t>Exhibit No.</w:t>
            </w:r>
          </w:p>
        </w:tc>
        <w:tc>
          <w:tcPr>
            <w:tcW w:w="8120" w:type="dxa"/>
            <w:vAlign w:val="bottom"/>
          </w:tcPr>
          <w:p>
            <w:pPr>
              <w:ind w:left="260"/>
              <w:spacing w:after="0"/>
              <w:rPr>
                <w:sz w:val="20"/>
                <w:szCs w:val="20"/>
                <w:color w:val="auto"/>
              </w:rPr>
            </w:pPr>
            <w:r>
              <w:rPr>
                <w:rFonts w:ascii="Arial" w:cs="Arial" w:eastAsia="Arial" w:hAnsi="Arial"/>
                <w:sz w:val="18"/>
                <w:szCs w:val="18"/>
                <w:color w:val="auto"/>
              </w:rPr>
              <w:t>Description</w:t>
            </w:r>
          </w:p>
        </w:tc>
      </w:tr>
      <w:tr>
        <w:trPr>
          <w:trHeight w:val="446"/>
        </w:trPr>
        <w:tc>
          <w:tcPr>
            <w:tcW w:w="1360" w:type="dxa"/>
            <w:vAlign w:val="bottom"/>
          </w:tcPr>
          <w:p>
            <w:pPr>
              <w:spacing w:after="0"/>
              <w:rPr>
                <w:sz w:val="20"/>
                <w:szCs w:val="20"/>
                <w:color w:val="auto"/>
              </w:rPr>
            </w:pPr>
            <w:r>
              <w:rPr>
                <w:rFonts w:ascii="Arial" w:cs="Arial" w:eastAsia="Arial" w:hAnsi="Arial"/>
                <w:sz w:val="18"/>
                <w:szCs w:val="18"/>
                <w:color w:val="auto"/>
              </w:rPr>
              <w:t>31.1</w:t>
            </w:r>
          </w:p>
        </w:tc>
        <w:tc>
          <w:tcPr>
            <w:tcW w:w="8120" w:type="dxa"/>
            <w:vAlign w:val="bottom"/>
          </w:tcPr>
          <w:p>
            <w:pPr>
              <w:ind w:left="40"/>
              <w:spacing w:after="0"/>
              <w:rPr>
                <w:sz w:val="20"/>
                <w:szCs w:val="20"/>
                <w:color w:val="auto"/>
              </w:rPr>
            </w:pPr>
            <w:r>
              <w:rPr>
                <w:rFonts w:ascii="Arial" w:cs="Arial" w:eastAsia="Arial" w:hAnsi="Arial"/>
                <w:sz w:val="18"/>
                <w:szCs w:val="18"/>
                <w:color w:val="auto"/>
                <w:w w:val="99"/>
              </w:rPr>
              <w:t>Certification of the Chief Executive Officer pursuant to Rule 13a-14(a)/15d-14(a) of the Exchange Act.</w:t>
            </w:r>
          </w:p>
        </w:tc>
      </w:tr>
      <w:tr>
        <w:trPr>
          <w:trHeight w:val="486"/>
        </w:trPr>
        <w:tc>
          <w:tcPr>
            <w:tcW w:w="1360" w:type="dxa"/>
            <w:vAlign w:val="bottom"/>
          </w:tcPr>
          <w:p>
            <w:pPr>
              <w:spacing w:after="0"/>
              <w:rPr>
                <w:sz w:val="20"/>
                <w:szCs w:val="20"/>
                <w:color w:val="auto"/>
              </w:rPr>
            </w:pPr>
            <w:r>
              <w:rPr>
                <w:rFonts w:ascii="Arial" w:cs="Arial" w:eastAsia="Arial" w:hAnsi="Arial"/>
                <w:sz w:val="18"/>
                <w:szCs w:val="18"/>
                <w:color w:val="auto"/>
              </w:rPr>
              <w:t>31.2</w:t>
            </w:r>
          </w:p>
        </w:tc>
        <w:tc>
          <w:tcPr>
            <w:tcW w:w="8120" w:type="dxa"/>
            <w:vAlign w:val="bottom"/>
          </w:tcPr>
          <w:p>
            <w:pPr>
              <w:ind w:left="40"/>
              <w:spacing w:after="0"/>
              <w:rPr>
                <w:sz w:val="20"/>
                <w:szCs w:val="20"/>
                <w:color w:val="auto"/>
              </w:rPr>
            </w:pPr>
            <w:r>
              <w:rPr>
                <w:rFonts w:ascii="Arial" w:cs="Arial" w:eastAsia="Arial" w:hAnsi="Arial"/>
                <w:sz w:val="18"/>
                <w:szCs w:val="18"/>
                <w:color w:val="auto"/>
              </w:rPr>
              <w:t>Certification of the Chief Financial Officer pursuant to Rule 13a-14(a)/15d-14(a) of the Exchange Act.</w:t>
            </w:r>
          </w:p>
        </w:tc>
      </w:tr>
      <w:tr>
        <w:trPr>
          <w:trHeight w:val="446"/>
        </w:trPr>
        <w:tc>
          <w:tcPr>
            <w:tcW w:w="1360" w:type="dxa"/>
            <w:vAlign w:val="bottom"/>
          </w:tcPr>
          <w:p>
            <w:pPr>
              <w:spacing w:after="0"/>
              <w:rPr>
                <w:sz w:val="20"/>
                <w:szCs w:val="20"/>
                <w:color w:val="auto"/>
              </w:rPr>
            </w:pPr>
            <w:r>
              <w:rPr>
                <w:rFonts w:ascii="Arial" w:cs="Arial" w:eastAsia="Arial" w:hAnsi="Arial"/>
                <w:sz w:val="18"/>
                <w:szCs w:val="18"/>
                <w:color w:val="auto"/>
              </w:rPr>
              <w:t>32.1</w:t>
            </w:r>
          </w:p>
        </w:tc>
        <w:tc>
          <w:tcPr>
            <w:tcW w:w="8120" w:type="dxa"/>
            <w:vAlign w:val="bottom"/>
          </w:tcPr>
          <w:p>
            <w:pPr>
              <w:ind w:left="40"/>
              <w:spacing w:after="0"/>
              <w:rPr>
                <w:sz w:val="20"/>
                <w:szCs w:val="20"/>
                <w:color w:val="auto"/>
              </w:rPr>
            </w:pPr>
            <w:r>
              <w:rPr>
                <w:rFonts w:ascii="Arial" w:cs="Arial" w:eastAsia="Arial" w:hAnsi="Arial"/>
                <w:sz w:val="18"/>
                <w:szCs w:val="18"/>
                <w:color w:val="auto"/>
              </w:rPr>
              <w:t>Certification pursuant to Section 906 of the Sarbanes-Oxley Act of 2002 (Subsections (a) and (b) of</w:t>
            </w:r>
          </w:p>
        </w:tc>
      </w:tr>
      <w:tr>
        <w:trPr>
          <w:trHeight w:val="243"/>
        </w:trPr>
        <w:tc>
          <w:tcPr>
            <w:tcW w:w="1360" w:type="dxa"/>
            <w:vAlign w:val="bottom"/>
          </w:tcPr>
          <w:p>
            <w:pPr>
              <w:spacing w:after="0"/>
              <w:rPr>
                <w:sz w:val="21"/>
                <w:szCs w:val="21"/>
                <w:color w:val="auto"/>
              </w:rPr>
            </w:pPr>
          </w:p>
        </w:tc>
        <w:tc>
          <w:tcPr>
            <w:tcW w:w="8120" w:type="dxa"/>
            <w:vAlign w:val="bottom"/>
          </w:tcPr>
          <w:p>
            <w:pPr>
              <w:ind w:left="40"/>
              <w:spacing w:after="0"/>
              <w:rPr>
                <w:sz w:val="20"/>
                <w:szCs w:val="20"/>
                <w:color w:val="auto"/>
              </w:rPr>
            </w:pPr>
            <w:r>
              <w:rPr>
                <w:rFonts w:ascii="Arial" w:cs="Arial" w:eastAsia="Arial" w:hAnsi="Arial"/>
                <w:sz w:val="18"/>
                <w:szCs w:val="18"/>
                <w:color w:val="auto"/>
              </w:rPr>
              <w:t>Section 1350, Chapter 63 of Title 18, United States Code).</w:t>
            </w:r>
          </w:p>
        </w:tc>
      </w:tr>
      <w:tr>
        <w:trPr>
          <w:trHeight w:val="446"/>
        </w:trPr>
        <w:tc>
          <w:tcPr>
            <w:tcW w:w="1360" w:type="dxa"/>
            <w:vAlign w:val="bottom"/>
          </w:tcPr>
          <w:p>
            <w:pPr>
              <w:spacing w:after="0"/>
              <w:rPr>
                <w:sz w:val="20"/>
                <w:szCs w:val="20"/>
                <w:color w:val="auto"/>
              </w:rPr>
            </w:pPr>
            <w:r>
              <w:rPr>
                <w:rFonts w:ascii="Arial" w:cs="Arial" w:eastAsia="Arial" w:hAnsi="Arial"/>
                <w:sz w:val="18"/>
                <w:szCs w:val="18"/>
                <w:color w:val="auto"/>
              </w:rPr>
              <w:t>99.1</w:t>
            </w:r>
          </w:p>
        </w:tc>
        <w:tc>
          <w:tcPr>
            <w:tcW w:w="8120" w:type="dxa"/>
            <w:vAlign w:val="bottom"/>
          </w:tcPr>
          <w:p>
            <w:pPr>
              <w:ind w:left="60"/>
              <w:spacing w:after="0"/>
              <w:rPr>
                <w:sz w:val="20"/>
                <w:szCs w:val="20"/>
                <w:color w:val="auto"/>
              </w:rPr>
            </w:pPr>
            <w:r>
              <w:rPr>
                <w:rFonts w:ascii="Arial" w:cs="Arial" w:eastAsia="Arial" w:hAnsi="Arial"/>
                <w:sz w:val="18"/>
                <w:szCs w:val="18"/>
                <w:color w:val="auto"/>
              </w:rPr>
              <w:t>Quantitative and qualitative disclosures about market risks as reported at June 30, 2015.</w:t>
            </w:r>
          </w:p>
        </w:tc>
      </w:tr>
    </w:tbl>
    <w:p>
      <w:pPr>
        <w:spacing w:after="0" w:line="243" w:lineRule="exact"/>
        <w:rPr>
          <w:sz w:val="20"/>
          <w:szCs w:val="20"/>
          <w:color w:val="auto"/>
        </w:rPr>
      </w:pPr>
    </w:p>
    <w:p>
      <w:pPr>
        <w:ind w:left="1400" w:right="1760" w:hanging="1392"/>
        <w:spacing w:after="0" w:line="306" w:lineRule="auto"/>
        <w:tabs>
          <w:tab w:leader="none" w:pos="14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following financial information from the Registrant’s Quarterly Report on Form 10-Q for the quarter ended June 30, 2015, formatted in eXtensible Business Reporting Language (XBRL), filed herewith:</w:t>
      </w:r>
    </w:p>
    <w:p>
      <w:pPr>
        <w:spacing w:after="0" w:line="149" w:lineRule="exact"/>
        <w:rPr>
          <w:rFonts w:ascii="Arial" w:cs="Arial" w:eastAsia="Arial" w:hAnsi="Arial"/>
          <w:sz w:val="17"/>
          <w:szCs w:val="17"/>
          <w:color w:val="auto"/>
        </w:rPr>
      </w:pPr>
    </w:p>
    <w:p>
      <w:pPr>
        <w:ind w:left="1960" w:hanging="655"/>
        <w:spacing w:after="0"/>
        <w:tabs>
          <w:tab w:leader="none" w:pos="19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Consolidated Statements of Income for the three and six months ended June 30, 2015 and 2014.</w:t>
      </w:r>
    </w:p>
    <w:p>
      <w:pPr>
        <w:spacing w:after="0" w:line="171" w:lineRule="exact"/>
        <w:rPr>
          <w:rFonts w:ascii="Arial" w:cs="Arial" w:eastAsia="Arial" w:hAnsi="Arial"/>
          <w:sz w:val="18"/>
          <w:szCs w:val="18"/>
          <w:color w:val="auto"/>
        </w:rPr>
      </w:pPr>
    </w:p>
    <w:p>
      <w:pPr>
        <w:ind w:left="1960" w:right="260" w:hanging="655"/>
        <w:spacing w:after="0" w:line="276" w:lineRule="auto"/>
        <w:tabs>
          <w:tab w:leader="none" w:pos="19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Consolidated Statements of Comprehensive Income/(Loss) for the three and six months ended June 30, 2015 and 2014.</w:t>
      </w:r>
    </w:p>
    <w:p>
      <w:pPr>
        <w:spacing w:after="0" w:line="104" w:lineRule="exact"/>
        <w:rPr>
          <w:rFonts w:ascii="Arial" w:cs="Arial" w:eastAsia="Arial" w:hAnsi="Arial"/>
          <w:sz w:val="18"/>
          <w:szCs w:val="18"/>
          <w:color w:val="auto"/>
        </w:rPr>
      </w:pPr>
    </w:p>
    <w:p>
      <w:pPr>
        <w:ind w:left="1960" w:hanging="655"/>
        <w:spacing w:after="0"/>
        <w:tabs>
          <w:tab w:leader="none" w:pos="19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Consolidated Balance Sheets at June 30, 2015 and December 31, 2014.</w:t>
      </w:r>
    </w:p>
    <w:p>
      <w:pPr>
        <w:spacing w:after="0" w:line="184" w:lineRule="exact"/>
        <w:rPr>
          <w:rFonts w:ascii="Arial" w:cs="Arial" w:eastAsia="Arial" w:hAnsi="Arial"/>
          <w:sz w:val="18"/>
          <w:szCs w:val="18"/>
          <w:color w:val="auto"/>
        </w:rPr>
      </w:pPr>
    </w:p>
    <w:p>
      <w:pPr>
        <w:ind w:left="1960" w:hanging="655"/>
        <w:spacing w:after="0"/>
        <w:tabs>
          <w:tab w:leader="none" w:pos="19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Consolidated Statements of Cash Flows for the three and six months ended June 30, 2015 and 2014.</w:t>
      </w:r>
    </w:p>
    <w:p>
      <w:pPr>
        <w:spacing w:after="0" w:line="171" w:lineRule="exact"/>
        <w:rPr>
          <w:rFonts w:ascii="Arial" w:cs="Arial" w:eastAsia="Arial" w:hAnsi="Arial"/>
          <w:sz w:val="18"/>
          <w:szCs w:val="18"/>
          <w:color w:val="auto"/>
        </w:rPr>
      </w:pPr>
    </w:p>
    <w:p>
      <w:pPr>
        <w:ind w:left="1960" w:hanging="655"/>
        <w:spacing w:after="0"/>
        <w:tabs>
          <w:tab w:leader="none" w:pos="19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3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00"/>
          </w:cols>
          <w:pgMar w:left="240" w:top="641" w:right="359" w:bottom="1440" w:gutter="0" w:footer="0" w:header="0"/>
        </w:sectPr>
      </w:pPr>
    </w:p>
    <w:bookmarkStart w:id="44" w:name="page45"/>
    <w:bookmarkEnd w:id="44"/>
    <w:p>
      <w:pPr>
        <w:ind w:left="980"/>
        <w:spacing w:after="0" w:line="276" w:lineRule="auto"/>
        <w:rPr>
          <w:sz w:val="20"/>
          <w:szCs w:val="20"/>
          <w:color w:val="auto"/>
        </w:rPr>
      </w:pPr>
      <w:r>
        <w:rPr>
          <w:rFonts w:ascii="Arial" w:cs="Arial" w:eastAsia="Arial" w:hAnsi="Arial"/>
          <w:sz w:val="18"/>
          <w:szCs w:val="18"/>
          <w:color w:val="auto"/>
        </w:rPr>
        <w:t>As provided in Rule 406T of Regulation S-T, this information shall not be deemed “filed” for purposes of Sections 11 and 12 of the Securities Act and Section 18 of the Securities Exchange Act or otherwise subject to liability under those sections.</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73" w:lineRule="exact"/>
        <w:rPr>
          <w:sz w:val="20"/>
          <w:szCs w:val="20"/>
          <w:color w:val="auto"/>
        </w:rPr>
      </w:pPr>
    </w:p>
    <w:p>
      <w:pPr>
        <w:ind w:right="260" w:firstLine="648"/>
        <w:spacing w:after="0" w:line="27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5"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ALBANY INTERNATIONAL CORP</w:t>
      </w:r>
      <w:r>
        <w:rPr>
          <w:rFonts w:ascii="Arial" w:cs="Arial" w:eastAsia="Arial" w:hAnsi="Arial"/>
          <w:sz w:val="18"/>
          <w:szCs w:val="18"/>
          <w:color w:val="auto"/>
        </w:rPr>
        <w:t>.</w:t>
      </w:r>
    </w:p>
    <w:p>
      <w:pPr>
        <w:spacing w:after="0" w:line="1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August 5, 2015</w:t>
      </w:r>
    </w:p>
    <w:p>
      <w:pPr>
        <w:spacing w:after="0" w:line="21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John B. Cozzolino</w:t>
      </w:r>
    </w:p>
    <w:p>
      <w:pPr>
        <w:spacing w:after="0" w:line="19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B. Cozzolino</w:t>
      </w:r>
    </w:p>
    <w:p>
      <w:pPr>
        <w:spacing w:after="0" w:line="1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 and Treasurer</w:t>
      </w:r>
    </w:p>
    <w:p>
      <w:pPr>
        <w:ind w:left="686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260"/>
          </w:cols>
          <w:pgMar w:left="240" w:top="643" w:right="399" w:bottom="1440" w:gutter="0" w:footer="0" w:header="0"/>
        </w:sectPr>
      </w:pPr>
    </w:p>
    <w:bookmarkStart w:id="45" w:name="page46"/>
    <w:bookmarkEnd w:id="45"/>
    <w:p>
      <w:pPr>
        <w:jc w:val="center"/>
        <w:ind w:left="1300"/>
        <w:spacing w:after="0"/>
        <w:rPr>
          <w:sz w:val="20"/>
          <w:szCs w:val="20"/>
          <w:color w:val="auto"/>
        </w:rPr>
      </w:pPr>
      <w:r>
        <w:rPr>
          <w:rFonts w:ascii="Arial" w:cs="Arial" w:eastAsia="Arial" w:hAnsi="Arial"/>
          <w:sz w:val="18"/>
          <w:szCs w:val="18"/>
          <w:b w:val="1"/>
          <w:bCs w:val="1"/>
          <w:color w:val="auto"/>
        </w:rPr>
        <w:t>EXHIBIT (31.1)</w:t>
      </w:r>
    </w:p>
    <w:p>
      <w:pPr>
        <w:spacing w:after="0" w:line="16" w:lineRule="exact"/>
        <w:rPr>
          <w:sz w:val="20"/>
          <w:szCs w:val="20"/>
          <w:color w:val="auto"/>
        </w:rPr>
      </w:pPr>
    </w:p>
    <w:p>
      <w:pPr>
        <w:jc w:val="center"/>
        <w:ind w:left="1300"/>
        <w:spacing w:after="0"/>
        <w:rPr>
          <w:sz w:val="20"/>
          <w:szCs w:val="20"/>
          <w:color w:val="auto"/>
        </w:rPr>
      </w:pPr>
      <w:r>
        <w:rPr>
          <w:rFonts w:ascii="Arial" w:cs="Arial" w:eastAsia="Arial" w:hAnsi="Arial"/>
          <w:sz w:val="18"/>
          <w:szCs w:val="18"/>
          <w:b w:val="1"/>
          <w:bCs w:val="1"/>
          <w:color w:val="auto"/>
        </w:rPr>
        <w:t>CERTIFICATION PURSUANT TO</w:t>
      </w:r>
    </w:p>
    <w:p>
      <w:pPr>
        <w:jc w:val="center"/>
        <w:ind w:left="1300"/>
        <w:spacing w:after="0" w:line="234" w:lineRule="auto"/>
        <w:rPr>
          <w:sz w:val="20"/>
          <w:szCs w:val="20"/>
          <w:color w:val="auto"/>
        </w:rPr>
      </w:pPr>
      <w:r>
        <w:rPr>
          <w:rFonts w:ascii="Arial" w:cs="Arial" w:eastAsia="Arial" w:hAnsi="Arial"/>
          <w:sz w:val="18"/>
          <w:szCs w:val="18"/>
          <w:b w:val="1"/>
          <w:bCs w:val="1"/>
          <w:color w:val="auto"/>
        </w:rPr>
        <w:t>RULE 13A-14 OF THE SECURITIES EXCHANGE ACT OF 1934,</w:t>
      </w:r>
    </w:p>
    <w:p>
      <w:pPr>
        <w:jc w:val="center"/>
        <w:ind w:left="1300"/>
        <w:spacing w:after="0" w:line="235" w:lineRule="auto"/>
        <w:rPr>
          <w:sz w:val="20"/>
          <w:szCs w:val="20"/>
          <w:color w:val="auto"/>
        </w:rPr>
      </w:pPr>
      <w:r>
        <w:rPr>
          <w:rFonts w:ascii="Arial" w:cs="Arial" w:eastAsia="Arial" w:hAnsi="Arial"/>
          <w:sz w:val="18"/>
          <w:szCs w:val="18"/>
          <w:b w:val="1"/>
          <w:bCs w:val="1"/>
          <w:color w:val="auto"/>
        </w:rPr>
        <w:t>AS ADOPTED PURSUANT TO</w:t>
      </w:r>
    </w:p>
    <w:p>
      <w:pPr>
        <w:jc w:val="center"/>
        <w:ind w:left="1300"/>
        <w:spacing w:after="0" w:line="235" w:lineRule="auto"/>
        <w:rPr>
          <w:sz w:val="20"/>
          <w:szCs w:val="20"/>
          <w:color w:val="auto"/>
        </w:rPr>
      </w:pPr>
      <w:r>
        <w:rPr>
          <w:rFonts w:ascii="Arial" w:cs="Arial" w:eastAsia="Arial" w:hAnsi="Arial"/>
          <w:sz w:val="18"/>
          <w:szCs w:val="18"/>
          <w:b w:val="1"/>
          <w:bCs w:val="1"/>
          <w:color w:val="auto"/>
        </w:rPr>
        <w:t>SECTION 302 OF THE SARBANES-OXLEY ACT OF 2002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 Joseph G. Morone, certify that:</w:t>
      </w:r>
    </w:p>
    <w:p>
      <w:pPr>
        <w:spacing w:after="0" w:line="149" w:lineRule="exact"/>
        <w:rPr>
          <w:sz w:val="20"/>
          <w:szCs w:val="20"/>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report on Form 10-Q of Albany International Corp.;</w:t>
      </w:r>
    </w:p>
    <w:p>
      <w:pPr>
        <w:spacing w:after="0" w:line="211" w:lineRule="exact"/>
        <w:rPr>
          <w:rFonts w:ascii="Arial" w:cs="Arial" w:eastAsia="Arial" w:hAnsi="Arial"/>
          <w:sz w:val="18"/>
          <w:szCs w:val="18"/>
          <w:color w:val="auto"/>
        </w:rPr>
      </w:pPr>
    </w:p>
    <w:p>
      <w:pPr>
        <w:ind w:left="980" w:right="220" w:hanging="324"/>
        <w:spacing w:after="0" w:line="255"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8"/>
          <w:szCs w:val="18"/>
          <w:color w:val="auto"/>
        </w:rPr>
      </w:pPr>
    </w:p>
    <w:p>
      <w:pPr>
        <w:ind w:left="980" w:right="20" w:hanging="324"/>
        <w:spacing w:after="0" w:line="255"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8"/>
          <w:szCs w:val="18"/>
          <w:color w:val="auto"/>
        </w:rPr>
      </w:pPr>
    </w:p>
    <w:p>
      <w:pPr>
        <w:jc w:val="both"/>
        <w:ind w:left="980" w:hanging="324"/>
        <w:spacing w:after="0" w:line="255"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1" w:lineRule="exact"/>
        <w:rPr>
          <w:rFonts w:ascii="Arial" w:cs="Arial" w:eastAsia="Arial" w:hAnsi="Arial"/>
          <w:sz w:val="18"/>
          <w:szCs w:val="18"/>
          <w:color w:val="auto"/>
        </w:rPr>
      </w:pPr>
    </w:p>
    <w:p>
      <w:pPr>
        <w:ind w:left="1300" w:hanging="320"/>
        <w:spacing w:after="0" w:line="266" w:lineRule="auto"/>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1300" w:right="140" w:hanging="320"/>
        <w:spacing w:after="0" w:line="266" w:lineRule="auto"/>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1300" w:right="300" w:hanging="320"/>
        <w:spacing w:after="0" w:line="282" w:lineRule="auto"/>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Times New Roman" w:cs="Times New Roman" w:eastAsia="Times New Roman" w:hAnsi="Times New Roman"/>
          <w:sz w:val="18"/>
          <w:szCs w:val="18"/>
          <w:color w:val="auto"/>
        </w:rPr>
      </w:pPr>
    </w:p>
    <w:p>
      <w:pPr>
        <w:ind w:left="1300" w:right="20" w:hanging="320"/>
        <w:spacing w:after="0" w:line="266" w:lineRule="auto"/>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1" w:lineRule="exact"/>
        <w:rPr>
          <w:rFonts w:ascii="Times New Roman" w:cs="Times New Roman" w:eastAsia="Times New Roman" w:hAnsi="Times New Roman"/>
          <w:sz w:val="18"/>
          <w:szCs w:val="18"/>
          <w:color w:val="auto"/>
        </w:rPr>
      </w:pPr>
    </w:p>
    <w:p>
      <w:pPr>
        <w:ind w:left="980" w:right="60" w:hanging="324"/>
        <w:spacing w:after="0" w:line="255"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8" w:lineRule="exact"/>
        <w:rPr>
          <w:rFonts w:ascii="Arial" w:cs="Arial" w:eastAsia="Arial" w:hAnsi="Arial"/>
          <w:sz w:val="18"/>
          <w:szCs w:val="18"/>
          <w:color w:val="auto"/>
        </w:rPr>
      </w:pPr>
    </w:p>
    <w:p>
      <w:pPr>
        <w:ind w:left="1300" w:right="540" w:hanging="320"/>
        <w:spacing w:after="0" w:line="282" w:lineRule="auto"/>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1300" w:right="260" w:hanging="320"/>
        <w:spacing w:after="0" w:line="282" w:lineRule="auto"/>
        <w:tabs>
          <w:tab w:leader="none" w:pos="13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2015</w:t>
      </w:r>
    </w:p>
    <w:p>
      <w:pPr>
        <w:spacing w:after="0" w:line="17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Joseph G. Morone</w:t>
      </w:r>
    </w:p>
    <w:p>
      <w:pPr>
        <w:spacing w:after="0" w:line="1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Joseph G. Morone</w:t>
      </w:r>
    </w:p>
    <w:p>
      <w:pPr>
        <w:ind w:left="6660"/>
        <w:spacing w:after="0" w:line="234" w:lineRule="auto"/>
        <w:rPr>
          <w:sz w:val="20"/>
          <w:szCs w:val="20"/>
          <w:color w:val="auto"/>
        </w:rPr>
      </w:pPr>
      <w:r>
        <w:rPr>
          <w:rFonts w:ascii="Arial" w:cs="Arial" w:eastAsia="Arial" w:hAnsi="Arial"/>
          <w:sz w:val="18"/>
          <w:szCs w:val="18"/>
          <w:color w:val="auto"/>
        </w:rPr>
        <w:t>President and Chief Executive</w:t>
      </w:r>
    </w:p>
    <w:p>
      <w:pPr>
        <w:spacing w:after="0" w:line="1"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24662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40"/>
          </w:cols>
          <w:pgMar w:left="240" w:top="114" w:right="319" w:bottom="1440" w:gutter="0" w:footer="0" w:header="0"/>
        </w:sectPr>
      </w:pPr>
    </w:p>
    <w:bookmarkStart w:id="46" w:name="page47"/>
    <w:bookmarkEnd w:id="46"/>
    <w:p>
      <w:pPr>
        <w:jc w:val="center"/>
        <w:ind w:left="1300"/>
        <w:spacing w:after="0"/>
        <w:rPr>
          <w:sz w:val="20"/>
          <w:szCs w:val="20"/>
          <w:color w:val="auto"/>
        </w:rPr>
      </w:pPr>
      <w:r>
        <w:rPr>
          <w:rFonts w:ascii="Arial" w:cs="Arial" w:eastAsia="Arial" w:hAnsi="Arial"/>
          <w:sz w:val="18"/>
          <w:szCs w:val="18"/>
          <w:b w:val="1"/>
          <w:bCs w:val="1"/>
          <w:color w:val="auto"/>
        </w:rPr>
        <w:t>EXHIBIT (31.2)</w:t>
      </w:r>
    </w:p>
    <w:p>
      <w:pPr>
        <w:spacing w:after="0" w:line="16" w:lineRule="exact"/>
        <w:rPr>
          <w:sz w:val="20"/>
          <w:szCs w:val="20"/>
          <w:color w:val="auto"/>
        </w:rPr>
      </w:pPr>
    </w:p>
    <w:p>
      <w:pPr>
        <w:jc w:val="center"/>
        <w:ind w:left="1300"/>
        <w:spacing w:after="0"/>
        <w:rPr>
          <w:sz w:val="20"/>
          <w:szCs w:val="20"/>
          <w:color w:val="auto"/>
        </w:rPr>
      </w:pPr>
      <w:r>
        <w:rPr>
          <w:rFonts w:ascii="Arial" w:cs="Arial" w:eastAsia="Arial" w:hAnsi="Arial"/>
          <w:sz w:val="18"/>
          <w:szCs w:val="18"/>
          <w:b w:val="1"/>
          <w:bCs w:val="1"/>
          <w:color w:val="auto"/>
        </w:rPr>
        <w:t>CERTIFICATION PURSUANT TO</w:t>
      </w:r>
    </w:p>
    <w:p>
      <w:pPr>
        <w:jc w:val="center"/>
        <w:ind w:left="1300"/>
        <w:spacing w:after="0" w:line="234" w:lineRule="auto"/>
        <w:rPr>
          <w:sz w:val="20"/>
          <w:szCs w:val="20"/>
          <w:color w:val="auto"/>
        </w:rPr>
      </w:pPr>
      <w:r>
        <w:rPr>
          <w:rFonts w:ascii="Arial" w:cs="Arial" w:eastAsia="Arial" w:hAnsi="Arial"/>
          <w:sz w:val="18"/>
          <w:szCs w:val="18"/>
          <w:b w:val="1"/>
          <w:bCs w:val="1"/>
          <w:color w:val="auto"/>
        </w:rPr>
        <w:t>RULE 13A-14 OF THE SECURITIES EXCHANGE ACT OF 1934,</w:t>
      </w:r>
    </w:p>
    <w:p>
      <w:pPr>
        <w:jc w:val="center"/>
        <w:ind w:left="1300"/>
        <w:spacing w:after="0" w:line="235" w:lineRule="auto"/>
        <w:rPr>
          <w:sz w:val="20"/>
          <w:szCs w:val="20"/>
          <w:color w:val="auto"/>
        </w:rPr>
      </w:pPr>
      <w:r>
        <w:rPr>
          <w:rFonts w:ascii="Arial" w:cs="Arial" w:eastAsia="Arial" w:hAnsi="Arial"/>
          <w:sz w:val="18"/>
          <w:szCs w:val="18"/>
          <w:b w:val="1"/>
          <w:bCs w:val="1"/>
          <w:color w:val="auto"/>
        </w:rPr>
        <w:t>AS ADOPTED PURSUANT TO</w:t>
      </w:r>
    </w:p>
    <w:p>
      <w:pPr>
        <w:jc w:val="center"/>
        <w:ind w:left="1300"/>
        <w:spacing w:after="0" w:line="235" w:lineRule="auto"/>
        <w:rPr>
          <w:sz w:val="20"/>
          <w:szCs w:val="20"/>
          <w:color w:val="auto"/>
        </w:rPr>
      </w:pPr>
      <w:r>
        <w:rPr>
          <w:rFonts w:ascii="Arial" w:cs="Arial" w:eastAsia="Arial" w:hAnsi="Arial"/>
          <w:sz w:val="18"/>
          <w:szCs w:val="18"/>
          <w:b w:val="1"/>
          <w:bCs w:val="1"/>
          <w:color w:val="auto"/>
        </w:rPr>
        <w:t>SECTION 302 OF THE SARBANES-OXLEY ACT OF 2002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 John B. Cozzolino, certify that:</w:t>
      </w:r>
    </w:p>
    <w:p>
      <w:pPr>
        <w:spacing w:after="0" w:line="149" w:lineRule="exact"/>
        <w:rPr>
          <w:sz w:val="20"/>
          <w:szCs w:val="20"/>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report on Form 10-Q of Albany International Corp.;</w:t>
      </w:r>
    </w:p>
    <w:p>
      <w:pPr>
        <w:spacing w:after="0" w:line="211" w:lineRule="exact"/>
        <w:rPr>
          <w:rFonts w:ascii="Arial" w:cs="Arial" w:eastAsia="Arial" w:hAnsi="Arial"/>
          <w:sz w:val="18"/>
          <w:szCs w:val="18"/>
          <w:color w:val="auto"/>
        </w:rPr>
      </w:pPr>
    </w:p>
    <w:p>
      <w:pPr>
        <w:ind w:left="980" w:right="220" w:hanging="324"/>
        <w:spacing w:after="0" w:line="255"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8"/>
          <w:szCs w:val="18"/>
          <w:color w:val="auto"/>
        </w:rPr>
      </w:pPr>
    </w:p>
    <w:p>
      <w:pPr>
        <w:ind w:left="980" w:right="20" w:hanging="324"/>
        <w:spacing w:after="0" w:line="255"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8"/>
          <w:szCs w:val="18"/>
          <w:color w:val="auto"/>
        </w:rPr>
      </w:pPr>
    </w:p>
    <w:p>
      <w:pPr>
        <w:jc w:val="both"/>
        <w:ind w:left="980" w:hanging="324"/>
        <w:spacing w:after="0" w:line="255"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1" w:lineRule="exact"/>
        <w:rPr>
          <w:rFonts w:ascii="Arial" w:cs="Arial" w:eastAsia="Arial" w:hAnsi="Arial"/>
          <w:sz w:val="18"/>
          <w:szCs w:val="18"/>
          <w:color w:val="auto"/>
        </w:rPr>
      </w:pPr>
    </w:p>
    <w:p>
      <w:pPr>
        <w:ind w:left="1300" w:hanging="320"/>
        <w:spacing w:after="0" w:line="266" w:lineRule="auto"/>
        <w:tabs>
          <w:tab w:leader="none" w:pos="13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1300" w:right="140" w:hanging="320"/>
        <w:spacing w:after="0" w:line="266" w:lineRule="auto"/>
        <w:tabs>
          <w:tab w:leader="none" w:pos="13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1300" w:right="300" w:hanging="320"/>
        <w:spacing w:after="0" w:line="282" w:lineRule="auto"/>
        <w:tabs>
          <w:tab w:leader="none" w:pos="13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Times New Roman" w:cs="Times New Roman" w:eastAsia="Times New Roman" w:hAnsi="Times New Roman"/>
          <w:sz w:val="18"/>
          <w:szCs w:val="18"/>
          <w:color w:val="auto"/>
        </w:rPr>
      </w:pPr>
    </w:p>
    <w:p>
      <w:pPr>
        <w:ind w:left="1300" w:right="20" w:hanging="320"/>
        <w:spacing w:after="0" w:line="266" w:lineRule="auto"/>
        <w:tabs>
          <w:tab w:leader="none" w:pos="13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1" w:lineRule="exact"/>
        <w:rPr>
          <w:rFonts w:ascii="Times New Roman" w:cs="Times New Roman" w:eastAsia="Times New Roman" w:hAnsi="Times New Roman"/>
          <w:sz w:val="18"/>
          <w:szCs w:val="18"/>
          <w:color w:val="auto"/>
        </w:rPr>
      </w:pPr>
    </w:p>
    <w:p>
      <w:pPr>
        <w:ind w:left="980" w:right="60" w:hanging="324"/>
        <w:spacing w:after="0" w:line="255"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8"/>
          <w:szCs w:val="18"/>
          <w:color w:val="auto"/>
        </w:rPr>
      </w:pPr>
    </w:p>
    <w:p>
      <w:pPr>
        <w:jc w:val="both"/>
        <w:ind w:left="1300" w:right="80" w:hanging="320"/>
        <w:spacing w:after="0" w:line="255" w:lineRule="auto"/>
        <w:tabs>
          <w:tab w:leader="none" w:pos="1246"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8"/>
          <w:szCs w:val="18"/>
          <w:color w:val="auto"/>
        </w:rPr>
      </w:pPr>
    </w:p>
    <w:p>
      <w:pPr>
        <w:ind w:left="1300" w:right="260" w:hanging="320"/>
        <w:spacing w:after="0" w:line="282" w:lineRule="auto"/>
        <w:tabs>
          <w:tab w:leader="none" w:pos="13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2015</w:t>
      </w:r>
    </w:p>
    <w:p>
      <w:pPr>
        <w:spacing w:after="0" w:line="171"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John B. Cozzolino</w:t>
      </w:r>
    </w:p>
    <w:p>
      <w:pPr>
        <w:spacing w:after="0" w:line="13"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John B. Cozzolino</w:t>
      </w:r>
    </w:p>
    <w:p>
      <w:pPr>
        <w:ind w:left="7940"/>
        <w:spacing w:after="0" w:line="234" w:lineRule="auto"/>
        <w:rPr>
          <w:sz w:val="20"/>
          <w:szCs w:val="20"/>
          <w:color w:val="auto"/>
        </w:rPr>
      </w:pPr>
      <w:r>
        <w:rPr>
          <w:rFonts w:ascii="Arial" w:cs="Arial" w:eastAsia="Arial" w:hAnsi="Arial"/>
          <w:sz w:val="18"/>
          <w:szCs w:val="18"/>
          <w:color w:val="auto"/>
        </w:rPr>
        <w:t>Chief Financial Officer and Treasurer</w:t>
      </w:r>
    </w:p>
    <w:p>
      <w:pPr>
        <w:spacing w:after="0" w:line="1"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24662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40"/>
          </w:cols>
          <w:pgMar w:left="240" w:top="114" w:right="319" w:bottom="1440" w:gutter="0" w:footer="0" w:header="0"/>
        </w:sectPr>
      </w:pPr>
    </w:p>
    <w:bookmarkStart w:id="47" w:name="page48"/>
    <w:bookmarkEnd w:id="47"/>
    <w:p>
      <w:pPr>
        <w:jc w:val="center"/>
        <w:ind w:left="1300"/>
        <w:spacing w:after="0"/>
        <w:rPr>
          <w:sz w:val="20"/>
          <w:szCs w:val="20"/>
          <w:color w:val="auto"/>
        </w:rPr>
      </w:pPr>
      <w:r>
        <w:rPr>
          <w:rFonts w:ascii="Arial" w:cs="Arial" w:eastAsia="Arial" w:hAnsi="Arial"/>
          <w:sz w:val="18"/>
          <w:szCs w:val="18"/>
          <w:b w:val="1"/>
          <w:bCs w:val="1"/>
          <w:color w:val="auto"/>
        </w:rPr>
        <w:t>EXHIBIT (32.1)</w:t>
      </w:r>
    </w:p>
    <w:p>
      <w:pPr>
        <w:spacing w:after="0" w:line="16" w:lineRule="exact"/>
        <w:rPr>
          <w:sz w:val="20"/>
          <w:szCs w:val="20"/>
          <w:color w:val="auto"/>
        </w:rPr>
      </w:pPr>
    </w:p>
    <w:p>
      <w:pPr>
        <w:jc w:val="center"/>
        <w:ind w:left="1300"/>
        <w:spacing w:after="0"/>
        <w:rPr>
          <w:sz w:val="20"/>
          <w:szCs w:val="20"/>
          <w:color w:val="auto"/>
        </w:rPr>
      </w:pPr>
      <w:r>
        <w:rPr>
          <w:rFonts w:ascii="Arial" w:cs="Arial" w:eastAsia="Arial" w:hAnsi="Arial"/>
          <w:sz w:val="18"/>
          <w:szCs w:val="18"/>
          <w:b w:val="1"/>
          <w:bCs w:val="1"/>
          <w:color w:val="auto"/>
        </w:rPr>
        <w:t>CERTIFICATION PURSUANT TO</w:t>
      </w:r>
    </w:p>
    <w:p>
      <w:pPr>
        <w:jc w:val="center"/>
        <w:ind w:left="1300"/>
        <w:spacing w:after="0" w:line="234" w:lineRule="auto"/>
        <w:rPr>
          <w:sz w:val="20"/>
          <w:szCs w:val="20"/>
          <w:color w:val="auto"/>
        </w:rPr>
      </w:pPr>
      <w:r>
        <w:rPr>
          <w:rFonts w:ascii="Arial" w:cs="Arial" w:eastAsia="Arial" w:hAnsi="Arial"/>
          <w:sz w:val="18"/>
          <w:szCs w:val="18"/>
          <w:b w:val="1"/>
          <w:bCs w:val="1"/>
          <w:color w:val="auto"/>
        </w:rPr>
        <w:t>18 U.S.C. SECTION 1350,</w:t>
      </w:r>
    </w:p>
    <w:p>
      <w:pPr>
        <w:ind w:left="4444"/>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ind w:left="3004"/>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0" w:lineRule="exact"/>
        <w:rPr>
          <w:sz w:val="20"/>
          <w:szCs w:val="20"/>
          <w:color w:val="auto"/>
        </w:rPr>
      </w:pPr>
    </w:p>
    <w:p>
      <w:pPr>
        <w:ind w:left="4" w:firstLine="648"/>
        <w:spacing w:after="0" w:line="248" w:lineRule="auto"/>
        <w:rPr>
          <w:sz w:val="20"/>
          <w:szCs w:val="20"/>
          <w:color w:val="auto"/>
        </w:rPr>
      </w:pPr>
      <w:r>
        <w:rPr>
          <w:rFonts w:ascii="Arial" w:cs="Arial" w:eastAsia="Arial" w:hAnsi="Arial"/>
          <w:sz w:val="18"/>
          <w:szCs w:val="18"/>
          <w:color w:val="auto"/>
        </w:rPr>
        <w:t>In connection with the Quarterly Report of Albany International Corp. (the Company) on Form 10-Q for the period ending June 30, 2015, as filed with the Securities and Exchange Commission on the date hereof (the Report), Joseph G. Morone, President and Chief Executive Officer, and John B. Cozzolino, Chief Financial Officer and Treasurer of the Company, certify, pursuant to 18 U.S.C. § 1350, as adopted pursuant to § 906 of the Sarbanes-Oxley Act of 2002, that:</w:t>
      </w:r>
    </w:p>
    <w:p>
      <w:pPr>
        <w:spacing w:after="0" w:line="171" w:lineRule="exact"/>
        <w:rPr>
          <w:sz w:val="20"/>
          <w:szCs w:val="20"/>
          <w:color w:val="auto"/>
        </w:rPr>
      </w:pPr>
    </w:p>
    <w:p>
      <w:pPr>
        <w:ind w:left="324" w:hanging="324"/>
        <w:spacing w:after="0"/>
        <w:tabs>
          <w:tab w:leader="none" w:pos="324"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and Exchange Act of 1934; and</w:t>
      </w:r>
    </w:p>
    <w:p>
      <w:pPr>
        <w:spacing w:after="0" w:line="238" w:lineRule="exact"/>
        <w:rPr>
          <w:rFonts w:ascii="Arial" w:cs="Arial" w:eastAsia="Arial" w:hAnsi="Arial"/>
          <w:sz w:val="18"/>
          <w:szCs w:val="18"/>
          <w:color w:val="auto"/>
        </w:rPr>
      </w:pPr>
    </w:p>
    <w:p>
      <w:pPr>
        <w:ind w:left="324" w:right="40" w:hanging="324"/>
        <w:spacing w:after="0" w:line="276" w:lineRule="auto"/>
        <w:tabs>
          <w:tab w:leader="none" w:pos="324"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5" w:lineRule="exact"/>
        <w:rPr>
          <w:sz w:val="20"/>
          <w:szCs w:val="20"/>
          <w:color w:val="auto"/>
        </w:rPr>
      </w:pPr>
    </w:p>
    <w:p>
      <w:pPr>
        <w:ind w:left="44"/>
        <w:spacing w:after="0"/>
        <w:rPr>
          <w:sz w:val="20"/>
          <w:szCs w:val="20"/>
          <w:color w:val="auto"/>
        </w:rPr>
      </w:pPr>
      <w:r>
        <w:rPr>
          <w:rFonts w:ascii="Arial" w:cs="Arial" w:eastAsia="Arial" w:hAnsi="Arial"/>
          <w:sz w:val="18"/>
          <w:szCs w:val="18"/>
          <w:color w:val="auto"/>
        </w:rPr>
        <w:t>Dated: August 5, 2015</w:t>
      </w:r>
    </w:p>
    <w:p>
      <w:pPr>
        <w:spacing w:after="0" w:line="13" w:lineRule="exact"/>
        <w:rPr>
          <w:sz w:val="20"/>
          <w:szCs w:val="20"/>
          <w:color w:val="auto"/>
        </w:rPr>
      </w:pPr>
    </w:p>
    <w:p>
      <w:pPr>
        <w:ind w:left="4924"/>
        <w:spacing w:after="0"/>
        <w:rPr>
          <w:sz w:val="20"/>
          <w:szCs w:val="20"/>
          <w:color w:val="auto"/>
        </w:rPr>
      </w:pPr>
      <w:r>
        <w:rPr>
          <w:rFonts w:ascii="Arial" w:cs="Arial" w:eastAsia="Arial" w:hAnsi="Arial"/>
          <w:sz w:val="18"/>
          <w:szCs w:val="18"/>
          <w:u w:val="single" w:color="auto"/>
          <w:color w:val="auto"/>
        </w:rPr>
        <w:t>/s/ Joseph G. Morone</w:t>
      </w:r>
    </w:p>
    <w:p>
      <w:pPr>
        <w:ind w:left="4924"/>
        <w:spacing w:after="0" w:line="234" w:lineRule="auto"/>
        <w:rPr>
          <w:sz w:val="20"/>
          <w:szCs w:val="20"/>
          <w:color w:val="auto"/>
        </w:rPr>
      </w:pPr>
      <w:r>
        <w:rPr>
          <w:rFonts w:ascii="Arial" w:cs="Arial" w:eastAsia="Arial" w:hAnsi="Arial"/>
          <w:sz w:val="18"/>
          <w:szCs w:val="18"/>
          <w:color w:val="auto"/>
        </w:rPr>
        <w:t>Joseph G. Morone</w:t>
      </w:r>
    </w:p>
    <w:p>
      <w:pPr>
        <w:ind w:left="4924"/>
        <w:spacing w:after="0" w:line="235"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(Principal Executive Officer)</w:t>
      </w:r>
    </w:p>
    <w:p>
      <w:pPr>
        <w:spacing w:after="0" w:line="379" w:lineRule="exact"/>
        <w:rPr>
          <w:sz w:val="20"/>
          <w:szCs w:val="20"/>
          <w:color w:val="auto"/>
        </w:rPr>
      </w:pPr>
    </w:p>
    <w:p>
      <w:pPr>
        <w:ind w:left="4924"/>
        <w:spacing w:after="0"/>
        <w:rPr>
          <w:sz w:val="20"/>
          <w:szCs w:val="20"/>
          <w:color w:val="auto"/>
        </w:rPr>
      </w:pPr>
      <w:r>
        <w:rPr>
          <w:rFonts w:ascii="Arial" w:cs="Arial" w:eastAsia="Arial" w:hAnsi="Arial"/>
          <w:sz w:val="18"/>
          <w:szCs w:val="18"/>
          <w:u w:val="single" w:color="auto"/>
          <w:color w:val="auto"/>
        </w:rPr>
        <w:t>/s/ John B. Cozzolino</w:t>
      </w:r>
    </w:p>
    <w:p>
      <w:pPr>
        <w:spacing w:after="0" w:line="13"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John B. Cozzolino</w:t>
      </w:r>
    </w:p>
    <w:p>
      <w:pPr>
        <w:ind w:left="4924"/>
        <w:spacing w:after="0" w:line="234" w:lineRule="auto"/>
        <w:rPr>
          <w:sz w:val="20"/>
          <w:szCs w:val="20"/>
          <w:color w:val="auto"/>
        </w:rPr>
      </w:pPr>
      <w:r>
        <w:rPr>
          <w:rFonts w:ascii="Arial" w:cs="Arial" w:eastAsia="Arial" w:hAnsi="Arial"/>
          <w:sz w:val="18"/>
          <w:szCs w:val="18"/>
          <w:color w:val="auto"/>
        </w:rPr>
        <w:t>Chief Financial Officer and Treasurer</w:t>
      </w:r>
    </w:p>
    <w:p>
      <w:pPr>
        <w:spacing w:after="0" w:line="1"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409575</wp:posOffset>
            </wp:positionV>
            <wp:extent cx="724662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644"/>
          </w:cols>
          <w:pgMar w:left="896" w:top="114" w:right="359" w:bottom="1440" w:gutter="0" w:footer="0" w:header="0"/>
        </w:sectPr>
      </w:pPr>
    </w:p>
    <w:bookmarkStart w:id="48" w:name="page49"/>
    <w:bookmarkEnd w:id="48"/>
    <w:p>
      <w:pPr>
        <w:ind w:left="5420"/>
        <w:spacing w:after="0"/>
        <w:rPr>
          <w:sz w:val="20"/>
          <w:szCs w:val="20"/>
          <w:color w:val="auto"/>
        </w:rPr>
      </w:pPr>
      <w:r>
        <w:rPr>
          <w:rFonts w:ascii="Arial" w:cs="Arial" w:eastAsia="Arial" w:hAnsi="Arial"/>
          <w:sz w:val="18"/>
          <w:szCs w:val="18"/>
          <w:b w:val="1"/>
          <w:bCs w:val="1"/>
          <w:color w:val="auto"/>
        </w:rPr>
        <w:t>EXHIBIT (99.1)</w:t>
      </w:r>
    </w:p>
    <w:p>
      <w:pPr>
        <w:spacing w:after="0" w:line="16"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MARKET RISK SENSITIVITY – AS OF June 30, 2015</w:t>
      </w:r>
    </w:p>
    <w:p>
      <w:pPr>
        <w:ind w:right="300" w:firstLine="648"/>
        <w:spacing w:after="0" w:line="251" w:lineRule="auto"/>
        <w:rPr>
          <w:sz w:val="20"/>
          <w:szCs w:val="20"/>
          <w:color w:val="auto"/>
        </w:rPr>
      </w:pPr>
      <w:r>
        <w:rPr>
          <w:rFonts w:ascii="Arial" w:cs="Arial" w:eastAsia="Arial" w:hAnsi="Arial"/>
          <w:sz w:val="18"/>
          <w:szCs w:val="18"/>
          <w:color w:val="auto"/>
        </w:rPr>
        <w:t>We have market risk with respect to foreign currency exchange rates and interest rates. The market risk is the potential loss arising from adverse changes in these rates as discussed below.</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187"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We have manufacturing plants and sales transactions worldwide and therefore are subject to foreign currency risk. This risk is composed of both potential losses from the translation of foreign currency financial statements and the remeasurement of foreign currency transactions. To manage this risk, we periodically enter into forward exchange contracts either to hedge the net assets of a foreign investment or to provide an economic hedge against future cash flows. The total net assets of non-U.S. operations and long-term intercompany loans denominated in nonfunctional currencies subject to potential loss amount to approximately $541.6 million. The potential loss in fair value resulting from a hypothetical 10% adverse change in quoted foreign currency exchange rates amounts to $54.2 million. Furthermore, related to foreign currency transactions, we have exposure to various nonfunctional currency balances totaling $180.2 million. This amount includes, on an absolute basis, exposures to assets and liabilities held in currencies other than our local entity’s functional currency. On a net basis, we had $109.2 million of foreign currency liabilities as of June 30, 2015. As currency rates change, these nonfunctional currency balances are revalued, and the corresponding adjustment is recorded in the income statement. A hypothetical change of 10% in currency rates could result in an adjustment to the income statement of approximately $10.9 million. Actual results may differ.</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exposed to interest rate fluctuations with respect to our variable rate debt, depending on general economic conditions.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June 30, 2015, we had the following variable rate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123190</wp:posOffset>
            </wp:positionV>
            <wp:extent cx="57975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38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b w:val="1"/>
          <w:bCs w:val="1"/>
          <w:color w:val="auto"/>
        </w:rPr>
        <w:t>(in thousands, except interest rates)</w:t>
      </w:r>
    </w:p>
    <w:p>
      <w:pPr>
        <w:spacing w:after="0" w:line="31" w:lineRule="exact"/>
        <w:rPr>
          <w:sz w:val="20"/>
          <w:szCs w:val="20"/>
          <w:color w:val="auto"/>
        </w:rPr>
      </w:pPr>
    </w:p>
    <w:tbl>
      <w:tblPr>
        <w:tblLayout w:type="fixed"/>
        <w:tblInd w:w="1160" w:type="dxa"/>
        <w:tblCellMar>
          <w:top w:w="0" w:type="dxa"/>
          <w:left w:w="0" w:type="dxa"/>
          <w:bottom w:w="0" w:type="dxa"/>
          <w:right w:w="0" w:type="dxa"/>
        </w:tblCellMar>
      </w:tblPr>
      <w:tr>
        <w:trPr>
          <w:trHeight w:val="191"/>
        </w:trPr>
        <w:tc>
          <w:tcPr>
            <w:tcW w:w="7540" w:type="dxa"/>
            <w:vAlign w:val="bottom"/>
            <w:tcBorders>
              <w:top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b w:val="1"/>
                <w:bCs w:val="1"/>
                <w:color w:val="auto"/>
              </w:rPr>
              <w:t>Short-term debt</w:t>
            </w:r>
          </w:p>
        </w:tc>
        <w:tc>
          <w:tcPr>
            <w:tcW w:w="1580" w:type="dxa"/>
            <w:vAlign w:val="bottom"/>
            <w:tcBorders>
              <w:top w:val="single" w:sz="8" w:color="auto"/>
            </w:tcBorders>
          </w:tcPr>
          <w:p>
            <w:pPr>
              <w:spacing w:after="0"/>
              <w:rPr>
                <w:sz w:val="16"/>
                <w:szCs w:val="16"/>
                <w:color w:val="auto"/>
              </w:rPr>
            </w:pPr>
          </w:p>
        </w:tc>
      </w:tr>
      <w:tr>
        <w:trPr>
          <w:trHeight w:val="212"/>
        </w:trPr>
        <w:tc>
          <w:tcPr>
            <w:tcW w:w="7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payable, end of period interest rate of 1.62%</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$543</w:t>
            </w:r>
          </w:p>
        </w:tc>
      </w:tr>
      <w:tr>
        <w:trPr>
          <w:trHeight w:val="220"/>
        </w:trPr>
        <w:tc>
          <w:tcPr>
            <w:tcW w:w="75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1580" w:type="dxa"/>
            <w:vAlign w:val="bottom"/>
          </w:tcPr>
          <w:p>
            <w:pPr>
              <w:spacing w:after="0"/>
              <w:rPr>
                <w:sz w:val="19"/>
                <w:szCs w:val="19"/>
                <w:color w:val="auto"/>
              </w:rPr>
            </w:pPr>
          </w:p>
        </w:tc>
      </w:tr>
      <w:tr>
        <w:trPr>
          <w:trHeight w:val="216"/>
        </w:trPr>
        <w:tc>
          <w:tcPr>
            <w:tcW w:w="7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Credit agreement with borrowings outstanding, net of fixed rate portion, at an end of period</w:t>
            </w:r>
          </w:p>
        </w:tc>
        <w:tc>
          <w:tcPr>
            <w:tcW w:w="1580" w:type="dxa"/>
            <w:vAlign w:val="bottom"/>
          </w:tcPr>
          <w:p>
            <w:pPr>
              <w:spacing w:after="0"/>
              <w:rPr>
                <w:sz w:val="18"/>
                <w:szCs w:val="18"/>
                <w:color w:val="auto"/>
              </w:rPr>
            </w:pPr>
          </w:p>
        </w:tc>
      </w:tr>
      <w:tr>
        <w:trPr>
          <w:trHeight w:val="234"/>
        </w:trPr>
        <w:tc>
          <w:tcPr>
            <w:tcW w:w="7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rate of 1.57% in 2015, due in 2018</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97,000</w:t>
            </w:r>
          </w:p>
        </w:tc>
      </w:tr>
      <w:tr>
        <w:trPr>
          <w:trHeight w:val="216"/>
        </w:trPr>
        <w:tc>
          <w:tcPr>
            <w:tcW w:w="75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r>
      <w:tr>
        <w:trPr>
          <w:trHeight w:val="426"/>
        </w:trPr>
        <w:tc>
          <w:tcPr>
            <w:tcW w:w="75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$97,543</w:t>
            </w:r>
          </w:p>
        </w:tc>
      </w:tr>
    </w:tbl>
    <w:p>
      <w:pPr>
        <w:spacing w:after="0" w:line="220"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Assuming borrowings were outstanding for an entire year, an increase of one percentage point in weighted average interest rates would increase interest expense by $0.9 million. To manage interest rate risk, we may periodically enter into interest rate swap agreements to effectively fix the interest rates on variable debt to a specific rate for a period of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393065</wp:posOffset>
            </wp:positionV>
            <wp:extent cx="724662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360"/>
      </w:cols>
      <w:pgMar w:left="240" w:top="11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lowerLetter"/>
      <w:start w:val="1"/>
    </w:lvl>
  </w:abstractNum>
  <w:abstractNum w:abstractNumId="3">
    <w:nsid w:val="3F2DBA31"/>
    <w:multiLevelType w:val="hybridMultilevel"/>
    <w:lvl w:ilvl="0">
      <w:lvlJc w:val="left"/>
      <w:lvlText w:val="(%1)"/>
      <w:numFmt w:val="lowerLetter"/>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lvl w:ilvl="1">
      <w:lvlJc w:val="left"/>
      <w:lvlText w:val="·"/>
      <w:numFmt w:val="bullet"/>
      <w:start w:val="1"/>
    </w:lvl>
  </w:abstractNum>
  <w:abstractNum w:abstractNumId="7">
    <w:nsid w:val="436C6125"/>
    <w:multiLevelType w:val="hybridMultilevel"/>
    <w:lvl w:ilvl="0">
      <w:lvlJc w:val="left"/>
      <w:lvlText w:val="·"/>
      <w:numFmt w:val="bullet"/>
      <w:start w:val="1"/>
    </w:lvl>
    <w:lvl w:ilvl="1">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1)"/>
      <w:numFmt w:val="lowerLetter"/>
      <w:start w:val="1"/>
    </w:lvl>
  </w:abstractNum>
  <w:abstractNum w:abstractNumId="28">
    <w:nsid w:val="7C3DBD3D"/>
    <w:multiLevelType w:val="hybridMultilevel"/>
    <w:lvl w:ilvl="0">
      <w:lvlJc w:val="left"/>
      <w:lvlText w:val="(%1)"/>
      <w:numFmt w:val="lowerLetter"/>
      <w:start w:val="2"/>
    </w:lvl>
  </w:abstractNum>
  <w:abstractNum w:abstractNumId="29">
    <w:nsid w:val="737B8DDC"/>
    <w:multiLevelType w:val="hybridMultilevel"/>
    <w:lvl w:ilvl="0">
      <w:lvlJc w:val="left"/>
      <w:lvlText w:val="%1"/>
      <w:numFmt w:val="decimal"/>
      <w:start w:val="101"/>
    </w:lvl>
    <w:lvl w:ilvl="1">
      <w:lvlJc w:val="left"/>
      <w:lvlText w:val="(%2)"/>
      <w:numFmt w:val="lowerRoman"/>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2019-12-29T15:39:47Z</dcterms:created>
  <dcterms:modified xsi:type="dcterms:W3CDTF">2019-12-29T15:39:47Z</dcterms:modified>
</cp:coreProperties>
</file>