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Washington, D.C. 20549</w:t>
      </w:r>
    </w:p>
    <w:p>
      <w:pPr>
        <w:spacing w:after="0" w:line="18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197"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25" w:lineRule="exact"/>
        <w:rPr>
          <w:sz w:val="24"/>
          <w:szCs w:val="24"/>
          <w:color w:val="auto"/>
        </w:rPr>
      </w:pPr>
    </w:p>
    <w:p>
      <w:pPr>
        <w:ind w:left="360"/>
        <w:spacing w:after="0"/>
        <w:tabs>
          <w:tab w:leader="none" w:pos="3440" w:val="left"/>
        </w:tabs>
        <w:rPr>
          <w:sz w:val="20"/>
          <w:szCs w:val="20"/>
          <w:color w:val="auto"/>
        </w:rPr>
      </w:pPr>
      <w:r>
        <w:rPr>
          <w:rFonts w:ascii="Arial" w:cs="Arial" w:eastAsia="Arial" w:hAnsi="Arial"/>
          <w:sz w:val="18"/>
          <w:szCs w:val="18"/>
          <w:color w:val="auto"/>
        </w:rPr>
        <w:t>For the quarterly period ended:</w:t>
      </w:r>
      <w:r>
        <w:rPr>
          <w:sz w:val="20"/>
          <w:szCs w:val="20"/>
          <w:color w:val="auto"/>
        </w:rPr>
        <w:tab/>
      </w:r>
      <w:r>
        <w:rPr>
          <w:rFonts w:ascii="Arial" w:cs="Arial" w:eastAsia="Arial" w:hAnsi="Arial"/>
          <w:sz w:val="17"/>
          <w:szCs w:val="17"/>
          <w:color w:val="auto"/>
        </w:rPr>
        <w:t>September 30, 2021</w:t>
      </w:r>
    </w:p>
    <w:p>
      <w:pPr>
        <w:spacing w:after="0" w:line="11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OR</w:t>
      </w:r>
    </w:p>
    <w:p>
      <w:pPr>
        <w:spacing w:after="0" w:line="174"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20"/>
          <w:szCs w:val="20"/>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1" w:lineRule="exact"/>
        <w:rPr>
          <w:sz w:val="24"/>
          <w:szCs w:val="24"/>
          <w:color w:val="auto"/>
        </w:rPr>
      </w:pPr>
    </w:p>
    <w:p>
      <w:pPr>
        <w:ind w:left="360"/>
        <w:spacing w:after="0"/>
        <w:rPr>
          <w:sz w:val="20"/>
          <w:szCs w:val="20"/>
          <w:color w:val="auto"/>
        </w:rPr>
      </w:pPr>
      <w:r>
        <w:rPr>
          <w:rFonts w:ascii="Arial" w:cs="Arial" w:eastAsia="Arial" w:hAnsi="Arial"/>
          <w:sz w:val="18"/>
          <w:szCs w:val="18"/>
          <w:color w:val="auto"/>
        </w:rPr>
        <w:t>For the transition period from __________ to __________</w:t>
      </w:r>
    </w:p>
    <w:p>
      <w:pPr>
        <w:spacing w:after="0" w:line="31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1-10026</w:t>
      </w:r>
    </w:p>
    <w:p>
      <w:pPr>
        <w:spacing w:after="0" w:line="281"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ALBANY INTERNATIONAL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939165</wp:posOffset>
            </wp:positionH>
            <wp:positionV relativeFrom="paragraph">
              <wp:posOffset>24765</wp:posOffset>
            </wp:positionV>
            <wp:extent cx="52717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71770" cy="8255"/>
                    </a:xfrm>
                    <a:prstGeom prst="rect">
                      <a:avLst/>
                    </a:prstGeom>
                    <a:noFill/>
                  </pic:spPr>
                </pic:pic>
              </a:graphicData>
            </a:graphic>
          </wp:anchor>
        </w:drawing>
      </w:r>
    </w:p>
    <w:p>
      <w:pPr>
        <w:spacing w:after="0" w:line="4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3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1805305</wp:posOffset>
            </wp:positionH>
            <wp:positionV relativeFrom="paragraph">
              <wp:posOffset>37465</wp:posOffset>
            </wp:positionV>
            <wp:extent cx="35318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7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(State or other jurisdiction of incorporation or organization)</w:t>
      </w:r>
    </w:p>
    <w:p>
      <w:pPr>
        <w:spacing w:after="0" w:line="352"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216 Airport Drive, Rochester, New Hampshire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1805305</wp:posOffset>
            </wp:positionH>
            <wp:positionV relativeFrom="paragraph">
              <wp:posOffset>37465</wp:posOffset>
            </wp:positionV>
            <wp:extent cx="35318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79"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(Address of principal executive offices)</w:t>
      </w:r>
    </w:p>
    <w:p>
      <w:pPr>
        <w:spacing w:after="0" w:line="33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14-0462060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1805305</wp:posOffset>
            </wp:positionH>
            <wp:positionV relativeFrom="paragraph">
              <wp:posOffset>37465</wp:posOffset>
            </wp:positionV>
            <wp:extent cx="35318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7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(IRS Employer Identification No.)</w:t>
      </w:r>
    </w:p>
    <w:p>
      <w:pPr>
        <w:spacing w:after="0" w:line="35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03867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1805305</wp:posOffset>
            </wp:positionH>
            <wp:positionV relativeFrom="paragraph">
              <wp:posOffset>37465</wp:posOffset>
            </wp:positionV>
            <wp:extent cx="35318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7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(Zip Code)</w:t>
      </w:r>
    </w:p>
    <w:p>
      <w:pPr>
        <w:spacing w:after="0" w:line="35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603-330-5850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37465</wp:posOffset>
            </wp:positionV>
            <wp:extent cx="32829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90" w:lineRule="exact"/>
        <w:rPr>
          <w:sz w:val="24"/>
          <w:szCs w:val="24"/>
          <w:color w:val="auto"/>
        </w:rPr>
      </w:pPr>
    </w:p>
    <w:p>
      <w:pPr>
        <w:jc w:val="center"/>
        <w:ind w:right="20"/>
        <w:spacing w:after="0"/>
        <w:rPr>
          <w:sz w:val="20"/>
          <w:szCs w:val="20"/>
          <w:color w:val="auto"/>
        </w:rPr>
      </w:pPr>
      <w:r>
        <w:rPr>
          <w:rFonts w:ascii="Arial" w:cs="Arial" w:eastAsia="Arial" w:hAnsi="Arial"/>
          <w:sz w:val="18"/>
          <w:szCs w:val="18"/>
          <w:u w:val="single" w:color="auto"/>
          <w:color w:val="auto"/>
        </w:rPr>
        <w:t>Securities registered pursuant to Section 12(b) of the Act:</w:t>
      </w:r>
    </w:p>
    <w:p>
      <w:pPr>
        <w:spacing w:after="0" w:line="111" w:lineRule="exact"/>
        <w:rPr>
          <w:sz w:val="24"/>
          <w:szCs w:val="24"/>
          <w:color w:val="auto"/>
        </w:rPr>
      </w:pPr>
    </w:p>
    <w:tbl>
      <w:tblPr>
        <w:tblLayout w:type="fixed"/>
        <w:tblInd w:w="10" w:type="dxa"/>
        <w:tblCellMar>
          <w:top w:w="0" w:type="dxa"/>
          <w:left w:w="0" w:type="dxa"/>
          <w:bottom w:w="0" w:type="dxa"/>
          <w:right w:w="0" w:type="dxa"/>
        </w:tblCellMar>
      </w:tblPr>
      <w:tr>
        <w:trPr>
          <w:trHeight w:val="226"/>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10"/>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Class A Common Stock, $0.001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AIN</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The New York Stock Exchange (NYSE)</w:t>
            </w:r>
          </w:p>
        </w:tc>
      </w:tr>
      <w:tr>
        <w:trPr>
          <w:trHeight w:val="210"/>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Class B Common Stock, $0.001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AIN</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The New York Stock Exchange (NYSE)</w:t>
            </w:r>
          </w:p>
        </w:tc>
      </w:tr>
    </w:tbl>
    <w:p>
      <w:pPr>
        <w:spacing w:after="0" w:line="107" w:lineRule="exact"/>
        <w:rPr>
          <w:sz w:val="24"/>
          <w:szCs w:val="24"/>
          <w:color w:val="auto"/>
        </w:rPr>
      </w:pPr>
    </w:p>
    <w:p>
      <w:pPr>
        <w:jc w:val="both"/>
        <w:ind w:right="20"/>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8" w:lineRule="exact"/>
        <w:rPr>
          <w:sz w:val="24"/>
          <w:szCs w:val="24"/>
          <w:color w:val="auto"/>
        </w:rPr>
      </w:pPr>
    </w:p>
    <w:p>
      <w:pPr>
        <w:jc w:val="both"/>
        <w:ind w:right="20"/>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8" w:lineRule="exact"/>
        <w:rPr>
          <w:sz w:val="24"/>
          <w:szCs w:val="24"/>
          <w:color w:val="auto"/>
        </w:rPr>
      </w:pPr>
    </w:p>
    <w:p>
      <w:pPr>
        <w:jc w:val="both"/>
        <w:ind w:right="2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83"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9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8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420"/>
              <w:spacing w:after="0"/>
              <w:rPr>
                <w:sz w:val="20"/>
                <w:szCs w:val="20"/>
                <w:color w:val="auto"/>
              </w:rPr>
            </w:pPr>
            <w:r>
              <w:rPr>
                <w:rFonts w:ascii="Arial" w:cs="Arial" w:eastAsia="Arial" w:hAnsi="Arial"/>
                <w:sz w:val="16"/>
                <w:szCs w:val="16"/>
                <w:color w:val="auto"/>
              </w:rPr>
              <w:t>Accelerated filer</w:t>
            </w:r>
          </w:p>
        </w:tc>
        <w:tc>
          <w:tcPr>
            <w:tcW w:w="9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1900" w:type="dxa"/>
            <w:vAlign w:val="bottom"/>
          </w:tcPr>
          <w:p>
            <w:pPr>
              <w:spacing w:after="0"/>
              <w:rPr>
                <w:sz w:val="20"/>
                <w:szCs w:val="20"/>
                <w:color w:val="auto"/>
              </w:rPr>
            </w:pPr>
            <w:r>
              <w:rPr>
                <w:rFonts w:ascii="Arial" w:cs="Arial" w:eastAsia="Arial" w:hAnsi="Arial"/>
                <w:sz w:val="16"/>
                <w:szCs w:val="16"/>
                <w:color w:val="auto"/>
              </w:rPr>
              <w:t>Non-accelerated filer</w:t>
            </w:r>
          </w:p>
        </w:tc>
        <w:tc>
          <w:tcPr>
            <w:tcW w:w="28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420"/>
              <w:spacing w:after="0"/>
              <w:rPr>
                <w:sz w:val="20"/>
                <w:szCs w:val="20"/>
                <w:color w:val="auto"/>
              </w:rPr>
            </w:pPr>
            <w:r>
              <w:rPr>
                <w:rFonts w:ascii="Arial" w:cs="Arial" w:eastAsia="Arial" w:hAnsi="Arial"/>
                <w:sz w:val="16"/>
                <w:szCs w:val="16"/>
                <w:color w:val="auto"/>
              </w:rPr>
              <w:t>Smaller reporting company</w:t>
            </w:r>
          </w:p>
        </w:tc>
        <w:tc>
          <w:tcPr>
            <w:tcW w:w="9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19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140" w:type="dxa"/>
            <w:vAlign w:val="bottom"/>
          </w:tcPr>
          <w:p>
            <w:pPr>
              <w:ind w:left="2420"/>
              <w:spacing w:after="0"/>
              <w:rPr>
                <w:sz w:val="20"/>
                <w:szCs w:val="20"/>
                <w:color w:val="auto"/>
              </w:rPr>
            </w:pPr>
            <w:r>
              <w:rPr>
                <w:rFonts w:ascii="Arial" w:cs="Arial" w:eastAsia="Arial" w:hAnsi="Arial"/>
                <w:sz w:val="16"/>
                <w:szCs w:val="16"/>
                <w:color w:val="auto"/>
              </w:rPr>
              <w:t>Emerging growth company</w:t>
            </w:r>
          </w:p>
        </w:tc>
        <w:tc>
          <w:tcPr>
            <w:tcW w:w="9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ind w:right="2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3" w:lineRule="exact"/>
        <w:rPr>
          <w:sz w:val="24"/>
          <w:szCs w:val="24"/>
          <w:color w:val="auto"/>
        </w:rPr>
      </w:pPr>
    </w:p>
    <w:p>
      <w:pPr>
        <w:ind w:right="20"/>
        <w:spacing w:after="0" w:line="261" w:lineRule="auto"/>
        <w:rPr>
          <w:sz w:val="20"/>
          <w:szCs w:val="20"/>
          <w:color w:val="auto"/>
        </w:rPr>
      </w:pPr>
      <w:r>
        <w:rPr>
          <w:rFonts w:ascii="Arial" w:cs="Arial" w:eastAsia="Arial" w:hAnsi="Arial"/>
          <w:sz w:val="18"/>
          <w:szCs w:val="18"/>
          <w:color w:val="auto"/>
        </w:rPr>
        <w:t>The registrant had 32,380 thousand shares of Class A Common Stock and 1 thousand shares of Class B Common Stock outstanding as of October 15,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1243" w:right="319" w:bottom="619"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153670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4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9"/>
              </w:rPr>
              <w:t>Page</w:t>
            </w:r>
          </w:p>
        </w:tc>
      </w:tr>
      <w:tr>
        <w:trPr>
          <w:trHeight w:val="228"/>
        </w:trPr>
        <w:tc>
          <w:tcPr>
            <w:tcW w:w="20" w:type="dxa"/>
            <w:vAlign w:val="bottom"/>
            <w:tcBorders>
              <w:bottom w:val="single" w:sz="8" w:color="B2B2B2"/>
            </w:tcBorders>
          </w:tcPr>
          <w:p>
            <w:pPr>
              <w:spacing w:after="0"/>
              <w:rPr>
                <w:sz w:val="19"/>
                <w:szCs w:val="19"/>
                <w:color w:val="auto"/>
              </w:rPr>
            </w:pPr>
          </w:p>
        </w:tc>
        <w:tc>
          <w:tcPr>
            <w:tcW w:w="500" w:type="dxa"/>
            <w:vAlign w:val="bottom"/>
            <w:tcBorders>
              <w:bottom w:val="single" w:sz="8" w:color="B2B2B2"/>
            </w:tcBorders>
          </w:tcPr>
          <w:p>
            <w:pPr>
              <w:spacing w:after="0"/>
              <w:rPr>
                <w:sz w:val="19"/>
                <w:szCs w:val="19"/>
                <w:color w:val="auto"/>
              </w:rPr>
            </w:pPr>
          </w:p>
        </w:tc>
        <w:tc>
          <w:tcPr>
            <w:tcW w:w="100" w:type="dxa"/>
            <w:vAlign w:val="bottom"/>
            <w:tcBorders>
              <w:bottom w:val="single" w:sz="8" w:color="B2B2B2"/>
            </w:tcBorders>
          </w:tcPr>
          <w:p>
            <w:pPr>
              <w:spacing w:after="0"/>
              <w:rPr>
                <w:sz w:val="19"/>
                <w:szCs w:val="19"/>
                <w:color w:val="auto"/>
              </w:rPr>
            </w:pPr>
          </w:p>
        </w:tc>
        <w:tc>
          <w:tcPr>
            <w:tcW w:w="140" w:type="dxa"/>
            <w:vAlign w:val="bottom"/>
            <w:tcBorders>
              <w:bottom w:val="single" w:sz="8" w:color="B2B2B2"/>
            </w:tcBorders>
          </w:tcPr>
          <w:p>
            <w:pPr>
              <w:spacing w:after="0"/>
              <w:rPr>
                <w:sz w:val="19"/>
                <w:szCs w:val="19"/>
                <w:color w:val="auto"/>
              </w:rPr>
            </w:pPr>
          </w:p>
        </w:tc>
        <w:tc>
          <w:tcPr>
            <w:tcW w:w="120" w:type="dxa"/>
            <w:vAlign w:val="bottom"/>
            <w:tcBorders>
              <w:bottom w:val="single" w:sz="8" w:color="B2B2B2"/>
            </w:tcBorders>
          </w:tcPr>
          <w:p>
            <w:pPr>
              <w:spacing w:after="0"/>
              <w:rPr>
                <w:sz w:val="19"/>
                <w:szCs w:val="19"/>
                <w:color w:val="auto"/>
              </w:rPr>
            </w:pPr>
          </w:p>
        </w:tc>
        <w:tc>
          <w:tcPr>
            <w:tcW w:w="560" w:type="dxa"/>
            <w:vAlign w:val="bottom"/>
            <w:tcBorders>
              <w:bottom w:val="single" w:sz="8" w:color="B2B2B2"/>
            </w:tcBorders>
          </w:tcPr>
          <w:p>
            <w:pPr>
              <w:spacing w:after="0"/>
              <w:rPr>
                <w:sz w:val="19"/>
                <w:szCs w:val="19"/>
                <w:color w:val="auto"/>
              </w:rPr>
            </w:pPr>
          </w:p>
        </w:tc>
        <w:tc>
          <w:tcPr>
            <w:tcW w:w="340" w:type="dxa"/>
            <w:vAlign w:val="bottom"/>
            <w:tcBorders>
              <w:bottom w:val="single" w:sz="8" w:color="B2B2B2"/>
            </w:tcBorders>
          </w:tcPr>
          <w:p>
            <w:pPr>
              <w:spacing w:after="0"/>
              <w:rPr>
                <w:sz w:val="19"/>
                <w:szCs w:val="19"/>
                <w:color w:val="auto"/>
              </w:rPr>
            </w:pPr>
          </w:p>
        </w:tc>
        <w:tc>
          <w:tcPr>
            <w:tcW w:w="360" w:type="dxa"/>
            <w:vAlign w:val="bottom"/>
            <w:tcBorders>
              <w:bottom w:val="single" w:sz="8" w:color="B2B2B2"/>
            </w:tcBorders>
          </w:tcPr>
          <w:p>
            <w:pPr>
              <w:spacing w:after="0"/>
              <w:rPr>
                <w:sz w:val="19"/>
                <w:szCs w:val="19"/>
                <w:color w:val="auto"/>
              </w:rPr>
            </w:pPr>
          </w:p>
        </w:tc>
        <w:tc>
          <w:tcPr>
            <w:tcW w:w="80" w:type="dxa"/>
            <w:vAlign w:val="bottom"/>
            <w:tcBorders>
              <w:bottom w:val="single" w:sz="8" w:color="B2B2B2"/>
            </w:tcBorders>
          </w:tcPr>
          <w:p>
            <w:pPr>
              <w:spacing w:after="0"/>
              <w:rPr>
                <w:sz w:val="19"/>
                <w:szCs w:val="19"/>
                <w:color w:val="auto"/>
              </w:rPr>
            </w:pPr>
          </w:p>
        </w:tc>
        <w:tc>
          <w:tcPr>
            <w:tcW w:w="160" w:type="dxa"/>
            <w:vAlign w:val="bottom"/>
            <w:tcBorders>
              <w:bottom w:val="single" w:sz="8" w:color="B2B2B2"/>
            </w:tcBorders>
          </w:tcPr>
          <w:p>
            <w:pPr>
              <w:spacing w:after="0"/>
              <w:rPr>
                <w:sz w:val="19"/>
                <w:szCs w:val="19"/>
                <w:color w:val="auto"/>
              </w:rPr>
            </w:pPr>
          </w:p>
        </w:tc>
        <w:tc>
          <w:tcPr>
            <w:tcW w:w="240" w:type="dxa"/>
            <w:vAlign w:val="bottom"/>
            <w:tcBorders>
              <w:bottom w:val="single" w:sz="8" w:color="B2B2B2"/>
            </w:tcBorders>
          </w:tcPr>
          <w:p>
            <w:pPr>
              <w:spacing w:after="0"/>
              <w:rPr>
                <w:sz w:val="19"/>
                <w:szCs w:val="19"/>
                <w:color w:val="auto"/>
              </w:rPr>
            </w:pPr>
          </w:p>
        </w:tc>
        <w:tc>
          <w:tcPr>
            <w:tcW w:w="40" w:type="dxa"/>
            <w:vAlign w:val="bottom"/>
            <w:tcBorders>
              <w:bottom w:val="single" w:sz="8" w:color="B2B2B2"/>
            </w:tcBorders>
          </w:tcPr>
          <w:p>
            <w:pPr>
              <w:spacing w:after="0"/>
              <w:rPr>
                <w:sz w:val="19"/>
                <w:szCs w:val="19"/>
                <w:color w:val="auto"/>
              </w:rPr>
            </w:pPr>
          </w:p>
        </w:tc>
        <w:tc>
          <w:tcPr>
            <w:tcW w:w="220" w:type="dxa"/>
            <w:vAlign w:val="bottom"/>
            <w:tcBorders>
              <w:bottom w:val="single" w:sz="8" w:color="B2B2B2"/>
            </w:tcBorders>
          </w:tcPr>
          <w:p>
            <w:pPr>
              <w:spacing w:after="0"/>
              <w:rPr>
                <w:sz w:val="19"/>
                <w:szCs w:val="19"/>
                <w:color w:val="auto"/>
              </w:rPr>
            </w:pPr>
          </w:p>
        </w:tc>
        <w:tc>
          <w:tcPr>
            <w:tcW w:w="260" w:type="dxa"/>
            <w:vAlign w:val="bottom"/>
            <w:tcBorders>
              <w:bottom w:val="single" w:sz="8" w:color="B2B2B2"/>
            </w:tcBorders>
          </w:tcPr>
          <w:p>
            <w:pPr>
              <w:spacing w:after="0"/>
              <w:rPr>
                <w:sz w:val="19"/>
                <w:szCs w:val="19"/>
                <w:color w:val="auto"/>
              </w:rPr>
            </w:pPr>
          </w:p>
        </w:tc>
        <w:tc>
          <w:tcPr>
            <w:tcW w:w="260" w:type="dxa"/>
            <w:vAlign w:val="bottom"/>
            <w:tcBorders>
              <w:bottom w:val="single" w:sz="8" w:color="B2B2B2"/>
            </w:tcBorders>
          </w:tcPr>
          <w:p>
            <w:pPr>
              <w:spacing w:after="0"/>
              <w:rPr>
                <w:sz w:val="19"/>
                <w:szCs w:val="19"/>
                <w:color w:val="auto"/>
              </w:rPr>
            </w:pPr>
          </w:p>
        </w:tc>
        <w:tc>
          <w:tcPr>
            <w:tcW w:w="180" w:type="dxa"/>
            <w:vAlign w:val="bottom"/>
            <w:tcBorders>
              <w:bottom w:val="single" w:sz="8" w:color="B2B2B2"/>
            </w:tcBorders>
          </w:tcPr>
          <w:p>
            <w:pPr>
              <w:spacing w:after="0"/>
              <w:rPr>
                <w:sz w:val="19"/>
                <w:szCs w:val="19"/>
                <w:color w:val="auto"/>
              </w:rPr>
            </w:pPr>
          </w:p>
        </w:tc>
        <w:tc>
          <w:tcPr>
            <w:tcW w:w="240" w:type="dxa"/>
            <w:vAlign w:val="bottom"/>
            <w:tcBorders>
              <w:bottom w:val="single" w:sz="8" w:color="B2B2B2"/>
            </w:tcBorders>
          </w:tcPr>
          <w:p>
            <w:pPr>
              <w:spacing w:after="0"/>
              <w:rPr>
                <w:sz w:val="19"/>
                <w:szCs w:val="19"/>
                <w:color w:val="auto"/>
              </w:rPr>
            </w:pPr>
          </w:p>
        </w:tc>
        <w:tc>
          <w:tcPr>
            <w:tcW w:w="100" w:type="dxa"/>
            <w:vAlign w:val="bottom"/>
            <w:tcBorders>
              <w:bottom w:val="single" w:sz="8" w:color="B2B2B2"/>
            </w:tcBorders>
          </w:tcPr>
          <w:p>
            <w:pPr>
              <w:spacing w:after="0"/>
              <w:rPr>
                <w:sz w:val="19"/>
                <w:szCs w:val="19"/>
                <w:color w:val="auto"/>
              </w:rPr>
            </w:pPr>
          </w:p>
        </w:tc>
        <w:tc>
          <w:tcPr>
            <w:tcW w:w="700" w:type="dxa"/>
            <w:vAlign w:val="bottom"/>
            <w:tcBorders>
              <w:bottom w:val="single" w:sz="8" w:color="B2B2B2"/>
            </w:tcBorders>
          </w:tcPr>
          <w:p>
            <w:pPr>
              <w:spacing w:after="0"/>
              <w:rPr>
                <w:sz w:val="19"/>
                <w:szCs w:val="19"/>
                <w:color w:val="auto"/>
              </w:rPr>
            </w:pPr>
          </w:p>
        </w:tc>
        <w:tc>
          <w:tcPr>
            <w:tcW w:w="240" w:type="dxa"/>
            <w:vAlign w:val="bottom"/>
            <w:tcBorders>
              <w:bottom w:val="single" w:sz="8" w:color="B2B2B2"/>
            </w:tcBorders>
          </w:tcPr>
          <w:p>
            <w:pPr>
              <w:spacing w:after="0"/>
              <w:rPr>
                <w:sz w:val="19"/>
                <w:szCs w:val="19"/>
                <w:color w:val="auto"/>
              </w:rPr>
            </w:pPr>
          </w:p>
        </w:tc>
        <w:tc>
          <w:tcPr>
            <w:tcW w:w="240" w:type="dxa"/>
            <w:vAlign w:val="bottom"/>
            <w:tcBorders>
              <w:bottom w:val="single" w:sz="8" w:color="B2B2B2"/>
            </w:tcBorders>
          </w:tcPr>
          <w:p>
            <w:pPr>
              <w:spacing w:after="0"/>
              <w:rPr>
                <w:sz w:val="19"/>
                <w:szCs w:val="19"/>
                <w:color w:val="auto"/>
              </w:rPr>
            </w:pPr>
          </w:p>
        </w:tc>
        <w:tc>
          <w:tcPr>
            <w:tcW w:w="80" w:type="dxa"/>
            <w:vAlign w:val="bottom"/>
            <w:tcBorders>
              <w:bottom w:val="single" w:sz="8" w:color="B2B2B2"/>
            </w:tcBorders>
          </w:tcPr>
          <w:p>
            <w:pPr>
              <w:spacing w:after="0"/>
              <w:rPr>
                <w:sz w:val="19"/>
                <w:szCs w:val="19"/>
                <w:color w:val="auto"/>
              </w:rPr>
            </w:pPr>
          </w:p>
        </w:tc>
        <w:tc>
          <w:tcPr>
            <w:tcW w:w="40" w:type="dxa"/>
            <w:vAlign w:val="bottom"/>
            <w:tcBorders>
              <w:bottom w:val="single" w:sz="8" w:color="B2B2B2"/>
            </w:tcBorders>
          </w:tcPr>
          <w:p>
            <w:pPr>
              <w:spacing w:after="0"/>
              <w:rPr>
                <w:sz w:val="19"/>
                <w:szCs w:val="19"/>
                <w:color w:val="auto"/>
              </w:rPr>
            </w:pPr>
          </w:p>
        </w:tc>
        <w:tc>
          <w:tcPr>
            <w:tcW w:w="20" w:type="dxa"/>
            <w:vAlign w:val="bottom"/>
            <w:tcBorders>
              <w:bottom w:val="single" w:sz="8" w:color="B2B2B2"/>
            </w:tcBorders>
          </w:tcPr>
          <w:p>
            <w:pPr>
              <w:spacing w:after="0"/>
              <w:rPr>
                <w:sz w:val="19"/>
                <w:szCs w:val="19"/>
                <w:color w:val="auto"/>
              </w:rPr>
            </w:pPr>
          </w:p>
        </w:tc>
        <w:tc>
          <w:tcPr>
            <w:tcW w:w="500" w:type="dxa"/>
            <w:vAlign w:val="bottom"/>
            <w:tcBorders>
              <w:bottom w:val="single" w:sz="8" w:color="B2B2B2"/>
            </w:tcBorders>
          </w:tcPr>
          <w:p>
            <w:pPr>
              <w:spacing w:after="0"/>
              <w:rPr>
                <w:sz w:val="19"/>
                <w:szCs w:val="19"/>
                <w:color w:val="auto"/>
              </w:rPr>
            </w:pPr>
          </w:p>
        </w:tc>
        <w:tc>
          <w:tcPr>
            <w:tcW w:w="240" w:type="dxa"/>
            <w:vAlign w:val="bottom"/>
            <w:tcBorders>
              <w:bottom w:val="single" w:sz="8" w:color="B2B2B2"/>
            </w:tcBorders>
          </w:tcPr>
          <w:p>
            <w:pPr>
              <w:spacing w:after="0"/>
              <w:rPr>
                <w:sz w:val="19"/>
                <w:szCs w:val="19"/>
                <w:color w:val="auto"/>
              </w:rPr>
            </w:pPr>
          </w:p>
        </w:tc>
        <w:tc>
          <w:tcPr>
            <w:tcW w:w="220" w:type="dxa"/>
            <w:vAlign w:val="bottom"/>
            <w:tcBorders>
              <w:bottom w:val="single" w:sz="8" w:color="B2B2B2"/>
            </w:tcBorders>
          </w:tcPr>
          <w:p>
            <w:pPr>
              <w:spacing w:after="0"/>
              <w:rPr>
                <w:sz w:val="19"/>
                <w:szCs w:val="19"/>
                <w:color w:val="auto"/>
              </w:rPr>
            </w:pPr>
          </w:p>
        </w:tc>
        <w:tc>
          <w:tcPr>
            <w:tcW w:w="1000" w:type="dxa"/>
            <w:vAlign w:val="bottom"/>
            <w:tcBorders>
              <w:bottom w:val="single" w:sz="8" w:color="B2B2B2"/>
            </w:tcBorders>
          </w:tcPr>
          <w:p>
            <w:pPr>
              <w:spacing w:after="0"/>
              <w:rPr>
                <w:sz w:val="19"/>
                <w:szCs w:val="19"/>
                <w:color w:val="auto"/>
              </w:rPr>
            </w:pPr>
          </w:p>
        </w:tc>
        <w:tc>
          <w:tcPr>
            <w:tcW w:w="40" w:type="dxa"/>
            <w:vAlign w:val="bottom"/>
            <w:tcBorders>
              <w:bottom w:val="single" w:sz="8" w:color="B2B2B2"/>
            </w:tcBorders>
          </w:tcPr>
          <w:p>
            <w:pPr>
              <w:spacing w:after="0"/>
              <w:rPr>
                <w:sz w:val="19"/>
                <w:szCs w:val="19"/>
                <w:color w:val="auto"/>
              </w:rPr>
            </w:pPr>
          </w:p>
        </w:tc>
        <w:tc>
          <w:tcPr>
            <w:tcW w:w="80" w:type="dxa"/>
            <w:vAlign w:val="bottom"/>
            <w:tcBorders>
              <w:bottom w:val="single" w:sz="8" w:color="B2B2B2"/>
            </w:tcBorders>
          </w:tcPr>
          <w:p>
            <w:pPr>
              <w:spacing w:after="0"/>
              <w:rPr>
                <w:sz w:val="19"/>
                <w:szCs w:val="19"/>
                <w:color w:val="auto"/>
              </w:rPr>
            </w:pPr>
          </w:p>
        </w:tc>
        <w:tc>
          <w:tcPr>
            <w:tcW w:w="120" w:type="dxa"/>
            <w:vAlign w:val="bottom"/>
            <w:tcBorders>
              <w:bottom w:val="single" w:sz="8" w:color="B2B2B2"/>
            </w:tcBorders>
          </w:tcPr>
          <w:p>
            <w:pPr>
              <w:spacing w:after="0"/>
              <w:rPr>
                <w:sz w:val="19"/>
                <w:szCs w:val="19"/>
                <w:color w:val="auto"/>
              </w:rPr>
            </w:pPr>
          </w:p>
        </w:tc>
        <w:tc>
          <w:tcPr>
            <w:tcW w:w="120" w:type="dxa"/>
            <w:vAlign w:val="bottom"/>
            <w:tcBorders>
              <w:bottom w:val="single" w:sz="8" w:color="B2B2B2"/>
            </w:tcBorders>
          </w:tcPr>
          <w:p>
            <w:pPr>
              <w:spacing w:after="0"/>
              <w:rPr>
                <w:sz w:val="19"/>
                <w:szCs w:val="19"/>
                <w:color w:val="auto"/>
              </w:rPr>
            </w:pPr>
          </w:p>
        </w:tc>
        <w:tc>
          <w:tcPr>
            <w:tcW w:w="240" w:type="dxa"/>
            <w:vAlign w:val="bottom"/>
            <w:tcBorders>
              <w:bottom w:val="single" w:sz="8" w:color="B2B2B2"/>
            </w:tcBorders>
          </w:tcPr>
          <w:p>
            <w:pPr>
              <w:spacing w:after="0"/>
              <w:rPr>
                <w:sz w:val="19"/>
                <w:szCs w:val="19"/>
                <w:color w:val="auto"/>
              </w:rPr>
            </w:pPr>
          </w:p>
        </w:tc>
        <w:tc>
          <w:tcPr>
            <w:tcW w:w="1000" w:type="dxa"/>
            <w:vAlign w:val="bottom"/>
            <w:tcBorders>
              <w:bottom w:val="single" w:sz="8" w:color="B2B2B2"/>
            </w:tcBorders>
          </w:tcPr>
          <w:p>
            <w:pPr>
              <w:spacing w:after="0"/>
              <w:rPr>
                <w:sz w:val="19"/>
                <w:szCs w:val="19"/>
                <w:color w:val="auto"/>
              </w:rPr>
            </w:pPr>
          </w:p>
        </w:tc>
        <w:tc>
          <w:tcPr>
            <w:tcW w:w="360" w:type="dxa"/>
            <w:vAlign w:val="bottom"/>
            <w:tcBorders>
              <w:bottom w:val="single" w:sz="8" w:color="B2B2B2"/>
            </w:tcBorders>
          </w:tcPr>
          <w:p>
            <w:pPr>
              <w:spacing w:after="0"/>
              <w:rPr>
                <w:sz w:val="19"/>
                <w:szCs w:val="19"/>
                <w:color w:val="auto"/>
              </w:rPr>
            </w:pPr>
          </w:p>
        </w:tc>
        <w:tc>
          <w:tcPr>
            <w:tcW w:w="1440" w:type="dxa"/>
            <w:vAlign w:val="bottom"/>
            <w:tcBorders>
              <w:bottom w:val="single" w:sz="8" w:color="B2B2B2"/>
            </w:tcBorders>
          </w:tcPr>
          <w:p>
            <w:pPr>
              <w:spacing w:after="0"/>
              <w:rPr>
                <w:sz w:val="19"/>
                <w:szCs w:val="19"/>
                <w:color w:val="auto"/>
              </w:rPr>
            </w:pPr>
          </w:p>
        </w:tc>
        <w:tc>
          <w:tcPr>
            <w:tcW w:w="6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rPr>
              <w:t>No.</w:t>
            </w:r>
          </w:p>
        </w:tc>
      </w:tr>
      <w:tr>
        <w:trPr>
          <w:trHeight w:val="229"/>
        </w:trPr>
        <w:tc>
          <w:tcPr>
            <w:tcW w:w="20" w:type="dxa"/>
            <w:vAlign w:val="bottom"/>
            <w:shd w:val="clear" w:color="auto" w:fill="B2B2B2"/>
          </w:tcPr>
          <w:p>
            <w:pPr>
              <w:spacing w:after="0"/>
              <w:rPr>
                <w:sz w:val="19"/>
                <w:szCs w:val="19"/>
                <w:color w:val="auto"/>
              </w:rPr>
            </w:pPr>
          </w:p>
        </w:tc>
        <w:tc>
          <w:tcPr>
            <w:tcW w:w="10580" w:type="dxa"/>
            <w:vAlign w:val="bottom"/>
            <w:gridSpan w:val="35"/>
            <w:shd w:val="clear" w:color="auto" w:fill="B2B2B2"/>
          </w:tcPr>
          <w:p>
            <w:pPr>
              <w:spacing w:after="0"/>
              <w:rPr>
                <w:rFonts w:ascii="Arial" w:cs="Arial" w:eastAsia="Arial" w:hAnsi="Arial"/>
                <w:sz w:val="16"/>
                <w:szCs w:val="16"/>
                <w:b w:val="1"/>
                <w:bCs w:val="1"/>
                <w:color w:val="0000FF"/>
              </w:rPr>
            </w:pPr>
            <w:hyperlink w:anchor="page3">
              <w:r>
                <w:rPr>
                  <w:rFonts w:ascii="Arial" w:cs="Arial" w:eastAsia="Arial" w:hAnsi="Arial"/>
                  <w:sz w:val="16"/>
                  <w:szCs w:val="16"/>
                  <w:b w:val="1"/>
                  <w:bCs w:val="1"/>
                  <w:color w:val="0000FF"/>
                </w:rPr>
                <w:t>Part I Financial information</w:t>
              </w:r>
            </w:hyperlink>
          </w:p>
        </w:tc>
        <w:tc>
          <w:tcPr>
            <w:tcW w:w="440" w:type="dxa"/>
            <w:vAlign w:val="bottom"/>
            <w:shd w:val="clear" w:color="auto" w:fill="B2B2B2"/>
          </w:tcPr>
          <w:p>
            <w:pPr>
              <w:spacing w:after="0"/>
              <w:rPr>
                <w:sz w:val="19"/>
                <w:szCs w:val="19"/>
                <w:color w:val="auto"/>
              </w:rPr>
            </w:pPr>
          </w:p>
        </w:tc>
        <w:tc>
          <w:tcPr>
            <w:tcW w:w="100" w:type="dxa"/>
            <w:vAlign w:val="bottom"/>
            <w:shd w:val="clear" w:color="auto" w:fill="B2B2B2"/>
          </w:tcPr>
          <w:p>
            <w:pPr>
              <w:spacing w:after="0"/>
              <w:rPr>
                <w:sz w:val="19"/>
                <w:szCs w:val="19"/>
                <w:color w:val="auto"/>
              </w:rPr>
            </w:pPr>
          </w:p>
        </w:tc>
        <w:tc>
          <w:tcPr>
            <w:tcW w:w="80" w:type="dxa"/>
            <w:vAlign w:val="bottom"/>
            <w:shd w:val="clear" w:color="auto" w:fill="B2B2B2"/>
          </w:tcPr>
          <w:p>
            <w:pPr>
              <w:spacing w:after="0"/>
              <w:rPr>
                <w:sz w:val="19"/>
                <w:szCs w:val="19"/>
                <w:color w:val="auto"/>
              </w:rPr>
            </w:pPr>
          </w:p>
        </w:tc>
        <w:tc>
          <w:tcPr>
            <w:tcW w:w="20" w:type="dxa"/>
            <w:vAlign w:val="bottom"/>
            <w:shd w:val="clear" w:color="auto" w:fill="B2B2B2"/>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740" w:type="dxa"/>
            <w:vAlign w:val="bottom"/>
            <w:gridSpan w:val="3"/>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Item 1.</w:t>
              </w:r>
            </w:hyperlink>
          </w:p>
        </w:tc>
        <w:tc>
          <w:tcPr>
            <w:tcW w:w="9840" w:type="dxa"/>
            <w:vAlign w:val="bottom"/>
            <w:gridSpan w:val="32"/>
          </w:tcPr>
          <w:p>
            <w:pPr>
              <w:ind w:left="120"/>
              <w:spacing w:after="0"/>
              <w:rPr>
                <w:rFonts w:ascii="Arial" w:cs="Arial" w:eastAsia="Arial" w:hAnsi="Arial"/>
                <w:sz w:val="16"/>
                <w:szCs w:val="16"/>
                <w:color w:val="0000FF"/>
              </w:rPr>
            </w:pPr>
            <w:hyperlink w:anchor="page4">
              <w:r>
                <w:rPr>
                  <w:rFonts w:ascii="Arial" w:cs="Arial" w:eastAsia="Arial" w:hAnsi="Arial"/>
                  <w:sz w:val="16"/>
                  <w:szCs w:val="16"/>
                  <w:color w:val="0000FF"/>
                </w:rPr>
                <w:t>Financial Statements</w:t>
              </w:r>
            </w:hyperlink>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500" w:type="dxa"/>
            <w:vAlign w:val="bottom"/>
            <w:shd w:val="clear" w:color="auto" w:fill="B2B2B2"/>
          </w:tcPr>
          <w:p>
            <w:pPr>
              <w:spacing w:after="0"/>
              <w:rPr>
                <w:sz w:val="16"/>
                <w:szCs w:val="16"/>
                <w:color w:val="auto"/>
              </w:rPr>
            </w:pPr>
          </w:p>
        </w:tc>
        <w:tc>
          <w:tcPr>
            <w:tcW w:w="100" w:type="dxa"/>
            <w:vAlign w:val="bottom"/>
            <w:shd w:val="clear" w:color="auto" w:fill="B2B2B2"/>
          </w:tcPr>
          <w:p>
            <w:pPr>
              <w:spacing w:after="0"/>
              <w:rPr>
                <w:sz w:val="16"/>
                <w:szCs w:val="16"/>
                <w:color w:val="auto"/>
              </w:rPr>
            </w:pPr>
          </w:p>
        </w:tc>
        <w:tc>
          <w:tcPr>
            <w:tcW w:w="140" w:type="dxa"/>
            <w:vAlign w:val="bottom"/>
            <w:shd w:val="clear" w:color="auto" w:fill="B2B2B2"/>
          </w:tcPr>
          <w:p>
            <w:pPr>
              <w:spacing w:after="0"/>
              <w:rPr>
                <w:sz w:val="16"/>
                <w:szCs w:val="16"/>
                <w:color w:val="auto"/>
              </w:rPr>
            </w:pPr>
          </w:p>
        </w:tc>
        <w:tc>
          <w:tcPr>
            <w:tcW w:w="9840" w:type="dxa"/>
            <w:vAlign w:val="bottom"/>
            <w:gridSpan w:val="32"/>
            <w:shd w:val="clear" w:color="auto" w:fill="B2B2B2"/>
          </w:tcPr>
          <w:p>
            <w:pPr>
              <w:ind w:left="120"/>
              <w:spacing w:after="0"/>
              <w:rPr>
                <w:rFonts w:ascii="Arial" w:cs="Arial" w:eastAsia="Arial" w:hAnsi="Arial"/>
                <w:sz w:val="16"/>
                <w:szCs w:val="16"/>
                <w:color w:val="0000FF"/>
              </w:rPr>
            </w:pPr>
            <w:hyperlink w:anchor="page4">
              <w:r>
                <w:rPr>
                  <w:rFonts w:ascii="Arial" w:cs="Arial" w:eastAsia="Arial" w:hAnsi="Arial"/>
                  <w:sz w:val="16"/>
                  <w:szCs w:val="16"/>
                  <w:color w:val="0000FF"/>
                </w:rPr>
                <w:t xml:space="preserve">Consolidated statements of income – </w:t>
              </w:r>
            </w:hyperlink>
            <w:r>
              <w:rPr>
                <w:rFonts w:ascii="Arial" w:cs="Arial" w:eastAsia="Arial" w:hAnsi="Arial"/>
                <w:sz w:val="16"/>
                <w:szCs w:val="16"/>
                <w:color w:val="000000"/>
              </w:rPr>
              <w:t>three</w:t>
            </w:r>
            <w:r>
              <w:rPr>
                <w:rFonts w:ascii="Arial" w:cs="Arial" w:eastAsia="Arial" w:hAnsi="Arial"/>
                <w:sz w:val="16"/>
                <w:szCs w:val="16"/>
                <w:color w:val="0000FF"/>
              </w:rPr>
              <w:t xml:space="preserve"> </w:t>
            </w:r>
            <w:r>
              <w:rPr>
                <w:rFonts w:ascii="Arial" w:cs="Arial" w:eastAsia="Arial" w:hAnsi="Arial"/>
                <w:sz w:val="16"/>
                <w:szCs w:val="16"/>
                <w:color w:val="000000"/>
              </w:rPr>
              <w:t>and nine</w:t>
            </w:r>
            <w:r>
              <w:rPr>
                <w:rFonts w:ascii="Arial" w:cs="Arial" w:eastAsia="Arial" w:hAnsi="Arial"/>
                <w:sz w:val="16"/>
                <w:szCs w:val="16"/>
                <w:color w:val="0000FF"/>
              </w:rPr>
              <w:t xml:space="preserve"> </w:t>
            </w:r>
            <w:hyperlink w:anchor="page4">
              <w:r>
                <w:rPr>
                  <w:rFonts w:ascii="Arial" w:cs="Arial" w:eastAsia="Arial" w:hAnsi="Arial"/>
                  <w:sz w:val="16"/>
                  <w:szCs w:val="16"/>
                  <w:color w:val="0000FF"/>
                </w:rPr>
                <w:t xml:space="preserve">months ended </w:t>
              </w:r>
            </w:hyperlink>
            <w:r>
              <w:rPr>
                <w:rFonts w:ascii="Arial" w:cs="Arial" w:eastAsia="Arial" w:hAnsi="Arial"/>
                <w:sz w:val="16"/>
                <w:szCs w:val="16"/>
                <w:color w:val="000000"/>
              </w:rPr>
              <w:t>September</w:t>
            </w:r>
            <w:r>
              <w:rPr>
                <w:rFonts w:ascii="Arial" w:cs="Arial" w:eastAsia="Arial" w:hAnsi="Arial"/>
                <w:sz w:val="16"/>
                <w:szCs w:val="16"/>
                <w:color w:val="0000FF"/>
              </w:rPr>
              <w:t xml:space="preserve"> </w:t>
            </w:r>
            <w:r>
              <w:rPr>
                <w:rFonts w:ascii="Arial" w:cs="Arial" w:eastAsia="Arial" w:hAnsi="Arial"/>
                <w:sz w:val="16"/>
                <w:szCs w:val="16"/>
                <w:color w:val="000000"/>
              </w:rPr>
              <w:t>30, 2021</w:t>
            </w:r>
            <w:r>
              <w:rPr>
                <w:rFonts w:ascii="Arial" w:cs="Arial" w:eastAsia="Arial" w:hAnsi="Arial"/>
                <w:sz w:val="16"/>
                <w:szCs w:val="16"/>
                <w:color w:val="0000FF"/>
              </w:rPr>
              <w:t xml:space="preserve"> </w:t>
            </w:r>
            <w:hyperlink w:anchor="page4">
              <w:r>
                <w:rPr>
                  <w:rFonts w:ascii="Arial" w:cs="Arial" w:eastAsia="Arial" w:hAnsi="Arial"/>
                  <w:sz w:val="16"/>
                  <w:szCs w:val="16"/>
                  <w:color w:val="0000FF"/>
                </w:rPr>
                <w:t xml:space="preserve">and </w:t>
              </w:r>
            </w:hyperlink>
            <w:r>
              <w:rPr>
                <w:rFonts w:ascii="Arial" w:cs="Arial" w:eastAsia="Arial" w:hAnsi="Arial"/>
                <w:sz w:val="16"/>
                <w:szCs w:val="16"/>
                <w:color w:val="000000"/>
              </w:rPr>
              <w:t>2020</w:t>
            </w:r>
          </w:p>
        </w:tc>
        <w:tc>
          <w:tcPr>
            <w:tcW w:w="620" w:type="dxa"/>
            <w:vAlign w:val="bottom"/>
            <w:gridSpan w:val="3"/>
            <w:shd w:val="clear" w:color="auto" w:fill="B2B2B2"/>
          </w:tcPr>
          <w:p>
            <w:pPr>
              <w:jc w:val="right"/>
              <w:spacing w:after="0"/>
              <w:rPr>
                <w:rFonts w:ascii="Arial" w:cs="Arial" w:eastAsia="Arial" w:hAnsi="Arial"/>
                <w:sz w:val="16"/>
                <w:szCs w:val="16"/>
                <w:color w:val="0000FF"/>
              </w:rPr>
            </w:pPr>
            <w:hyperlink w:anchor="page4">
              <w:r>
                <w:rPr>
                  <w:rFonts w:ascii="Arial" w:cs="Arial" w:eastAsia="Arial" w:hAnsi="Arial"/>
                  <w:sz w:val="16"/>
                  <w:szCs w:val="16"/>
                  <w:color w:val="0000FF"/>
                </w:rPr>
                <w:t>3</w:t>
              </w:r>
            </w:hyperlink>
          </w:p>
        </w:tc>
        <w:tc>
          <w:tcPr>
            <w:tcW w:w="20" w:type="dxa"/>
            <w:vAlign w:val="bottom"/>
            <w:shd w:val="clear" w:color="auto" w:fill="B2B2B2"/>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18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70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0000FF"/>
            </w:tcBorders>
            <w:shd w:val="clear" w:color="auto" w:fill="B2B2B2"/>
          </w:tcPr>
          <w:p>
            <w:pPr>
              <w:spacing w:after="0"/>
              <w:rPr>
                <w:sz w:val="2"/>
                <w:szCs w:val="2"/>
                <w:color w:val="auto"/>
              </w:rPr>
            </w:pPr>
          </w:p>
        </w:tc>
        <w:tc>
          <w:tcPr>
            <w:tcW w:w="50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100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20" w:type="dxa"/>
            <w:vAlign w:val="bottom"/>
            <w:tcBorders>
              <w:top w:val="single" w:sz="8" w:color="0000FF"/>
            </w:tcBorders>
            <w:shd w:val="clear" w:color="auto" w:fill="B2B2B2"/>
          </w:tcPr>
          <w:p>
            <w:pPr>
              <w:spacing w:after="0"/>
              <w:rPr>
                <w:sz w:val="2"/>
                <w:szCs w:val="2"/>
                <w:color w:val="auto"/>
              </w:rPr>
            </w:pPr>
          </w:p>
        </w:tc>
        <w:tc>
          <w:tcPr>
            <w:tcW w:w="12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00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44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40" w:type="dxa"/>
            <w:vAlign w:val="bottom"/>
            <w:gridSpan w:val="32"/>
          </w:tcPr>
          <w:p>
            <w:pPr>
              <w:ind w:left="120"/>
              <w:spacing w:after="0"/>
              <w:rPr>
                <w:rFonts w:ascii="Arial" w:cs="Arial" w:eastAsia="Arial" w:hAnsi="Arial"/>
                <w:sz w:val="16"/>
                <w:szCs w:val="16"/>
                <w:color w:val="0000FF"/>
              </w:rPr>
            </w:pPr>
            <w:hyperlink w:anchor="page4">
              <w:r>
                <w:rPr>
                  <w:rFonts w:ascii="Arial" w:cs="Arial" w:eastAsia="Arial" w:hAnsi="Arial"/>
                  <w:sz w:val="16"/>
                  <w:szCs w:val="16"/>
                  <w:color w:val="0000FF"/>
                </w:rPr>
                <w:t xml:space="preserve">Consolidated statements of comprehensive income/(loss) – </w:t>
              </w:r>
            </w:hyperlink>
            <w:r>
              <w:rPr>
                <w:rFonts w:ascii="Arial" w:cs="Arial" w:eastAsia="Arial" w:hAnsi="Arial"/>
                <w:sz w:val="16"/>
                <w:szCs w:val="16"/>
                <w:color w:val="000000"/>
              </w:rPr>
              <w:t>three</w:t>
            </w:r>
            <w:r>
              <w:rPr>
                <w:rFonts w:ascii="Arial" w:cs="Arial" w:eastAsia="Arial" w:hAnsi="Arial"/>
                <w:sz w:val="16"/>
                <w:szCs w:val="16"/>
                <w:color w:val="0000FF"/>
              </w:rPr>
              <w:t xml:space="preserve"> </w:t>
            </w:r>
            <w:r>
              <w:rPr>
                <w:rFonts w:ascii="Arial" w:cs="Arial" w:eastAsia="Arial" w:hAnsi="Arial"/>
                <w:sz w:val="16"/>
                <w:szCs w:val="16"/>
                <w:color w:val="000000"/>
              </w:rPr>
              <w:t>and nine</w:t>
            </w:r>
            <w:r>
              <w:rPr>
                <w:rFonts w:ascii="Arial" w:cs="Arial" w:eastAsia="Arial" w:hAnsi="Arial"/>
                <w:sz w:val="16"/>
                <w:szCs w:val="16"/>
                <w:color w:val="0000FF"/>
              </w:rPr>
              <w:t xml:space="preserve"> </w:t>
            </w:r>
            <w:hyperlink w:anchor="page4">
              <w:r>
                <w:rPr>
                  <w:rFonts w:ascii="Arial" w:cs="Arial" w:eastAsia="Arial" w:hAnsi="Arial"/>
                  <w:sz w:val="16"/>
                  <w:szCs w:val="16"/>
                  <w:color w:val="0000FF"/>
                </w:rPr>
                <w:t xml:space="preserve">months ended </w:t>
              </w:r>
            </w:hyperlink>
            <w:r>
              <w:rPr>
                <w:rFonts w:ascii="Arial" w:cs="Arial" w:eastAsia="Arial" w:hAnsi="Arial"/>
                <w:sz w:val="16"/>
                <w:szCs w:val="16"/>
                <w:color w:val="000000"/>
              </w:rPr>
              <w:t>September</w:t>
            </w:r>
            <w:r>
              <w:rPr>
                <w:rFonts w:ascii="Arial" w:cs="Arial" w:eastAsia="Arial" w:hAnsi="Arial"/>
                <w:sz w:val="16"/>
                <w:szCs w:val="16"/>
                <w:color w:val="0000FF"/>
              </w:rPr>
              <w:t xml:space="preserve"> </w:t>
            </w:r>
            <w:r>
              <w:rPr>
                <w:rFonts w:ascii="Arial" w:cs="Arial" w:eastAsia="Arial" w:hAnsi="Arial"/>
                <w:sz w:val="16"/>
                <w:szCs w:val="16"/>
                <w:color w:val="000000"/>
              </w:rPr>
              <w:t>30, 2021</w:t>
            </w:r>
            <w:r>
              <w:rPr>
                <w:rFonts w:ascii="Arial" w:cs="Arial" w:eastAsia="Arial" w:hAnsi="Arial"/>
                <w:sz w:val="16"/>
                <w:szCs w:val="16"/>
                <w:color w:val="0000FF"/>
              </w:rPr>
              <w:t xml:space="preserve"> </w:t>
            </w:r>
            <w:hyperlink w:anchor="page4">
              <w:r>
                <w:rPr>
                  <w:rFonts w:ascii="Arial" w:cs="Arial" w:eastAsia="Arial" w:hAnsi="Arial"/>
                  <w:sz w:val="16"/>
                  <w:szCs w:val="16"/>
                  <w:color w:val="0000FF"/>
                </w:rPr>
                <w:t xml:space="preserve">and </w:t>
              </w:r>
            </w:hyperlink>
            <w:r>
              <w:rPr>
                <w:rFonts w:ascii="Arial" w:cs="Arial" w:eastAsia="Arial" w:hAnsi="Arial"/>
                <w:sz w:val="16"/>
                <w:szCs w:val="16"/>
                <w:color w:val="000000"/>
              </w:rPr>
              <w:t>2020</w:t>
            </w:r>
          </w:p>
        </w:tc>
        <w:tc>
          <w:tcPr>
            <w:tcW w:w="620" w:type="dxa"/>
            <w:vAlign w:val="bottom"/>
            <w:gridSpan w:val="3"/>
          </w:tcPr>
          <w:p>
            <w:pPr>
              <w:jc w:val="right"/>
              <w:spacing w:after="0"/>
              <w:rPr>
                <w:rFonts w:ascii="Arial" w:cs="Arial" w:eastAsia="Arial" w:hAnsi="Arial"/>
                <w:sz w:val="16"/>
                <w:szCs w:val="16"/>
                <w:color w:val="0000FF"/>
              </w:rPr>
            </w:pPr>
            <w:hyperlink w:anchor="page4">
              <w:r>
                <w:rPr>
                  <w:rFonts w:ascii="Arial" w:cs="Arial" w:eastAsia="Arial" w:hAnsi="Arial"/>
                  <w:sz w:val="16"/>
                  <w:szCs w:val="16"/>
                  <w:color w:val="0000FF"/>
                </w:rPr>
                <w:t>4</w:t>
              </w:r>
            </w:hyperlink>
          </w:p>
        </w:tc>
        <w:tc>
          <w:tcPr>
            <w:tcW w:w="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500" w:type="dxa"/>
            <w:vAlign w:val="bottom"/>
            <w:shd w:val="clear" w:color="auto" w:fill="B2B2B2"/>
          </w:tcPr>
          <w:p>
            <w:pPr>
              <w:spacing w:after="0"/>
              <w:rPr>
                <w:sz w:val="16"/>
                <w:szCs w:val="16"/>
                <w:color w:val="auto"/>
              </w:rPr>
            </w:pPr>
          </w:p>
        </w:tc>
        <w:tc>
          <w:tcPr>
            <w:tcW w:w="100" w:type="dxa"/>
            <w:vAlign w:val="bottom"/>
            <w:shd w:val="clear" w:color="auto" w:fill="B2B2B2"/>
          </w:tcPr>
          <w:p>
            <w:pPr>
              <w:spacing w:after="0"/>
              <w:rPr>
                <w:sz w:val="16"/>
                <w:szCs w:val="16"/>
                <w:color w:val="auto"/>
              </w:rPr>
            </w:pPr>
          </w:p>
        </w:tc>
        <w:tc>
          <w:tcPr>
            <w:tcW w:w="140" w:type="dxa"/>
            <w:vAlign w:val="bottom"/>
            <w:shd w:val="clear" w:color="auto" w:fill="B2B2B2"/>
          </w:tcPr>
          <w:p>
            <w:pPr>
              <w:spacing w:after="0"/>
              <w:rPr>
                <w:sz w:val="16"/>
                <w:szCs w:val="16"/>
                <w:color w:val="auto"/>
              </w:rPr>
            </w:pPr>
          </w:p>
        </w:tc>
        <w:tc>
          <w:tcPr>
            <w:tcW w:w="9840" w:type="dxa"/>
            <w:vAlign w:val="bottom"/>
            <w:gridSpan w:val="32"/>
            <w:shd w:val="clear" w:color="auto" w:fill="B2B2B2"/>
          </w:tcPr>
          <w:p>
            <w:pPr>
              <w:ind w:left="120"/>
              <w:spacing w:after="0"/>
              <w:rPr>
                <w:rFonts w:ascii="Arial" w:cs="Arial" w:eastAsia="Arial" w:hAnsi="Arial"/>
                <w:sz w:val="16"/>
                <w:szCs w:val="16"/>
                <w:color w:val="0000FF"/>
              </w:rPr>
            </w:pPr>
            <w:hyperlink w:anchor="page5">
              <w:r>
                <w:rPr>
                  <w:rFonts w:ascii="Arial" w:cs="Arial" w:eastAsia="Arial" w:hAnsi="Arial"/>
                  <w:sz w:val="16"/>
                  <w:szCs w:val="16"/>
                  <w:color w:val="0000FF"/>
                </w:rPr>
                <w:t xml:space="preserve">Consolidated balance sheets as of </w:t>
              </w:r>
            </w:hyperlink>
            <w:r>
              <w:rPr>
                <w:rFonts w:ascii="Arial" w:cs="Arial" w:eastAsia="Arial" w:hAnsi="Arial"/>
                <w:sz w:val="16"/>
                <w:szCs w:val="16"/>
                <w:color w:val="000000"/>
              </w:rPr>
              <w:t>September</w:t>
            </w:r>
            <w:r>
              <w:rPr>
                <w:rFonts w:ascii="Arial" w:cs="Arial" w:eastAsia="Arial" w:hAnsi="Arial"/>
                <w:sz w:val="16"/>
                <w:szCs w:val="16"/>
                <w:color w:val="0000FF"/>
              </w:rPr>
              <w:t xml:space="preserve"> </w:t>
            </w:r>
            <w:r>
              <w:rPr>
                <w:rFonts w:ascii="Arial" w:cs="Arial" w:eastAsia="Arial" w:hAnsi="Arial"/>
                <w:sz w:val="16"/>
                <w:szCs w:val="16"/>
                <w:color w:val="000000"/>
              </w:rPr>
              <w:t>30, 2021</w:t>
            </w:r>
            <w:r>
              <w:rPr>
                <w:rFonts w:ascii="Arial" w:cs="Arial" w:eastAsia="Arial" w:hAnsi="Arial"/>
                <w:sz w:val="16"/>
                <w:szCs w:val="16"/>
                <w:color w:val="0000FF"/>
              </w:rPr>
              <w:t xml:space="preserve"> </w:t>
            </w:r>
            <w:hyperlink w:anchor="page5">
              <w:r>
                <w:rPr>
                  <w:rFonts w:ascii="Arial" w:cs="Arial" w:eastAsia="Arial" w:hAnsi="Arial"/>
                  <w:sz w:val="16"/>
                  <w:szCs w:val="16"/>
                  <w:color w:val="0000FF"/>
                </w:rPr>
                <w:t xml:space="preserve">and </w:t>
              </w:r>
            </w:hyperlink>
            <w:r>
              <w:rPr>
                <w:rFonts w:ascii="Arial" w:cs="Arial" w:eastAsia="Arial" w:hAnsi="Arial"/>
                <w:sz w:val="16"/>
                <w:szCs w:val="16"/>
                <w:color w:val="000000"/>
              </w:rPr>
              <w:t>December</w:t>
            </w:r>
            <w:r>
              <w:rPr>
                <w:rFonts w:ascii="Arial" w:cs="Arial" w:eastAsia="Arial" w:hAnsi="Arial"/>
                <w:sz w:val="16"/>
                <w:szCs w:val="16"/>
                <w:color w:val="0000FF"/>
              </w:rPr>
              <w:t xml:space="preserve"> </w:t>
            </w:r>
            <w:r>
              <w:rPr>
                <w:rFonts w:ascii="Arial" w:cs="Arial" w:eastAsia="Arial" w:hAnsi="Arial"/>
                <w:sz w:val="16"/>
                <w:szCs w:val="16"/>
                <w:color w:val="000000"/>
              </w:rPr>
              <w:t>31, 2020</w:t>
            </w:r>
          </w:p>
        </w:tc>
        <w:tc>
          <w:tcPr>
            <w:tcW w:w="620" w:type="dxa"/>
            <w:vAlign w:val="bottom"/>
            <w:gridSpan w:val="3"/>
            <w:shd w:val="clear" w:color="auto" w:fill="B2B2B2"/>
          </w:tcPr>
          <w:p>
            <w:pPr>
              <w:jc w:val="right"/>
              <w:spacing w:after="0"/>
              <w:rPr>
                <w:rFonts w:ascii="Arial" w:cs="Arial" w:eastAsia="Arial" w:hAnsi="Arial"/>
                <w:sz w:val="16"/>
                <w:szCs w:val="16"/>
                <w:color w:val="0000FF"/>
              </w:rPr>
            </w:pPr>
            <w:hyperlink w:anchor="page5">
              <w:r>
                <w:rPr>
                  <w:rFonts w:ascii="Arial" w:cs="Arial" w:eastAsia="Arial" w:hAnsi="Arial"/>
                  <w:sz w:val="16"/>
                  <w:szCs w:val="16"/>
                  <w:color w:val="0000FF"/>
                </w:rPr>
                <w:t>5</w:t>
              </w:r>
            </w:hyperlink>
          </w:p>
        </w:tc>
        <w:tc>
          <w:tcPr>
            <w:tcW w:w="20" w:type="dxa"/>
            <w:vAlign w:val="bottom"/>
            <w:shd w:val="clear" w:color="auto" w:fill="B2B2B2"/>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18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70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100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00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44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40" w:type="dxa"/>
            <w:vAlign w:val="bottom"/>
            <w:gridSpan w:val="32"/>
          </w:tcPr>
          <w:p>
            <w:pPr>
              <w:ind w:left="120"/>
              <w:spacing w:after="0"/>
              <w:rPr>
                <w:rFonts w:ascii="Arial" w:cs="Arial" w:eastAsia="Arial" w:hAnsi="Arial"/>
                <w:sz w:val="16"/>
                <w:szCs w:val="16"/>
                <w:color w:val="0000FF"/>
              </w:rPr>
            </w:pPr>
            <w:hyperlink w:anchor="page6">
              <w:r>
                <w:rPr>
                  <w:rFonts w:ascii="Arial" w:cs="Arial" w:eastAsia="Arial" w:hAnsi="Arial"/>
                  <w:sz w:val="16"/>
                  <w:szCs w:val="16"/>
                  <w:color w:val="0000FF"/>
                </w:rPr>
                <w:t xml:space="preserve">Consolidated statements of cash flows – </w:t>
              </w:r>
            </w:hyperlink>
            <w:r>
              <w:rPr>
                <w:rFonts w:ascii="Arial" w:cs="Arial" w:eastAsia="Arial" w:hAnsi="Arial"/>
                <w:sz w:val="16"/>
                <w:szCs w:val="16"/>
                <w:color w:val="000000"/>
              </w:rPr>
              <w:t>three</w:t>
            </w:r>
            <w:r>
              <w:rPr>
                <w:rFonts w:ascii="Arial" w:cs="Arial" w:eastAsia="Arial" w:hAnsi="Arial"/>
                <w:sz w:val="16"/>
                <w:szCs w:val="16"/>
                <w:color w:val="0000FF"/>
              </w:rPr>
              <w:t xml:space="preserve"> </w:t>
            </w:r>
            <w:r>
              <w:rPr>
                <w:rFonts w:ascii="Arial" w:cs="Arial" w:eastAsia="Arial" w:hAnsi="Arial"/>
                <w:sz w:val="16"/>
                <w:szCs w:val="16"/>
                <w:color w:val="000000"/>
              </w:rPr>
              <w:t>and nine</w:t>
            </w:r>
            <w:r>
              <w:rPr>
                <w:rFonts w:ascii="Arial" w:cs="Arial" w:eastAsia="Arial" w:hAnsi="Arial"/>
                <w:sz w:val="16"/>
                <w:szCs w:val="16"/>
                <w:color w:val="0000FF"/>
              </w:rPr>
              <w:t xml:space="preserve"> </w:t>
            </w:r>
            <w:hyperlink w:anchor="page6">
              <w:r>
                <w:rPr>
                  <w:rFonts w:ascii="Arial" w:cs="Arial" w:eastAsia="Arial" w:hAnsi="Arial"/>
                  <w:sz w:val="16"/>
                  <w:szCs w:val="16"/>
                  <w:color w:val="0000FF"/>
                </w:rPr>
                <w:t xml:space="preserve">months ended </w:t>
              </w:r>
            </w:hyperlink>
            <w:r>
              <w:rPr>
                <w:rFonts w:ascii="Arial" w:cs="Arial" w:eastAsia="Arial" w:hAnsi="Arial"/>
                <w:sz w:val="16"/>
                <w:szCs w:val="16"/>
                <w:color w:val="000000"/>
              </w:rPr>
              <w:t>September</w:t>
            </w:r>
            <w:r>
              <w:rPr>
                <w:rFonts w:ascii="Arial" w:cs="Arial" w:eastAsia="Arial" w:hAnsi="Arial"/>
                <w:sz w:val="16"/>
                <w:szCs w:val="16"/>
                <w:color w:val="0000FF"/>
              </w:rPr>
              <w:t xml:space="preserve"> </w:t>
            </w:r>
            <w:r>
              <w:rPr>
                <w:rFonts w:ascii="Arial" w:cs="Arial" w:eastAsia="Arial" w:hAnsi="Arial"/>
                <w:sz w:val="16"/>
                <w:szCs w:val="16"/>
                <w:color w:val="000000"/>
              </w:rPr>
              <w:t>30, 2021</w:t>
            </w:r>
            <w:r>
              <w:rPr>
                <w:rFonts w:ascii="Arial" w:cs="Arial" w:eastAsia="Arial" w:hAnsi="Arial"/>
                <w:sz w:val="16"/>
                <w:szCs w:val="16"/>
                <w:color w:val="0000FF"/>
              </w:rPr>
              <w:t xml:space="preserve"> </w:t>
            </w:r>
            <w:hyperlink w:anchor="page4">
              <w:r>
                <w:rPr>
                  <w:rFonts w:ascii="Arial" w:cs="Arial" w:eastAsia="Arial" w:hAnsi="Arial"/>
                  <w:sz w:val="16"/>
                  <w:szCs w:val="16"/>
                  <w:color w:val="0000FF"/>
                </w:rPr>
                <w:t xml:space="preserve">and </w:t>
              </w:r>
            </w:hyperlink>
            <w:r>
              <w:rPr>
                <w:rFonts w:ascii="Arial" w:cs="Arial" w:eastAsia="Arial" w:hAnsi="Arial"/>
                <w:sz w:val="16"/>
                <w:szCs w:val="16"/>
                <w:color w:val="000000"/>
              </w:rPr>
              <w:t>2020</w:t>
            </w:r>
          </w:p>
        </w:tc>
        <w:tc>
          <w:tcPr>
            <w:tcW w:w="620" w:type="dxa"/>
            <w:vAlign w:val="bottom"/>
            <w:gridSpan w:val="3"/>
          </w:tcPr>
          <w:p>
            <w:pPr>
              <w:jc w:val="right"/>
              <w:spacing w:after="0"/>
              <w:rPr>
                <w:rFonts w:ascii="Arial" w:cs="Arial" w:eastAsia="Arial" w:hAnsi="Arial"/>
                <w:sz w:val="16"/>
                <w:szCs w:val="16"/>
                <w:color w:val="0000FF"/>
              </w:rPr>
            </w:pPr>
            <w:hyperlink w:anchor="page6">
              <w:r>
                <w:rPr>
                  <w:rFonts w:ascii="Arial" w:cs="Arial" w:eastAsia="Arial" w:hAnsi="Arial"/>
                  <w:sz w:val="16"/>
                  <w:szCs w:val="16"/>
                  <w:color w:val="0000FF"/>
                </w:rPr>
                <w:t>6</w:t>
              </w:r>
            </w:hyperlink>
          </w:p>
        </w:tc>
        <w:tc>
          <w:tcPr>
            <w:tcW w:w="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500" w:type="dxa"/>
            <w:vAlign w:val="bottom"/>
            <w:shd w:val="clear" w:color="auto" w:fill="B2B2B2"/>
          </w:tcPr>
          <w:p>
            <w:pPr>
              <w:spacing w:after="0"/>
              <w:rPr>
                <w:sz w:val="16"/>
                <w:szCs w:val="16"/>
                <w:color w:val="auto"/>
              </w:rPr>
            </w:pPr>
          </w:p>
        </w:tc>
        <w:tc>
          <w:tcPr>
            <w:tcW w:w="100" w:type="dxa"/>
            <w:vAlign w:val="bottom"/>
            <w:shd w:val="clear" w:color="auto" w:fill="B2B2B2"/>
          </w:tcPr>
          <w:p>
            <w:pPr>
              <w:spacing w:after="0"/>
              <w:rPr>
                <w:sz w:val="16"/>
                <w:szCs w:val="16"/>
                <w:color w:val="auto"/>
              </w:rPr>
            </w:pPr>
          </w:p>
        </w:tc>
        <w:tc>
          <w:tcPr>
            <w:tcW w:w="140" w:type="dxa"/>
            <w:vAlign w:val="bottom"/>
            <w:shd w:val="clear" w:color="auto" w:fill="B2B2B2"/>
          </w:tcPr>
          <w:p>
            <w:pPr>
              <w:spacing w:after="0"/>
              <w:rPr>
                <w:sz w:val="16"/>
                <w:szCs w:val="16"/>
                <w:color w:val="auto"/>
              </w:rPr>
            </w:pPr>
          </w:p>
        </w:tc>
        <w:tc>
          <w:tcPr>
            <w:tcW w:w="9840" w:type="dxa"/>
            <w:vAlign w:val="bottom"/>
            <w:gridSpan w:val="32"/>
            <w:shd w:val="clear" w:color="auto" w:fill="B2B2B2"/>
          </w:tcPr>
          <w:p>
            <w:pPr>
              <w:ind w:left="120"/>
              <w:spacing w:after="0"/>
              <w:rPr>
                <w:rFonts w:ascii="Arial" w:cs="Arial" w:eastAsia="Arial" w:hAnsi="Arial"/>
                <w:sz w:val="16"/>
                <w:szCs w:val="16"/>
                <w:color w:val="0000FF"/>
              </w:rPr>
            </w:pPr>
            <w:hyperlink w:anchor="page7">
              <w:r>
                <w:rPr>
                  <w:rFonts w:ascii="Arial" w:cs="Arial" w:eastAsia="Arial" w:hAnsi="Arial"/>
                  <w:sz w:val="16"/>
                  <w:szCs w:val="16"/>
                  <w:color w:val="0000FF"/>
                </w:rPr>
                <w:t>Notes to consolidated financial statements</w:t>
              </w:r>
            </w:hyperlink>
          </w:p>
        </w:tc>
        <w:tc>
          <w:tcPr>
            <w:tcW w:w="620" w:type="dxa"/>
            <w:vAlign w:val="bottom"/>
            <w:gridSpan w:val="3"/>
            <w:shd w:val="clear" w:color="auto" w:fill="B2B2B2"/>
          </w:tcPr>
          <w:p>
            <w:pPr>
              <w:jc w:val="right"/>
              <w:spacing w:after="0"/>
              <w:rPr>
                <w:rFonts w:ascii="Arial" w:cs="Arial" w:eastAsia="Arial" w:hAnsi="Arial"/>
                <w:sz w:val="16"/>
                <w:szCs w:val="16"/>
                <w:color w:val="0000FF"/>
              </w:rPr>
            </w:pPr>
            <w:hyperlink w:anchor="page7">
              <w:r>
                <w:rPr>
                  <w:rFonts w:ascii="Arial" w:cs="Arial" w:eastAsia="Arial" w:hAnsi="Arial"/>
                  <w:sz w:val="16"/>
                  <w:szCs w:val="16"/>
                  <w:color w:val="0000FF"/>
                </w:rPr>
                <w:t>7</w:t>
              </w:r>
            </w:hyperlink>
          </w:p>
        </w:tc>
        <w:tc>
          <w:tcPr>
            <w:tcW w:w="20" w:type="dxa"/>
            <w:vAlign w:val="bottom"/>
            <w:shd w:val="clear" w:color="auto" w:fill="B2B2B2"/>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18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70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100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00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44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740" w:type="dxa"/>
            <w:vAlign w:val="bottom"/>
            <w:gridSpan w:val="3"/>
          </w:tcPr>
          <w:p>
            <w:pPr>
              <w:spacing w:after="0"/>
              <w:rPr>
                <w:rFonts w:ascii="Arial" w:cs="Arial" w:eastAsia="Arial" w:hAnsi="Arial"/>
                <w:sz w:val="16"/>
                <w:szCs w:val="16"/>
                <w:color w:val="0000FF"/>
              </w:rPr>
            </w:pPr>
            <w:hyperlink w:anchor="page23">
              <w:r>
                <w:rPr>
                  <w:rFonts w:ascii="Arial" w:cs="Arial" w:eastAsia="Arial" w:hAnsi="Arial"/>
                  <w:sz w:val="16"/>
                  <w:szCs w:val="16"/>
                  <w:color w:val="0000FF"/>
                </w:rPr>
                <w:t>Item 2.</w:t>
              </w:r>
            </w:hyperlink>
          </w:p>
        </w:tc>
        <w:tc>
          <w:tcPr>
            <w:tcW w:w="9840" w:type="dxa"/>
            <w:vAlign w:val="bottom"/>
            <w:gridSpan w:val="32"/>
          </w:tcPr>
          <w:p>
            <w:pPr>
              <w:ind w:left="120"/>
              <w:spacing w:after="0"/>
              <w:rPr>
                <w:rFonts w:ascii="Arial" w:cs="Arial" w:eastAsia="Arial" w:hAnsi="Arial"/>
                <w:sz w:val="16"/>
                <w:szCs w:val="16"/>
                <w:color w:val="0000FF"/>
              </w:rPr>
            </w:pPr>
            <w:hyperlink w:anchor="page23">
              <w:r>
                <w:rPr>
                  <w:rFonts w:ascii="Arial" w:cs="Arial" w:eastAsia="Arial" w:hAnsi="Arial"/>
                  <w:sz w:val="16"/>
                  <w:szCs w:val="16"/>
                  <w:color w:val="0000FF"/>
                </w:rPr>
                <w:t>Management’s Discussion and Analysis of Financial Condition and Results of Operations</w:t>
              </w:r>
            </w:hyperlink>
          </w:p>
        </w:tc>
        <w:tc>
          <w:tcPr>
            <w:tcW w:w="620" w:type="dxa"/>
            <w:vAlign w:val="bottom"/>
            <w:gridSpan w:val="3"/>
          </w:tcPr>
          <w:p>
            <w:pPr>
              <w:jc w:val="right"/>
              <w:spacing w:after="0"/>
              <w:rPr>
                <w:rFonts w:ascii="Arial" w:cs="Arial" w:eastAsia="Arial" w:hAnsi="Arial"/>
                <w:sz w:val="16"/>
                <w:szCs w:val="16"/>
                <w:color w:val="0000FF"/>
              </w:rPr>
            </w:pPr>
            <w:hyperlink w:anchor="page23">
              <w:r>
                <w:rPr>
                  <w:rFonts w:ascii="Arial" w:cs="Arial" w:eastAsia="Arial" w:hAnsi="Arial"/>
                  <w:sz w:val="16"/>
                  <w:szCs w:val="16"/>
                  <w:color w:val="0000FF"/>
                </w:rPr>
                <w:t>23</w:t>
              </w:r>
            </w:hyperlink>
          </w:p>
        </w:tc>
        <w:tc>
          <w:tcPr>
            <w:tcW w:w="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500" w:type="dxa"/>
            <w:vAlign w:val="bottom"/>
            <w:shd w:val="clear" w:color="auto" w:fill="B2B2B2"/>
          </w:tcPr>
          <w:p>
            <w:pPr>
              <w:spacing w:after="0"/>
              <w:rPr>
                <w:sz w:val="16"/>
                <w:szCs w:val="16"/>
                <w:color w:val="auto"/>
              </w:rPr>
            </w:pPr>
          </w:p>
        </w:tc>
        <w:tc>
          <w:tcPr>
            <w:tcW w:w="100" w:type="dxa"/>
            <w:vAlign w:val="bottom"/>
            <w:shd w:val="clear" w:color="auto" w:fill="B2B2B2"/>
          </w:tcPr>
          <w:p>
            <w:pPr>
              <w:spacing w:after="0"/>
              <w:rPr>
                <w:sz w:val="16"/>
                <w:szCs w:val="16"/>
                <w:color w:val="auto"/>
              </w:rPr>
            </w:pPr>
          </w:p>
        </w:tc>
        <w:tc>
          <w:tcPr>
            <w:tcW w:w="140" w:type="dxa"/>
            <w:vAlign w:val="bottom"/>
            <w:shd w:val="clear" w:color="auto" w:fill="B2B2B2"/>
          </w:tcPr>
          <w:p>
            <w:pPr>
              <w:spacing w:after="0"/>
              <w:rPr>
                <w:sz w:val="16"/>
                <w:szCs w:val="16"/>
                <w:color w:val="auto"/>
              </w:rPr>
            </w:pPr>
          </w:p>
        </w:tc>
        <w:tc>
          <w:tcPr>
            <w:tcW w:w="9840" w:type="dxa"/>
            <w:vAlign w:val="bottom"/>
            <w:gridSpan w:val="32"/>
            <w:shd w:val="clear" w:color="auto" w:fill="B2B2B2"/>
          </w:tcPr>
          <w:p>
            <w:pPr>
              <w:ind w:left="120"/>
              <w:spacing w:after="0"/>
              <w:rPr>
                <w:rFonts w:ascii="Arial" w:cs="Arial" w:eastAsia="Arial" w:hAnsi="Arial"/>
                <w:sz w:val="16"/>
                <w:szCs w:val="16"/>
                <w:color w:val="0000FF"/>
              </w:rPr>
            </w:pPr>
            <w:hyperlink w:anchor="page24">
              <w:r>
                <w:rPr>
                  <w:rFonts w:ascii="Arial" w:cs="Arial" w:eastAsia="Arial" w:hAnsi="Arial"/>
                  <w:sz w:val="16"/>
                  <w:szCs w:val="16"/>
                  <w:color w:val="0000FF"/>
                </w:rPr>
                <w:t>Forward-looking statements</w:t>
              </w:r>
            </w:hyperlink>
          </w:p>
        </w:tc>
        <w:tc>
          <w:tcPr>
            <w:tcW w:w="620" w:type="dxa"/>
            <w:vAlign w:val="bottom"/>
            <w:gridSpan w:val="3"/>
            <w:shd w:val="clear" w:color="auto" w:fill="B2B2B2"/>
          </w:tcPr>
          <w:p>
            <w:pPr>
              <w:jc w:val="right"/>
              <w:spacing w:after="0"/>
              <w:rPr>
                <w:rFonts w:ascii="Arial" w:cs="Arial" w:eastAsia="Arial" w:hAnsi="Arial"/>
                <w:sz w:val="16"/>
                <w:szCs w:val="16"/>
                <w:color w:val="0000FF"/>
              </w:rPr>
            </w:pPr>
            <w:hyperlink w:anchor="page24">
              <w:r>
                <w:rPr>
                  <w:rFonts w:ascii="Arial" w:cs="Arial" w:eastAsia="Arial" w:hAnsi="Arial"/>
                  <w:sz w:val="16"/>
                  <w:szCs w:val="16"/>
                  <w:color w:val="0000FF"/>
                </w:rPr>
                <w:t>23</w:t>
              </w:r>
            </w:hyperlink>
          </w:p>
        </w:tc>
        <w:tc>
          <w:tcPr>
            <w:tcW w:w="20" w:type="dxa"/>
            <w:vAlign w:val="bottom"/>
            <w:shd w:val="clear" w:color="auto" w:fill="B2B2B2"/>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18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70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100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00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44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740" w:type="dxa"/>
            <w:vAlign w:val="bottom"/>
            <w:gridSpan w:val="3"/>
          </w:tcPr>
          <w:p>
            <w:pPr>
              <w:spacing w:after="0"/>
              <w:rPr>
                <w:rFonts w:ascii="Arial" w:cs="Arial" w:eastAsia="Arial" w:hAnsi="Arial"/>
                <w:sz w:val="16"/>
                <w:szCs w:val="16"/>
                <w:color w:val="0000FF"/>
              </w:rPr>
            </w:pPr>
            <w:hyperlink w:anchor="page37">
              <w:r>
                <w:rPr>
                  <w:rFonts w:ascii="Arial" w:cs="Arial" w:eastAsia="Arial" w:hAnsi="Arial"/>
                  <w:sz w:val="16"/>
                  <w:szCs w:val="16"/>
                  <w:color w:val="0000FF"/>
                </w:rPr>
                <w:t>Item 3.</w:t>
              </w:r>
            </w:hyperlink>
          </w:p>
        </w:tc>
        <w:tc>
          <w:tcPr>
            <w:tcW w:w="9840" w:type="dxa"/>
            <w:vAlign w:val="bottom"/>
            <w:gridSpan w:val="32"/>
          </w:tcPr>
          <w:p>
            <w:pPr>
              <w:ind w:left="120"/>
              <w:spacing w:after="0"/>
              <w:rPr>
                <w:rFonts w:ascii="Arial" w:cs="Arial" w:eastAsia="Arial" w:hAnsi="Arial"/>
                <w:sz w:val="16"/>
                <w:szCs w:val="16"/>
                <w:color w:val="0000FF"/>
              </w:rPr>
            </w:pPr>
            <w:hyperlink w:anchor="page37">
              <w:r>
                <w:rPr>
                  <w:rFonts w:ascii="Arial" w:cs="Arial" w:eastAsia="Arial" w:hAnsi="Arial"/>
                  <w:sz w:val="16"/>
                  <w:szCs w:val="16"/>
                  <w:color w:val="0000FF"/>
                </w:rPr>
                <w:t>Quantitative and Qualitative Disclosures about Market Risk</w:t>
              </w:r>
            </w:hyperlink>
          </w:p>
        </w:tc>
        <w:tc>
          <w:tcPr>
            <w:tcW w:w="620" w:type="dxa"/>
            <w:vAlign w:val="bottom"/>
            <w:gridSpan w:val="3"/>
          </w:tcPr>
          <w:p>
            <w:pPr>
              <w:jc w:val="right"/>
              <w:spacing w:after="0"/>
              <w:rPr>
                <w:rFonts w:ascii="Arial" w:cs="Arial" w:eastAsia="Arial" w:hAnsi="Arial"/>
                <w:sz w:val="16"/>
                <w:szCs w:val="16"/>
                <w:color w:val="0000FF"/>
              </w:rPr>
            </w:pPr>
            <w:hyperlink w:anchor="page37">
              <w:r>
                <w:rPr>
                  <w:rFonts w:ascii="Arial" w:cs="Arial" w:eastAsia="Arial" w:hAnsi="Arial"/>
                  <w:sz w:val="16"/>
                  <w:szCs w:val="16"/>
                  <w:color w:val="0000FF"/>
                </w:rPr>
                <w:t>36</w:t>
              </w:r>
            </w:hyperlink>
          </w:p>
        </w:tc>
        <w:tc>
          <w:tcPr>
            <w:tcW w:w="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740" w:type="dxa"/>
            <w:vAlign w:val="bottom"/>
            <w:gridSpan w:val="3"/>
            <w:shd w:val="clear" w:color="auto" w:fill="B2B2B2"/>
          </w:tcPr>
          <w:p>
            <w:pPr>
              <w:spacing w:after="0"/>
              <w:rPr>
                <w:rFonts w:ascii="Arial" w:cs="Arial" w:eastAsia="Arial" w:hAnsi="Arial"/>
                <w:sz w:val="16"/>
                <w:szCs w:val="16"/>
                <w:color w:val="0000FF"/>
              </w:rPr>
            </w:pPr>
            <w:hyperlink w:anchor="page37">
              <w:r>
                <w:rPr>
                  <w:rFonts w:ascii="Arial" w:cs="Arial" w:eastAsia="Arial" w:hAnsi="Arial"/>
                  <w:sz w:val="16"/>
                  <w:szCs w:val="16"/>
                  <w:color w:val="0000FF"/>
                </w:rPr>
                <w:t>Item 4.</w:t>
              </w:r>
            </w:hyperlink>
          </w:p>
        </w:tc>
        <w:tc>
          <w:tcPr>
            <w:tcW w:w="9840" w:type="dxa"/>
            <w:vAlign w:val="bottom"/>
            <w:gridSpan w:val="32"/>
            <w:shd w:val="clear" w:color="auto" w:fill="B2B2B2"/>
          </w:tcPr>
          <w:p>
            <w:pPr>
              <w:ind w:left="120"/>
              <w:spacing w:after="0"/>
              <w:rPr>
                <w:rFonts w:ascii="Arial" w:cs="Arial" w:eastAsia="Arial" w:hAnsi="Arial"/>
                <w:sz w:val="16"/>
                <w:szCs w:val="16"/>
                <w:color w:val="0000FF"/>
              </w:rPr>
            </w:pPr>
            <w:hyperlink w:anchor="page37">
              <w:r>
                <w:rPr>
                  <w:rFonts w:ascii="Arial" w:cs="Arial" w:eastAsia="Arial" w:hAnsi="Arial"/>
                  <w:sz w:val="16"/>
                  <w:szCs w:val="16"/>
                  <w:color w:val="0000FF"/>
                </w:rPr>
                <w:t>Controls and Procedures</w:t>
              </w:r>
            </w:hyperlink>
          </w:p>
        </w:tc>
        <w:tc>
          <w:tcPr>
            <w:tcW w:w="620" w:type="dxa"/>
            <w:vAlign w:val="bottom"/>
            <w:gridSpan w:val="3"/>
            <w:shd w:val="clear" w:color="auto" w:fill="B2B2B2"/>
          </w:tcPr>
          <w:p>
            <w:pPr>
              <w:jc w:val="right"/>
              <w:spacing w:after="0"/>
              <w:rPr>
                <w:rFonts w:ascii="Arial" w:cs="Arial" w:eastAsia="Arial" w:hAnsi="Arial"/>
                <w:sz w:val="16"/>
                <w:szCs w:val="16"/>
                <w:color w:val="0000FF"/>
              </w:rPr>
            </w:pPr>
            <w:hyperlink w:anchor="page37">
              <w:r>
                <w:rPr>
                  <w:rFonts w:ascii="Arial" w:cs="Arial" w:eastAsia="Arial" w:hAnsi="Arial"/>
                  <w:sz w:val="16"/>
                  <w:szCs w:val="16"/>
                  <w:color w:val="0000FF"/>
                </w:rPr>
                <w:t>36</w:t>
              </w:r>
            </w:hyperlink>
          </w:p>
        </w:tc>
        <w:tc>
          <w:tcPr>
            <w:tcW w:w="20" w:type="dxa"/>
            <w:vAlign w:val="bottom"/>
            <w:shd w:val="clear" w:color="auto" w:fill="B2B2B2"/>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18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70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100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00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44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10580" w:type="dxa"/>
            <w:vAlign w:val="bottom"/>
            <w:gridSpan w:val="35"/>
          </w:tcPr>
          <w:p>
            <w:pPr>
              <w:spacing w:after="0"/>
              <w:rPr>
                <w:rFonts w:ascii="Arial" w:cs="Arial" w:eastAsia="Arial" w:hAnsi="Arial"/>
                <w:sz w:val="16"/>
                <w:szCs w:val="16"/>
                <w:b w:val="1"/>
                <w:bCs w:val="1"/>
                <w:color w:val="0000FF"/>
              </w:rPr>
            </w:pPr>
            <w:hyperlink w:anchor="page38">
              <w:r>
                <w:rPr>
                  <w:rFonts w:ascii="Arial" w:cs="Arial" w:eastAsia="Arial" w:hAnsi="Arial"/>
                  <w:sz w:val="16"/>
                  <w:szCs w:val="16"/>
                  <w:b w:val="1"/>
                  <w:bCs w:val="1"/>
                  <w:color w:val="0000FF"/>
                </w:rPr>
                <w:t>Part II Other Information</w:t>
              </w:r>
            </w:hyperlink>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9"/>
        </w:trPr>
        <w:tc>
          <w:tcPr>
            <w:tcW w:w="20" w:type="dxa"/>
            <w:vAlign w:val="bottom"/>
            <w:shd w:val="clear" w:color="auto" w:fill="B2B2B2"/>
          </w:tcPr>
          <w:p>
            <w:pPr>
              <w:spacing w:after="0"/>
              <w:rPr>
                <w:sz w:val="17"/>
                <w:szCs w:val="17"/>
                <w:color w:val="auto"/>
              </w:rPr>
            </w:pPr>
          </w:p>
        </w:tc>
        <w:tc>
          <w:tcPr>
            <w:tcW w:w="740" w:type="dxa"/>
            <w:vAlign w:val="bottom"/>
            <w:gridSpan w:val="3"/>
            <w:shd w:val="clear" w:color="auto" w:fill="B2B2B2"/>
          </w:tcPr>
          <w:p>
            <w:pPr>
              <w:spacing w:after="0"/>
              <w:rPr>
                <w:rFonts w:ascii="Arial" w:cs="Arial" w:eastAsia="Arial" w:hAnsi="Arial"/>
                <w:sz w:val="16"/>
                <w:szCs w:val="16"/>
                <w:color w:val="0000FF"/>
              </w:rPr>
            </w:pPr>
            <w:hyperlink w:anchor="page38">
              <w:r>
                <w:rPr>
                  <w:rFonts w:ascii="Arial" w:cs="Arial" w:eastAsia="Arial" w:hAnsi="Arial"/>
                  <w:sz w:val="16"/>
                  <w:szCs w:val="16"/>
                  <w:color w:val="0000FF"/>
                </w:rPr>
                <w:t>Item 1.</w:t>
              </w:r>
            </w:hyperlink>
          </w:p>
        </w:tc>
        <w:tc>
          <w:tcPr>
            <w:tcW w:w="9840" w:type="dxa"/>
            <w:vAlign w:val="bottom"/>
            <w:gridSpan w:val="32"/>
            <w:shd w:val="clear" w:color="auto" w:fill="B2B2B2"/>
          </w:tcPr>
          <w:p>
            <w:pPr>
              <w:ind w:left="120"/>
              <w:spacing w:after="0"/>
              <w:rPr>
                <w:rFonts w:ascii="Arial" w:cs="Arial" w:eastAsia="Arial" w:hAnsi="Arial"/>
                <w:sz w:val="16"/>
                <w:szCs w:val="16"/>
                <w:color w:val="0000FF"/>
              </w:rPr>
            </w:pPr>
            <w:hyperlink w:anchor="page38">
              <w:r>
                <w:rPr>
                  <w:rFonts w:ascii="Arial" w:cs="Arial" w:eastAsia="Arial" w:hAnsi="Arial"/>
                  <w:sz w:val="16"/>
                  <w:szCs w:val="16"/>
                  <w:color w:val="0000FF"/>
                </w:rPr>
                <w:t>Legal Proceedings</w:t>
              </w:r>
            </w:hyperlink>
          </w:p>
        </w:tc>
        <w:tc>
          <w:tcPr>
            <w:tcW w:w="620" w:type="dxa"/>
            <w:vAlign w:val="bottom"/>
            <w:gridSpan w:val="3"/>
            <w:shd w:val="clear" w:color="auto" w:fill="B2B2B2"/>
          </w:tcPr>
          <w:p>
            <w:pPr>
              <w:jc w:val="right"/>
              <w:spacing w:after="0"/>
              <w:rPr>
                <w:rFonts w:ascii="Arial" w:cs="Arial" w:eastAsia="Arial" w:hAnsi="Arial"/>
                <w:sz w:val="16"/>
                <w:szCs w:val="16"/>
                <w:color w:val="0000FF"/>
              </w:rPr>
            </w:pPr>
            <w:hyperlink w:anchor="page38">
              <w:r>
                <w:rPr>
                  <w:rFonts w:ascii="Arial" w:cs="Arial" w:eastAsia="Arial" w:hAnsi="Arial"/>
                  <w:sz w:val="16"/>
                  <w:szCs w:val="16"/>
                  <w:color w:val="0000FF"/>
                </w:rPr>
                <w:t>37</w:t>
              </w:r>
            </w:hyperlink>
          </w:p>
        </w:tc>
        <w:tc>
          <w:tcPr>
            <w:tcW w:w="20" w:type="dxa"/>
            <w:vAlign w:val="bottom"/>
            <w:shd w:val="clear" w:color="auto" w:fill="B2B2B2"/>
          </w:tcPr>
          <w:p>
            <w:pPr>
              <w:spacing w:after="0"/>
              <w:rPr>
                <w:sz w:val="17"/>
                <w:szCs w:val="17"/>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18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70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100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00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44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740" w:type="dxa"/>
            <w:vAlign w:val="bottom"/>
            <w:gridSpan w:val="3"/>
          </w:tcPr>
          <w:p>
            <w:pPr>
              <w:spacing w:after="0"/>
              <w:rPr>
                <w:rFonts w:ascii="Arial" w:cs="Arial" w:eastAsia="Arial" w:hAnsi="Arial"/>
                <w:sz w:val="16"/>
                <w:szCs w:val="16"/>
                <w:color w:val="0000FF"/>
              </w:rPr>
            </w:pPr>
            <w:hyperlink w:anchor="page38">
              <w:r>
                <w:rPr>
                  <w:rFonts w:ascii="Arial" w:cs="Arial" w:eastAsia="Arial" w:hAnsi="Arial"/>
                  <w:sz w:val="16"/>
                  <w:szCs w:val="16"/>
                  <w:color w:val="0000FF"/>
                </w:rPr>
                <w:t>Item 1A.</w:t>
              </w:r>
            </w:hyperlink>
          </w:p>
        </w:tc>
        <w:tc>
          <w:tcPr>
            <w:tcW w:w="9840" w:type="dxa"/>
            <w:vAlign w:val="bottom"/>
            <w:gridSpan w:val="32"/>
          </w:tcPr>
          <w:p>
            <w:pPr>
              <w:ind w:left="120"/>
              <w:spacing w:after="0"/>
              <w:rPr>
                <w:rFonts w:ascii="Arial" w:cs="Arial" w:eastAsia="Arial" w:hAnsi="Arial"/>
                <w:sz w:val="16"/>
                <w:szCs w:val="16"/>
                <w:color w:val="0000FF"/>
              </w:rPr>
            </w:pPr>
            <w:hyperlink w:anchor="page38">
              <w:r>
                <w:rPr>
                  <w:rFonts w:ascii="Arial" w:cs="Arial" w:eastAsia="Arial" w:hAnsi="Arial"/>
                  <w:sz w:val="16"/>
                  <w:szCs w:val="16"/>
                  <w:color w:val="0000FF"/>
                </w:rPr>
                <w:t>Risk Factors</w:t>
              </w:r>
            </w:hyperlink>
          </w:p>
        </w:tc>
        <w:tc>
          <w:tcPr>
            <w:tcW w:w="620" w:type="dxa"/>
            <w:vAlign w:val="bottom"/>
            <w:gridSpan w:val="3"/>
          </w:tcPr>
          <w:p>
            <w:pPr>
              <w:jc w:val="right"/>
              <w:spacing w:after="0"/>
              <w:rPr>
                <w:rFonts w:ascii="Arial" w:cs="Arial" w:eastAsia="Arial" w:hAnsi="Arial"/>
                <w:sz w:val="16"/>
                <w:szCs w:val="16"/>
                <w:color w:val="0000FF"/>
              </w:rPr>
            </w:pPr>
            <w:hyperlink w:anchor="page38">
              <w:r>
                <w:rPr>
                  <w:rFonts w:ascii="Arial" w:cs="Arial" w:eastAsia="Arial" w:hAnsi="Arial"/>
                  <w:sz w:val="16"/>
                  <w:szCs w:val="16"/>
                  <w:color w:val="0000FF"/>
                </w:rPr>
                <w:t>37</w:t>
              </w:r>
            </w:hyperlink>
          </w:p>
        </w:tc>
        <w:tc>
          <w:tcPr>
            <w:tcW w:w="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740" w:type="dxa"/>
            <w:vAlign w:val="bottom"/>
            <w:gridSpan w:val="3"/>
            <w:shd w:val="clear" w:color="auto" w:fill="B2B2B2"/>
          </w:tcPr>
          <w:p>
            <w:pPr>
              <w:spacing w:after="0"/>
              <w:rPr>
                <w:rFonts w:ascii="Arial" w:cs="Arial" w:eastAsia="Arial" w:hAnsi="Arial"/>
                <w:sz w:val="16"/>
                <w:szCs w:val="16"/>
                <w:color w:val="0000FF"/>
              </w:rPr>
            </w:pPr>
            <w:hyperlink w:anchor="page38">
              <w:r>
                <w:rPr>
                  <w:rFonts w:ascii="Arial" w:cs="Arial" w:eastAsia="Arial" w:hAnsi="Arial"/>
                  <w:sz w:val="16"/>
                  <w:szCs w:val="16"/>
                  <w:color w:val="0000FF"/>
                </w:rPr>
                <w:t>Item 2.</w:t>
              </w:r>
            </w:hyperlink>
          </w:p>
        </w:tc>
        <w:tc>
          <w:tcPr>
            <w:tcW w:w="9840" w:type="dxa"/>
            <w:vAlign w:val="bottom"/>
            <w:gridSpan w:val="32"/>
            <w:shd w:val="clear" w:color="auto" w:fill="B2B2B2"/>
          </w:tcPr>
          <w:p>
            <w:pPr>
              <w:ind w:left="120"/>
              <w:spacing w:after="0"/>
              <w:rPr>
                <w:rFonts w:ascii="Arial" w:cs="Arial" w:eastAsia="Arial" w:hAnsi="Arial"/>
                <w:sz w:val="16"/>
                <w:szCs w:val="16"/>
                <w:color w:val="0000FF"/>
              </w:rPr>
            </w:pPr>
            <w:hyperlink w:anchor="page38">
              <w:r>
                <w:rPr>
                  <w:rFonts w:ascii="Arial" w:cs="Arial" w:eastAsia="Arial" w:hAnsi="Arial"/>
                  <w:sz w:val="16"/>
                  <w:szCs w:val="16"/>
                  <w:color w:val="0000FF"/>
                </w:rPr>
                <w:t>Unregistered Sales of Equity Securities and Use of Proceeds</w:t>
              </w:r>
            </w:hyperlink>
          </w:p>
        </w:tc>
        <w:tc>
          <w:tcPr>
            <w:tcW w:w="620" w:type="dxa"/>
            <w:vAlign w:val="bottom"/>
            <w:gridSpan w:val="3"/>
            <w:shd w:val="clear" w:color="auto" w:fill="B2B2B2"/>
          </w:tcPr>
          <w:p>
            <w:pPr>
              <w:jc w:val="right"/>
              <w:spacing w:after="0"/>
              <w:rPr>
                <w:rFonts w:ascii="Arial" w:cs="Arial" w:eastAsia="Arial" w:hAnsi="Arial"/>
                <w:sz w:val="16"/>
                <w:szCs w:val="16"/>
                <w:color w:val="0000FF"/>
              </w:rPr>
            </w:pPr>
            <w:hyperlink w:anchor="page38">
              <w:r>
                <w:rPr>
                  <w:rFonts w:ascii="Arial" w:cs="Arial" w:eastAsia="Arial" w:hAnsi="Arial"/>
                  <w:sz w:val="16"/>
                  <w:szCs w:val="16"/>
                  <w:color w:val="0000FF"/>
                </w:rPr>
                <w:t>37</w:t>
              </w:r>
            </w:hyperlink>
          </w:p>
        </w:tc>
        <w:tc>
          <w:tcPr>
            <w:tcW w:w="20" w:type="dxa"/>
            <w:vAlign w:val="bottom"/>
            <w:shd w:val="clear" w:color="auto" w:fill="B2B2B2"/>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18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70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0000FF"/>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100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00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44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740" w:type="dxa"/>
            <w:vAlign w:val="bottom"/>
            <w:gridSpan w:val="3"/>
          </w:tcPr>
          <w:p>
            <w:pPr>
              <w:spacing w:after="0"/>
              <w:rPr>
                <w:rFonts w:ascii="Arial" w:cs="Arial" w:eastAsia="Arial" w:hAnsi="Arial"/>
                <w:sz w:val="16"/>
                <w:szCs w:val="16"/>
                <w:color w:val="0000FF"/>
              </w:rPr>
            </w:pPr>
            <w:hyperlink w:anchor="page39">
              <w:r>
                <w:rPr>
                  <w:rFonts w:ascii="Arial" w:cs="Arial" w:eastAsia="Arial" w:hAnsi="Arial"/>
                  <w:sz w:val="16"/>
                  <w:szCs w:val="16"/>
                  <w:color w:val="0000FF"/>
                </w:rPr>
                <w:t>Item 3.</w:t>
              </w:r>
            </w:hyperlink>
          </w:p>
        </w:tc>
        <w:tc>
          <w:tcPr>
            <w:tcW w:w="9840" w:type="dxa"/>
            <w:vAlign w:val="bottom"/>
            <w:gridSpan w:val="32"/>
          </w:tcPr>
          <w:p>
            <w:pPr>
              <w:ind w:left="120"/>
              <w:spacing w:after="0"/>
              <w:rPr>
                <w:rFonts w:ascii="Arial" w:cs="Arial" w:eastAsia="Arial" w:hAnsi="Arial"/>
                <w:sz w:val="16"/>
                <w:szCs w:val="16"/>
                <w:color w:val="0000FF"/>
              </w:rPr>
            </w:pPr>
            <w:hyperlink w:anchor="page39">
              <w:r>
                <w:rPr>
                  <w:rFonts w:ascii="Arial" w:cs="Arial" w:eastAsia="Arial" w:hAnsi="Arial"/>
                  <w:sz w:val="16"/>
                  <w:szCs w:val="16"/>
                  <w:color w:val="0000FF"/>
                </w:rPr>
                <w:t>Defaults upon Senior Securities</w:t>
              </w:r>
            </w:hyperlink>
          </w:p>
        </w:tc>
        <w:tc>
          <w:tcPr>
            <w:tcW w:w="620" w:type="dxa"/>
            <w:vAlign w:val="bottom"/>
            <w:gridSpan w:val="3"/>
          </w:tcPr>
          <w:p>
            <w:pPr>
              <w:jc w:val="right"/>
              <w:spacing w:after="0"/>
              <w:rPr>
                <w:rFonts w:ascii="Arial" w:cs="Arial" w:eastAsia="Arial" w:hAnsi="Arial"/>
                <w:sz w:val="16"/>
                <w:szCs w:val="16"/>
                <w:color w:val="0000FF"/>
              </w:rPr>
            </w:pPr>
            <w:hyperlink w:anchor="page39">
              <w:r>
                <w:rPr>
                  <w:rFonts w:ascii="Arial" w:cs="Arial" w:eastAsia="Arial" w:hAnsi="Arial"/>
                  <w:sz w:val="16"/>
                  <w:szCs w:val="16"/>
                  <w:color w:val="0000FF"/>
                </w:rPr>
                <w:t>38</w:t>
              </w:r>
            </w:hyperlink>
          </w:p>
        </w:tc>
        <w:tc>
          <w:tcPr>
            <w:tcW w:w="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740" w:type="dxa"/>
            <w:vAlign w:val="bottom"/>
            <w:gridSpan w:val="3"/>
            <w:shd w:val="clear" w:color="auto" w:fill="B2B2B2"/>
          </w:tcPr>
          <w:p>
            <w:pPr>
              <w:spacing w:after="0"/>
              <w:rPr>
                <w:rFonts w:ascii="Arial" w:cs="Arial" w:eastAsia="Arial" w:hAnsi="Arial"/>
                <w:sz w:val="16"/>
                <w:szCs w:val="16"/>
                <w:color w:val="0000FF"/>
              </w:rPr>
            </w:pPr>
            <w:hyperlink w:anchor="page39">
              <w:r>
                <w:rPr>
                  <w:rFonts w:ascii="Arial" w:cs="Arial" w:eastAsia="Arial" w:hAnsi="Arial"/>
                  <w:sz w:val="16"/>
                  <w:szCs w:val="16"/>
                  <w:color w:val="0000FF"/>
                </w:rPr>
                <w:t>Item 4.</w:t>
              </w:r>
            </w:hyperlink>
          </w:p>
        </w:tc>
        <w:tc>
          <w:tcPr>
            <w:tcW w:w="9840" w:type="dxa"/>
            <w:vAlign w:val="bottom"/>
            <w:gridSpan w:val="32"/>
            <w:shd w:val="clear" w:color="auto" w:fill="B2B2B2"/>
          </w:tcPr>
          <w:p>
            <w:pPr>
              <w:ind w:left="120"/>
              <w:spacing w:after="0"/>
              <w:rPr>
                <w:rFonts w:ascii="Arial" w:cs="Arial" w:eastAsia="Arial" w:hAnsi="Arial"/>
                <w:sz w:val="16"/>
                <w:szCs w:val="16"/>
                <w:color w:val="0000FF"/>
              </w:rPr>
            </w:pPr>
            <w:hyperlink w:anchor="page39">
              <w:r>
                <w:rPr>
                  <w:rFonts w:ascii="Arial" w:cs="Arial" w:eastAsia="Arial" w:hAnsi="Arial"/>
                  <w:sz w:val="16"/>
                  <w:szCs w:val="16"/>
                  <w:color w:val="0000FF"/>
                </w:rPr>
                <w:t>Mine Safety Disclosures</w:t>
              </w:r>
            </w:hyperlink>
          </w:p>
        </w:tc>
        <w:tc>
          <w:tcPr>
            <w:tcW w:w="620" w:type="dxa"/>
            <w:vAlign w:val="bottom"/>
            <w:gridSpan w:val="3"/>
            <w:shd w:val="clear" w:color="auto" w:fill="B2B2B2"/>
          </w:tcPr>
          <w:p>
            <w:pPr>
              <w:jc w:val="right"/>
              <w:spacing w:after="0"/>
              <w:rPr>
                <w:rFonts w:ascii="Arial" w:cs="Arial" w:eastAsia="Arial" w:hAnsi="Arial"/>
                <w:sz w:val="16"/>
                <w:szCs w:val="16"/>
                <w:color w:val="0000FF"/>
              </w:rPr>
            </w:pPr>
            <w:hyperlink w:anchor="page39">
              <w:r>
                <w:rPr>
                  <w:rFonts w:ascii="Arial" w:cs="Arial" w:eastAsia="Arial" w:hAnsi="Arial"/>
                  <w:sz w:val="16"/>
                  <w:szCs w:val="16"/>
                  <w:color w:val="0000FF"/>
                </w:rPr>
                <w:t>38</w:t>
              </w:r>
            </w:hyperlink>
          </w:p>
        </w:tc>
        <w:tc>
          <w:tcPr>
            <w:tcW w:w="20" w:type="dxa"/>
            <w:vAlign w:val="bottom"/>
            <w:shd w:val="clear" w:color="auto" w:fill="B2B2B2"/>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18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70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100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00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44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740" w:type="dxa"/>
            <w:vAlign w:val="bottom"/>
            <w:gridSpan w:val="3"/>
          </w:tcPr>
          <w:p>
            <w:pPr>
              <w:spacing w:after="0"/>
              <w:rPr>
                <w:rFonts w:ascii="Arial" w:cs="Arial" w:eastAsia="Arial" w:hAnsi="Arial"/>
                <w:sz w:val="16"/>
                <w:szCs w:val="16"/>
                <w:color w:val="0000FF"/>
              </w:rPr>
            </w:pPr>
            <w:hyperlink w:anchor="page39">
              <w:r>
                <w:rPr>
                  <w:rFonts w:ascii="Arial" w:cs="Arial" w:eastAsia="Arial" w:hAnsi="Arial"/>
                  <w:sz w:val="16"/>
                  <w:szCs w:val="16"/>
                  <w:color w:val="0000FF"/>
                </w:rPr>
                <w:t>Item 5.</w:t>
              </w:r>
            </w:hyperlink>
          </w:p>
        </w:tc>
        <w:tc>
          <w:tcPr>
            <w:tcW w:w="9840" w:type="dxa"/>
            <w:vAlign w:val="bottom"/>
            <w:gridSpan w:val="32"/>
          </w:tcPr>
          <w:p>
            <w:pPr>
              <w:ind w:left="120"/>
              <w:spacing w:after="0"/>
              <w:rPr>
                <w:rFonts w:ascii="Arial" w:cs="Arial" w:eastAsia="Arial" w:hAnsi="Arial"/>
                <w:sz w:val="16"/>
                <w:szCs w:val="16"/>
                <w:color w:val="0000FF"/>
              </w:rPr>
            </w:pPr>
            <w:hyperlink w:anchor="page39">
              <w:r>
                <w:rPr>
                  <w:rFonts w:ascii="Arial" w:cs="Arial" w:eastAsia="Arial" w:hAnsi="Arial"/>
                  <w:sz w:val="16"/>
                  <w:szCs w:val="16"/>
                  <w:color w:val="0000FF"/>
                </w:rPr>
                <w:t>Other Information</w:t>
              </w:r>
            </w:hyperlink>
          </w:p>
        </w:tc>
        <w:tc>
          <w:tcPr>
            <w:tcW w:w="620" w:type="dxa"/>
            <w:vAlign w:val="bottom"/>
            <w:gridSpan w:val="3"/>
          </w:tcPr>
          <w:p>
            <w:pPr>
              <w:jc w:val="right"/>
              <w:spacing w:after="0"/>
              <w:rPr>
                <w:rFonts w:ascii="Arial" w:cs="Arial" w:eastAsia="Arial" w:hAnsi="Arial"/>
                <w:sz w:val="16"/>
                <w:szCs w:val="16"/>
                <w:color w:val="0000FF"/>
              </w:rPr>
            </w:pPr>
            <w:hyperlink w:anchor="page39">
              <w:r>
                <w:rPr>
                  <w:rFonts w:ascii="Arial" w:cs="Arial" w:eastAsia="Arial" w:hAnsi="Arial"/>
                  <w:sz w:val="16"/>
                  <w:szCs w:val="16"/>
                  <w:color w:val="0000FF"/>
                </w:rPr>
                <w:t>38</w:t>
              </w:r>
            </w:hyperlink>
          </w:p>
        </w:tc>
        <w:tc>
          <w:tcPr>
            <w:tcW w:w="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20" w:type="dxa"/>
            <w:vAlign w:val="bottom"/>
            <w:shd w:val="clear" w:color="auto" w:fill="B2B2B2"/>
          </w:tcPr>
          <w:p>
            <w:pPr>
              <w:spacing w:after="0"/>
              <w:rPr>
                <w:sz w:val="19"/>
                <w:szCs w:val="19"/>
                <w:color w:val="auto"/>
              </w:rPr>
            </w:pPr>
          </w:p>
        </w:tc>
        <w:tc>
          <w:tcPr>
            <w:tcW w:w="740" w:type="dxa"/>
            <w:vAlign w:val="bottom"/>
            <w:gridSpan w:val="3"/>
            <w:shd w:val="clear" w:color="auto" w:fill="B2B2B2"/>
          </w:tcPr>
          <w:p>
            <w:pPr>
              <w:spacing w:after="0"/>
              <w:rPr>
                <w:rFonts w:ascii="Arial" w:cs="Arial" w:eastAsia="Arial" w:hAnsi="Arial"/>
                <w:sz w:val="16"/>
                <w:szCs w:val="16"/>
                <w:color w:val="0000FF"/>
              </w:rPr>
            </w:pPr>
            <w:hyperlink w:anchor="page39">
              <w:r>
                <w:rPr>
                  <w:rFonts w:ascii="Arial" w:cs="Arial" w:eastAsia="Arial" w:hAnsi="Arial"/>
                  <w:sz w:val="16"/>
                  <w:szCs w:val="16"/>
                  <w:color w:val="0000FF"/>
                </w:rPr>
                <w:t>Item 6.</w:t>
              </w:r>
            </w:hyperlink>
          </w:p>
        </w:tc>
        <w:tc>
          <w:tcPr>
            <w:tcW w:w="9840" w:type="dxa"/>
            <w:vAlign w:val="bottom"/>
            <w:gridSpan w:val="32"/>
            <w:shd w:val="clear" w:color="auto" w:fill="B2B2B2"/>
          </w:tcPr>
          <w:p>
            <w:pPr>
              <w:ind w:left="120"/>
              <w:spacing w:after="0"/>
              <w:rPr>
                <w:rFonts w:ascii="Arial" w:cs="Arial" w:eastAsia="Arial" w:hAnsi="Arial"/>
                <w:sz w:val="16"/>
                <w:szCs w:val="16"/>
                <w:color w:val="0000FF"/>
              </w:rPr>
            </w:pPr>
            <w:hyperlink w:anchor="page39">
              <w:r>
                <w:rPr>
                  <w:rFonts w:ascii="Arial" w:cs="Arial" w:eastAsia="Arial" w:hAnsi="Arial"/>
                  <w:sz w:val="16"/>
                  <w:szCs w:val="16"/>
                  <w:color w:val="0000FF"/>
                </w:rPr>
                <w:t>Exhibits</w:t>
              </w:r>
            </w:hyperlink>
          </w:p>
        </w:tc>
        <w:tc>
          <w:tcPr>
            <w:tcW w:w="620" w:type="dxa"/>
            <w:vAlign w:val="bottom"/>
            <w:gridSpan w:val="3"/>
            <w:shd w:val="clear" w:color="auto" w:fill="B2B2B2"/>
          </w:tcPr>
          <w:p>
            <w:pPr>
              <w:jc w:val="right"/>
              <w:spacing w:after="0"/>
              <w:rPr>
                <w:rFonts w:ascii="Arial" w:cs="Arial" w:eastAsia="Arial" w:hAnsi="Arial"/>
                <w:sz w:val="16"/>
                <w:szCs w:val="16"/>
                <w:color w:val="0000FF"/>
              </w:rPr>
            </w:pPr>
            <w:hyperlink w:anchor="page39">
              <w:r>
                <w:rPr>
                  <w:rFonts w:ascii="Arial" w:cs="Arial" w:eastAsia="Arial" w:hAnsi="Arial"/>
                  <w:sz w:val="16"/>
                  <w:szCs w:val="16"/>
                  <w:color w:val="0000FF"/>
                </w:rPr>
                <w:t>38</w:t>
              </w:r>
            </w:hyperlink>
          </w:p>
        </w:tc>
        <w:tc>
          <w:tcPr>
            <w:tcW w:w="20" w:type="dxa"/>
            <w:vAlign w:val="bottom"/>
            <w:shd w:val="clear" w:color="auto" w:fill="B2B2B2"/>
          </w:tcPr>
          <w:p>
            <w:pPr>
              <w:spacing w:after="0"/>
              <w:rPr>
                <w:sz w:val="19"/>
                <w:szCs w:val="19"/>
                <w:color w:val="auto"/>
              </w:rPr>
            </w:pPr>
          </w:p>
        </w:tc>
      </w:tr>
      <w:tr>
        <w:trPr>
          <w:trHeight w:val="1006"/>
        </w:trPr>
        <w:tc>
          <w:tcPr>
            <w:tcW w:w="20" w:type="dxa"/>
            <w:vAlign w:val="bottom"/>
            <w:tcBorders>
              <w:top w:val="single" w:sz="8" w:color="B2B2B2"/>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B2B2B2"/>
              <w:bottom w:val="single" w:sz="8" w:color="9A9A9A"/>
            </w:tcBorders>
          </w:tcPr>
          <w:p>
            <w:pPr>
              <w:spacing w:after="0"/>
              <w:rPr>
                <w:sz w:val="24"/>
                <w:szCs w:val="24"/>
                <w:color w:val="auto"/>
              </w:rPr>
            </w:pPr>
          </w:p>
        </w:tc>
        <w:tc>
          <w:tcPr>
            <w:tcW w:w="140" w:type="dxa"/>
            <w:vAlign w:val="bottom"/>
            <w:tcBorders>
              <w:top w:val="single" w:sz="8" w:color="B2B2B2"/>
              <w:bottom w:val="single" w:sz="8" w:color="9A9A9A"/>
            </w:tcBorders>
          </w:tcPr>
          <w:p>
            <w:pPr>
              <w:spacing w:after="0"/>
              <w:rPr>
                <w:sz w:val="24"/>
                <w:szCs w:val="24"/>
                <w:color w:val="auto"/>
              </w:rPr>
            </w:pPr>
          </w:p>
        </w:tc>
        <w:tc>
          <w:tcPr>
            <w:tcW w:w="120" w:type="dxa"/>
            <w:vAlign w:val="bottom"/>
            <w:tcBorders>
              <w:top w:val="single" w:sz="8" w:color="B2B2B2"/>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B2B2B2"/>
              <w:bottom w:val="single" w:sz="8" w:color="9A9A9A"/>
            </w:tcBorders>
          </w:tcPr>
          <w:p>
            <w:pPr>
              <w:spacing w:after="0"/>
              <w:rPr>
                <w:sz w:val="24"/>
                <w:szCs w:val="24"/>
                <w:color w:val="auto"/>
              </w:rPr>
            </w:pPr>
          </w:p>
        </w:tc>
        <w:tc>
          <w:tcPr>
            <w:tcW w:w="360" w:type="dxa"/>
            <w:vAlign w:val="bottom"/>
            <w:tcBorders>
              <w:top w:val="single" w:sz="8" w:color="B2B2B2"/>
              <w:bottom w:val="single" w:sz="8" w:color="9A9A9A"/>
            </w:tcBorders>
          </w:tcPr>
          <w:p>
            <w:pPr>
              <w:spacing w:after="0"/>
              <w:rPr>
                <w:sz w:val="24"/>
                <w:szCs w:val="24"/>
                <w:color w:val="auto"/>
              </w:rPr>
            </w:pPr>
          </w:p>
        </w:tc>
        <w:tc>
          <w:tcPr>
            <w:tcW w:w="80" w:type="dxa"/>
            <w:vAlign w:val="bottom"/>
            <w:tcBorders>
              <w:top w:val="single" w:sz="8" w:color="B2B2B2"/>
              <w:bottom w:val="single" w:sz="8" w:color="9A9A9A"/>
            </w:tcBorders>
          </w:tcPr>
          <w:p>
            <w:pPr>
              <w:spacing w:after="0"/>
              <w:rPr>
                <w:sz w:val="24"/>
                <w:szCs w:val="24"/>
                <w:color w:val="auto"/>
              </w:rPr>
            </w:pPr>
          </w:p>
        </w:tc>
        <w:tc>
          <w:tcPr>
            <w:tcW w:w="160" w:type="dxa"/>
            <w:vAlign w:val="bottom"/>
            <w:tcBorders>
              <w:top w:val="single" w:sz="8" w:color="B2B2B2"/>
              <w:bottom w:val="single" w:sz="8" w:color="9A9A9A"/>
            </w:tcBorders>
          </w:tcPr>
          <w:p>
            <w:pPr>
              <w:spacing w:after="0"/>
              <w:rPr>
                <w:sz w:val="24"/>
                <w:szCs w:val="24"/>
                <w:color w:val="auto"/>
              </w:rPr>
            </w:pPr>
          </w:p>
        </w:tc>
        <w:tc>
          <w:tcPr>
            <w:tcW w:w="240" w:type="dxa"/>
            <w:vAlign w:val="bottom"/>
            <w:tcBorders>
              <w:top w:val="single" w:sz="8" w:color="B2B2B2"/>
              <w:bottom w:val="single" w:sz="8" w:color="9A9A9A"/>
            </w:tcBorders>
          </w:tcPr>
          <w:p>
            <w:pPr>
              <w:spacing w:after="0"/>
              <w:rPr>
                <w:sz w:val="24"/>
                <w:szCs w:val="24"/>
                <w:color w:val="auto"/>
              </w:rPr>
            </w:pPr>
          </w:p>
        </w:tc>
        <w:tc>
          <w:tcPr>
            <w:tcW w:w="40" w:type="dxa"/>
            <w:vAlign w:val="bottom"/>
            <w:tcBorders>
              <w:top w:val="single" w:sz="8" w:color="B2B2B2"/>
              <w:bottom w:val="single" w:sz="8" w:color="9A9A9A"/>
            </w:tcBorders>
          </w:tcPr>
          <w:p>
            <w:pPr>
              <w:spacing w:after="0"/>
              <w:rPr>
                <w:sz w:val="24"/>
                <w:szCs w:val="24"/>
                <w:color w:val="auto"/>
              </w:rPr>
            </w:pPr>
          </w:p>
        </w:tc>
        <w:tc>
          <w:tcPr>
            <w:tcW w:w="220" w:type="dxa"/>
            <w:vAlign w:val="bottom"/>
            <w:tcBorders>
              <w:top w:val="single" w:sz="8" w:color="B2B2B2"/>
              <w:bottom w:val="single" w:sz="8" w:color="9A9A9A"/>
            </w:tcBorders>
          </w:tcPr>
          <w:p>
            <w:pPr>
              <w:spacing w:after="0"/>
              <w:rPr>
                <w:sz w:val="24"/>
                <w:szCs w:val="24"/>
                <w:color w:val="auto"/>
              </w:rPr>
            </w:pPr>
          </w:p>
        </w:tc>
        <w:tc>
          <w:tcPr>
            <w:tcW w:w="260" w:type="dxa"/>
            <w:vAlign w:val="bottom"/>
            <w:tcBorders>
              <w:top w:val="single" w:sz="8" w:color="B2B2B2"/>
              <w:bottom w:val="single" w:sz="8" w:color="9A9A9A"/>
            </w:tcBorders>
          </w:tcPr>
          <w:p>
            <w:pPr>
              <w:spacing w:after="0"/>
              <w:rPr>
                <w:sz w:val="24"/>
                <w:szCs w:val="24"/>
                <w:color w:val="auto"/>
              </w:rPr>
            </w:pPr>
          </w:p>
        </w:tc>
        <w:tc>
          <w:tcPr>
            <w:tcW w:w="260" w:type="dxa"/>
            <w:vAlign w:val="bottom"/>
            <w:tcBorders>
              <w:top w:val="single" w:sz="8" w:color="B2B2B2"/>
              <w:bottom w:val="single" w:sz="8" w:color="9A9A9A"/>
            </w:tcBorders>
          </w:tcPr>
          <w:p>
            <w:pPr>
              <w:spacing w:after="0"/>
              <w:rPr>
                <w:sz w:val="24"/>
                <w:szCs w:val="24"/>
                <w:color w:val="auto"/>
              </w:rPr>
            </w:pPr>
          </w:p>
        </w:tc>
        <w:tc>
          <w:tcPr>
            <w:tcW w:w="180" w:type="dxa"/>
            <w:vAlign w:val="bottom"/>
            <w:tcBorders>
              <w:top w:val="single" w:sz="8" w:color="B2B2B2"/>
              <w:bottom w:val="single" w:sz="8" w:color="9A9A9A"/>
            </w:tcBorders>
          </w:tcPr>
          <w:p>
            <w:pPr>
              <w:spacing w:after="0"/>
              <w:rPr>
                <w:sz w:val="24"/>
                <w:szCs w:val="24"/>
                <w:color w:val="auto"/>
              </w:rPr>
            </w:pPr>
          </w:p>
        </w:tc>
        <w:tc>
          <w:tcPr>
            <w:tcW w:w="240" w:type="dxa"/>
            <w:vAlign w:val="bottom"/>
            <w:tcBorders>
              <w:top w:val="single" w:sz="8" w:color="B2B2B2"/>
              <w:bottom w:val="single" w:sz="8" w:color="9A9A9A"/>
            </w:tcBorders>
          </w:tcPr>
          <w:p>
            <w:pPr>
              <w:spacing w:after="0"/>
              <w:rPr>
                <w:sz w:val="24"/>
                <w:szCs w:val="24"/>
                <w:color w:val="auto"/>
              </w:rPr>
            </w:pPr>
          </w:p>
        </w:tc>
        <w:tc>
          <w:tcPr>
            <w:tcW w:w="100" w:type="dxa"/>
            <w:vAlign w:val="bottom"/>
            <w:tcBorders>
              <w:top w:val="single" w:sz="8" w:color="B2B2B2"/>
              <w:bottom w:val="single" w:sz="8" w:color="9A9A9A"/>
            </w:tcBorders>
          </w:tcPr>
          <w:p>
            <w:pPr>
              <w:spacing w:after="0"/>
              <w:rPr>
                <w:sz w:val="24"/>
                <w:szCs w:val="24"/>
                <w:color w:val="auto"/>
              </w:rPr>
            </w:pPr>
          </w:p>
        </w:tc>
        <w:tc>
          <w:tcPr>
            <w:tcW w:w="700" w:type="dxa"/>
            <w:vAlign w:val="bottom"/>
            <w:tcBorders>
              <w:top w:val="single" w:sz="8" w:color="B2B2B2"/>
              <w:bottom w:val="single" w:sz="8" w:color="9A9A9A"/>
            </w:tcBorders>
          </w:tcPr>
          <w:p>
            <w:pPr>
              <w:spacing w:after="0"/>
              <w:rPr>
                <w:sz w:val="24"/>
                <w:szCs w:val="24"/>
                <w:color w:val="auto"/>
              </w:rPr>
            </w:pPr>
          </w:p>
        </w:tc>
        <w:tc>
          <w:tcPr>
            <w:tcW w:w="240" w:type="dxa"/>
            <w:vAlign w:val="bottom"/>
            <w:tcBorders>
              <w:top w:val="single" w:sz="8" w:color="B2B2B2"/>
              <w:bottom w:val="single" w:sz="8" w:color="9A9A9A"/>
            </w:tcBorders>
          </w:tcPr>
          <w:p>
            <w:pPr>
              <w:spacing w:after="0"/>
              <w:rPr>
                <w:sz w:val="24"/>
                <w:szCs w:val="24"/>
                <w:color w:val="auto"/>
              </w:rPr>
            </w:pPr>
          </w:p>
        </w:tc>
        <w:tc>
          <w:tcPr>
            <w:tcW w:w="240" w:type="dxa"/>
            <w:vAlign w:val="bottom"/>
            <w:tcBorders>
              <w:top w:val="single" w:sz="8" w:color="B2B2B2"/>
              <w:bottom w:val="single" w:sz="8" w:color="9A9A9A"/>
            </w:tcBorders>
          </w:tcPr>
          <w:p>
            <w:pPr>
              <w:spacing w:after="0"/>
              <w:rPr>
                <w:sz w:val="24"/>
                <w:szCs w:val="24"/>
                <w:color w:val="auto"/>
              </w:rPr>
            </w:pPr>
          </w:p>
        </w:tc>
        <w:tc>
          <w:tcPr>
            <w:tcW w:w="80" w:type="dxa"/>
            <w:vAlign w:val="bottom"/>
            <w:tcBorders>
              <w:top w:val="single" w:sz="8" w:color="B2B2B2"/>
              <w:bottom w:val="single" w:sz="8" w:color="9A9A9A"/>
            </w:tcBorders>
          </w:tcPr>
          <w:p>
            <w:pPr>
              <w:spacing w:after="0"/>
              <w:rPr>
                <w:sz w:val="24"/>
                <w:szCs w:val="24"/>
                <w:color w:val="auto"/>
              </w:rPr>
            </w:pPr>
          </w:p>
        </w:tc>
        <w:tc>
          <w:tcPr>
            <w:tcW w:w="40" w:type="dxa"/>
            <w:vAlign w:val="bottom"/>
            <w:tcBorders>
              <w:top w:val="single" w:sz="8" w:color="B2B2B2"/>
              <w:bottom w:val="single" w:sz="8" w:color="9A9A9A"/>
            </w:tcBorders>
          </w:tcPr>
          <w:p>
            <w:pPr>
              <w:spacing w:after="0"/>
              <w:rPr>
                <w:sz w:val="24"/>
                <w:szCs w:val="24"/>
                <w:color w:val="auto"/>
              </w:rPr>
            </w:pPr>
          </w:p>
        </w:tc>
        <w:tc>
          <w:tcPr>
            <w:tcW w:w="20" w:type="dxa"/>
            <w:vAlign w:val="bottom"/>
            <w:tcBorders>
              <w:top w:val="single" w:sz="8" w:color="B2B2B2"/>
              <w:bottom w:val="single" w:sz="8" w:color="9A9A9A"/>
            </w:tcBorders>
          </w:tcPr>
          <w:p>
            <w:pPr>
              <w:spacing w:after="0"/>
              <w:rPr>
                <w:sz w:val="24"/>
                <w:szCs w:val="24"/>
                <w:color w:val="auto"/>
              </w:rPr>
            </w:pPr>
          </w:p>
        </w:tc>
        <w:tc>
          <w:tcPr>
            <w:tcW w:w="500" w:type="dxa"/>
            <w:vAlign w:val="bottom"/>
            <w:tcBorders>
              <w:top w:val="single" w:sz="8" w:color="B2B2B2"/>
              <w:bottom w:val="single" w:sz="8" w:color="9A9A9A"/>
            </w:tcBorders>
          </w:tcPr>
          <w:p>
            <w:pPr>
              <w:spacing w:after="0"/>
              <w:rPr>
                <w:sz w:val="24"/>
                <w:szCs w:val="24"/>
                <w:color w:val="auto"/>
              </w:rPr>
            </w:pPr>
          </w:p>
        </w:tc>
        <w:tc>
          <w:tcPr>
            <w:tcW w:w="240" w:type="dxa"/>
            <w:vAlign w:val="bottom"/>
            <w:tcBorders>
              <w:top w:val="single" w:sz="8" w:color="B2B2B2"/>
              <w:bottom w:val="single" w:sz="8" w:color="9A9A9A"/>
            </w:tcBorders>
          </w:tcPr>
          <w:p>
            <w:pPr>
              <w:spacing w:after="0"/>
              <w:rPr>
                <w:sz w:val="24"/>
                <w:szCs w:val="24"/>
                <w:color w:val="auto"/>
              </w:rPr>
            </w:pPr>
          </w:p>
        </w:tc>
        <w:tc>
          <w:tcPr>
            <w:tcW w:w="220" w:type="dxa"/>
            <w:vAlign w:val="bottom"/>
            <w:tcBorders>
              <w:top w:val="single" w:sz="8" w:color="B2B2B2"/>
              <w:bottom w:val="single" w:sz="8" w:color="9A9A9A"/>
            </w:tcBorders>
          </w:tcPr>
          <w:p>
            <w:pPr>
              <w:spacing w:after="0"/>
              <w:rPr>
                <w:sz w:val="24"/>
                <w:szCs w:val="24"/>
                <w:color w:val="auto"/>
              </w:rPr>
            </w:pPr>
          </w:p>
        </w:tc>
        <w:tc>
          <w:tcPr>
            <w:tcW w:w="1000" w:type="dxa"/>
            <w:vAlign w:val="bottom"/>
            <w:tcBorders>
              <w:top w:val="single" w:sz="8" w:color="B2B2B2"/>
              <w:bottom w:val="single" w:sz="8" w:color="9A9A9A"/>
            </w:tcBorders>
          </w:tcPr>
          <w:p>
            <w:pPr>
              <w:spacing w:after="0"/>
              <w:rPr>
                <w:sz w:val="24"/>
                <w:szCs w:val="24"/>
                <w:color w:val="auto"/>
              </w:rPr>
            </w:pPr>
          </w:p>
        </w:tc>
        <w:tc>
          <w:tcPr>
            <w:tcW w:w="40" w:type="dxa"/>
            <w:vAlign w:val="bottom"/>
            <w:tcBorders>
              <w:top w:val="single" w:sz="8" w:color="B2B2B2"/>
              <w:bottom w:val="single" w:sz="8" w:color="9A9A9A"/>
            </w:tcBorders>
          </w:tcPr>
          <w:p>
            <w:pPr>
              <w:spacing w:after="0"/>
              <w:rPr>
                <w:sz w:val="24"/>
                <w:szCs w:val="24"/>
                <w:color w:val="auto"/>
              </w:rPr>
            </w:pPr>
          </w:p>
        </w:tc>
        <w:tc>
          <w:tcPr>
            <w:tcW w:w="80" w:type="dxa"/>
            <w:vAlign w:val="bottom"/>
            <w:tcBorders>
              <w:top w:val="single" w:sz="8" w:color="B2B2B2"/>
              <w:bottom w:val="single" w:sz="8" w:color="9A9A9A"/>
            </w:tcBorders>
          </w:tcPr>
          <w:p>
            <w:pPr>
              <w:spacing w:after="0"/>
              <w:rPr>
                <w:sz w:val="24"/>
                <w:szCs w:val="24"/>
                <w:color w:val="auto"/>
              </w:rPr>
            </w:pPr>
          </w:p>
        </w:tc>
        <w:tc>
          <w:tcPr>
            <w:tcW w:w="120" w:type="dxa"/>
            <w:vAlign w:val="bottom"/>
            <w:tcBorders>
              <w:top w:val="single" w:sz="8" w:color="B2B2B2"/>
              <w:bottom w:val="single" w:sz="8" w:color="9A9A9A"/>
            </w:tcBorders>
          </w:tcPr>
          <w:p>
            <w:pPr>
              <w:spacing w:after="0"/>
              <w:rPr>
                <w:sz w:val="24"/>
                <w:szCs w:val="24"/>
                <w:color w:val="auto"/>
              </w:rPr>
            </w:pPr>
          </w:p>
        </w:tc>
        <w:tc>
          <w:tcPr>
            <w:tcW w:w="120" w:type="dxa"/>
            <w:vAlign w:val="bottom"/>
            <w:tcBorders>
              <w:top w:val="single" w:sz="8" w:color="B2B2B2"/>
              <w:bottom w:val="single" w:sz="8" w:color="9A9A9A"/>
            </w:tcBorders>
          </w:tcPr>
          <w:p>
            <w:pPr>
              <w:spacing w:after="0"/>
              <w:rPr>
                <w:sz w:val="24"/>
                <w:szCs w:val="24"/>
                <w:color w:val="auto"/>
              </w:rPr>
            </w:pPr>
          </w:p>
        </w:tc>
        <w:tc>
          <w:tcPr>
            <w:tcW w:w="240" w:type="dxa"/>
            <w:vAlign w:val="bottom"/>
            <w:tcBorders>
              <w:top w:val="single" w:sz="8" w:color="B2B2B2"/>
              <w:bottom w:val="single" w:sz="8" w:color="9A9A9A"/>
            </w:tcBorders>
          </w:tcPr>
          <w:p>
            <w:pPr>
              <w:spacing w:after="0"/>
              <w:rPr>
                <w:sz w:val="24"/>
                <w:szCs w:val="24"/>
                <w:color w:val="auto"/>
              </w:rPr>
            </w:pPr>
          </w:p>
        </w:tc>
        <w:tc>
          <w:tcPr>
            <w:tcW w:w="1000" w:type="dxa"/>
            <w:vAlign w:val="bottom"/>
            <w:tcBorders>
              <w:top w:val="single" w:sz="8" w:color="B2B2B2"/>
              <w:bottom w:val="single" w:sz="8" w:color="9A9A9A"/>
            </w:tcBorders>
          </w:tcPr>
          <w:p>
            <w:pPr>
              <w:spacing w:after="0"/>
              <w:rPr>
                <w:sz w:val="24"/>
                <w:szCs w:val="24"/>
                <w:color w:val="auto"/>
              </w:rPr>
            </w:pPr>
          </w:p>
        </w:tc>
        <w:tc>
          <w:tcPr>
            <w:tcW w:w="360" w:type="dxa"/>
            <w:vAlign w:val="bottom"/>
            <w:tcBorders>
              <w:top w:val="single" w:sz="8" w:color="B2B2B2"/>
              <w:bottom w:val="single" w:sz="8" w:color="9A9A9A"/>
            </w:tcBorders>
          </w:tcPr>
          <w:p>
            <w:pPr>
              <w:spacing w:after="0"/>
              <w:rPr>
                <w:sz w:val="24"/>
                <w:szCs w:val="24"/>
                <w:color w:val="auto"/>
              </w:rPr>
            </w:pPr>
          </w:p>
        </w:tc>
        <w:tc>
          <w:tcPr>
            <w:tcW w:w="1440" w:type="dxa"/>
            <w:vAlign w:val="bottom"/>
            <w:tcBorders>
              <w:top w:val="single" w:sz="8" w:color="B2B2B2"/>
              <w:bottom w:val="single" w:sz="8" w:color="9A9A9A"/>
            </w:tcBorders>
          </w:tcPr>
          <w:p>
            <w:pPr>
              <w:spacing w:after="0"/>
              <w:rPr>
                <w:sz w:val="24"/>
                <w:szCs w:val="24"/>
                <w:color w:val="auto"/>
              </w:rPr>
            </w:pPr>
          </w:p>
        </w:tc>
        <w:tc>
          <w:tcPr>
            <w:tcW w:w="440" w:type="dxa"/>
            <w:vAlign w:val="bottom"/>
            <w:tcBorders>
              <w:top w:val="single" w:sz="8" w:color="B2B2B2"/>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B2B2B2"/>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 w:name="page4"/>
    <w:bookmarkEnd w:id="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6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260" w:type="dxa"/>
            <w:vAlign w:val="bottom"/>
            <w:gridSpan w:val="4"/>
          </w:tcPr>
          <w:p>
            <w:pPr>
              <w:jc w:val="right"/>
              <w:ind w:right="519"/>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60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r>
      <w:tr>
        <w:trPr>
          <w:trHeight w:val="183"/>
        </w:trPr>
        <w:tc>
          <w:tcPr>
            <w:tcW w:w="60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w w:val="96"/>
              </w:rPr>
              <w:t>2020</w:t>
            </w:r>
          </w:p>
        </w:tc>
      </w:tr>
      <w:tr>
        <w:trPr>
          <w:trHeight w:val="210"/>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232,442</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211,999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689,322</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673,753</w:t>
            </w:r>
          </w:p>
        </w:tc>
      </w:tr>
      <w:tr>
        <w:trPr>
          <w:trHeight w:val="213"/>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140,400</w:t>
            </w: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124,697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407,006</w:t>
            </w: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393,999</w:t>
            </w:r>
          </w:p>
        </w:tc>
      </w:tr>
      <w:tr>
        <w:trPr>
          <w:trHeight w:val="240"/>
        </w:trPr>
        <w:tc>
          <w:tcPr>
            <w:tcW w:w="60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92,042</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87,302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282,316</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279,754</w:t>
            </w:r>
          </w:p>
        </w:tc>
      </w:tr>
      <w:tr>
        <w:trPr>
          <w:trHeight w:val="219"/>
        </w:trPr>
        <w:tc>
          <w:tcPr>
            <w:tcW w:w="6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Selling, general, and administrative expenses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37,696</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116,899</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118,167</w:t>
            </w:r>
          </w:p>
        </w:tc>
      </w:tr>
      <w:tr>
        <w:trPr>
          <w:trHeight w:val="213"/>
        </w:trPr>
        <w:tc>
          <w:tcPr>
            <w:tcW w:w="6060" w:type="dxa"/>
            <w:vAlign w:val="bottom"/>
          </w:tcPr>
          <w:p>
            <w:pPr>
              <w:ind w:left="140"/>
              <w:spacing w:after="0"/>
              <w:rPr>
                <w:sz w:val="20"/>
                <w:szCs w:val="20"/>
                <w:color w:val="auto"/>
              </w:rPr>
            </w:pPr>
            <w:r>
              <w:rPr>
                <w:rFonts w:ascii="Arial" w:cs="Arial" w:eastAsia="Arial" w:hAnsi="Arial"/>
                <w:sz w:val="16"/>
                <w:szCs w:val="16"/>
                <w:color w:val="auto"/>
              </w:rPr>
              <w:t>Technical and research expenses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9,673</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8,301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28,916</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26,304</w:t>
            </w:r>
          </w:p>
        </w:tc>
      </w:tr>
      <w:tr>
        <w:trPr>
          <w:trHeight w:val="216"/>
        </w:trPr>
        <w:tc>
          <w:tcPr>
            <w:tcW w:w="6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Restructuring expenses, net</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4,189</w:t>
            </w:r>
          </w:p>
        </w:tc>
      </w:tr>
      <w:tr>
        <w:trPr>
          <w:trHeight w:val="239"/>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44,486</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38,773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136,271</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131,094</w:t>
            </w:r>
          </w:p>
        </w:tc>
      </w:tr>
      <w:tr>
        <w:trPr>
          <w:trHeight w:val="213"/>
        </w:trPr>
        <w:tc>
          <w:tcPr>
            <w:tcW w:w="6060" w:type="dxa"/>
            <w:vAlign w:val="bottom"/>
          </w:tcPr>
          <w:p>
            <w:pPr>
              <w:ind w:left="140"/>
              <w:spacing w:after="0"/>
              <w:rPr>
                <w:sz w:val="20"/>
                <w:szCs w:val="20"/>
                <w:color w:val="auto"/>
              </w:rPr>
            </w:pPr>
            <w:r>
              <w:rPr>
                <w:rFonts w:ascii="Arial" w:cs="Arial" w:eastAsia="Arial" w:hAnsi="Arial"/>
                <w:sz w:val="16"/>
                <w:szCs w:val="16"/>
                <w:color w:val="auto"/>
              </w:rPr>
              <w:t>Interest expense, net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3,734</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2,242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11,521</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10,042</w:t>
            </w:r>
          </w:p>
        </w:tc>
      </w:tr>
      <w:tr>
        <w:trPr>
          <w:trHeight w:val="219"/>
        </w:trPr>
        <w:tc>
          <w:tcPr>
            <w:tcW w:w="6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Aviation Manufacturing Jobs Protection (AMJP) grant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(5,832)</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(5,832)</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060" w:type="dxa"/>
            <w:vAlign w:val="bottom"/>
          </w:tcPr>
          <w:p>
            <w:pPr>
              <w:ind w:left="140"/>
              <w:spacing w:after="0"/>
              <w:rPr>
                <w:sz w:val="20"/>
                <w:szCs w:val="20"/>
                <w:color w:val="auto"/>
              </w:rPr>
            </w:pPr>
            <w:r>
              <w:rPr>
                <w:rFonts w:ascii="Arial" w:cs="Arial" w:eastAsia="Arial" w:hAnsi="Arial"/>
                <w:sz w:val="16"/>
                <w:szCs w:val="16"/>
                <w:color w:val="auto"/>
              </w:rPr>
              <w:t>Other expense/(income), net</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2,753</w:t>
            </w:r>
          </w:p>
        </w:tc>
        <w:tc>
          <w:tcPr>
            <w:tcW w:w="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(2,745)</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4,215</w:t>
            </w:r>
          </w:p>
        </w:tc>
        <w:tc>
          <w:tcPr>
            <w:tcW w:w="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13,915</w:t>
            </w:r>
          </w:p>
        </w:tc>
      </w:tr>
      <w:tr>
        <w:trPr>
          <w:trHeight w:val="239"/>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43,831</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39,276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126,367</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107,137</w:t>
            </w:r>
          </w:p>
        </w:tc>
      </w:tr>
      <w:tr>
        <w:trPr>
          <w:trHeight w:val="213"/>
        </w:trPr>
        <w:tc>
          <w:tcPr>
            <w:tcW w:w="60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Income tax expense</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12,889</w:t>
            </w: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9,686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36,375</w:t>
            </w: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37,504</w:t>
            </w:r>
          </w:p>
        </w:tc>
      </w:tr>
      <w:tr>
        <w:trPr>
          <w:trHeight w:val="240"/>
        </w:trPr>
        <w:tc>
          <w:tcPr>
            <w:tcW w:w="60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30,942</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29,590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89,992</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69,633</w:t>
            </w: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income/(loss) attributable to the noncontrolling interest</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(1,419)</w:t>
            </w: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Net income attributable to the Company</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30,862</w:t>
            </w:r>
          </w:p>
        </w:tc>
        <w:tc>
          <w:tcPr>
            <w:tcW w:w="140" w:type="dxa"/>
            <w:vAlign w:val="bottom"/>
          </w:tcPr>
          <w:p>
            <w:pPr>
              <w:spacing w:after="0"/>
              <w:rPr>
                <w:sz w:val="18"/>
                <w:szCs w:val="18"/>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29,589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89,842</w:t>
            </w:r>
          </w:p>
        </w:tc>
        <w:tc>
          <w:tcPr>
            <w:tcW w:w="14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71,052</w:t>
            </w: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3"/>
        </w:trPr>
        <w:tc>
          <w:tcPr>
            <w:tcW w:w="6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Earnings per share attributable to Company shareholders - Basic</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0.95</w:t>
            </w:r>
          </w:p>
        </w:tc>
        <w:tc>
          <w:tcPr>
            <w:tcW w:w="140" w:type="dxa"/>
            <w:vAlign w:val="bottom"/>
          </w:tcPr>
          <w:p>
            <w:pPr>
              <w:spacing w:after="0"/>
              <w:rPr>
                <w:sz w:val="18"/>
                <w:szCs w:val="18"/>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0.92</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2.78</w:t>
            </w:r>
          </w:p>
        </w:tc>
        <w:tc>
          <w:tcPr>
            <w:tcW w:w="14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2.20</w:t>
            </w:r>
          </w:p>
        </w:tc>
      </w:tr>
      <w:tr>
        <w:trPr>
          <w:trHeight w:val="260"/>
        </w:trPr>
        <w:tc>
          <w:tcPr>
            <w:tcW w:w="60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Earnings per share attributable to Company shareholders - Diluted</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0.95</w:t>
            </w:r>
          </w:p>
        </w:tc>
        <w:tc>
          <w:tcPr>
            <w:tcW w:w="140" w:type="dxa"/>
            <w:vAlign w:val="bottom"/>
          </w:tcPr>
          <w:p>
            <w:pPr>
              <w:spacing w:after="0"/>
              <w:rPr>
                <w:sz w:val="18"/>
                <w:szCs w:val="18"/>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0.91</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2.77</w:t>
            </w:r>
          </w:p>
        </w:tc>
        <w:tc>
          <w:tcPr>
            <w:tcW w:w="14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2.20</w:t>
            </w:r>
          </w:p>
        </w:tc>
      </w:tr>
      <w:tr>
        <w:trPr>
          <w:trHeight w:val="260"/>
        </w:trPr>
        <w:tc>
          <w:tcPr>
            <w:tcW w:w="60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Shares of the Company used in computing earnings per share:</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6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32,381</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32,369</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32,326</w:t>
            </w:r>
          </w:p>
        </w:tc>
      </w:tr>
      <w:tr>
        <w:trPr>
          <w:trHeight w:val="256"/>
        </w:trPr>
        <w:tc>
          <w:tcPr>
            <w:tcW w:w="6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16"/>
        </w:trPr>
        <w:tc>
          <w:tcPr>
            <w:tcW w:w="6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32,434</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32,344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32,424</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32,333</w:t>
            </w:r>
          </w:p>
        </w:tc>
      </w:tr>
      <w:tr>
        <w:trPr>
          <w:trHeight w:val="256"/>
        </w:trPr>
        <w:tc>
          <w:tcPr>
            <w:tcW w:w="6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declared per share, Class A and Class B</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0.57</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 w:name="page5"/>
    <w:bookmarkEnd w:id="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3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Nine Months Ended</w:t>
            </w:r>
          </w:p>
        </w:tc>
      </w:tr>
      <w:tr>
        <w:trPr>
          <w:trHeight w:val="176"/>
        </w:trPr>
        <w:tc>
          <w:tcPr>
            <w:tcW w:w="58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5"/>
                <w:szCs w:val="15"/>
                <w:color w:val="auto"/>
              </w:rPr>
            </w:pPr>
          </w:p>
        </w:tc>
      </w:tr>
      <w:tr>
        <w:trPr>
          <w:trHeight w:val="183"/>
        </w:trPr>
        <w:tc>
          <w:tcPr>
            <w:tcW w:w="58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2020</w:t>
            </w:r>
          </w:p>
        </w:tc>
      </w:tr>
      <w:tr>
        <w:trPr>
          <w:trHeight w:val="209"/>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30,942</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29,590</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89,992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69,633</w:t>
            </w:r>
          </w:p>
        </w:tc>
      </w:tr>
      <w:tr>
        <w:trPr>
          <w:trHeight w:val="257"/>
        </w:trPr>
        <w:tc>
          <w:tcPr>
            <w:tcW w:w="5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income/(loss), before tax:</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3"/>
        </w:trPr>
        <w:tc>
          <w:tcPr>
            <w:tcW w:w="5860" w:type="dxa"/>
            <w:vAlign w:val="bottom"/>
          </w:tcPr>
          <w:p>
            <w:pPr>
              <w:ind w:left="140"/>
              <w:spacing w:after="0"/>
              <w:rPr>
                <w:sz w:val="20"/>
                <w:szCs w:val="20"/>
                <w:color w:val="auto"/>
              </w:rPr>
            </w:pPr>
            <w:r>
              <w:rPr>
                <w:rFonts w:ascii="Arial" w:cs="Arial" w:eastAsia="Arial" w:hAnsi="Arial"/>
                <w:sz w:val="16"/>
                <w:szCs w:val="16"/>
                <w:color w:val="auto"/>
              </w:rPr>
              <w:t>Foreign currency translation and other adjustments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(14,709)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19,249</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(16,497)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3,047</w:t>
            </w:r>
          </w:p>
        </w:tc>
      </w:tr>
      <w:tr>
        <w:trPr>
          <w:trHeight w:val="219"/>
        </w:trPr>
        <w:tc>
          <w:tcPr>
            <w:tcW w:w="5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Pension/postretirement settlements and curtailments</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w:t>
            </w:r>
          </w:p>
        </w:tc>
      </w:tr>
      <w:tr>
        <w:trPr>
          <w:trHeight w:val="213"/>
        </w:trPr>
        <w:tc>
          <w:tcPr>
            <w:tcW w:w="5860" w:type="dxa"/>
            <w:vAlign w:val="bottom"/>
          </w:tcPr>
          <w:p>
            <w:pPr>
              <w:ind w:left="140"/>
              <w:spacing w:after="0"/>
              <w:rPr>
                <w:sz w:val="20"/>
                <w:szCs w:val="20"/>
                <w:color w:val="auto"/>
              </w:rPr>
            </w:pPr>
            <w:r>
              <w:rPr>
                <w:rFonts w:ascii="Arial" w:cs="Arial" w:eastAsia="Arial" w:hAnsi="Arial"/>
                <w:sz w:val="16"/>
                <w:szCs w:val="16"/>
                <w:color w:val="auto"/>
              </w:rPr>
              <w:t>Amortization of pension liability adjustments: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5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Prior service cost/ (credit)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(3,342)</w:t>
            </w:r>
          </w:p>
        </w:tc>
      </w:tr>
      <w:tr>
        <w:trPr>
          <w:trHeight w:val="213"/>
        </w:trPr>
        <w:tc>
          <w:tcPr>
            <w:tcW w:w="5860" w:type="dxa"/>
            <w:vAlign w:val="bottom"/>
          </w:tcPr>
          <w:p>
            <w:pPr>
              <w:ind w:left="220"/>
              <w:spacing w:after="0"/>
              <w:rPr>
                <w:sz w:val="20"/>
                <w:szCs w:val="20"/>
                <w:color w:val="auto"/>
              </w:rPr>
            </w:pPr>
            <w:r>
              <w:rPr>
                <w:rFonts w:ascii="Arial" w:cs="Arial" w:eastAsia="Arial" w:hAnsi="Arial"/>
                <w:sz w:val="16"/>
                <w:szCs w:val="16"/>
                <w:color w:val="auto"/>
              </w:rPr>
              <w:t>Net actuarial loss/ (gain)</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1,103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1,244</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3,320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3,720</w:t>
            </w:r>
          </w:p>
        </w:tc>
      </w:tr>
      <w:tr>
        <w:trPr>
          <w:trHeight w:val="219"/>
        </w:trPr>
        <w:tc>
          <w:tcPr>
            <w:tcW w:w="5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and amortization related to interest rate swaps included in earnings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1,219</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2,742</w:t>
            </w:r>
          </w:p>
        </w:tc>
      </w:tr>
      <w:tr>
        <w:trPr>
          <w:trHeight w:val="213"/>
        </w:trPr>
        <w:tc>
          <w:tcPr>
            <w:tcW w:w="5860" w:type="dxa"/>
            <w:vAlign w:val="bottom"/>
          </w:tcPr>
          <w:p>
            <w:pPr>
              <w:ind w:left="140"/>
              <w:spacing w:after="0"/>
              <w:rPr>
                <w:sz w:val="20"/>
                <w:szCs w:val="20"/>
                <w:color w:val="auto"/>
              </w:rPr>
            </w:pPr>
            <w:r>
              <w:rPr>
                <w:rFonts w:ascii="Arial" w:cs="Arial" w:eastAsia="Arial" w:hAnsi="Arial"/>
                <w:sz w:val="16"/>
                <w:szCs w:val="16"/>
                <w:color w:val="auto"/>
              </w:rPr>
              <w:t>Derivative valuation adjustment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722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(385)</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(12,515)</w:t>
            </w:r>
          </w:p>
        </w:tc>
      </w:tr>
      <w:tr>
        <w:trPr>
          <w:trHeight w:val="259"/>
        </w:trPr>
        <w:tc>
          <w:tcPr>
            <w:tcW w:w="58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r>
      <w:tr>
        <w:trPr>
          <w:trHeight w:val="213"/>
        </w:trPr>
        <w:tc>
          <w:tcPr>
            <w:tcW w:w="5860" w:type="dxa"/>
            <w:vAlign w:val="bottom"/>
          </w:tcPr>
          <w:p>
            <w:pPr>
              <w:ind w:left="20"/>
              <w:spacing w:after="0"/>
              <w:rPr>
                <w:sz w:val="20"/>
                <w:szCs w:val="20"/>
                <w:color w:val="auto"/>
              </w:rPr>
            </w:pPr>
            <w:r>
              <w:rPr>
                <w:rFonts w:ascii="Arial" w:cs="Arial" w:eastAsia="Arial" w:hAnsi="Arial"/>
                <w:sz w:val="16"/>
                <w:szCs w:val="16"/>
                <w:color w:val="auto"/>
              </w:rPr>
              <w:t>Income taxes related to items of other comprehensive income/(loss):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5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Pension/postretirement settlements and curtailments</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r>
      <w:tr>
        <w:trPr>
          <w:trHeight w:val="213"/>
        </w:trPr>
        <w:tc>
          <w:tcPr>
            <w:tcW w:w="5860" w:type="dxa"/>
            <w:vAlign w:val="bottom"/>
          </w:tcPr>
          <w:p>
            <w:pPr>
              <w:ind w:left="140"/>
              <w:spacing w:after="0"/>
              <w:rPr>
                <w:sz w:val="20"/>
                <w:szCs w:val="20"/>
                <w:color w:val="auto"/>
              </w:rPr>
            </w:pPr>
            <w:r>
              <w:rPr>
                <w:rFonts w:ascii="Arial" w:cs="Arial" w:eastAsia="Arial" w:hAnsi="Arial"/>
                <w:sz w:val="16"/>
                <w:szCs w:val="16"/>
                <w:color w:val="auto"/>
              </w:rPr>
              <w:t>Amortization of prior service cost/ (credit)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274</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1,007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831</w:t>
            </w:r>
          </w:p>
        </w:tc>
      </w:tr>
      <w:tr>
        <w:trPr>
          <w:trHeight w:val="219"/>
        </w:trPr>
        <w:tc>
          <w:tcPr>
            <w:tcW w:w="5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net actuarial loss/ (gain)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w:t>
            </w:r>
          </w:p>
        </w:tc>
      </w:tr>
      <w:tr>
        <w:trPr>
          <w:trHeight w:val="213"/>
        </w:trPr>
        <w:tc>
          <w:tcPr>
            <w:tcW w:w="5860" w:type="dxa"/>
            <w:vAlign w:val="bottom"/>
          </w:tcPr>
          <w:p>
            <w:pPr>
              <w:ind w:left="140"/>
              <w:spacing w:after="0"/>
              <w:rPr>
                <w:sz w:val="20"/>
                <w:szCs w:val="20"/>
                <w:color w:val="auto"/>
              </w:rPr>
            </w:pPr>
            <w:r>
              <w:rPr>
                <w:rFonts w:ascii="Arial" w:cs="Arial" w:eastAsia="Arial" w:hAnsi="Arial"/>
                <w:sz w:val="16"/>
                <w:szCs w:val="16"/>
                <w:color w:val="auto"/>
              </w:rPr>
              <w:t>Payments and amortization related to interest rate swaps included in earnings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(311)</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(1,304)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(701)</w:t>
            </w:r>
          </w:p>
        </w:tc>
      </w:tr>
      <w:tr>
        <w:trPr>
          <w:trHeight w:val="243"/>
        </w:trPr>
        <w:tc>
          <w:tcPr>
            <w:tcW w:w="5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Derivative valuation adjustment</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2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3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3,200</w:t>
            </w:r>
          </w:p>
        </w:tc>
      </w:tr>
      <w:tr>
        <w:trPr>
          <w:trHeight w:val="209"/>
        </w:trPr>
        <w:tc>
          <w:tcPr>
            <w:tcW w:w="5860" w:type="dxa"/>
            <w:vAlign w:val="bottom"/>
          </w:tcPr>
          <w:p>
            <w:pPr>
              <w:ind w:left="140"/>
              <w:spacing w:after="0"/>
              <w:rPr>
                <w:sz w:val="20"/>
                <w:szCs w:val="20"/>
                <w:color w:val="auto"/>
              </w:rPr>
            </w:pPr>
            <w:r>
              <w:rPr>
                <w:rFonts w:ascii="Arial" w:cs="Arial" w:eastAsia="Arial" w:hAnsi="Arial"/>
                <w:sz w:val="16"/>
                <w:szCs w:val="16"/>
                <w:color w:val="auto"/>
              </w:rPr>
              <w:t>Comprehensive income/(loss)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18,095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49,558</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77,489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65,955</w:t>
            </w: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income/(loss) attributable to the noncontrolling interest</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(957)</w:t>
            </w:r>
          </w:p>
        </w:tc>
      </w:tr>
      <w:tr>
        <w:trPr>
          <w:trHeight w:val="213"/>
        </w:trPr>
        <w:tc>
          <w:tcPr>
            <w:tcW w:w="5860" w:type="dxa"/>
            <w:vAlign w:val="bottom"/>
          </w:tcPr>
          <w:p>
            <w:pPr>
              <w:ind w:left="20"/>
              <w:spacing w:after="0"/>
              <w:rPr>
                <w:sz w:val="20"/>
                <w:szCs w:val="20"/>
                <w:color w:val="auto"/>
              </w:rPr>
            </w:pPr>
            <w:r>
              <w:rPr>
                <w:rFonts w:ascii="Arial" w:cs="Arial" w:eastAsia="Arial" w:hAnsi="Arial"/>
                <w:sz w:val="16"/>
                <w:szCs w:val="16"/>
                <w:color w:val="auto"/>
              </w:rPr>
              <w:t>Comprehensive income/(loss) attributable to the Company</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18,207</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49,356</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77,558</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66,912</w:t>
            </w:r>
          </w:p>
        </w:tc>
      </w:tr>
      <w:tr>
        <w:trPr>
          <w:trHeight w:val="20"/>
        </w:trPr>
        <w:tc>
          <w:tcPr>
            <w:tcW w:w="5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5" w:name="page6"/>
    <w:bookmarkEnd w:id="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85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9"/>
        </w:trPr>
        <w:tc>
          <w:tcPr>
            <w:tcW w:w="8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520" w:type="dxa"/>
            <w:vAlign w:val="bottom"/>
          </w:tcPr>
          <w:p>
            <w:pPr>
              <w:ind w:left="140"/>
              <w:spacing w:after="0"/>
              <w:rPr>
                <w:sz w:val="20"/>
                <w:szCs w:val="20"/>
                <w:color w:val="auto"/>
              </w:rPr>
            </w:pPr>
            <w:r>
              <w:rPr>
                <w:rFonts w:ascii="Arial" w:cs="Arial" w:eastAsia="Arial" w:hAnsi="Arial"/>
                <w:sz w:val="14"/>
                <w:szCs w:val="14"/>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286,217</w:t>
            </w:r>
          </w:p>
        </w:tc>
        <w:tc>
          <w:tcPr>
            <w:tcW w:w="1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241,316</w:t>
            </w: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receivable, net</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199,124</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188,423</w:t>
            </w:r>
          </w:p>
        </w:tc>
        <w:tc>
          <w:tcPr>
            <w:tcW w:w="0" w:type="dxa"/>
            <w:vAlign w:val="bottom"/>
          </w:tcPr>
          <w:p>
            <w:pPr>
              <w:spacing w:after="0"/>
              <w:rPr>
                <w:sz w:val="1"/>
                <w:szCs w:val="1"/>
                <w:color w:val="auto"/>
              </w:rPr>
            </w:pPr>
          </w:p>
        </w:tc>
      </w:tr>
      <w:tr>
        <w:trPr>
          <w:trHeight w:val="189"/>
        </w:trPr>
        <w:tc>
          <w:tcPr>
            <w:tcW w:w="8520" w:type="dxa"/>
            <w:vAlign w:val="bottom"/>
          </w:tcPr>
          <w:p>
            <w:pPr>
              <w:ind w:left="140"/>
              <w:spacing w:after="0"/>
              <w:rPr>
                <w:sz w:val="20"/>
                <w:szCs w:val="20"/>
                <w:color w:val="auto"/>
              </w:rPr>
            </w:pPr>
            <w:r>
              <w:rPr>
                <w:rFonts w:ascii="Arial" w:cs="Arial" w:eastAsia="Arial" w:hAnsi="Arial"/>
                <w:sz w:val="14"/>
                <w:szCs w:val="14"/>
                <w:color w:val="auto"/>
              </w:rPr>
              <w:t>Contract assets, net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115,924</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139,289</w:t>
            </w: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Inventories</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118,129</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110,478</w:t>
            </w:r>
          </w:p>
        </w:tc>
        <w:tc>
          <w:tcPr>
            <w:tcW w:w="0" w:type="dxa"/>
            <w:vAlign w:val="bottom"/>
          </w:tcPr>
          <w:p>
            <w:pPr>
              <w:spacing w:after="0"/>
              <w:rPr>
                <w:sz w:val="1"/>
                <w:szCs w:val="1"/>
                <w:color w:val="auto"/>
              </w:rPr>
            </w:pPr>
          </w:p>
        </w:tc>
      </w:tr>
      <w:tr>
        <w:trPr>
          <w:trHeight w:val="189"/>
        </w:trPr>
        <w:tc>
          <w:tcPr>
            <w:tcW w:w="8520" w:type="dxa"/>
            <w:vAlign w:val="bottom"/>
          </w:tcPr>
          <w:p>
            <w:pPr>
              <w:ind w:left="140"/>
              <w:spacing w:after="0"/>
              <w:rPr>
                <w:sz w:val="20"/>
                <w:szCs w:val="20"/>
                <w:color w:val="auto"/>
              </w:rPr>
            </w:pPr>
            <w:r>
              <w:rPr>
                <w:rFonts w:ascii="Arial" w:cs="Arial" w:eastAsia="Arial" w:hAnsi="Arial"/>
                <w:sz w:val="14"/>
                <w:szCs w:val="14"/>
                <w:color w:val="auto"/>
              </w:rPr>
              <w:t>Income taxes prepaid and receivable</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3,509</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5,940</w:t>
            </w: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1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29,021</w:t>
            </w:r>
          </w:p>
        </w:tc>
        <w:tc>
          <w:tcPr>
            <w:tcW w:w="1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31,830</w:t>
            </w:r>
          </w:p>
        </w:tc>
        <w:tc>
          <w:tcPr>
            <w:tcW w:w="0" w:type="dxa"/>
            <w:vAlign w:val="bottom"/>
          </w:tcPr>
          <w:p>
            <w:pPr>
              <w:spacing w:after="0"/>
              <w:rPr>
                <w:sz w:val="1"/>
                <w:szCs w:val="1"/>
                <w:color w:val="auto"/>
              </w:rPr>
            </w:pPr>
          </w:p>
        </w:tc>
      </w:tr>
      <w:tr>
        <w:trPr>
          <w:trHeight w:val="183"/>
        </w:trPr>
        <w:tc>
          <w:tcPr>
            <w:tcW w:w="8520" w:type="dxa"/>
            <w:vAlign w:val="bottom"/>
          </w:tcPr>
          <w:p>
            <w:pPr>
              <w:ind w:left="220"/>
              <w:spacing w:after="0"/>
              <w:rPr>
                <w:sz w:val="20"/>
                <w:szCs w:val="20"/>
                <w:color w:val="auto"/>
              </w:rPr>
            </w:pPr>
            <w:r>
              <w:rPr>
                <w:rFonts w:ascii="Arial" w:cs="Arial" w:eastAsia="Arial" w:hAnsi="Arial"/>
                <w:sz w:val="14"/>
                <w:szCs w:val="14"/>
                <w:color w:val="auto"/>
              </w:rPr>
              <w:t>Total current assets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751,924</w:t>
            </w:r>
          </w:p>
        </w:tc>
        <w:tc>
          <w:tcPr>
            <w:tcW w:w="1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717,276</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520" w:type="dxa"/>
            <w:vAlign w:val="bottom"/>
          </w:tcPr>
          <w:p>
            <w:pPr>
              <w:ind w:left="140"/>
              <w:spacing w:after="0"/>
              <w:rPr>
                <w:sz w:val="20"/>
                <w:szCs w:val="20"/>
                <w:color w:val="auto"/>
              </w:rPr>
            </w:pPr>
            <w:r>
              <w:rPr>
                <w:rFonts w:ascii="Arial" w:cs="Arial" w:eastAsia="Arial" w:hAnsi="Arial"/>
                <w:sz w:val="14"/>
                <w:szCs w:val="14"/>
                <w:color w:val="auto"/>
              </w:rPr>
              <w:t>Property, plant and equipment, net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426,806</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448,554</w:t>
            </w: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Intangibles, net</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41,020</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46,869</w:t>
            </w:r>
          </w:p>
        </w:tc>
        <w:tc>
          <w:tcPr>
            <w:tcW w:w="0" w:type="dxa"/>
            <w:vAlign w:val="bottom"/>
          </w:tcPr>
          <w:p>
            <w:pPr>
              <w:spacing w:after="0"/>
              <w:rPr>
                <w:sz w:val="1"/>
                <w:szCs w:val="1"/>
                <w:color w:val="auto"/>
              </w:rPr>
            </w:pPr>
          </w:p>
        </w:tc>
      </w:tr>
      <w:tr>
        <w:trPr>
          <w:trHeight w:val="189"/>
        </w:trPr>
        <w:tc>
          <w:tcPr>
            <w:tcW w:w="8520" w:type="dxa"/>
            <w:vAlign w:val="bottom"/>
          </w:tcPr>
          <w:p>
            <w:pPr>
              <w:ind w:left="140"/>
              <w:spacing w:after="0"/>
              <w:rPr>
                <w:sz w:val="20"/>
                <w:szCs w:val="20"/>
                <w:color w:val="auto"/>
              </w:rPr>
            </w:pPr>
            <w:r>
              <w:rPr>
                <w:rFonts w:ascii="Arial" w:cs="Arial" w:eastAsia="Arial" w:hAnsi="Arial"/>
                <w:sz w:val="14"/>
                <w:szCs w:val="14"/>
                <w:color w:val="auto"/>
              </w:rPr>
              <w:t>Goodwill</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183,568</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187,553</w:t>
            </w: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income taxes</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30,538</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38,757</w:t>
            </w:r>
          </w:p>
        </w:tc>
        <w:tc>
          <w:tcPr>
            <w:tcW w:w="0" w:type="dxa"/>
            <w:vAlign w:val="bottom"/>
          </w:tcPr>
          <w:p>
            <w:pPr>
              <w:spacing w:after="0"/>
              <w:rPr>
                <w:sz w:val="1"/>
                <w:szCs w:val="1"/>
                <w:color w:val="auto"/>
              </w:rPr>
            </w:pPr>
          </w:p>
        </w:tc>
      </w:tr>
      <w:tr>
        <w:trPr>
          <w:trHeight w:val="189"/>
        </w:trPr>
        <w:tc>
          <w:tcPr>
            <w:tcW w:w="8520" w:type="dxa"/>
            <w:vAlign w:val="bottom"/>
          </w:tcPr>
          <w:p>
            <w:pPr>
              <w:ind w:left="140"/>
              <w:spacing w:after="0"/>
              <w:rPr>
                <w:sz w:val="20"/>
                <w:szCs w:val="20"/>
                <w:color w:val="auto"/>
              </w:rPr>
            </w:pPr>
            <w:r>
              <w:rPr>
                <w:rFonts w:ascii="Arial" w:cs="Arial" w:eastAsia="Arial" w:hAnsi="Arial"/>
                <w:sz w:val="14"/>
                <w:szCs w:val="14"/>
                <w:color w:val="auto"/>
              </w:rPr>
              <w:t>Noncurrent receivables, net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33,471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36,265</w:t>
            </w: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assets</w:t>
            </w:r>
          </w:p>
        </w:tc>
        <w:tc>
          <w:tcPr>
            <w:tcW w:w="1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72,916</w:t>
            </w:r>
          </w:p>
        </w:tc>
        <w:tc>
          <w:tcPr>
            <w:tcW w:w="1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74,662</w:t>
            </w:r>
          </w:p>
        </w:tc>
        <w:tc>
          <w:tcPr>
            <w:tcW w:w="0" w:type="dxa"/>
            <w:vAlign w:val="bottom"/>
          </w:tcPr>
          <w:p>
            <w:pPr>
              <w:spacing w:after="0"/>
              <w:rPr>
                <w:sz w:val="1"/>
                <w:szCs w:val="1"/>
                <w:color w:val="auto"/>
              </w:rPr>
            </w:pPr>
          </w:p>
        </w:tc>
      </w:tr>
      <w:tr>
        <w:trPr>
          <w:trHeight w:val="183"/>
        </w:trPr>
        <w:tc>
          <w:tcPr>
            <w:tcW w:w="8520" w:type="dxa"/>
            <w:vAlign w:val="bottom"/>
          </w:tcPr>
          <w:p>
            <w:pPr>
              <w:ind w:left="220"/>
              <w:spacing w:after="0"/>
              <w:rPr>
                <w:sz w:val="20"/>
                <w:szCs w:val="20"/>
                <w:color w:val="auto"/>
              </w:rPr>
            </w:pPr>
            <w:r>
              <w:rPr>
                <w:rFonts w:ascii="Arial" w:cs="Arial" w:eastAsia="Arial" w:hAnsi="Arial"/>
                <w:sz w:val="14"/>
                <w:szCs w:val="14"/>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1,540,243</w:t>
            </w:r>
          </w:p>
        </w:tc>
        <w:tc>
          <w:tcPr>
            <w:tcW w:w="14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1,549,936</w:t>
            </w:r>
          </w:p>
        </w:tc>
        <w:tc>
          <w:tcPr>
            <w:tcW w:w="0" w:type="dxa"/>
            <w:vAlign w:val="bottom"/>
          </w:tcPr>
          <w:p>
            <w:pPr>
              <w:spacing w:after="0"/>
              <w:rPr>
                <w:sz w:val="1"/>
                <w:szCs w:val="1"/>
                <w:color w:val="auto"/>
              </w:rPr>
            </w:pP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520" w:type="dxa"/>
            <w:vAlign w:val="bottom"/>
          </w:tcPr>
          <w:p>
            <w:pPr>
              <w:ind w:left="20"/>
              <w:spacing w:after="0"/>
              <w:rPr>
                <w:sz w:val="20"/>
                <w:szCs w:val="20"/>
                <w:color w:val="auto"/>
              </w:rPr>
            </w:pPr>
            <w:r>
              <w:rPr>
                <w:rFonts w:ascii="Arial" w:cs="Arial" w:eastAsia="Arial" w:hAnsi="Arial"/>
                <w:sz w:val="14"/>
                <w:szCs w:val="14"/>
                <w:color w:val="auto"/>
              </w:rPr>
              <w:t>LIABILITIES AND SHAREHOLDERS' EQUITY</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54,397</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49,173</w:t>
            </w:r>
          </w:p>
        </w:tc>
        <w:tc>
          <w:tcPr>
            <w:tcW w:w="0" w:type="dxa"/>
            <w:vAlign w:val="bottom"/>
          </w:tcPr>
          <w:p>
            <w:pPr>
              <w:spacing w:after="0"/>
              <w:rPr>
                <w:sz w:val="1"/>
                <w:szCs w:val="1"/>
                <w:color w:val="auto"/>
              </w:rPr>
            </w:pPr>
          </w:p>
        </w:tc>
      </w:tr>
      <w:tr>
        <w:trPr>
          <w:trHeight w:val="189"/>
        </w:trPr>
        <w:tc>
          <w:tcPr>
            <w:tcW w:w="8520" w:type="dxa"/>
            <w:vAlign w:val="bottom"/>
          </w:tcPr>
          <w:p>
            <w:pPr>
              <w:ind w:left="140"/>
              <w:spacing w:after="0"/>
              <w:rPr>
                <w:sz w:val="20"/>
                <w:szCs w:val="20"/>
                <w:color w:val="auto"/>
              </w:rPr>
            </w:pPr>
            <w:r>
              <w:rPr>
                <w:rFonts w:ascii="Arial" w:cs="Arial" w:eastAsia="Arial" w:hAnsi="Arial"/>
                <w:sz w:val="14"/>
                <w:szCs w:val="14"/>
                <w:color w:val="auto"/>
              </w:rPr>
              <w:t>Accrued liabilities</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112,481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125,459</w:t>
            </w: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Current maturities of long-term debt</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9"/>
        </w:trPr>
        <w:tc>
          <w:tcPr>
            <w:tcW w:w="85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Income taxes payable</w:t>
            </w: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14,623</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16,222</w:t>
            </w:r>
          </w:p>
        </w:tc>
        <w:tc>
          <w:tcPr>
            <w:tcW w:w="0" w:type="dxa"/>
            <w:vAlign w:val="bottom"/>
          </w:tcPr>
          <w:p>
            <w:pPr>
              <w:spacing w:after="0"/>
              <w:rPr>
                <w:sz w:val="1"/>
                <w:szCs w:val="1"/>
                <w:color w:val="auto"/>
              </w:rPr>
            </w:pPr>
          </w:p>
        </w:tc>
      </w:tr>
      <w:tr>
        <w:trPr>
          <w:trHeight w:val="183"/>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current liabilities</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181,501</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190,863</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Long-term debt</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350,000</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398,000</w:t>
            </w:r>
          </w:p>
        </w:tc>
        <w:tc>
          <w:tcPr>
            <w:tcW w:w="0" w:type="dxa"/>
            <w:vAlign w:val="bottom"/>
          </w:tcPr>
          <w:p>
            <w:pPr>
              <w:spacing w:after="0"/>
              <w:rPr>
                <w:sz w:val="1"/>
                <w:szCs w:val="1"/>
                <w:color w:val="auto"/>
              </w:rPr>
            </w:pPr>
          </w:p>
        </w:tc>
      </w:tr>
      <w:tr>
        <w:trPr>
          <w:trHeight w:val="189"/>
        </w:trPr>
        <w:tc>
          <w:tcPr>
            <w:tcW w:w="8520" w:type="dxa"/>
            <w:vAlign w:val="bottom"/>
          </w:tcPr>
          <w:p>
            <w:pPr>
              <w:ind w:left="140"/>
              <w:spacing w:after="0"/>
              <w:rPr>
                <w:sz w:val="20"/>
                <w:szCs w:val="20"/>
                <w:color w:val="auto"/>
              </w:rPr>
            </w:pPr>
            <w:r>
              <w:rPr>
                <w:rFonts w:ascii="Arial" w:cs="Arial" w:eastAsia="Arial" w:hAnsi="Arial"/>
                <w:sz w:val="14"/>
                <w:szCs w:val="14"/>
                <w:color w:val="auto"/>
              </w:rPr>
              <w:t>Other noncurrent liabilities</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117,057</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130,424</w:t>
            </w: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taxes and other liabilities</w:t>
            </w:r>
          </w:p>
        </w:tc>
        <w:tc>
          <w:tcPr>
            <w:tcW w:w="1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11,352</w:t>
            </w:r>
          </w:p>
        </w:tc>
        <w:tc>
          <w:tcPr>
            <w:tcW w:w="1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10,784</w:t>
            </w:r>
          </w:p>
        </w:tc>
        <w:tc>
          <w:tcPr>
            <w:tcW w:w="0" w:type="dxa"/>
            <w:vAlign w:val="bottom"/>
          </w:tcPr>
          <w:p>
            <w:pPr>
              <w:spacing w:after="0"/>
              <w:rPr>
                <w:sz w:val="1"/>
                <w:szCs w:val="1"/>
                <w:color w:val="auto"/>
              </w:rPr>
            </w:pPr>
          </w:p>
        </w:tc>
      </w:tr>
      <w:tr>
        <w:trPr>
          <w:trHeight w:val="183"/>
        </w:trPr>
        <w:tc>
          <w:tcPr>
            <w:tcW w:w="85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liabilities</w:t>
            </w: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659,910</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730,071</w:t>
            </w:r>
          </w:p>
        </w:tc>
        <w:tc>
          <w:tcPr>
            <w:tcW w:w="0" w:type="dxa"/>
            <w:vAlign w:val="bottom"/>
          </w:tcPr>
          <w:p>
            <w:pPr>
              <w:spacing w:after="0"/>
              <w:rPr>
                <w:sz w:val="1"/>
                <w:szCs w:val="1"/>
                <w:color w:val="auto"/>
              </w:rPr>
            </w:pPr>
          </w:p>
        </w:tc>
      </w:tr>
      <w:tr>
        <w:trPr>
          <w:trHeight w:val="196"/>
        </w:trPr>
        <w:tc>
          <w:tcPr>
            <w:tcW w:w="8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520" w:type="dxa"/>
            <w:vAlign w:val="bottom"/>
          </w:tcPr>
          <w:p>
            <w:pPr>
              <w:ind w:left="20"/>
              <w:spacing w:after="0"/>
              <w:rPr>
                <w:sz w:val="20"/>
                <w:szCs w:val="20"/>
                <w:color w:val="auto"/>
              </w:rPr>
            </w:pPr>
            <w:r>
              <w:rPr>
                <w:rFonts w:ascii="Arial" w:cs="Arial" w:eastAsia="Arial" w:hAnsi="Arial"/>
                <w:sz w:val="14"/>
                <w:szCs w:val="14"/>
                <w:color w:val="auto"/>
              </w:rPr>
              <w:t>SHAREHOLDERS' EQUITY</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Preferred stock, par value $5.00 per share; authorized 2,000,000 shares; none issued</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3"/>
        </w:trPr>
        <w:tc>
          <w:tcPr>
            <w:tcW w:w="8520" w:type="dxa"/>
            <w:vAlign w:val="bottom"/>
          </w:tcPr>
          <w:p>
            <w:pPr>
              <w:ind w:left="140"/>
              <w:spacing w:after="0" w:line="153" w:lineRule="exact"/>
              <w:rPr>
                <w:sz w:val="20"/>
                <w:szCs w:val="20"/>
                <w:color w:val="auto"/>
              </w:rPr>
            </w:pPr>
            <w:r>
              <w:rPr>
                <w:rFonts w:ascii="Arial" w:cs="Arial" w:eastAsia="Arial" w:hAnsi="Arial"/>
                <w:sz w:val="14"/>
                <w:szCs w:val="14"/>
                <w:color w:val="auto"/>
              </w:rPr>
              <w:t>Class A Common Stock, par value $.001 per share; authorized 100,000,000 shares; 40,759,527 issued in 2021 and 39,115,405 in</w:t>
            </w:r>
          </w:p>
        </w:tc>
        <w:tc>
          <w:tcPr>
            <w:tcW w:w="12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41</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71"/>
        </w:trPr>
        <w:tc>
          <w:tcPr>
            <w:tcW w:w="8520" w:type="dxa"/>
            <w:vAlign w:val="bottom"/>
          </w:tcPr>
          <w:p>
            <w:pPr>
              <w:ind w:left="140"/>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52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Class B Common Stock, par value $.001 per share; authorized 25,000,000 shares; issued and outstanding 1,154 in 2021 and</w:t>
            </w:r>
          </w:p>
        </w:tc>
        <w:tc>
          <w:tcPr>
            <w:tcW w:w="12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1"/>
        </w:trPr>
        <w:tc>
          <w:tcPr>
            <w:tcW w:w="8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1,617,998 in 2020</w:t>
            </w:r>
          </w:p>
        </w:tc>
        <w:tc>
          <w:tcPr>
            <w:tcW w:w="120" w:type="dxa"/>
            <w:vAlign w:val="bottom"/>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520" w:type="dxa"/>
            <w:vAlign w:val="bottom"/>
          </w:tcPr>
          <w:p>
            <w:pPr>
              <w:ind w:left="140"/>
              <w:spacing w:after="0"/>
              <w:rPr>
                <w:sz w:val="20"/>
                <w:szCs w:val="20"/>
                <w:color w:val="auto"/>
              </w:rPr>
            </w:pPr>
            <w:r>
              <w:rPr>
                <w:rFonts w:ascii="Arial" w:cs="Arial" w:eastAsia="Arial" w:hAnsi="Arial"/>
                <w:sz w:val="14"/>
                <w:szCs w:val="14"/>
                <w:color w:val="auto"/>
              </w:rPr>
              <w:t>Additional paid in capital</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436,079</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433,696</w:t>
            </w: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Retained earnings</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841,162</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770,746</w:t>
            </w:r>
          </w:p>
        </w:tc>
        <w:tc>
          <w:tcPr>
            <w:tcW w:w="0" w:type="dxa"/>
            <w:vAlign w:val="bottom"/>
          </w:tcPr>
          <w:p>
            <w:pPr>
              <w:spacing w:after="0"/>
              <w:rPr>
                <w:sz w:val="1"/>
                <w:szCs w:val="1"/>
                <w:color w:val="auto"/>
              </w:rPr>
            </w:pPr>
          </w:p>
        </w:tc>
      </w:tr>
      <w:tr>
        <w:trPr>
          <w:trHeight w:val="189"/>
        </w:trPr>
        <w:tc>
          <w:tcPr>
            <w:tcW w:w="8520" w:type="dxa"/>
            <w:vAlign w:val="bottom"/>
          </w:tcPr>
          <w:p>
            <w:pPr>
              <w:ind w:left="140"/>
              <w:spacing w:after="0"/>
              <w:rPr>
                <w:sz w:val="20"/>
                <w:szCs w:val="20"/>
                <w:color w:val="auto"/>
              </w:rPr>
            </w:pPr>
            <w:r>
              <w:rPr>
                <w:rFonts w:ascii="Arial" w:cs="Arial" w:eastAsia="Arial" w:hAnsi="Arial"/>
                <w:sz w:val="14"/>
                <w:szCs w:val="14"/>
                <w:color w:val="auto"/>
              </w:rPr>
              <w:t>Accumulated items of other comprehensive income:</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Translation adjustments</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(100,327)</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(83,203)</w:t>
            </w:r>
          </w:p>
        </w:tc>
        <w:tc>
          <w:tcPr>
            <w:tcW w:w="0" w:type="dxa"/>
            <w:vAlign w:val="bottom"/>
          </w:tcPr>
          <w:p>
            <w:pPr>
              <w:spacing w:after="0"/>
              <w:rPr>
                <w:sz w:val="1"/>
                <w:szCs w:val="1"/>
                <w:color w:val="auto"/>
              </w:rPr>
            </w:pPr>
          </w:p>
        </w:tc>
      </w:tr>
      <w:tr>
        <w:trPr>
          <w:trHeight w:val="189"/>
        </w:trPr>
        <w:tc>
          <w:tcPr>
            <w:tcW w:w="8520" w:type="dxa"/>
            <w:vAlign w:val="bottom"/>
          </w:tcPr>
          <w:p>
            <w:pPr>
              <w:ind w:left="220"/>
              <w:spacing w:after="0"/>
              <w:rPr>
                <w:sz w:val="20"/>
                <w:szCs w:val="20"/>
                <w:color w:val="auto"/>
              </w:rPr>
            </w:pPr>
            <w:r>
              <w:rPr>
                <w:rFonts w:ascii="Arial" w:cs="Arial" w:eastAsia="Arial" w:hAnsi="Arial"/>
                <w:sz w:val="14"/>
                <w:szCs w:val="14"/>
                <w:color w:val="auto"/>
              </w:rPr>
              <w:t>Pension and postretirement liability adjustments</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(39,059)</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(39,661)</w:t>
            </w: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Derivative valuation adjustment</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(5,525)</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(9,544)</w:t>
            </w:r>
          </w:p>
        </w:tc>
        <w:tc>
          <w:tcPr>
            <w:tcW w:w="0" w:type="dxa"/>
            <w:vAlign w:val="bottom"/>
          </w:tcPr>
          <w:p>
            <w:pPr>
              <w:spacing w:after="0"/>
              <w:rPr>
                <w:sz w:val="1"/>
                <w:szCs w:val="1"/>
                <w:color w:val="auto"/>
              </w:rPr>
            </w:pPr>
          </w:p>
        </w:tc>
      </w:tr>
      <w:tr>
        <w:trPr>
          <w:trHeight w:val="189"/>
        </w:trPr>
        <w:tc>
          <w:tcPr>
            <w:tcW w:w="85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Treasury stock (Class A), at cost; 8,379,804 shares in 2021 and 8,391,011 shares in 2020</w:t>
            </w: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(255,768)</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(256,009)</w:t>
            </w:r>
          </w:p>
        </w:tc>
        <w:tc>
          <w:tcPr>
            <w:tcW w:w="0" w:type="dxa"/>
            <w:vAlign w:val="bottom"/>
          </w:tcPr>
          <w:p>
            <w:pPr>
              <w:spacing w:after="0"/>
              <w:rPr>
                <w:sz w:val="1"/>
                <w:szCs w:val="1"/>
                <w:color w:val="auto"/>
              </w:rPr>
            </w:pPr>
          </w:p>
        </w:tc>
      </w:tr>
      <w:tr>
        <w:trPr>
          <w:trHeight w:val="183"/>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Company shareholders' equity</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876,603</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816,066</w:t>
            </w:r>
          </w:p>
        </w:tc>
        <w:tc>
          <w:tcPr>
            <w:tcW w:w="0" w:type="dxa"/>
            <w:vAlign w:val="bottom"/>
          </w:tcPr>
          <w:p>
            <w:pPr>
              <w:spacing w:after="0"/>
              <w:rPr>
                <w:sz w:val="1"/>
                <w:szCs w:val="1"/>
                <w:color w:val="auto"/>
              </w:rPr>
            </w:pPr>
          </w:p>
        </w:tc>
      </w:tr>
      <w:tr>
        <w:trPr>
          <w:trHeight w:val="189"/>
        </w:trPr>
        <w:tc>
          <w:tcPr>
            <w:tcW w:w="85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Noncontrolling interest</w:t>
            </w: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3,730</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3,799</w:t>
            </w:r>
          </w:p>
        </w:tc>
        <w:tc>
          <w:tcPr>
            <w:tcW w:w="0" w:type="dxa"/>
            <w:vAlign w:val="bottom"/>
          </w:tcPr>
          <w:p>
            <w:pPr>
              <w:spacing w:after="0"/>
              <w:rPr>
                <w:sz w:val="1"/>
                <w:szCs w:val="1"/>
                <w:color w:val="auto"/>
              </w:rPr>
            </w:pPr>
          </w:p>
        </w:tc>
      </w:tr>
      <w:tr>
        <w:trPr>
          <w:trHeight w:val="183"/>
        </w:trPr>
        <w:tc>
          <w:tcPr>
            <w:tcW w:w="8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equity</w:t>
            </w:r>
          </w:p>
        </w:tc>
        <w:tc>
          <w:tcPr>
            <w:tcW w:w="1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880,333</w:t>
            </w:r>
          </w:p>
        </w:tc>
        <w:tc>
          <w:tcPr>
            <w:tcW w:w="1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819,865</w:t>
            </w:r>
          </w:p>
        </w:tc>
        <w:tc>
          <w:tcPr>
            <w:tcW w:w="0" w:type="dxa"/>
            <w:vAlign w:val="bottom"/>
          </w:tcPr>
          <w:p>
            <w:pPr>
              <w:spacing w:after="0"/>
              <w:rPr>
                <w:sz w:val="1"/>
                <w:szCs w:val="1"/>
                <w:color w:val="auto"/>
              </w:rPr>
            </w:pPr>
          </w:p>
        </w:tc>
      </w:tr>
      <w:tr>
        <w:trPr>
          <w:trHeight w:val="183"/>
        </w:trPr>
        <w:tc>
          <w:tcPr>
            <w:tcW w:w="8520" w:type="dxa"/>
            <w:vAlign w:val="bottom"/>
          </w:tcPr>
          <w:p>
            <w:pPr>
              <w:ind w:left="220"/>
              <w:spacing w:after="0"/>
              <w:rPr>
                <w:sz w:val="20"/>
                <w:szCs w:val="20"/>
                <w:color w:val="auto"/>
              </w:rPr>
            </w:pPr>
            <w:r>
              <w:rPr>
                <w:rFonts w:ascii="Arial" w:cs="Arial" w:eastAsia="Arial" w:hAnsi="Arial"/>
                <w:sz w:val="14"/>
                <w:szCs w:val="14"/>
                <w:color w:val="auto"/>
              </w:rPr>
              <w:t>Total liabilities and shareholders'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1,540,243</w:t>
            </w:r>
          </w:p>
        </w:tc>
        <w:tc>
          <w:tcPr>
            <w:tcW w:w="14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1,549,936</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6" w:name="page7"/>
    <w:bookmarkEnd w:id="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4"/>
          </w:tcPr>
          <w:p>
            <w:pPr>
              <w:jc w:val="right"/>
              <w:ind w:right="468"/>
              <w:spacing w:after="0"/>
              <w:rPr>
                <w:sz w:val="20"/>
                <w:szCs w:val="20"/>
                <w:color w:val="auto"/>
              </w:rPr>
            </w:pPr>
            <w:r>
              <w:rPr>
                <w:rFonts w:ascii="Arial" w:cs="Arial" w:eastAsia="Arial" w:hAnsi="Arial"/>
                <w:sz w:val="14"/>
                <w:szCs w:val="14"/>
                <w:b w:val="1"/>
                <w:bCs w:val="1"/>
                <w:color w:val="auto"/>
              </w:rPr>
              <w:t>Three Months Ended</w:t>
            </w:r>
          </w:p>
        </w:tc>
        <w:tc>
          <w:tcPr>
            <w:tcW w:w="2520" w:type="dxa"/>
            <w:vAlign w:val="bottom"/>
            <w:gridSpan w:val="5"/>
            <w:vMerge w:val="restart"/>
          </w:tcPr>
          <w:p>
            <w:pPr>
              <w:jc w:val="right"/>
              <w:ind w:right="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76"/>
        </w:trPr>
        <w:tc>
          <w:tcPr>
            <w:tcW w:w="6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w w:val="96"/>
              </w:rPr>
              <w:t>2020</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9"/>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ACTIVITIES</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2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30,942</w:t>
            </w:r>
          </w:p>
        </w:tc>
        <w:tc>
          <w:tcPr>
            <w:tcW w:w="10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29,590</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89,992</w:t>
            </w:r>
          </w:p>
        </w:tc>
        <w:tc>
          <w:tcPr>
            <w:tcW w:w="8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69,633</w:t>
            </w:r>
          </w:p>
        </w:tc>
        <w:tc>
          <w:tcPr>
            <w:tcW w:w="0" w:type="dxa"/>
            <w:vAlign w:val="bottom"/>
          </w:tcPr>
          <w:p>
            <w:pPr>
              <w:spacing w:after="0"/>
              <w:rPr>
                <w:sz w:val="1"/>
                <w:szCs w:val="1"/>
                <w:color w:val="auto"/>
              </w:rPr>
            </w:pPr>
          </w:p>
        </w:tc>
      </w:tr>
      <w:tr>
        <w:trPr>
          <w:trHeight w:val="189"/>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0" w:type="dxa"/>
            <w:vAlign w:val="bottom"/>
          </w:tcPr>
          <w:p>
            <w:pPr>
              <w:ind w:left="480"/>
              <w:spacing w:after="0"/>
              <w:rPr>
                <w:sz w:val="20"/>
                <w:szCs w:val="20"/>
                <w:color w:val="auto"/>
              </w:rPr>
            </w:pPr>
            <w:r>
              <w:rPr>
                <w:rFonts w:ascii="Arial" w:cs="Arial" w:eastAsia="Arial" w:hAnsi="Arial"/>
                <w:sz w:val="14"/>
                <w:szCs w:val="14"/>
                <w:color w:val="auto"/>
              </w:rPr>
              <w:t>Depreciation</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15,925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16,285</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48,485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47,289</w:t>
            </w:r>
          </w:p>
        </w:tc>
        <w:tc>
          <w:tcPr>
            <w:tcW w:w="0" w:type="dxa"/>
            <w:vAlign w:val="bottom"/>
          </w:tcPr>
          <w:p>
            <w:pPr>
              <w:spacing w:after="0"/>
              <w:rPr>
                <w:sz w:val="1"/>
                <w:szCs w:val="1"/>
                <w:color w:val="auto"/>
              </w:rPr>
            </w:pPr>
          </w:p>
        </w:tc>
      </w:tr>
      <w:tr>
        <w:trPr>
          <w:trHeight w:val="189"/>
        </w:trPr>
        <w:tc>
          <w:tcPr>
            <w:tcW w:w="62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Amortization</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2,289</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1,997</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6,862</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7,017</w:t>
            </w:r>
          </w:p>
        </w:tc>
        <w:tc>
          <w:tcPr>
            <w:tcW w:w="0" w:type="dxa"/>
            <w:vAlign w:val="bottom"/>
          </w:tcPr>
          <w:p>
            <w:pPr>
              <w:spacing w:after="0"/>
              <w:rPr>
                <w:sz w:val="1"/>
                <w:szCs w:val="1"/>
                <w:color w:val="auto"/>
              </w:rPr>
            </w:pPr>
          </w:p>
        </w:tc>
      </w:tr>
      <w:tr>
        <w:trPr>
          <w:trHeight w:val="189"/>
        </w:trPr>
        <w:tc>
          <w:tcPr>
            <w:tcW w:w="6200" w:type="dxa"/>
            <w:vAlign w:val="bottom"/>
          </w:tcPr>
          <w:p>
            <w:pPr>
              <w:ind w:left="480"/>
              <w:spacing w:after="0"/>
              <w:rPr>
                <w:sz w:val="20"/>
                <w:szCs w:val="20"/>
                <w:color w:val="auto"/>
              </w:rPr>
            </w:pPr>
            <w:r>
              <w:rPr>
                <w:rFonts w:ascii="Arial" w:cs="Arial" w:eastAsia="Arial" w:hAnsi="Arial"/>
                <w:sz w:val="14"/>
                <w:szCs w:val="14"/>
                <w:color w:val="auto"/>
              </w:rPr>
              <w:t>Change in deferred taxes and other liabilities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1,606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3,074</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7,022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12,434</w:t>
            </w:r>
          </w:p>
        </w:tc>
        <w:tc>
          <w:tcPr>
            <w:tcW w:w="0" w:type="dxa"/>
            <w:vAlign w:val="bottom"/>
          </w:tcPr>
          <w:p>
            <w:pPr>
              <w:spacing w:after="0"/>
              <w:rPr>
                <w:sz w:val="1"/>
                <w:szCs w:val="1"/>
                <w:color w:val="auto"/>
              </w:rPr>
            </w:pPr>
          </w:p>
        </w:tc>
      </w:tr>
      <w:tr>
        <w:trPr>
          <w:trHeight w:val="189"/>
        </w:trPr>
        <w:tc>
          <w:tcPr>
            <w:tcW w:w="62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Impairment of property, plant and equipment</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w:t>
            </w:r>
          </w:p>
        </w:tc>
        <w:tc>
          <w:tcPr>
            <w:tcW w:w="0" w:type="dxa"/>
            <w:vAlign w:val="bottom"/>
          </w:tcPr>
          <w:p>
            <w:pPr>
              <w:spacing w:after="0"/>
              <w:rPr>
                <w:sz w:val="1"/>
                <w:szCs w:val="1"/>
                <w:color w:val="auto"/>
              </w:rPr>
            </w:pPr>
          </w:p>
        </w:tc>
      </w:tr>
      <w:tr>
        <w:trPr>
          <w:trHeight w:val="189"/>
        </w:trPr>
        <w:tc>
          <w:tcPr>
            <w:tcW w:w="6200" w:type="dxa"/>
            <w:vAlign w:val="bottom"/>
          </w:tcPr>
          <w:p>
            <w:pPr>
              <w:ind w:left="480"/>
              <w:spacing w:after="0"/>
              <w:rPr>
                <w:sz w:val="20"/>
                <w:szCs w:val="20"/>
                <w:color w:val="auto"/>
              </w:rPr>
            </w:pPr>
            <w:r>
              <w:rPr>
                <w:rFonts w:ascii="Arial" w:cs="Arial" w:eastAsia="Arial" w:hAnsi="Arial"/>
                <w:sz w:val="14"/>
                <w:szCs w:val="14"/>
                <w:color w:val="auto"/>
              </w:rPr>
              <w:t>Non-cash interest expense</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(309)</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593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89"/>
        </w:trPr>
        <w:tc>
          <w:tcPr>
            <w:tcW w:w="62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Compensation and benefits paid or payable in Class A Common Stock</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606</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2,232</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w:t>
            </w:r>
          </w:p>
        </w:tc>
        <w:tc>
          <w:tcPr>
            <w:tcW w:w="0" w:type="dxa"/>
            <w:vAlign w:val="bottom"/>
          </w:tcPr>
          <w:p>
            <w:pPr>
              <w:spacing w:after="0"/>
              <w:rPr>
                <w:sz w:val="1"/>
                <w:szCs w:val="1"/>
                <w:color w:val="auto"/>
              </w:rPr>
            </w:pPr>
          </w:p>
        </w:tc>
      </w:tr>
      <w:tr>
        <w:trPr>
          <w:trHeight w:val="189"/>
        </w:trPr>
        <w:tc>
          <w:tcPr>
            <w:tcW w:w="6200" w:type="dxa"/>
            <w:vAlign w:val="bottom"/>
          </w:tcPr>
          <w:p>
            <w:pPr>
              <w:ind w:left="480"/>
              <w:spacing w:after="0"/>
              <w:rPr>
                <w:sz w:val="20"/>
                <w:szCs w:val="20"/>
                <w:color w:val="auto"/>
              </w:rPr>
            </w:pPr>
            <w:r>
              <w:rPr>
                <w:rFonts w:ascii="Arial" w:cs="Arial" w:eastAsia="Arial" w:hAnsi="Arial"/>
                <w:sz w:val="14"/>
                <w:szCs w:val="14"/>
                <w:color w:val="auto"/>
              </w:rPr>
              <w:t>Provision for credit losses from uncollected receivables and contract assets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(1,075)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(105)</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(1,158)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1,664</w:t>
            </w:r>
          </w:p>
        </w:tc>
        <w:tc>
          <w:tcPr>
            <w:tcW w:w="0" w:type="dxa"/>
            <w:vAlign w:val="bottom"/>
          </w:tcPr>
          <w:p>
            <w:pPr>
              <w:spacing w:after="0"/>
              <w:rPr>
                <w:sz w:val="1"/>
                <w:szCs w:val="1"/>
                <w:color w:val="auto"/>
              </w:rPr>
            </w:pPr>
          </w:p>
        </w:tc>
      </w:tr>
      <w:tr>
        <w:trPr>
          <w:trHeight w:val="189"/>
        </w:trPr>
        <w:tc>
          <w:tcPr>
            <w:tcW w:w="62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Foreign currency remeasurement loss/(gain) on intercompany loans</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15,750</w:t>
            </w:r>
          </w:p>
        </w:tc>
        <w:tc>
          <w:tcPr>
            <w:tcW w:w="0" w:type="dxa"/>
            <w:vAlign w:val="bottom"/>
          </w:tcPr>
          <w:p>
            <w:pPr>
              <w:spacing w:after="0"/>
              <w:rPr>
                <w:sz w:val="1"/>
                <w:szCs w:val="1"/>
                <w:color w:val="auto"/>
              </w:rPr>
            </w:pPr>
          </w:p>
        </w:tc>
      </w:tr>
      <w:tr>
        <w:trPr>
          <w:trHeight w:val="189"/>
        </w:trPr>
        <w:tc>
          <w:tcPr>
            <w:tcW w:w="6200" w:type="dxa"/>
            <w:vAlign w:val="bottom"/>
          </w:tcPr>
          <w:p>
            <w:pPr>
              <w:ind w:left="480"/>
              <w:spacing w:after="0"/>
              <w:rPr>
                <w:sz w:val="20"/>
                <w:szCs w:val="20"/>
                <w:color w:val="auto"/>
              </w:rPr>
            </w:pPr>
            <w:r>
              <w:rPr>
                <w:rFonts w:ascii="Arial" w:cs="Arial" w:eastAsia="Arial" w:hAnsi="Arial"/>
                <w:sz w:val="14"/>
                <w:szCs w:val="14"/>
                <w:color w:val="auto"/>
              </w:rPr>
              <w:t>Fair value adjustment on foreign currency options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(64)</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6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200" w:type="dxa"/>
            <w:vAlign w:val="bottom"/>
          </w:tcPr>
          <w:p>
            <w:pPr>
              <w:ind w:left="20"/>
              <w:spacing w:after="0"/>
              <w:rPr>
                <w:sz w:val="20"/>
                <w:szCs w:val="20"/>
                <w:color w:val="auto"/>
              </w:rPr>
            </w:pPr>
            <w:r>
              <w:rPr>
                <w:rFonts w:ascii="Arial" w:cs="Arial" w:eastAsia="Arial" w:hAnsi="Arial"/>
                <w:sz w:val="14"/>
                <w:szCs w:val="14"/>
                <w:color w:val="auto"/>
              </w:rPr>
              <w:t>Changes in operating assets and liabilities that provided/(used) cash:</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Accounts receivable</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(10,927)</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(2,048)</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(14,292)</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6,069</w:t>
            </w:r>
          </w:p>
        </w:tc>
        <w:tc>
          <w:tcPr>
            <w:tcW w:w="0" w:type="dxa"/>
            <w:vAlign w:val="bottom"/>
          </w:tcPr>
          <w:p>
            <w:pPr>
              <w:spacing w:after="0"/>
              <w:rPr>
                <w:sz w:val="1"/>
                <w:szCs w:val="1"/>
                <w:color w:val="auto"/>
              </w:rPr>
            </w:pPr>
          </w:p>
        </w:tc>
      </w:tr>
      <w:tr>
        <w:trPr>
          <w:trHeight w:val="189"/>
        </w:trPr>
        <w:tc>
          <w:tcPr>
            <w:tcW w:w="6200" w:type="dxa"/>
            <w:vAlign w:val="bottom"/>
          </w:tcPr>
          <w:p>
            <w:pPr>
              <w:ind w:left="480"/>
              <w:spacing w:after="0"/>
              <w:rPr>
                <w:sz w:val="20"/>
                <w:szCs w:val="20"/>
                <w:color w:val="auto"/>
              </w:rPr>
            </w:pPr>
            <w:r>
              <w:rPr>
                <w:rFonts w:ascii="Arial" w:cs="Arial" w:eastAsia="Arial" w:hAnsi="Arial"/>
                <w:sz w:val="14"/>
                <w:szCs w:val="14"/>
                <w:color w:val="auto"/>
              </w:rPr>
              <w:t>Contract assets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(3,473)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(7,923)</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22,170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(27,932)</w:t>
            </w:r>
          </w:p>
        </w:tc>
        <w:tc>
          <w:tcPr>
            <w:tcW w:w="0" w:type="dxa"/>
            <w:vAlign w:val="bottom"/>
          </w:tcPr>
          <w:p>
            <w:pPr>
              <w:spacing w:after="0"/>
              <w:rPr>
                <w:sz w:val="1"/>
                <w:szCs w:val="1"/>
                <w:color w:val="auto"/>
              </w:rPr>
            </w:pPr>
          </w:p>
        </w:tc>
      </w:tr>
      <w:tr>
        <w:trPr>
          <w:trHeight w:val="189"/>
        </w:trPr>
        <w:tc>
          <w:tcPr>
            <w:tcW w:w="62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Inventories</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4,585</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(9,838)</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(20,043)</w:t>
            </w:r>
          </w:p>
        </w:tc>
        <w:tc>
          <w:tcPr>
            <w:tcW w:w="0" w:type="dxa"/>
            <w:vAlign w:val="bottom"/>
          </w:tcPr>
          <w:p>
            <w:pPr>
              <w:spacing w:after="0"/>
              <w:rPr>
                <w:sz w:val="1"/>
                <w:szCs w:val="1"/>
                <w:color w:val="auto"/>
              </w:rPr>
            </w:pPr>
          </w:p>
        </w:tc>
      </w:tr>
      <w:tr>
        <w:trPr>
          <w:trHeight w:val="189"/>
        </w:trPr>
        <w:tc>
          <w:tcPr>
            <w:tcW w:w="6200" w:type="dxa"/>
            <w:vAlign w:val="bottom"/>
          </w:tcPr>
          <w:p>
            <w:pPr>
              <w:ind w:left="48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3,949</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(4,532)</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2,444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(6,989)</w:t>
            </w:r>
          </w:p>
        </w:tc>
        <w:tc>
          <w:tcPr>
            <w:tcW w:w="0" w:type="dxa"/>
            <w:vAlign w:val="bottom"/>
          </w:tcPr>
          <w:p>
            <w:pPr>
              <w:spacing w:after="0"/>
              <w:rPr>
                <w:sz w:val="1"/>
                <w:szCs w:val="1"/>
                <w:color w:val="auto"/>
              </w:rPr>
            </w:pPr>
          </w:p>
        </w:tc>
      </w:tr>
      <w:tr>
        <w:trPr>
          <w:trHeight w:val="189"/>
        </w:trPr>
        <w:tc>
          <w:tcPr>
            <w:tcW w:w="62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Income taxes prepaid and receivable</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2,717</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2,408</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w:t>
            </w:r>
          </w:p>
        </w:tc>
        <w:tc>
          <w:tcPr>
            <w:tcW w:w="0" w:type="dxa"/>
            <w:vAlign w:val="bottom"/>
          </w:tcPr>
          <w:p>
            <w:pPr>
              <w:spacing w:after="0"/>
              <w:rPr>
                <w:sz w:val="1"/>
                <w:szCs w:val="1"/>
                <w:color w:val="auto"/>
              </w:rPr>
            </w:pPr>
          </w:p>
        </w:tc>
      </w:tr>
      <w:tr>
        <w:trPr>
          <w:trHeight w:val="189"/>
        </w:trPr>
        <w:tc>
          <w:tcPr>
            <w:tcW w:w="6200" w:type="dxa"/>
            <w:vAlign w:val="bottom"/>
          </w:tcPr>
          <w:p>
            <w:pPr>
              <w:ind w:left="480"/>
              <w:spacing w:after="0"/>
              <w:rPr>
                <w:sz w:val="20"/>
                <w:szCs w:val="20"/>
                <w:color w:val="auto"/>
              </w:rPr>
            </w:pPr>
            <w:r>
              <w:rPr>
                <w:rFonts w:ascii="Arial" w:cs="Arial" w:eastAsia="Arial" w:hAnsi="Arial"/>
                <w:sz w:val="14"/>
                <w:szCs w:val="14"/>
                <w:color w:val="auto"/>
              </w:rPr>
              <w:t>Accounts payable</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(5,108)</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4,312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(15,491)</w:t>
            </w:r>
          </w:p>
        </w:tc>
        <w:tc>
          <w:tcPr>
            <w:tcW w:w="0" w:type="dxa"/>
            <w:vAlign w:val="bottom"/>
          </w:tcPr>
          <w:p>
            <w:pPr>
              <w:spacing w:after="0"/>
              <w:rPr>
                <w:sz w:val="1"/>
                <w:szCs w:val="1"/>
                <w:color w:val="auto"/>
              </w:rPr>
            </w:pPr>
          </w:p>
        </w:tc>
      </w:tr>
      <w:tr>
        <w:trPr>
          <w:trHeight w:val="189"/>
        </w:trPr>
        <w:tc>
          <w:tcPr>
            <w:tcW w:w="62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Accrued liabilities</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5,112</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2,838</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(12,311)</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(8,063)</w:t>
            </w:r>
          </w:p>
        </w:tc>
        <w:tc>
          <w:tcPr>
            <w:tcW w:w="0" w:type="dxa"/>
            <w:vAlign w:val="bottom"/>
          </w:tcPr>
          <w:p>
            <w:pPr>
              <w:spacing w:after="0"/>
              <w:rPr>
                <w:sz w:val="1"/>
                <w:szCs w:val="1"/>
                <w:color w:val="auto"/>
              </w:rPr>
            </w:pPr>
          </w:p>
        </w:tc>
      </w:tr>
      <w:tr>
        <w:trPr>
          <w:trHeight w:val="189"/>
        </w:trPr>
        <w:tc>
          <w:tcPr>
            <w:tcW w:w="6200" w:type="dxa"/>
            <w:vAlign w:val="bottom"/>
          </w:tcPr>
          <w:p>
            <w:pPr>
              <w:ind w:left="480"/>
              <w:spacing w:after="0"/>
              <w:rPr>
                <w:sz w:val="20"/>
                <w:szCs w:val="20"/>
                <w:color w:val="auto"/>
              </w:rPr>
            </w:pPr>
            <w:r>
              <w:rPr>
                <w:rFonts w:ascii="Arial" w:cs="Arial" w:eastAsia="Arial" w:hAnsi="Arial"/>
                <w:sz w:val="14"/>
                <w:szCs w:val="14"/>
                <w:color w:val="auto"/>
              </w:rPr>
              <w:t>Income taxes payable</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2,871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1,786</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(1,085)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3,741</w:t>
            </w:r>
          </w:p>
        </w:tc>
        <w:tc>
          <w:tcPr>
            <w:tcW w:w="0" w:type="dxa"/>
            <w:vAlign w:val="bottom"/>
          </w:tcPr>
          <w:p>
            <w:pPr>
              <w:spacing w:after="0"/>
              <w:rPr>
                <w:sz w:val="1"/>
                <w:szCs w:val="1"/>
                <w:color w:val="auto"/>
              </w:rPr>
            </w:pPr>
          </w:p>
        </w:tc>
      </w:tr>
      <w:tr>
        <w:trPr>
          <w:trHeight w:val="189"/>
        </w:trPr>
        <w:tc>
          <w:tcPr>
            <w:tcW w:w="62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Noncurrent receivables</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1,245</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2,832</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89"/>
        </w:trPr>
        <w:tc>
          <w:tcPr>
            <w:tcW w:w="6200" w:type="dxa"/>
            <w:vAlign w:val="bottom"/>
          </w:tcPr>
          <w:p>
            <w:pPr>
              <w:ind w:left="480"/>
              <w:spacing w:after="0"/>
              <w:rPr>
                <w:sz w:val="20"/>
                <w:szCs w:val="20"/>
                <w:color w:val="auto"/>
              </w:rPr>
            </w:pPr>
            <w:r>
              <w:rPr>
                <w:rFonts w:ascii="Arial" w:cs="Arial" w:eastAsia="Arial" w:hAnsi="Arial"/>
                <w:sz w:val="14"/>
                <w:szCs w:val="14"/>
                <w:color w:val="auto"/>
              </w:rPr>
              <w:t>Other noncurrent liabilities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(1,319)</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111</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(5,582)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(413)</w:t>
            </w:r>
          </w:p>
        </w:tc>
        <w:tc>
          <w:tcPr>
            <w:tcW w:w="0" w:type="dxa"/>
            <w:vAlign w:val="bottom"/>
          </w:tcPr>
          <w:p>
            <w:pPr>
              <w:spacing w:after="0"/>
              <w:rPr>
                <w:sz w:val="1"/>
                <w:szCs w:val="1"/>
                <w:color w:val="auto"/>
              </w:rPr>
            </w:pPr>
          </w:p>
        </w:tc>
      </w:tr>
      <w:tr>
        <w:trPr>
          <w:trHeight w:val="189"/>
        </w:trPr>
        <w:tc>
          <w:tcPr>
            <w:tcW w:w="62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Other, net</w:t>
            </w: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1,324</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3,232</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(1,474)</w:t>
            </w:r>
          </w:p>
        </w:tc>
        <w:tc>
          <w:tcPr>
            <w:tcW w:w="0" w:type="dxa"/>
            <w:vAlign w:val="bottom"/>
          </w:tcPr>
          <w:p>
            <w:pPr>
              <w:spacing w:after="0"/>
              <w:rPr>
                <w:sz w:val="1"/>
                <w:szCs w:val="1"/>
                <w:color w:val="auto"/>
              </w:rPr>
            </w:pPr>
          </w:p>
        </w:tc>
      </w:tr>
      <w:tr>
        <w:trPr>
          <w:trHeight w:val="183"/>
        </w:trPr>
        <w:tc>
          <w:tcPr>
            <w:tcW w:w="620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Net cash provided by operating activities</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52,859</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39,659</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148,499</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83,693</w:t>
            </w:r>
          </w:p>
        </w:tc>
        <w:tc>
          <w:tcPr>
            <w:tcW w:w="0" w:type="dxa"/>
            <w:vAlign w:val="bottom"/>
          </w:tcPr>
          <w:p>
            <w:pPr>
              <w:spacing w:after="0"/>
              <w:rPr>
                <w:sz w:val="1"/>
                <w:szCs w:val="1"/>
                <w:color w:val="auto"/>
              </w:rPr>
            </w:pPr>
          </w:p>
        </w:tc>
      </w:tr>
      <w:tr>
        <w:trPr>
          <w:trHeight w:val="129"/>
        </w:trPr>
        <w:tc>
          <w:tcPr>
            <w:tcW w:w="6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200" w:type="dxa"/>
            <w:vAlign w:val="bottom"/>
          </w:tcPr>
          <w:p>
            <w:pPr>
              <w:ind w:left="20"/>
              <w:spacing w:after="0"/>
              <w:rPr>
                <w:sz w:val="20"/>
                <w:szCs w:val="20"/>
                <w:color w:val="auto"/>
              </w:rPr>
            </w:pPr>
            <w:r>
              <w:rPr>
                <w:rFonts w:ascii="Arial" w:cs="Arial" w:eastAsia="Arial" w:hAnsi="Arial"/>
                <w:sz w:val="14"/>
                <w:szCs w:val="14"/>
                <w:color w:val="auto"/>
              </w:rPr>
              <w:t>INVESTING ACTIVITIES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Purchases of property, plant and equipment</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(8,918)</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(9,349)</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(31,754)</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(31,320)</w:t>
            </w:r>
          </w:p>
        </w:tc>
        <w:tc>
          <w:tcPr>
            <w:tcW w:w="0" w:type="dxa"/>
            <w:vAlign w:val="bottom"/>
          </w:tcPr>
          <w:p>
            <w:pPr>
              <w:spacing w:after="0"/>
              <w:rPr>
                <w:sz w:val="1"/>
                <w:szCs w:val="1"/>
                <w:color w:val="auto"/>
              </w:rPr>
            </w:pPr>
          </w:p>
        </w:tc>
      </w:tr>
      <w:tr>
        <w:trPr>
          <w:trHeight w:val="189"/>
        </w:trPr>
        <w:tc>
          <w:tcPr>
            <w:tcW w:w="620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Purchased software</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(394)</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83"/>
        </w:trPr>
        <w:tc>
          <w:tcPr>
            <w:tcW w:w="62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Net cash used in investing activities</w:t>
            </w: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(9,024)</w:t>
            </w:r>
          </w:p>
        </w:tc>
        <w:tc>
          <w:tcPr>
            <w:tcW w:w="1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(9,458)</w:t>
            </w: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(32,148)</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(31,475)</w:t>
            </w:r>
          </w:p>
        </w:tc>
        <w:tc>
          <w:tcPr>
            <w:tcW w:w="0" w:type="dxa"/>
            <w:vAlign w:val="bottom"/>
          </w:tcPr>
          <w:p>
            <w:pPr>
              <w:spacing w:after="0"/>
              <w:rPr>
                <w:sz w:val="1"/>
                <w:szCs w:val="1"/>
                <w:color w:val="auto"/>
              </w:rPr>
            </w:pPr>
          </w:p>
        </w:tc>
      </w:tr>
      <w:tr>
        <w:trPr>
          <w:trHeight w:val="129"/>
        </w:trPr>
        <w:tc>
          <w:tcPr>
            <w:tcW w:w="6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FINANCING ACTIVITIES</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0" w:type="dxa"/>
            <w:vAlign w:val="bottom"/>
          </w:tcPr>
          <w:p>
            <w:pPr>
              <w:ind w:left="480"/>
              <w:spacing w:after="0"/>
              <w:rPr>
                <w:sz w:val="20"/>
                <w:szCs w:val="20"/>
                <w:color w:val="auto"/>
              </w:rPr>
            </w:pPr>
            <w:r>
              <w:rPr>
                <w:rFonts w:ascii="Arial" w:cs="Arial" w:eastAsia="Arial" w:hAnsi="Arial"/>
                <w:sz w:val="14"/>
                <w:szCs w:val="14"/>
                <w:color w:val="auto"/>
              </w:rPr>
              <w:t>Proceeds from borrowings</w:t>
            </w:r>
          </w:p>
        </w:tc>
        <w:tc>
          <w:tcPr>
            <w:tcW w:w="2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8,000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70,000</w:t>
            </w:r>
          </w:p>
        </w:tc>
        <w:tc>
          <w:tcPr>
            <w:tcW w:w="0" w:type="dxa"/>
            <w:vAlign w:val="bottom"/>
          </w:tcPr>
          <w:p>
            <w:pPr>
              <w:spacing w:after="0"/>
              <w:rPr>
                <w:sz w:val="1"/>
                <w:szCs w:val="1"/>
                <w:color w:val="auto"/>
              </w:rPr>
            </w:pPr>
          </w:p>
        </w:tc>
      </w:tr>
      <w:tr>
        <w:trPr>
          <w:trHeight w:val="189"/>
        </w:trPr>
        <w:tc>
          <w:tcPr>
            <w:tcW w:w="62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Principal payments on debt</w:t>
            </w:r>
          </w:p>
        </w:tc>
        <w:tc>
          <w:tcPr>
            <w:tcW w:w="2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(17,005)</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(56,009)</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(76,016)</w:t>
            </w:r>
          </w:p>
        </w:tc>
        <w:tc>
          <w:tcPr>
            <w:tcW w:w="0" w:type="dxa"/>
            <w:vAlign w:val="bottom"/>
          </w:tcPr>
          <w:p>
            <w:pPr>
              <w:spacing w:after="0"/>
              <w:rPr>
                <w:sz w:val="1"/>
                <w:szCs w:val="1"/>
                <w:color w:val="auto"/>
              </w:rPr>
            </w:pPr>
          </w:p>
        </w:tc>
      </w:tr>
      <w:tr>
        <w:trPr>
          <w:trHeight w:val="189"/>
        </w:trPr>
        <w:tc>
          <w:tcPr>
            <w:tcW w:w="6200" w:type="dxa"/>
            <w:vAlign w:val="bottom"/>
          </w:tcPr>
          <w:p>
            <w:pPr>
              <w:ind w:left="480"/>
              <w:spacing w:after="0"/>
              <w:rPr>
                <w:sz w:val="20"/>
                <w:szCs w:val="20"/>
                <w:color w:val="auto"/>
              </w:rPr>
            </w:pPr>
            <w:r>
              <w:rPr>
                <w:rFonts w:ascii="Arial" w:cs="Arial" w:eastAsia="Arial" w:hAnsi="Arial"/>
                <w:sz w:val="14"/>
                <w:szCs w:val="14"/>
                <w:color w:val="auto"/>
              </w:rPr>
              <w:t>Principal payments on finance lease liabilities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(335)</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(1,067)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(6,798)</w:t>
            </w:r>
          </w:p>
        </w:tc>
        <w:tc>
          <w:tcPr>
            <w:tcW w:w="0" w:type="dxa"/>
            <w:vAlign w:val="bottom"/>
          </w:tcPr>
          <w:p>
            <w:pPr>
              <w:spacing w:after="0"/>
              <w:rPr>
                <w:sz w:val="1"/>
                <w:szCs w:val="1"/>
                <w:color w:val="auto"/>
              </w:rPr>
            </w:pPr>
          </w:p>
        </w:tc>
      </w:tr>
      <w:tr>
        <w:trPr>
          <w:trHeight w:val="189"/>
        </w:trPr>
        <w:tc>
          <w:tcPr>
            <w:tcW w:w="62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Taxes paid in lieu of share issuance</w:t>
            </w:r>
          </w:p>
        </w:tc>
        <w:tc>
          <w:tcPr>
            <w:tcW w:w="2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(998)</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w:t>
            </w:r>
          </w:p>
        </w:tc>
        <w:tc>
          <w:tcPr>
            <w:tcW w:w="0" w:type="dxa"/>
            <w:vAlign w:val="bottom"/>
          </w:tcPr>
          <w:p>
            <w:pPr>
              <w:spacing w:after="0"/>
              <w:rPr>
                <w:sz w:val="1"/>
                <w:szCs w:val="1"/>
                <w:color w:val="auto"/>
              </w:rPr>
            </w:pPr>
          </w:p>
        </w:tc>
      </w:tr>
      <w:tr>
        <w:trPr>
          <w:trHeight w:val="189"/>
        </w:trPr>
        <w:tc>
          <w:tcPr>
            <w:tcW w:w="6200" w:type="dxa"/>
            <w:vAlign w:val="bottom"/>
          </w:tcPr>
          <w:p>
            <w:pPr>
              <w:ind w:left="480"/>
              <w:spacing w:after="0"/>
              <w:rPr>
                <w:sz w:val="20"/>
                <w:szCs w:val="20"/>
                <w:color w:val="auto"/>
              </w:rPr>
            </w:pPr>
            <w:r>
              <w:rPr>
                <w:rFonts w:ascii="Arial" w:cs="Arial" w:eastAsia="Arial" w:hAnsi="Arial"/>
                <w:sz w:val="14"/>
                <w:szCs w:val="14"/>
                <w:color w:val="auto"/>
              </w:rPr>
              <w:t>Proceeds from options exercised</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9"/>
        </w:trPr>
        <w:tc>
          <w:tcPr>
            <w:tcW w:w="62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Dividends paid</w:t>
            </w: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(6,476)</w:t>
            </w:r>
          </w:p>
        </w:tc>
        <w:tc>
          <w:tcPr>
            <w:tcW w:w="1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(6,144)</w:t>
            </w: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(19,418)</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(18,424)</w:t>
            </w:r>
          </w:p>
        </w:tc>
        <w:tc>
          <w:tcPr>
            <w:tcW w:w="0" w:type="dxa"/>
            <w:vAlign w:val="bottom"/>
          </w:tcPr>
          <w:p>
            <w:pPr>
              <w:spacing w:after="0"/>
              <w:rPr>
                <w:sz w:val="1"/>
                <w:szCs w:val="1"/>
                <w:color w:val="auto"/>
              </w:rPr>
            </w:pPr>
          </w:p>
        </w:tc>
      </w:tr>
      <w:tr>
        <w:trPr>
          <w:trHeight w:val="183"/>
        </w:trPr>
        <w:tc>
          <w:tcPr>
            <w:tcW w:w="620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Net cash used in financing activities</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(6,835)</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(23,479)</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(69,339)</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(31,703)</w:t>
            </w:r>
          </w:p>
        </w:tc>
        <w:tc>
          <w:tcPr>
            <w:tcW w:w="0" w:type="dxa"/>
            <w:vAlign w:val="bottom"/>
          </w:tcPr>
          <w:p>
            <w:pPr>
              <w:spacing w:after="0"/>
              <w:rPr>
                <w:sz w:val="1"/>
                <w:szCs w:val="1"/>
                <w:color w:val="auto"/>
              </w:rPr>
            </w:pPr>
          </w:p>
        </w:tc>
      </w:tr>
      <w:tr>
        <w:trPr>
          <w:trHeight w:val="128"/>
        </w:trPr>
        <w:tc>
          <w:tcPr>
            <w:tcW w:w="6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200" w:type="dxa"/>
            <w:vAlign w:val="bottom"/>
          </w:tcPr>
          <w:p>
            <w:pPr>
              <w:ind w:left="440"/>
              <w:spacing w:after="0"/>
              <w:rPr>
                <w:sz w:val="20"/>
                <w:szCs w:val="20"/>
                <w:color w:val="auto"/>
              </w:rPr>
            </w:pPr>
            <w:r>
              <w:rPr>
                <w:rFonts w:ascii="Arial" w:cs="Arial" w:eastAsia="Arial" w:hAnsi="Arial"/>
                <w:sz w:val="14"/>
                <w:szCs w:val="14"/>
                <w:color w:val="auto"/>
              </w:rPr>
              <w:t>Effect of exchange rate changes on cash and cash equivalents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(4,113)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4,545</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(2,111)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(751)</w:t>
            </w:r>
          </w:p>
        </w:tc>
        <w:tc>
          <w:tcPr>
            <w:tcW w:w="0" w:type="dxa"/>
            <w:vAlign w:val="bottom"/>
          </w:tcPr>
          <w:p>
            <w:pPr>
              <w:spacing w:after="0"/>
              <w:rPr>
                <w:sz w:val="1"/>
                <w:szCs w:val="1"/>
                <w:color w:val="auto"/>
              </w:rPr>
            </w:pPr>
          </w:p>
        </w:tc>
      </w:tr>
      <w:tr>
        <w:trPr>
          <w:trHeight w:val="149"/>
        </w:trPr>
        <w:tc>
          <w:tcPr>
            <w:tcW w:w="6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200" w:type="dxa"/>
            <w:vAlign w:val="bottom"/>
          </w:tcPr>
          <w:p>
            <w:pPr>
              <w:ind w:left="20"/>
              <w:spacing w:after="0"/>
              <w:rPr>
                <w:sz w:val="20"/>
                <w:szCs w:val="20"/>
                <w:color w:val="auto"/>
              </w:rPr>
            </w:pPr>
            <w:r>
              <w:rPr>
                <w:rFonts w:ascii="Arial" w:cs="Arial" w:eastAsia="Arial" w:hAnsi="Arial"/>
                <w:sz w:val="14"/>
                <w:szCs w:val="14"/>
                <w:color w:val="auto"/>
              </w:rPr>
              <w:t>Increase in cash and cash equivalents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32,887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11,267</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44,901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19,764</w:t>
            </w:r>
          </w:p>
        </w:tc>
        <w:tc>
          <w:tcPr>
            <w:tcW w:w="0" w:type="dxa"/>
            <w:vAlign w:val="bottom"/>
          </w:tcPr>
          <w:p>
            <w:pPr>
              <w:spacing w:after="0"/>
              <w:rPr>
                <w:sz w:val="1"/>
                <w:szCs w:val="1"/>
                <w:color w:val="auto"/>
              </w:rPr>
            </w:pPr>
          </w:p>
        </w:tc>
      </w:tr>
      <w:tr>
        <w:trPr>
          <w:trHeight w:val="189"/>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253,330</w:t>
            </w:r>
          </w:p>
        </w:tc>
        <w:tc>
          <w:tcPr>
            <w:tcW w:w="1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204,037</w:t>
            </w: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241,316</w:t>
            </w:r>
          </w:p>
        </w:tc>
        <w:tc>
          <w:tcPr>
            <w:tcW w:w="8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195,540</w:t>
            </w:r>
          </w:p>
        </w:tc>
        <w:tc>
          <w:tcPr>
            <w:tcW w:w="0" w:type="dxa"/>
            <w:vAlign w:val="bottom"/>
          </w:tcPr>
          <w:p>
            <w:pPr>
              <w:spacing w:after="0"/>
              <w:rPr>
                <w:sz w:val="1"/>
                <w:szCs w:val="1"/>
                <w:color w:val="auto"/>
              </w:rPr>
            </w:pPr>
          </w:p>
        </w:tc>
      </w:tr>
      <w:tr>
        <w:trPr>
          <w:trHeight w:val="183"/>
        </w:trPr>
        <w:tc>
          <w:tcPr>
            <w:tcW w:w="6200" w:type="dxa"/>
            <w:vAlign w:val="bottom"/>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286,217</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215,304</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286,217</w:t>
            </w: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215,304</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7" w:name="page8"/>
    <w:bookmarkEnd w:id="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5" w:lineRule="exact"/>
        <w:rPr>
          <w:sz w:val="20"/>
          <w:szCs w:val="20"/>
          <w:color w:val="auto"/>
        </w:rPr>
      </w:pPr>
    </w:p>
    <w:p>
      <w:pPr>
        <w:ind w:left="340" w:right="8340" w:hanging="332"/>
        <w:spacing w:after="0" w:line="411" w:lineRule="auto"/>
        <w:tabs>
          <w:tab w:leader="none" w:pos="216" w:val="left"/>
        </w:tabs>
        <w:numPr>
          <w:ilvl w:val="0"/>
          <w:numId w:val="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Significant Accounting Policies Basis of Presentation</w:t>
      </w:r>
    </w:p>
    <w:p>
      <w:pPr>
        <w:spacing w:after="0" w:line="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the opinion of management, the accompanying unaudited consolidated financial statements contain all adjustments necessary for a fair presentation of results for such periods. Albany International Corp. (Albany, the Registrant, the Company, we, us, or our) consolidates the financial results of its subsidiaries for all periods presented. The results for any interim period are not necessarily indicative of results for the full year.</w:t>
      </w:r>
    </w:p>
    <w:p>
      <w:pPr>
        <w:spacing w:after="0" w:line="9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preparation of financial statements in accordance with U.S. generally accepted accounting principles (“GAAP”) requires management to make estimates and assumptions that affect the amounts reported in Albany International Corp.’s Consolidated Financial Statements and accompanying Notes. Actual results could differ materially from those estimates.</w:t>
      </w:r>
    </w:p>
    <w:p>
      <w:pPr>
        <w:spacing w:after="0" w:line="94"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information included in this Quarterly Report on Form 10-Q should be read in conjunction with Albany International Corp.’s Annual Report on Form 10-K for the year ended December 31, 2020.</w:t>
      </w:r>
    </w:p>
    <w:p>
      <w:pPr>
        <w:spacing w:after="0" w:line="9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Company recognizes government grants only when there is reasonable assurance that we will comply with the conditions attached to them and the grants will be received. Government grants are recognized in the Consolidated Statements of Income on a systematic basis over the periods in which we recognize as expenses the related costs for which the grants are intended to compensate. A government grant that becomes receivable as compensation for expenses or losses already incurred or for the purpose of giving immediate financial support with no future related costs is recognized in the Consolidated Statements of Income of the period in which it becomes receivable.</w:t>
      </w:r>
    </w:p>
    <w:p>
      <w:pPr>
        <w:spacing w:after="0" w:line="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During the third quarter of 2021, the Company was awarded an Aviation Manufacturing Jobs Protection Program ("AMJP") grant of $5.8 million, under the American Rescue Plan of the U.S. Department of Transportation. The AMJP grant is an income related grant, the purpose of which is to provide payroll assistance to eligible U.S. aircraft manufacturing/repair businesses who were impacted due to the COVID-19 downturn during 2020. The Company received $ 2.9 million in cash in September 2021, and anticipates receiving the remaining balance in 2022. Accordingly, the Company recognized $5.8 million in its Consolidated Statements of Income for the quarter and year-to-date ended September 30, 2021, and reflected cash received to date as an operating activity within the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Reportable Segments and Revenue Recognition</w:t>
      </w:r>
    </w:p>
    <w:p>
      <w:pPr>
        <w:spacing w:after="0" w:line="13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 accordance with applicable disclosure guidance for enterprise segments and related information, the internal organization that is used by management for making operating decisions and assessing performance is used as the basis for our reportable segments.</w:t>
      </w:r>
    </w:p>
    <w:p>
      <w:pPr>
        <w:spacing w:after="0" w:line="9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Machine Clothing (“MC”) segment supplies permeable and impermeable belts used in the manufacture of paper, paperboard, tissue and towel, nonwovens, fiber cement and several other industrial applications. We sell our MC products directly to customer end-users in countries across the globe. Our products, manufacturing processes, and distribution channels for MC are substantially the same in each region of the world in which we operate.</w:t>
      </w:r>
    </w:p>
    <w:p>
      <w:pPr>
        <w:spacing w:after="0" w:line="9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design, manufacture, and market paper machine clothing (used in the manufacturing of paper, paperboard, tissue and towel) for each section of the paper machine and for every grade of paper. Paper machine clothing products are customized, consumable products of technologically sophisticated design that utilize polymeric materials in a complex structure.</w:t>
      </w:r>
    </w:p>
    <w:p>
      <w:pPr>
        <w:spacing w:after="0" w:line="9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Albany Engineered Composites (“AEC”) segment, including Albany Safran Composites, LLC (“ASC”), in which our customer SAFRAN Group (“Safran”) owns a 10 percent noncontrolling interest, provides highly engineered, advanced composite structures to customers in the commercial and defense aerospace industries. AEC’s largest program relates to CFM International’s LEAP engine. Under this program, AEC through ASC, is the exclusive supplier of advanced composite fan blades and cases under a long-term supply contract. AEC net sales to Safran were $81.6 million and $73.6 million in the first nine months of 2021 and 2020, respectively. The total of Accounts receivable, Contract assets and Noncurrent receivables due from Safran amounted to $103.4 million and $127.1 million as of</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8" w:name="page9"/>
    <w:bookmarkEnd w:id="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September 30, 2021 and December 31, 2020, respectively. Other significant programs by AEC include the F-35, Boeing 787, Sikorsky CH-53K and JASSM, as well as the fan case for the GE9X engine. In 2020, approximately 46 percent of AEC sales were related to U.S. government contracts or programs.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show data by reportable segment, reconciled to consolidated totals included in the financial statements: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60" w:type="dxa"/>
            <w:vAlign w:val="bottom"/>
            <w:tcBorders>
              <w:top w:val="single" w:sz="8" w:color="auto"/>
            </w:tcBorders>
          </w:tcPr>
          <w:p>
            <w:pPr>
              <w:spacing w:after="0"/>
              <w:rPr>
                <w:sz w:val="17"/>
                <w:szCs w:val="17"/>
                <w:color w:val="auto"/>
              </w:rPr>
            </w:pPr>
          </w:p>
        </w:tc>
        <w:tc>
          <w:tcPr>
            <w:tcW w:w="2620" w:type="dxa"/>
            <w:vAlign w:val="bottom"/>
            <w:tcBorders>
              <w:top w:val="single" w:sz="8" w:color="auto"/>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Borders>
              <w:top w:val="single" w:sz="8" w:color="auto"/>
              <w:bottom w:val="single" w:sz="8" w:color="auto"/>
            </w:tcBorders>
          </w:tcPr>
          <w:p>
            <w:pPr>
              <w:spacing w:after="0"/>
              <w:rPr>
                <w:sz w:val="17"/>
                <w:szCs w:val="17"/>
                <w:color w:val="auto"/>
              </w:rPr>
            </w:pPr>
          </w:p>
        </w:tc>
        <w:tc>
          <w:tcPr>
            <w:tcW w:w="250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r>
      <w:tr>
        <w:trPr>
          <w:trHeight w:val="20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sales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40"/>
        </w:trPr>
        <w:tc>
          <w:tcPr>
            <w:tcW w:w="556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300" w:type="dxa"/>
            <w:vAlign w:val="bottom"/>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154,171</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138,747</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462,298</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428,782</w:t>
            </w:r>
          </w:p>
        </w:tc>
      </w:tr>
      <w:tr>
        <w:trPr>
          <w:trHeight w:val="218"/>
        </w:trPr>
        <w:tc>
          <w:tcPr>
            <w:tcW w:w="5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78,271</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73,252</w:t>
            </w: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227,024</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244,971</w:t>
            </w:r>
          </w:p>
        </w:tc>
      </w:tr>
      <w:tr>
        <w:trPr>
          <w:trHeight w:val="234"/>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Consolidated total</w:t>
            </w: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232,442</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211,999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689,322</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673,753</w:t>
            </w:r>
          </w:p>
        </w:tc>
      </w:tr>
      <w:tr>
        <w:trPr>
          <w:trHeight w:val="213"/>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income/(loss)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40"/>
        </w:trPr>
        <w:tc>
          <w:tcPr>
            <w:tcW w:w="556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300" w:type="dxa"/>
            <w:vAlign w:val="bottom"/>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55,467</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45,699</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161,731</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149,418</w:t>
            </w:r>
          </w:p>
        </w:tc>
      </w:tr>
      <w:tr>
        <w:trPr>
          <w:trHeight w:val="21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2,917</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6,828</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13,019</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22,749</w:t>
            </w:r>
          </w:p>
        </w:tc>
      </w:tr>
      <w:tr>
        <w:trPr>
          <w:trHeight w:val="240"/>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Corporate expenses</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(13,898)</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(13,754)</w:t>
            </w: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(38,479)</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(41,073)</w:t>
            </w:r>
          </w:p>
        </w:tc>
      </w:tr>
      <w:tr>
        <w:trPr>
          <w:trHeight w:val="212"/>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44,486</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38,773</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136,271</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131,094</w:t>
            </w:r>
          </w:p>
        </w:tc>
      </w:tr>
      <w:tr>
        <w:trPr>
          <w:trHeight w:val="233"/>
        </w:trPr>
        <w:tc>
          <w:tcPr>
            <w:tcW w:w="5560" w:type="dxa"/>
            <w:vAlign w:val="bottom"/>
          </w:tcPr>
          <w:p>
            <w:pPr>
              <w:ind w:left="20"/>
              <w:spacing w:after="0"/>
              <w:rPr>
                <w:sz w:val="20"/>
                <w:szCs w:val="20"/>
                <w:color w:val="auto"/>
              </w:rPr>
            </w:pPr>
            <w:r>
              <w:rPr>
                <w:rFonts w:ascii="Arial" w:cs="Arial" w:eastAsia="Arial" w:hAnsi="Arial"/>
                <w:sz w:val="16"/>
                <w:szCs w:val="16"/>
                <w:color w:val="auto"/>
              </w:rPr>
              <w:t>Reconciling items: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26"/>
        </w:trPr>
        <w:tc>
          <w:tcPr>
            <w:tcW w:w="5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income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(654)</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(1,485)</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(1,584)</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(2,280)</w:t>
            </w:r>
          </w:p>
        </w:tc>
      </w:tr>
      <w:tr>
        <w:trPr>
          <w:trHeight w:val="240"/>
        </w:trPr>
        <w:tc>
          <w:tcPr>
            <w:tcW w:w="556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4,388</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3,727</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13,105</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12,322</w:t>
            </w:r>
          </w:p>
        </w:tc>
      </w:tr>
      <w:tr>
        <w:trPr>
          <w:trHeight w:val="219"/>
        </w:trPr>
        <w:tc>
          <w:tcPr>
            <w:tcW w:w="5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AMJP grant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(5,832)</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(5,832)</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5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Other expense/(income), net</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2,753</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(2,745)</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4,215</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13,915</w:t>
            </w:r>
          </w:p>
        </w:tc>
      </w:tr>
      <w:tr>
        <w:trPr>
          <w:trHeight w:val="210"/>
        </w:trPr>
        <w:tc>
          <w:tcPr>
            <w:tcW w:w="5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43,831</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39,276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126,367</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107,137</w:t>
            </w:r>
          </w:p>
        </w:tc>
      </w:tr>
    </w:tbl>
    <w:p>
      <w:pPr>
        <w:spacing w:after="0" w:line="200" w:lineRule="exact"/>
        <w:rPr>
          <w:sz w:val="20"/>
          <w:szCs w:val="20"/>
          <w:color w:val="auto"/>
        </w:rPr>
      </w:pP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material changes to total assets of the reportable segments in the first nine months of 2021.</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restructuring costs by reportable segment: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2700" w:type="dxa"/>
            <w:vAlign w:val="bottom"/>
            <w:tcBorders>
              <w:top w:val="single" w:sz="8" w:color="auto"/>
              <w:bottom w:val="single" w:sz="8" w:color="auto"/>
            </w:tcBorders>
            <w:gridSpan w:val="3"/>
          </w:tcPr>
          <w:p>
            <w:pPr>
              <w:jc w:val="right"/>
              <w:ind w:right="121"/>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Borders>
              <w:top w:val="single" w:sz="8" w:color="auto"/>
              <w:bottom w:val="single" w:sz="8" w:color="auto"/>
            </w:tcBorders>
          </w:tcPr>
          <w:p>
            <w:pPr>
              <w:spacing w:after="0"/>
              <w:rPr>
                <w:sz w:val="17"/>
                <w:szCs w:val="17"/>
                <w:color w:val="auto"/>
              </w:rPr>
            </w:pPr>
          </w:p>
        </w:tc>
        <w:tc>
          <w:tcPr>
            <w:tcW w:w="2600" w:type="dxa"/>
            <w:vAlign w:val="bottom"/>
            <w:tcBorders>
              <w:top w:val="single" w:sz="8" w:color="auto"/>
              <w:bottom w:val="single" w:sz="8" w:color="auto"/>
            </w:tcBorders>
            <w:gridSpan w:val="3"/>
          </w:tcPr>
          <w:p>
            <w:pPr>
              <w:jc w:val="right"/>
              <w:ind w:right="121"/>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2020</w:t>
            </w:r>
          </w:p>
        </w:tc>
      </w:tr>
      <w:tr>
        <w:trPr>
          <w:trHeight w:val="205"/>
        </w:trPr>
        <w:tc>
          <w:tcPr>
            <w:tcW w:w="538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251</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384</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ind w:right="2"/>
              <w:spacing w:after="0"/>
              <w:rPr>
                <w:sz w:val="20"/>
                <w:szCs w:val="20"/>
                <w:color w:val="auto"/>
              </w:rPr>
            </w:pPr>
            <w:r>
              <w:rPr>
                <w:rFonts w:ascii="Arial" w:cs="Arial" w:eastAsia="Arial" w:hAnsi="Arial"/>
                <w:sz w:val="16"/>
                <w:szCs w:val="16"/>
                <w:b w:val="1"/>
                <w:bCs w:val="1"/>
                <w:color w:val="auto"/>
              </w:rPr>
              <w:t>193</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1,414</w:t>
            </w:r>
          </w:p>
        </w:tc>
      </w:tr>
      <w:tr>
        <w:trPr>
          <w:trHeight w:val="215"/>
        </w:trPr>
        <w:tc>
          <w:tcPr>
            <w:tcW w:w="538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(81)</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358</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(40)</w:t>
            </w:r>
          </w:p>
        </w:tc>
        <w:tc>
          <w:tcPr>
            <w:tcW w:w="3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2,606</w:t>
            </w:r>
          </w:p>
        </w:tc>
      </w:tr>
      <w:tr>
        <w:trPr>
          <w:trHeight w:val="219"/>
        </w:trPr>
        <w:tc>
          <w:tcPr>
            <w:tcW w:w="5380" w:type="dxa"/>
            <w:vAlign w:val="bottom"/>
          </w:tcPr>
          <w:p>
            <w:pPr>
              <w:ind w:left="20"/>
              <w:spacing w:after="0"/>
              <w:rPr>
                <w:sz w:val="20"/>
                <w:szCs w:val="20"/>
                <w:color w:val="auto"/>
              </w:rPr>
            </w:pPr>
            <w:r>
              <w:rPr>
                <w:rFonts w:ascii="Arial" w:cs="Arial" w:eastAsia="Arial" w:hAnsi="Arial"/>
                <w:sz w:val="16"/>
                <w:szCs w:val="16"/>
                <w:color w:val="auto"/>
              </w:rPr>
              <w:t>Corporate expenses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77</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169</w:t>
            </w:r>
          </w:p>
        </w:tc>
      </w:tr>
      <w:tr>
        <w:trPr>
          <w:trHeight w:val="212"/>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187</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230</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4,189</w:t>
            </w:r>
          </w:p>
        </w:tc>
      </w:tr>
    </w:tbl>
    <w:p>
      <w:pPr>
        <w:spacing w:after="0" w:line="337" w:lineRule="exact"/>
        <w:rPr>
          <w:sz w:val="20"/>
          <w:szCs w:val="20"/>
          <w:color w:val="auto"/>
        </w:rPr>
      </w:pPr>
    </w:p>
    <w:p>
      <w:pPr>
        <w:ind w:right="120" w:firstLine="324"/>
        <w:spacing w:after="0" w:line="235" w:lineRule="auto"/>
        <w:rPr>
          <w:sz w:val="20"/>
          <w:szCs w:val="20"/>
          <w:color w:val="auto"/>
        </w:rPr>
      </w:pPr>
      <w:r>
        <w:rPr>
          <w:rFonts w:ascii="Arial" w:cs="Arial" w:eastAsia="Arial" w:hAnsi="Arial"/>
          <w:sz w:val="18"/>
          <w:szCs w:val="18"/>
          <w:color w:val="auto"/>
        </w:rPr>
        <w:t>Restructuring costs in the first nine months of 2021 were not significant. Restructuring liabilities at quarter-end were less than $1 million, related to termination and other costs, which are expected to be substantially paid within one year.</w:t>
      </w:r>
    </w:p>
    <w:p>
      <w:pPr>
        <w:spacing w:after="0" w:line="216" w:lineRule="exact"/>
        <w:rPr>
          <w:sz w:val="20"/>
          <w:szCs w:val="20"/>
          <w:color w:val="auto"/>
        </w:rPr>
      </w:pPr>
    </w:p>
    <w:p>
      <w:pPr>
        <w:ind w:right="20" w:firstLine="324"/>
        <w:spacing w:after="0" w:line="229" w:lineRule="auto"/>
        <w:rPr>
          <w:sz w:val="20"/>
          <w:szCs w:val="20"/>
          <w:color w:val="auto"/>
        </w:rPr>
      </w:pPr>
      <w:r>
        <w:rPr>
          <w:rFonts w:ascii="Arial" w:cs="Arial" w:eastAsia="Arial" w:hAnsi="Arial"/>
          <w:sz w:val="18"/>
          <w:szCs w:val="18"/>
          <w:color w:val="auto"/>
        </w:rPr>
        <w:t>In 2020, AEC reduced its workforce at various locations, principally in the U.S., leading to restructuring charges of $2.6 million for the first nine months of 2020. Machine Clothing restructuring charges for the first nine months of 2020 were principally related to the plant closure of its MC production facility in Sélestat, France that was announced in 2017.</w:t>
      </w:r>
    </w:p>
    <w:p>
      <w:pPr>
        <w:spacing w:after="0" w:line="218" w:lineRule="exact"/>
        <w:rPr>
          <w:sz w:val="20"/>
          <w:szCs w:val="20"/>
          <w:color w:val="auto"/>
        </w:rPr>
      </w:pPr>
    </w:p>
    <w:p>
      <w:pPr>
        <w:ind w:firstLine="324"/>
        <w:spacing w:after="0" w:line="223" w:lineRule="auto"/>
        <w:rPr>
          <w:sz w:val="20"/>
          <w:szCs w:val="20"/>
          <w:color w:val="auto"/>
        </w:rPr>
      </w:pPr>
      <w:r>
        <w:rPr>
          <w:rFonts w:ascii="Arial" w:cs="Arial" w:eastAsia="Arial" w:hAnsi="Arial"/>
          <w:sz w:val="18"/>
          <w:szCs w:val="18"/>
          <w:color w:val="auto"/>
        </w:rPr>
        <w:t>Products and services provided under long-term contracts represent a significant portion of sales in the Albany Engineered Composites segment and we account for these contracts using the percentage of completion (actual cost to estimated cost) method. That method requires significant judgment and estimation, which could be considerably different if the underlying circumstances were to change. When adjustments in estimated contract revenues or costs are required, any changes from prior estimates are included in earnings in the period the change occurs. Changes in the estimated profitability of long-term contracts could be caused by increases or decreases in the contract value, revisions to customer delivery requirements, updated labor or overhead rates, factors affecting the supply chain, changes in the evaluation of contract risks and opportunities, or other factors. Changes in the estimated profitability of long-term contracts increased operating income by $2.1 million and $2.4 million for the three and nine month periods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9" w:name="page10"/>
    <w:bookmarkEnd w:id="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ended September 30, 2021, respectively. Adjustments in the estimated profitability of long-term contracts increased operating income by $3.5 million and $9.5 million for the three and nine month periods ended September 30, 2020, respectively.</w:t>
      </w:r>
    </w:p>
    <w:p>
      <w:pPr>
        <w:spacing w:after="0" w:line="94"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We disaggregate revenue earned from contracts with customers for each of our business segments and product groups based on the timing of revenue recognition, and groupings used for internal review purposes.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disaggregates revenue for each product group by timing of revenue recognition:</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60" w:type="dxa"/>
            <w:vAlign w:val="bottom"/>
            <w:tcBorders>
              <w:top w:val="single" w:sz="8" w:color="auto"/>
            </w:tcBorders>
          </w:tcPr>
          <w:p>
            <w:pPr>
              <w:spacing w:after="0"/>
              <w:rPr>
                <w:sz w:val="17"/>
                <w:szCs w:val="17"/>
                <w:color w:val="auto"/>
              </w:rPr>
            </w:pPr>
          </w:p>
        </w:tc>
        <w:tc>
          <w:tcPr>
            <w:tcW w:w="62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4520" w:type="dxa"/>
            <w:vAlign w:val="bottom"/>
            <w:tcBorders>
              <w:top w:val="single" w:sz="8" w:color="auto"/>
              <w:bottom w:val="single" w:sz="8" w:color="auto"/>
            </w:tcBorders>
            <w:gridSpan w:val="8"/>
          </w:tcPr>
          <w:p>
            <w:pPr>
              <w:jc w:val="center"/>
              <w:ind w:right="200"/>
              <w:spacing w:after="0"/>
              <w:rPr>
                <w:sz w:val="20"/>
                <w:szCs w:val="20"/>
                <w:color w:val="auto"/>
              </w:rPr>
            </w:pPr>
            <w:r>
              <w:rPr>
                <w:rFonts w:ascii="Arial" w:cs="Arial" w:eastAsia="Arial" w:hAnsi="Arial"/>
                <w:sz w:val="14"/>
                <w:szCs w:val="14"/>
                <w:b w:val="1"/>
                <w:bCs w:val="1"/>
                <w:color w:val="auto"/>
              </w:rPr>
              <w:t>Three months ended September 30, 2021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Point in Time Revenue</w:t>
            </w: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Over Time Revenue</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Recognition</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Recognition</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28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b w:val="1"/>
                <w:bCs w:val="1"/>
                <w:color w:val="auto"/>
              </w:rPr>
              <w: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153,306</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865</w:t>
            </w: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154,171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16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6400" w:type="dxa"/>
            <w:vAlign w:val="bottom"/>
            <w:gridSpan w:val="2"/>
          </w:tcPr>
          <w:p>
            <w:pPr>
              <w:ind w:left="20"/>
              <w:spacing w:after="0"/>
              <w:rPr>
                <w:sz w:val="20"/>
                <w:szCs w:val="20"/>
                <w:color w:val="auto"/>
              </w:rPr>
            </w:pPr>
            <w:r>
              <w:rPr>
                <w:rFonts w:ascii="Arial" w:cs="Arial" w:eastAsia="Arial" w:hAnsi="Arial"/>
                <w:sz w:val="16"/>
                <w:szCs w:val="16"/>
                <w:color w:val="auto"/>
              </w:rPr>
              <w:t>ASC</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auto"/>
              </w:rPr>
              <w:t>26,904</w:t>
            </w:r>
          </w:p>
        </w:tc>
        <w:tc>
          <w:tcPr>
            <w:tcW w:w="44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26,904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AEC</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3,589</w:t>
            </w: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47,778</w:t>
            </w: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51,367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4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Albany Engineered Composites</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3,589</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74,682</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78,271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60" w:type="dxa"/>
            <w:vAlign w:val="bottom"/>
            <w:tcBorders>
              <w:bottom w:val="single" w:sz="8" w:color="auto"/>
            </w:tcBorders>
            <w:shd w:val="clear" w:color="auto" w:fill="CCEEFF"/>
          </w:tcPr>
          <w:p>
            <w:pPr>
              <w:spacing w:after="0"/>
              <w:rPr>
                <w:sz w:val="18"/>
                <w:szCs w:val="18"/>
                <w:color w:val="auto"/>
              </w:rPr>
            </w:pPr>
          </w:p>
        </w:tc>
        <w:tc>
          <w:tcPr>
            <w:tcW w:w="62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4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Total revenue</w:t>
            </w:r>
          </w:p>
        </w:tc>
        <w:tc>
          <w:tcPr>
            <w:tcW w:w="2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156,895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75,547</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232,442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60" w:type="dxa"/>
            <w:vAlign w:val="bottom"/>
            <w:tcBorders>
              <w:bottom w:val="single" w:sz="8" w:color="auto"/>
            </w:tcBorders>
          </w:tcPr>
          <w:p>
            <w:pPr>
              <w:spacing w:after="0"/>
              <w:rPr>
                <w:sz w:val="17"/>
                <w:szCs w:val="17"/>
                <w:color w:val="auto"/>
              </w:rPr>
            </w:pPr>
          </w:p>
        </w:tc>
        <w:tc>
          <w:tcPr>
            <w:tcW w:w="6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540" w:type="dxa"/>
            <w:vAlign w:val="bottom"/>
            <w:tcBorders>
              <w:bottom w:val="single" w:sz="8" w:color="auto"/>
            </w:tcBorders>
            <w:gridSpan w:val="6"/>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540" w:type="dxa"/>
            <w:vAlign w:val="bottom"/>
            <w:tcBorders>
              <w:bottom w:val="single" w:sz="8" w:color="auto"/>
            </w:tcBorders>
            <w:gridSpan w:val="6"/>
          </w:tcPr>
          <w:p>
            <w:pPr>
              <w:jc w:val="center"/>
              <w:ind w:left="742"/>
              <w:spacing w:after="0"/>
              <w:rPr>
                <w:sz w:val="20"/>
                <w:szCs w:val="20"/>
                <w:color w:val="auto"/>
              </w:rPr>
            </w:pPr>
            <w:r>
              <w:rPr>
                <w:rFonts w:ascii="Arial" w:cs="Arial" w:eastAsia="Arial" w:hAnsi="Arial"/>
                <w:sz w:val="14"/>
                <w:szCs w:val="14"/>
                <w:b w:val="1"/>
                <w:bCs w:val="1"/>
                <w:color w:val="auto"/>
              </w:rPr>
              <w:t>Nine months ended September 30, 2021</w:t>
            </w: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6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center"/>
              <w:ind w:right="82"/>
              <w:spacing w:after="0" w:line="142" w:lineRule="exact"/>
              <w:rPr>
                <w:sz w:val="20"/>
                <w:szCs w:val="20"/>
                <w:color w:val="auto"/>
              </w:rPr>
            </w:pPr>
            <w:r>
              <w:rPr>
                <w:rFonts w:ascii="Arial" w:cs="Arial" w:eastAsia="Arial" w:hAnsi="Arial"/>
                <w:sz w:val="14"/>
                <w:szCs w:val="14"/>
                <w:b w:val="1"/>
                <w:bCs w:val="1"/>
                <w:color w:val="auto"/>
              </w:rPr>
              <w:t>Point in</w:t>
            </w:r>
          </w:p>
        </w:tc>
        <w:tc>
          <w:tcPr>
            <w:tcW w:w="160" w:type="dxa"/>
            <w:vAlign w:val="bottom"/>
          </w:tcPr>
          <w:p>
            <w:pPr>
              <w:spacing w:after="0"/>
              <w:rPr>
                <w:sz w:val="12"/>
                <w:szCs w:val="12"/>
                <w:color w:val="auto"/>
              </w:rPr>
            </w:pPr>
          </w:p>
        </w:tc>
        <w:tc>
          <w:tcPr>
            <w:tcW w:w="1520" w:type="dxa"/>
            <w:vAlign w:val="bottom"/>
            <w:gridSpan w:val="2"/>
            <w:vMerge w:val="restart"/>
          </w:tcPr>
          <w:p>
            <w:pPr>
              <w:jc w:val="right"/>
              <w:ind w:right="21"/>
              <w:spacing w:after="0"/>
              <w:rPr>
                <w:sz w:val="20"/>
                <w:szCs w:val="20"/>
                <w:color w:val="auto"/>
              </w:rPr>
            </w:pPr>
            <w:r>
              <w:rPr>
                <w:rFonts w:ascii="Arial" w:cs="Arial" w:eastAsia="Arial" w:hAnsi="Arial"/>
                <w:sz w:val="14"/>
                <w:szCs w:val="14"/>
                <w:b w:val="1"/>
                <w:bCs w:val="1"/>
                <w:color w:val="auto"/>
              </w:rPr>
              <w:t>Over Time Revenue</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jc w:val="center"/>
              <w:ind w:right="82"/>
              <w:spacing w:after="0" w:line="135" w:lineRule="exact"/>
              <w:rPr>
                <w:sz w:val="20"/>
                <w:szCs w:val="20"/>
                <w:color w:val="auto"/>
              </w:rPr>
            </w:pPr>
            <w:r>
              <w:rPr>
                <w:rFonts w:ascii="Arial" w:cs="Arial" w:eastAsia="Arial" w:hAnsi="Arial"/>
                <w:sz w:val="14"/>
                <w:szCs w:val="14"/>
                <w:b w:val="1"/>
                <w:bCs w:val="1"/>
                <w:color w:val="auto"/>
              </w:rPr>
              <w:t>Time Revenue</w:t>
            </w:r>
          </w:p>
        </w:tc>
        <w:tc>
          <w:tcPr>
            <w:tcW w:w="16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640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Recognition</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Recognition</w:t>
            </w: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28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459,703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2,595</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462,298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160" w:type="dxa"/>
            <w:vAlign w:val="bottom"/>
          </w:tcPr>
          <w:p>
            <w:pPr>
              <w:spacing w:after="0"/>
              <w:rPr>
                <w:sz w:val="7"/>
                <w:szCs w:val="7"/>
                <w:color w:val="auto"/>
              </w:rPr>
            </w:pPr>
          </w:p>
        </w:tc>
        <w:tc>
          <w:tcPr>
            <w:tcW w:w="6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30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40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00" w:type="dxa"/>
            <w:vAlign w:val="bottom"/>
            <w:gridSpan w:val="2"/>
          </w:tcPr>
          <w:p>
            <w:pPr>
              <w:ind w:left="20"/>
              <w:spacing w:after="0"/>
              <w:rPr>
                <w:sz w:val="20"/>
                <w:szCs w:val="20"/>
                <w:color w:val="auto"/>
              </w:rPr>
            </w:pPr>
            <w:r>
              <w:rPr>
                <w:rFonts w:ascii="Arial" w:cs="Arial" w:eastAsia="Arial" w:hAnsi="Arial"/>
                <w:sz w:val="16"/>
                <w:szCs w:val="16"/>
                <w:color w:val="auto"/>
              </w:rPr>
              <w:t>ASC</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auto"/>
              </w:rPr>
              <w:t>80,158</w:t>
            </w:r>
          </w:p>
        </w:tc>
        <w:tc>
          <w:tcPr>
            <w:tcW w:w="4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80,158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AEC</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11,901</w:t>
            </w: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134,965</w:t>
            </w: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146,866</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Albany Engineered Composites</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11,901</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215,123</w:t>
            </w: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227,024</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60" w:type="dxa"/>
            <w:vAlign w:val="bottom"/>
            <w:tcBorders>
              <w:bottom w:val="single" w:sz="8" w:color="auto"/>
            </w:tcBorders>
            <w:shd w:val="clear" w:color="auto" w:fill="CCEEFF"/>
          </w:tcPr>
          <w:p>
            <w:pPr>
              <w:spacing w:after="0"/>
              <w:rPr>
                <w:sz w:val="21"/>
                <w:szCs w:val="21"/>
                <w:color w:val="auto"/>
              </w:rPr>
            </w:pPr>
          </w:p>
        </w:tc>
        <w:tc>
          <w:tcPr>
            <w:tcW w:w="62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4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Total revenue</w:t>
            </w:r>
          </w:p>
        </w:tc>
        <w:tc>
          <w:tcPr>
            <w:tcW w:w="28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471,604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217,718</w:t>
            </w: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689,322</w:t>
            </w: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58"/>
        </w:trPr>
        <w:tc>
          <w:tcPr>
            <w:tcW w:w="160" w:type="dxa"/>
            <w:vAlign w:val="bottom"/>
          </w:tcPr>
          <w:p>
            <w:pPr>
              <w:spacing w:after="0"/>
              <w:rPr>
                <w:sz w:val="24"/>
                <w:szCs w:val="24"/>
                <w:color w:val="auto"/>
              </w:rPr>
            </w:pPr>
          </w:p>
        </w:tc>
        <w:tc>
          <w:tcPr>
            <w:tcW w:w="6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6"/>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5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September 30, 2020</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Point in Time Revenue</w:t>
            </w:r>
          </w:p>
        </w:tc>
        <w:tc>
          <w:tcPr>
            <w:tcW w:w="160" w:type="dxa"/>
            <w:vAlign w:val="bottom"/>
          </w:tcPr>
          <w:p>
            <w:pPr>
              <w:spacing w:after="0"/>
              <w:rPr>
                <w:sz w:val="14"/>
                <w:szCs w:val="14"/>
                <w:color w:val="auto"/>
              </w:rPr>
            </w:pPr>
          </w:p>
        </w:tc>
        <w:tc>
          <w:tcPr>
            <w:tcW w:w="1520" w:type="dxa"/>
            <w:vAlign w:val="bottom"/>
            <w:gridSpan w:val="2"/>
          </w:tcPr>
          <w:p>
            <w:pPr>
              <w:jc w:val="center"/>
              <w:ind w:right="61"/>
              <w:spacing w:after="0"/>
              <w:rPr>
                <w:sz w:val="20"/>
                <w:szCs w:val="20"/>
                <w:color w:val="auto"/>
              </w:rPr>
            </w:pPr>
            <w:r>
              <w:rPr>
                <w:rFonts w:ascii="Arial" w:cs="Arial" w:eastAsia="Arial" w:hAnsi="Arial"/>
                <w:sz w:val="14"/>
                <w:szCs w:val="14"/>
                <w:b w:val="1"/>
                <w:bCs w:val="1"/>
                <w:color w:val="auto"/>
              </w:rPr>
              <w:t>Over Time Revenue</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62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ind w:right="302"/>
              <w:spacing w:after="0"/>
              <w:rPr>
                <w:sz w:val="20"/>
                <w:szCs w:val="20"/>
                <w:color w:val="auto"/>
              </w:rPr>
            </w:pPr>
            <w:r>
              <w:rPr>
                <w:rFonts w:ascii="Arial" w:cs="Arial" w:eastAsia="Arial" w:hAnsi="Arial"/>
                <w:sz w:val="14"/>
                <w:szCs w:val="14"/>
                <w:b w:val="1"/>
                <w:bCs w:val="1"/>
                <w:color w:val="auto"/>
              </w:rPr>
              <w:t>Recognition</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center"/>
              <w:ind w:right="201"/>
              <w:spacing w:after="0"/>
              <w:rPr>
                <w:sz w:val="20"/>
                <w:szCs w:val="20"/>
                <w:color w:val="auto"/>
              </w:rPr>
            </w:pPr>
            <w:r>
              <w:rPr>
                <w:rFonts w:ascii="Arial" w:cs="Arial" w:eastAsia="Arial" w:hAnsi="Arial"/>
                <w:sz w:val="14"/>
                <w:szCs w:val="14"/>
                <w:b w:val="1"/>
                <w:bCs w:val="1"/>
                <w:color w:val="auto"/>
              </w:rPr>
              <w:t>Recognition</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9"/>
              </w:rPr>
              <w:t>Total</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60" w:type="dxa"/>
            <w:vAlign w:val="bottom"/>
          </w:tcPr>
          <w:p>
            <w:pPr>
              <w:spacing w:after="0"/>
              <w:rPr>
                <w:sz w:val="18"/>
                <w:szCs w:val="18"/>
                <w:color w:val="auto"/>
              </w:rPr>
            </w:pPr>
          </w:p>
        </w:tc>
        <w:tc>
          <w:tcPr>
            <w:tcW w:w="6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Machine Clothing</w:t>
            </w:r>
          </w:p>
        </w:tc>
        <w:tc>
          <w:tcPr>
            <w:tcW w:w="28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137,899</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848</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138,747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16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Albany Engineered Composites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16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Arial" w:cs="Arial" w:eastAsia="Arial" w:hAnsi="Arial"/>
                <w:sz w:val="16"/>
                <w:szCs w:val="16"/>
                <w:color w:val="auto"/>
              </w:rPr>
              <w:t>ASC</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17,301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17,301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160" w:type="dxa"/>
            <w:vAlign w:val="bottom"/>
          </w:tcPr>
          <w:p>
            <w:pPr>
              <w:spacing w:after="0"/>
              <w:rPr>
                <w:sz w:val="19"/>
                <w:szCs w:val="19"/>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Other AEC</w:t>
            </w: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4,479</w:t>
            </w: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51,472</w:t>
            </w:r>
          </w:p>
        </w:tc>
        <w:tc>
          <w:tcPr>
            <w:tcW w:w="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55,951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60" w:type="dxa"/>
            <w:vAlign w:val="bottom"/>
          </w:tcPr>
          <w:p>
            <w:pPr>
              <w:spacing w:after="0"/>
              <w:rPr>
                <w:sz w:val="19"/>
                <w:szCs w:val="19"/>
                <w:color w:val="auto"/>
              </w:rPr>
            </w:pPr>
          </w:p>
        </w:tc>
        <w:tc>
          <w:tcPr>
            <w:tcW w:w="62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Albany Engineered Composites</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4,479</w:t>
            </w: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68,773</w:t>
            </w: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73,252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60" w:type="dxa"/>
            <w:vAlign w:val="bottom"/>
          </w:tcPr>
          <w:p>
            <w:pPr>
              <w:spacing w:after="0"/>
              <w:rPr>
                <w:sz w:val="20"/>
                <w:szCs w:val="20"/>
                <w:color w:val="auto"/>
              </w:rPr>
            </w:pPr>
          </w:p>
        </w:tc>
        <w:tc>
          <w:tcPr>
            <w:tcW w:w="62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60" w:type="dxa"/>
            <w:vAlign w:val="bottom"/>
          </w:tcPr>
          <w:p>
            <w:pPr>
              <w:spacing w:after="0"/>
              <w:rPr>
                <w:sz w:val="20"/>
                <w:szCs w:val="20"/>
                <w:color w:val="auto"/>
              </w:rPr>
            </w:pPr>
          </w:p>
        </w:tc>
        <w:tc>
          <w:tcPr>
            <w:tcW w:w="6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revenue</w:t>
            </w:r>
          </w:p>
        </w:tc>
        <w:tc>
          <w:tcPr>
            <w:tcW w:w="2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142,378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69,621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211,999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0" w:name="page11"/>
    <w:bookmarkEnd w:id="1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4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4380" w:type="dxa"/>
            <w:vAlign w:val="bottom"/>
            <w:tcBorders>
              <w:top w:val="single" w:sz="8" w:color="auto"/>
              <w:bottom w:val="single" w:sz="8" w:color="auto"/>
            </w:tcBorders>
            <w:gridSpan w:val="5"/>
          </w:tcPr>
          <w:p>
            <w:pPr>
              <w:jc w:val="center"/>
              <w:ind w:right="101"/>
              <w:spacing w:after="0"/>
              <w:rPr>
                <w:sz w:val="20"/>
                <w:szCs w:val="20"/>
                <w:color w:val="auto"/>
              </w:rPr>
            </w:pPr>
            <w:r>
              <w:rPr>
                <w:rFonts w:ascii="Arial" w:cs="Arial" w:eastAsia="Arial" w:hAnsi="Arial"/>
                <w:sz w:val="14"/>
                <w:szCs w:val="14"/>
                <w:b w:val="1"/>
                <w:bCs w:val="1"/>
                <w:color w:val="auto"/>
              </w:rPr>
              <w:t>Nine months ended September 30, 2020</w:t>
            </w: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center"/>
              <w:ind w:right="83"/>
              <w:spacing w:after="0" w:line="142" w:lineRule="exact"/>
              <w:rPr>
                <w:sz w:val="20"/>
                <w:szCs w:val="20"/>
                <w:color w:val="auto"/>
              </w:rPr>
            </w:pPr>
            <w:r>
              <w:rPr>
                <w:rFonts w:ascii="Arial" w:cs="Arial" w:eastAsia="Arial" w:hAnsi="Arial"/>
                <w:sz w:val="14"/>
                <w:szCs w:val="14"/>
                <w:b w:val="1"/>
                <w:bCs w:val="1"/>
                <w:color w:val="auto"/>
              </w:rPr>
              <w:t>Point in</w:t>
            </w:r>
          </w:p>
        </w:tc>
        <w:tc>
          <w:tcPr>
            <w:tcW w:w="15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Over Time Revenue</w:t>
            </w: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1"/>
                <w:szCs w:val="11"/>
                <w:color w:val="auto"/>
              </w:rPr>
            </w:pPr>
          </w:p>
        </w:tc>
        <w:tc>
          <w:tcPr>
            <w:tcW w:w="1320" w:type="dxa"/>
            <w:vAlign w:val="bottom"/>
          </w:tcPr>
          <w:p>
            <w:pPr>
              <w:jc w:val="center"/>
              <w:ind w:right="83"/>
              <w:spacing w:after="0" w:line="135" w:lineRule="exact"/>
              <w:rPr>
                <w:sz w:val="20"/>
                <w:szCs w:val="20"/>
                <w:color w:val="auto"/>
              </w:rPr>
            </w:pPr>
            <w:r>
              <w:rPr>
                <w:rFonts w:ascii="Arial" w:cs="Arial" w:eastAsia="Arial" w:hAnsi="Arial"/>
                <w:sz w:val="14"/>
                <w:szCs w:val="14"/>
                <w:b w:val="1"/>
                <w:bCs w:val="1"/>
                <w:color w:val="auto"/>
              </w:rPr>
              <w:t>Time Revenue</w:t>
            </w:r>
          </w:p>
        </w:tc>
        <w:tc>
          <w:tcPr>
            <w:tcW w:w="150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vMerge w:val="restart"/>
          </w:tcPr>
          <w:p>
            <w:pPr>
              <w:jc w:val="right"/>
              <w:ind w:right="52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64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Recognition</w:t>
            </w: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Recognition</w:t>
            </w: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6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426,238</w:t>
            </w:r>
          </w:p>
        </w:tc>
        <w:tc>
          <w:tcPr>
            <w:tcW w:w="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2,544</w:t>
            </w:r>
          </w:p>
        </w:tc>
        <w:tc>
          <w:tcPr>
            <w:tcW w:w="3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428,782</w:t>
            </w:r>
          </w:p>
        </w:tc>
        <w:tc>
          <w:tcPr>
            <w:tcW w:w="0" w:type="dxa"/>
            <w:vAlign w:val="bottom"/>
          </w:tcPr>
          <w:p>
            <w:pPr>
              <w:spacing w:after="0"/>
              <w:rPr>
                <w:sz w:val="1"/>
                <w:szCs w:val="1"/>
                <w:color w:val="auto"/>
              </w:rPr>
            </w:pPr>
          </w:p>
        </w:tc>
      </w:tr>
      <w:tr>
        <w:trPr>
          <w:trHeight w:val="253"/>
        </w:trPr>
        <w:tc>
          <w:tcPr>
            <w:tcW w:w="6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ASC</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72,771</w:t>
            </w:r>
          </w:p>
        </w:tc>
        <w:tc>
          <w:tcPr>
            <w:tcW w:w="38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72,771</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AEC</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14,942</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157,258</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172,200</w:t>
            </w: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Albany Engineered Composites</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14,942</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230,029</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244,971</w:t>
            </w:r>
          </w:p>
        </w:tc>
        <w:tc>
          <w:tcPr>
            <w:tcW w:w="0" w:type="dxa"/>
            <w:vAlign w:val="bottom"/>
          </w:tcPr>
          <w:p>
            <w:pPr>
              <w:spacing w:after="0"/>
              <w:rPr>
                <w:sz w:val="1"/>
                <w:szCs w:val="1"/>
                <w:color w:val="auto"/>
              </w:rPr>
            </w:pPr>
          </w:p>
        </w:tc>
      </w:tr>
      <w:tr>
        <w:trPr>
          <w:trHeight w:val="253"/>
        </w:trPr>
        <w:tc>
          <w:tcPr>
            <w:tcW w:w="644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revenue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441,180</w:t>
            </w:r>
          </w:p>
        </w:tc>
        <w:tc>
          <w:tcPr>
            <w:tcW w:w="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232,573</w:t>
            </w:r>
          </w:p>
        </w:tc>
        <w:tc>
          <w:tcPr>
            <w:tcW w:w="3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673,753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table disaggregates MC segment revenue by significant product groupings (paper machine clothing ("PMC") and engineered fabrics), and, for PMC, the geographical region to which the paper machine clothing was sold: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80" w:type="dxa"/>
            <w:vAlign w:val="bottom"/>
            <w:tcBorders>
              <w:top w:val="single" w:sz="8" w:color="auto"/>
            </w:tcBorders>
          </w:tcPr>
          <w:p>
            <w:pPr>
              <w:spacing w:after="0"/>
              <w:rPr>
                <w:sz w:val="17"/>
                <w:szCs w:val="17"/>
                <w:color w:val="auto"/>
              </w:rPr>
            </w:pPr>
          </w:p>
        </w:tc>
        <w:tc>
          <w:tcPr>
            <w:tcW w:w="2600" w:type="dxa"/>
            <w:vAlign w:val="bottom"/>
            <w:tcBorders>
              <w:top w:val="single" w:sz="8" w:color="auto"/>
              <w:bottom w:val="single" w:sz="8" w:color="auto"/>
            </w:tcBorders>
            <w:gridSpan w:val="4"/>
          </w:tcPr>
          <w:p>
            <w:pPr>
              <w:jc w:val="right"/>
              <w:ind w:right="1"/>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Borders>
              <w:top w:val="single" w:sz="8" w:color="auto"/>
              <w:bottom w:val="single" w:sz="8" w:color="auto"/>
            </w:tcBorders>
          </w:tcPr>
          <w:p>
            <w:pPr>
              <w:spacing w:after="0"/>
              <w:rPr>
                <w:sz w:val="17"/>
                <w:szCs w:val="17"/>
                <w:color w:val="auto"/>
              </w:rPr>
            </w:pPr>
          </w:p>
        </w:tc>
        <w:tc>
          <w:tcPr>
            <w:tcW w:w="2500" w:type="dxa"/>
            <w:vAlign w:val="bottom"/>
            <w:tcBorders>
              <w:top w:val="single" w:sz="8" w:color="auto"/>
              <w:bottom w:val="single" w:sz="8" w:color="auto"/>
            </w:tcBorders>
            <w:gridSpan w:val="3"/>
          </w:tcPr>
          <w:p>
            <w:pPr>
              <w:jc w:val="right"/>
              <w:ind w:right="61"/>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2020</w:t>
            </w:r>
          </w:p>
        </w:tc>
      </w:tr>
      <w:tr>
        <w:trPr>
          <w:trHeight w:val="209"/>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Americas PMC</w:t>
            </w: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81,780</w:t>
            </w:r>
          </w:p>
        </w:tc>
        <w:tc>
          <w:tcPr>
            <w:tcW w:w="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70,663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237,425</w:t>
            </w:r>
          </w:p>
        </w:tc>
        <w:tc>
          <w:tcPr>
            <w:tcW w:w="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225,565</w:t>
            </w:r>
          </w:p>
        </w:tc>
      </w:tr>
      <w:tr>
        <w:trPr>
          <w:trHeight w:val="240"/>
        </w:trPr>
        <w:tc>
          <w:tcPr>
            <w:tcW w:w="5880" w:type="dxa"/>
            <w:vAlign w:val="bottom"/>
          </w:tcPr>
          <w:p>
            <w:pPr>
              <w:ind w:left="20"/>
              <w:spacing w:after="0"/>
              <w:rPr>
                <w:sz w:val="20"/>
                <w:szCs w:val="20"/>
                <w:color w:val="auto"/>
              </w:rPr>
            </w:pPr>
            <w:r>
              <w:rPr>
                <w:rFonts w:ascii="Arial" w:cs="Arial" w:eastAsia="Arial" w:hAnsi="Arial"/>
                <w:sz w:val="16"/>
                <w:szCs w:val="16"/>
                <w:color w:val="auto"/>
              </w:rPr>
              <w:t>Eurasia PMC</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53,277</w:t>
            </w: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50,923</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164,320</w:t>
            </w:r>
          </w:p>
        </w:tc>
        <w:tc>
          <w:tcPr>
            <w:tcW w:w="34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150,220</w:t>
            </w:r>
          </w:p>
        </w:tc>
      </w:tr>
      <w:tr>
        <w:trPr>
          <w:trHeight w:val="218"/>
        </w:trPr>
        <w:tc>
          <w:tcPr>
            <w:tcW w:w="5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Engineered Fabrics</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19,114</w:t>
            </w: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17,161</w:t>
            </w: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60,553</w:t>
            </w:r>
          </w:p>
        </w:tc>
        <w:tc>
          <w:tcPr>
            <w:tcW w:w="3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52,997</w:t>
            </w:r>
          </w:p>
        </w:tc>
      </w:tr>
      <w:tr>
        <w:trPr>
          <w:trHeight w:val="234"/>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Machine Clothing Net sales</w:t>
            </w:r>
          </w:p>
        </w:tc>
        <w:tc>
          <w:tcPr>
            <w:tcW w:w="3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154,171</w:t>
            </w: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138,747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462,298</w:t>
            </w: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428,782</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Contracts in the MC segment are generally for periods of less than a year. Most contracts in the AEC segment are short duration firm-fixed-price orders representing performance obligations with an original maturity of less than one year. Remaining performance obligations on contracts that had an original duration of greater than one year totaled $155 million and $81 million as of September 30, 2021 and 2020, respectively, and related primarily to firm contracts in the AEC segment. Of the remaining performance obligations as of September 30, 2021, we expect to recognize as revenue approximately $29 million during 2021, $66 million during 2022, $37 million during 2023, and the remainder during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1" w:name="page12"/>
    <w:bookmarkEnd w:id="1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Pensions and Other Postretirement Benefit Plans</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 has defined benefit pension plans covering certain U.S. and non-U.S. employees. The Company also provides certain postretirement benefits to retired employees in the U.S. and Canada. The Company accrues the cost of providing these benefits during the active service period of the employees.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composition of the net periodic benefit cost for the nine months ended September 30, 2021 and 2020,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Pension plans</w:t>
            </w:r>
          </w:p>
        </w:tc>
        <w:tc>
          <w:tcPr>
            <w:tcW w:w="8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Other postretirement benefits</w:t>
            </w:r>
          </w:p>
        </w:tc>
      </w:tr>
      <w:tr>
        <w:trPr>
          <w:trHeight w:val="203"/>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w w:val="96"/>
              </w:rPr>
              <w:t>2020</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r>
      <w:tr>
        <w:trPr>
          <w:trHeight w:val="209"/>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Components of net periodic benefit cost: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40"/>
        </w:trPr>
        <w:tc>
          <w:tcPr>
            <w:tcW w:w="600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1,630</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1,728</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99</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219"/>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cost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3,999</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4,621</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827</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w:t>
            </w:r>
          </w:p>
        </w:tc>
      </w:tr>
      <w:tr>
        <w:trPr>
          <w:trHeight w:val="215"/>
        </w:trPr>
        <w:tc>
          <w:tcPr>
            <w:tcW w:w="6000" w:type="dxa"/>
            <w:vAlign w:val="bottom"/>
          </w:tcPr>
          <w:p>
            <w:pPr>
              <w:ind w:left="20"/>
              <w:spacing w:after="0"/>
              <w:rPr>
                <w:sz w:val="20"/>
                <w:szCs w:val="20"/>
                <w:color w:val="auto"/>
              </w:rPr>
            </w:pPr>
            <w:r>
              <w:rPr>
                <w:rFonts w:ascii="Arial" w:cs="Arial" w:eastAsia="Arial" w:hAnsi="Arial"/>
                <w:sz w:val="16"/>
                <w:szCs w:val="16"/>
                <w:color w:val="auto"/>
              </w:rPr>
              <w:t>Expected return on assets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(4,802)</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(5,139)</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000" w:type="dxa"/>
            <w:vAlign w:val="bottom"/>
          </w:tcPr>
          <w:p>
            <w:pPr>
              <w:ind w:left="20"/>
              <w:spacing w:after="0"/>
              <w:rPr>
                <w:sz w:val="20"/>
                <w:szCs w:val="20"/>
                <w:color w:val="auto"/>
              </w:rPr>
            </w:pPr>
            <w:r>
              <w:rPr>
                <w:rFonts w:ascii="Arial" w:cs="Arial" w:eastAsia="Arial" w:hAnsi="Arial"/>
                <w:sz w:val="16"/>
                <w:szCs w:val="16"/>
                <w:color w:val="auto"/>
              </w:rPr>
              <w:t>Curtailment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233</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prior service cost/(credit)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(3,366)</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(3,366)</w:t>
            </w:r>
          </w:p>
        </w:tc>
      </w:tr>
      <w:tr>
        <w:trPr>
          <w:trHeight w:val="215"/>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Amortization of net actuarial loss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1,625</w:t>
            </w: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1,776</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1,695</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1,944</w:t>
            </w:r>
          </w:p>
        </w:tc>
      </w:tr>
      <w:tr>
        <w:trPr>
          <w:trHeight w:val="209"/>
        </w:trPr>
        <w:tc>
          <w:tcPr>
            <w:tcW w:w="6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periodic benefit cost</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2,462</w:t>
            </w: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3,388</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(745)</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bl>
    <w:p>
      <w:pPr>
        <w:spacing w:after="0" w:line="323" w:lineRule="exact"/>
        <w:rPr>
          <w:sz w:val="20"/>
          <w:szCs w:val="20"/>
          <w:color w:val="auto"/>
        </w:rPr>
      </w:pPr>
    </w:p>
    <w:p>
      <w:pPr>
        <w:ind w:right="400" w:firstLine="324"/>
        <w:spacing w:after="0" w:line="235" w:lineRule="auto"/>
        <w:rPr>
          <w:sz w:val="20"/>
          <w:szCs w:val="20"/>
          <w:color w:val="auto"/>
        </w:rPr>
      </w:pPr>
      <w:r>
        <w:rPr>
          <w:rFonts w:ascii="Arial" w:cs="Arial" w:eastAsia="Arial" w:hAnsi="Arial"/>
          <w:sz w:val="18"/>
          <w:szCs w:val="18"/>
          <w:color w:val="auto"/>
        </w:rPr>
        <w:t>The amount of net periodic benefit cost is determined at the beginning of each year and generally only varies from quarter to quarter when a significant event occurs, such as a curtailment or a settlement. There were no such events in the first nine months of 2021.</w:t>
      </w:r>
    </w:p>
    <w:p>
      <w:pPr>
        <w:spacing w:after="0" w:line="216" w:lineRule="exact"/>
        <w:rPr>
          <w:sz w:val="20"/>
          <w:szCs w:val="20"/>
          <w:color w:val="auto"/>
        </w:rPr>
      </w:pPr>
    </w:p>
    <w:p>
      <w:pPr>
        <w:ind w:right="80" w:firstLine="324"/>
        <w:spacing w:after="0" w:line="245" w:lineRule="auto"/>
        <w:rPr>
          <w:sz w:val="20"/>
          <w:szCs w:val="20"/>
          <w:color w:val="auto"/>
        </w:rPr>
      </w:pPr>
      <w:r>
        <w:rPr>
          <w:rFonts w:ascii="Arial" w:cs="Arial" w:eastAsia="Arial" w:hAnsi="Arial"/>
          <w:sz w:val="17"/>
          <w:szCs w:val="17"/>
          <w:color w:val="auto"/>
        </w:rPr>
        <w:t>On July 29, 2021, the Company notified the participants of the U.S. Pension Plus Plan (the "Plan") of its intent to terminate the Plan. In order to facilitate such termination, the Company has amended the Plan to, among other things, establish the termination date and set forth the procedures for termination. The Company also filed the necessary application with the Internal Revenue Service requesting the issuance</w:t>
      </w:r>
    </w:p>
    <w:p>
      <w:pPr>
        <w:spacing w:after="0" w:line="9"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of a determination letter regarding the Plan’s qualification status at termination. The Plan was terminated on September 30, 2021. This has not resulted in a curtailment or settlement charge during the nine month period ended September 30, 2021.</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second quarter of 2020, the Company recorded expense of $0.4 million related to curtailments and settlements.</w:t>
      </w:r>
    </w:p>
    <w:p>
      <w:pPr>
        <w:spacing w:after="0" w:line="11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Service cost for defined benefit pension and postretirement plans are reported in the same line item as other compensation costs arising from services rendered by the pertinent employees during the period. Other components of net periodic benefit cost are included in the line item Other (income)/expense, net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Other (Income)/Expense, net</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Other (Income)/Expense, net are: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60" w:type="dxa"/>
            <w:vAlign w:val="bottom"/>
            <w:tcBorders>
              <w:top w:val="single" w:sz="8" w:color="auto"/>
            </w:tcBorders>
          </w:tcPr>
          <w:p>
            <w:pPr>
              <w:spacing w:after="0"/>
              <w:rPr>
                <w:sz w:val="17"/>
                <w:szCs w:val="17"/>
                <w:color w:val="auto"/>
              </w:rPr>
            </w:pPr>
          </w:p>
        </w:tc>
        <w:tc>
          <w:tcPr>
            <w:tcW w:w="25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2540" w:type="dxa"/>
            <w:vAlign w:val="bottom"/>
            <w:tcBorders>
              <w:top w:val="single" w:sz="8" w:color="auto"/>
              <w:bottom w:val="single" w:sz="8" w:color="auto"/>
            </w:tcBorders>
            <w:gridSpan w:val="4"/>
          </w:tcPr>
          <w:p>
            <w:pPr>
              <w:jc w:val="right"/>
              <w:ind w:right="1"/>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2020</w:t>
            </w:r>
          </w:p>
        </w:tc>
      </w:tr>
      <w:tr>
        <w:trPr>
          <w:trHeight w:val="209"/>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transaction (gains)/losses</w:t>
            </w:r>
          </w:p>
        </w:tc>
        <w:tc>
          <w:tcPr>
            <w:tcW w:w="300" w:type="dxa"/>
            <w:vAlign w:val="bottom"/>
            <w:shd w:val="clear" w:color="auto" w:fill="CCEEFF"/>
          </w:tcPr>
          <w:p>
            <w:pPr>
              <w:jc w:val="right"/>
              <w:ind w:right="102"/>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472</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300" w:type="dxa"/>
            <w:vAlign w:val="bottom"/>
            <w:shd w:val="clear" w:color="auto" w:fill="CCEEFF"/>
          </w:tcPr>
          <w:p>
            <w:pPr>
              <w:jc w:val="right"/>
              <w:ind w:right="102"/>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813</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14,702</w:t>
            </w:r>
          </w:p>
        </w:tc>
      </w:tr>
      <w:tr>
        <w:trPr>
          <w:trHeight w:val="240"/>
        </w:trPr>
        <w:tc>
          <w:tcPr>
            <w:tcW w:w="6160" w:type="dxa"/>
            <w:vAlign w:val="bottom"/>
          </w:tcPr>
          <w:p>
            <w:pPr>
              <w:ind w:left="20"/>
              <w:spacing w:after="0"/>
              <w:rPr>
                <w:sz w:val="20"/>
                <w:szCs w:val="20"/>
                <w:color w:val="auto"/>
              </w:rPr>
            </w:pPr>
            <w:r>
              <w:rPr>
                <w:rFonts w:ascii="Arial" w:cs="Arial" w:eastAsia="Arial" w:hAnsi="Arial"/>
                <w:sz w:val="16"/>
                <w:szCs w:val="16"/>
                <w:color w:val="auto"/>
              </w:rPr>
              <w:t>Bank fees and amortization of debt issuance costs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74</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96</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284</w:t>
            </w:r>
          </w:p>
        </w:tc>
        <w:tc>
          <w:tcPr>
            <w:tcW w:w="300" w:type="dxa"/>
            <w:vAlign w:val="bottom"/>
          </w:tcPr>
          <w:p>
            <w:pPr>
              <w:spacing w:after="0"/>
              <w:rPr>
                <w:sz w:val="20"/>
                <w:szCs w:val="20"/>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264</w:t>
            </w:r>
          </w:p>
        </w:tc>
      </w:tr>
      <w:tr>
        <w:trPr>
          <w:trHeight w:val="219"/>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Components of net periodic pension and postretirement cost other than service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1,523</w:t>
            </w:r>
          </w:p>
        </w:tc>
      </w:tr>
      <w:tr>
        <w:trPr>
          <w:trHeight w:val="240"/>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2,213</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(3,076)</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3,130</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(2,574)</w:t>
            </w:r>
          </w:p>
        </w:tc>
      </w:tr>
      <w:tr>
        <w:trPr>
          <w:trHeight w:val="212"/>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2,753</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(2,745)</w:t>
            </w:r>
          </w:p>
        </w:tc>
        <w:tc>
          <w:tcPr>
            <w:tcW w:w="30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4,215</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13,915</w:t>
            </w:r>
          </w:p>
        </w:tc>
      </w:tr>
    </w:tbl>
    <w:p>
      <w:pPr>
        <w:spacing w:after="0" w:line="18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Other (income)/expense, net included losses related to the revaluation of nonfunctional-currency balances of $0.8 million for the first nine months of 2021, compared to losses of $14.7 million for the first nine months of 2020, which principally resulted from an intercompany demand loan payable by a Mexican subsidiary. As a result of changes in</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2" w:name="page13"/>
    <w:bookmarkEnd w:id="1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business conditions that occurred in the first quarter of 2020, loan repayments on that intercompany loan are not expected in the foreseeable future and, beginning April 1, 2020, the revaluation effects are recorded in Other comprehensive income.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Income Taxes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components of income tax expense for the three and nine months ended September 30, 2021 and 2020:</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0" w:type="dxa"/>
            <w:vAlign w:val="bottom"/>
            <w:tcBorders>
              <w:top w:val="single" w:sz="8" w:color="auto"/>
            </w:tcBorders>
          </w:tcPr>
          <w:p>
            <w:pPr>
              <w:spacing w:after="0"/>
              <w:rPr>
                <w:sz w:val="14"/>
                <w:szCs w:val="14"/>
                <w:color w:val="auto"/>
              </w:rPr>
            </w:pPr>
          </w:p>
        </w:tc>
        <w:tc>
          <w:tcPr>
            <w:tcW w:w="2620" w:type="dxa"/>
            <w:vAlign w:val="bottom"/>
            <w:tcBorders>
              <w:top w:val="single" w:sz="8" w:color="auto"/>
            </w:tcBorders>
            <w:gridSpan w:val="4"/>
            <w:vMerge w:val="restart"/>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Borders>
              <w:top w:val="single" w:sz="8" w:color="auto"/>
            </w:tcBorders>
          </w:tcPr>
          <w:p>
            <w:pPr>
              <w:spacing w:after="0"/>
              <w:rPr>
                <w:sz w:val="14"/>
                <w:szCs w:val="14"/>
                <w:color w:val="auto"/>
              </w:rPr>
            </w:pPr>
          </w:p>
        </w:tc>
        <w:tc>
          <w:tcPr>
            <w:tcW w:w="2320" w:type="dxa"/>
            <w:vAlign w:val="bottom"/>
            <w:tcBorders>
              <w:top w:val="single" w:sz="8" w:color="auto"/>
            </w:tcBorders>
            <w:gridSpan w:val="3"/>
          </w:tcPr>
          <w:p>
            <w:pPr>
              <w:jc w:val="right"/>
              <w:ind w:right="5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6"/>
        </w:trPr>
        <w:tc>
          <w:tcPr>
            <w:tcW w:w="6000" w:type="dxa"/>
            <w:vAlign w:val="bottom"/>
          </w:tcPr>
          <w:p>
            <w:pPr>
              <w:spacing w:after="0"/>
              <w:rPr>
                <w:sz w:val="15"/>
                <w:szCs w:val="15"/>
                <w:color w:val="auto"/>
              </w:rPr>
            </w:pPr>
          </w:p>
        </w:tc>
        <w:tc>
          <w:tcPr>
            <w:tcW w:w="2620" w:type="dxa"/>
            <w:vAlign w:val="bottom"/>
            <w:tcBorders>
              <w:bottom w:val="single" w:sz="8" w:color="auto"/>
            </w:tcBorders>
            <w:gridSpan w:val="4"/>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09"/>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based on income from continuing operations (1)</w:t>
            </w:r>
          </w:p>
        </w:tc>
        <w:tc>
          <w:tcPr>
            <w:tcW w:w="300" w:type="dxa"/>
            <w:vAlign w:val="bottom"/>
            <w:shd w:val="clear" w:color="auto" w:fill="CCEEFF"/>
          </w:tcPr>
          <w:p>
            <w:pPr>
              <w:jc w:val="right"/>
              <w:ind w:right="102"/>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13,150</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12,666</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37,733</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36,237</w:t>
            </w:r>
          </w:p>
        </w:tc>
        <w:tc>
          <w:tcPr>
            <w:tcW w:w="0" w:type="dxa"/>
            <w:vAlign w:val="bottom"/>
          </w:tcPr>
          <w:p>
            <w:pPr>
              <w:spacing w:after="0"/>
              <w:rPr>
                <w:sz w:val="1"/>
                <w:szCs w:val="1"/>
                <w:color w:val="auto"/>
              </w:rPr>
            </w:pPr>
          </w:p>
        </w:tc>
      </w:tr>
      <w:tr>
        <w:trPr>
          <w:trHeight w:val="215"/>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Provision for change in estimated tax rate</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397</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(1,196)</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179</w:t>
            </w: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(1,687)</w:t>
            </w:r>
          </w:p>
        </w:tc>
        <w:tc>
          <w:tcPr>
            <w:tcW w:w="0" w:type="dxa"/>
            <w:vAlign w:val="bottom"/>
          </w:tcPr>
          <w:p>
            <w:pPr>
              <w:spacing w:after="0"/>
              <w:rPr>
                <w:sz w:val="1"/>
                <w:szCs w:val="1"/>
                <w:color w:val="auto"/>
              </w:rPr>
            </w:pPr>
          </w:p>
        </w:tc>
      </w:tr>
      <w:tr>
        <w:trPr>
          <w:trHeight w:val="210"/>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before discrete items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13,547</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11,470</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37,912</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34,550</w:t>
            </w:r>
          </w:p>
        </w:tc>
        <w:tc>
          <w:tcPr>
            <w:tcW w:w="0" w:type="dxa"/>
            <w:vAlign w:val="bottom"/>
          </w:tcPr>
          <w:p>
            <w:pPr>
              <w:spacing w:after="0"/>
              <w:rPr>
                <w:sz w:val="1"/>
                <w:szCs w:val="1"/>
                <w:color w:val="auto"/>
              </w:rPr>
            </w:pPr>
          </w:p>
        </w:tc>
      </w:tr>
      <w:tr>
        <w:trPr>
          <w:trHeight w:val="213"/>
        </w:trPr>
        <w:tc>
          <w:tcPr>
            <w:tcW w:w="6000" w:type="dxa"/>
            <w:vAlign w:val="bottom"/>
          </w:tcPr>
          <w:p>
            <w:pPr>
              <w:ind w:left="20"/>
              <w:spacing w:after="0"/>
              <w:rPr>
                <w:sz w:val="20"/>
                <w:szCs w:val="20"/>
                <w:color w:val="auto"/>
              </w:rPr>
            </w:pPr>
            <w:r>
              <w:rPr>
                <w:rFonts w:ascii="Arial" w:cs="Arial" w:eastAsia="Arial" w:hAnsi="Arial"/>
                <w:sz w:val="16"/>
                <w:szCs w:val="16"/>
                <w:color w:val="auto"/>
              </w:rPr>
              <w:t>Discrete tax expense:</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U.S. stock options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(160)</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5"/>
        </w:trPr>
        <w:tc>
          <w:tcPr>
            <w:tcW w:w="6000" w:type="dxa"/>
            <w:vAlign w:val="bottom"/>
          </w:tcPr>
          <w:p>
            <w:pPr>
              <w:ind w:left="20"/>
              <w:spacing w:after="0"/>
              <w:rPr>
                <w:sz w:val="20"/>
                <w:szCs w:val="20"/>
                <w:color w:val="auto"/>
              </w:rPr>
            </w:pPr>
            <w:r>
              <w:rPr>
                <w:rFonts w:ascii="Arial" w:cs="Arial" w:eastAsia="Arial" w:hAnsi="Arial"/>
                <w:sz w:val="16"/>
                <w:szCs w:val="16"/>
                <w:color w:val="auto"/>
              </w:rPr>
              <w:t>Adjustments to prior period tax liabilities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(674)</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(1,750)</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(2,095)</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(983)</w:t>
            </w:r>
          </w:p>
        </w:tc>
        <w:tc>
          <w:tcPr>
            <w:tcW w:w="0" w:type="dxa"/>
            <w:vAlign w:val="bottom"/>
          </w:tcPr>
          <w:p>
            <w:pPr>
              <w:spacing w:after="0"/>
              <w:rPr>
                <w:sz w:val="1"/>
                <w:szCs w:val="1"/>
                <w:color w:val="auto"/>
              </w:rPr>
            </w:pPr>
          </w:p>
        </w:tc>
      </w:tr>
      <w:tr>
        <w:trPr>
          <w:trHeight w:val="217"/>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Revaluation of deferred tax assets due to tax rate change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352</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000" w:type="dxa"/>
            <w:vAlign w:val="bottom"/>
          </w:tcPr>
          <w:p>
            <w:pPr>
              <w:ind w:left="20"/>
              <w:spacing w:after="0"/>
              <w:rPr>
                <w:sz w:val="20"/>
                <w:szCs w:val="20"/>
                <w:color w:val="auto"/>
              </w:rPr>
            </w:pPr>
            <w:r>
              <w:rPr>
                <w:rFonts w:ascii="Arial" w:cs="Arial" w:eastAsia="Arial" w:hAnsi="Arial"/>
                <w:sz w:val="16"/>
                <w:szCs w:val="16"/>
                <w:color w:val="auto"/>
              </w:rPr>
              <w:t>Provision for/resolution of tax audits and contingencies, net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278</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(1,779)</w:t>
            </w:r>
          </w:p>
        </w:tc>
        <w:tc>
          <w:tcPr>
            <w:tcW w:w="0" w:type="dxa"/>
            <w:vAlign w:val="bottom"/>
          </w:tcPr>
          <w:p>
            <w:pPr>
              <w:spacing w:after="0"/>
              <w:rPr>
                <w:sz w:val="1"/>
                <w:szCs w:val="1"/>
                <w:color w:val="auto"/>
              </w:rPr>
            </w:pPr>
          </w:p>
        </w:tc>
      </w:tr>
      <w:tr>
        <w:trPr>
          <w:trHeight w:val="217"/>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Write-off of net operating losses related to tax audit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1,830</w:t>
            </w:r>
          </w:p>
        </w:tc>
        <w:tc>
          <w:tcPr>
            <w:tcW w:w="0" w:type="dxa"/>
            <w:vAlign w:val="bottom"/>
          </w:tcPr>
          <w:p>
            <w:pPr>
              <w:spacing w:after="0"/>
              <w:rPr>
                <w:sz w:val="1"/>
                <w:szCs w:val="1"/>
                <w:color w:val="auto"/>
              </w:rPr>
            </w:pPr>
          </w:p>
        </w:tc>
      </w:tr>
      <w:tr>
        <w:trPr>
          <w:trHeight w:val="215"/>
        </w:trPr>
        <w:tc>
          <w:tcPr>
            <w:tcW w:w="6000" w:type="dxa"/>
            <w:vAlign w:val="bottom"/>
          </w:tcPr>
          <w:p>
            <w:pPr>
              <w:ind w:left="20"/>
              <w:spacing w:after="0"/>
              <w:rPr>
                <w:sz w:val="20"/>
                <w:szCs w:val="20"/>
                <w:color w:val="auto"/>
              </w:rPr>
            </w:pPr>
            <w:r>
              <w:rPr>
                <w:rFonts w:ascii="Arial" w:cs="Arial" w:eastAsia="Arial" w:hAnsi="Arial"/>
                <w:sz w:val="16"/>
                <w:szCs w:val="16"/>
                <w:color w:val="auto"/>
              </w:rPr>
              <w:t>Tax effect of non-deductible foreign exchange loss on intercompany loan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3,658</w:t>
            </w:r>
          </w:p>
        </w:tc>
        <w:tc>
          <w:tcPr>
            <w:tcW w:w="0" w:type="dxa"/>
            <w:vAlign w:val="bottom"/>
          </w:tcPr>
          <w:p>
            <w:pPr>
              <w:spacing w:after="0"/>
              <w:rPr>
                <w:sz w:val="1"/>
                <w:szCs w:val="1"/>
                <w:color w:val="auto"/>
              </w:rPr>
            </w:pPr>
          </w:p>
        </w:tc>
      </w:tr>
      <w:tr>
        <w:trPr>
          <w:trHeight w:val="217"/>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Creation of valuation allowance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15"/>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88</w:t>
            </w: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0"/>
        </w:trPr>
        <w:tc>
          <w:tcPr>
            <w:tcW w:w="6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income tax expense</w:t>
            </w:r>
          </w:p>
        </w:tc>
        <w:tc>
          <w:tcPr>
            <w:tcW w:w="30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12,889</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9,686</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36,375</w:t>
            </w: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37,504</w:t>
            </w:r>
          </w:p>
        </w:tc>
        <w:tc>
          <w:tcPr>
            <w:tcW w:w="0" w:type="dxa"/>
            <w:vAlign w:val="bottom"/>
          </w:tcPr>
          <w:p>
            <w:pPr>
              <w:spacing w:after="0"/>
              <w:rPr>
                <w:sz w:val="1"/>
                <w:szCs w:val="1"/>
                <w:color w:val="auto"/>
              </w:rPr>
            </w:pPr>
          </w:p>
        </w:tc>
      </w:tr>
      <w:tr>
        <w:trPr>
          <w:trHeight w:val="204"/>
        </w:trPr>
        <w:tc>
          <w:tcPr>
            <w:tcW w:w="6000" w:type="dxa"/>
            <w:vAlign w:val="bottom"/>
          </w:tcPr>
          <w:p>
            <w:pPr>
              <w:ind w:left="20"/>
              <w:spacing w:after="0"/>
              <w:rPr>
                <w:sz w:val="20"/>
                <w:szCs w:val="20"/>
                <w:color w:val="auto"/>
              </w:rPr>
            </w:pPr>
            <w:r>
              <w:rPr>
                <w:rFonts w:ascii="Arial" w:cs="Arial" w:eastAsia="Arial" w:hAnsi="Arial"/>
                <w:sz w:val="16"/>
                <w:szCs w:val="16"/>
                <w:color w:val="auto"/>
              </w:rPr>
              <w:t>(1) Calculated at estimated tax rates of 30.0% and 32.2%, respectively</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Income tax expense for the quarter was computed in accordance with ASC 740-270, Income Taxes – Interim Reporting. Under this method, loss jurisdictions, which cannot recognize a tax benefit with regard to their generated losses, are excluded from the annual effective tax rate ("AETR") calculation and their taxes will be recorded discretely in each quarter.</w:t>
      </w:r>
    </w:p>
    <w:p>
      <w:pPr>
        <w:spacing w:after="0" w:line="9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the third quarter of 2021, the Company recorded a net tax benefit of $0.7 million related to U.S. adjustments of prior period liabilities. In the first quarter of 2021, the Company recorded a net tax benefit of $1.4 million related to a U.S. adjustment of prior period liabilities and, additionally, the Company recorded an expense of $0.3 million related to the establishment of a foreign uncertain tax position.</w:t>
      </w:r>
    </w:p>
    <w:p>
      <w:pPr>
        <w:spacing w:after="0" w:line="9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the third quarter of 2020, the Company recorded a net tax benefit of $1.8 million related to U.S. adjustments of prior period liabilities. In the second quarter of 2020, the Company recorded a net tax benefit of $1.5 million as a result of a U.S. state tax audit settlement; the Company also recorded a net deferred tax expense of $ 1.0 million due to an adjustment of net operating losses related to settled audits. In the first quarter of 2020, the Company recorded a $1.8 million out-of-period charge related to developments in ongoing tax audits, which resulted in a corresponding decrease in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3" w:name="page14"/>
    <w:bookmarkEnd w:id="1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Earnings Per Share</w:t>
      </w:r>
    </w:p>
    <w:p>
      <w:pPr>
        <w:spacing w:after="0" w:line="139"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amounts used in computing earnings per share and the weighted average number of shares of potentially dilutive securities are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2860" w:type="dxa"/>
            <w:vAlign w:val="bottom"/>
            <w:tcBorders>
              <w:top w:val="single" w:sz="8" w:color="auto"/>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Borders>
              <w:top w:val="single" w:sz="8" w:color="auto"/>
              <w:bottom w:val="single" w:sz="8" w:color="auto"/>
            </w:tcBorders>
          </w:tcPr>
          <w:p>
            <w:pPr>
              <w:spacing w:after="0"/>
              <w:rPr>
                <w:sz w:val="17"/>
                <w:szCs w:val="17"/>
                <w:color w:val="auto"/>
              </w:rPr>
            </w:pPr>
          </w:p>
        </w:tc>
        <w:tc>
          <w:tcPr>
            <w:tcW w:w="3200" w:type="dxa"/>
            <w:vAlign w:val="bottom"/>
            <w:tcBorders>
              <w:top w:val="single" w:sz="8" w:color="auto"/>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market price and earnings per share)</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4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4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the Company</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30,862</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29,589</w:t>
            </w:r>
          </w:p>
        </w:tc>
        <w:tc>
          <w:tcPr>
            <w:tcW w:w="3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89,842</w:t>
            </w:r>
          </w:p>
        </w:tc>
        <w:tc>
          <w:tcPr>
            <w:tcW w:w="4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71,052</w:t>
            </w:r>
          </w:p>
        </w:tc>
        <w:tc>
          <w:tcPr>
            <w:tcW w:w="0" w:type="dxa"/>
            <w:vAlign w:val="bottom"/>
          </w:tcPr>
          <w:p>
            <w:pPr>
              <w:spacing w:after="0"/>
              <w:rPr>
                <w:sz w:val="1"/>
                <w:szCs w:val="1"/>
                <w:color w:val="auto"/>
              </w:rPr>
            </w:pPr>
          </w:p>
        </w:tc>
      </w:tr>
      <w:tr>
        <w:trPr>
          <w:trHeight w:val="237"/>
        </w:trPr>
        <w:tc>
          <w:tcPr>
            <w:tcW w:w="4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number of shares: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280" w:type="dxa"/>
            <w:vAlign w:val="bottom"/>
          </w:tcPr>
          <w:p>
            <w:pPr>
              <w:ind w:left="140"/>
              <w:spacing w:after="0"/>
              <w:rPr>
                <w:sz w:val="20"/>
                <w:szCs w:val="20"/>
                <w:color w:val="auto"/>
              </w:rPr>
            </w:pPr>
            <w:r>
              <w:rPr>
                <w:rFonts w:ascii="Arial" w:cs="Arial" w:eastAsia="Arial" w:hAnsi="Arial"/>
                <w:sz w:val="16"/>
                <w:szCs w:val="16"/>
                <w:color w:val="auto"/>
              </w:rPr>
              <w:t>Weighted average number of shares used in calculating</w:t>
            </w:r>
          </w:p>
        </w:tc>
        <w:tc>
          <w:tcPr>
            <w:tcW w:w="240" w:type="dxa"/>
            <w:vAlign w:val="bottom"/>
          </w:tcPr>
          <w:p>
            <w:pPr>
              <w:spacing w:after="0"/>
              <w:rPr>
                <w:sz w:val="18"/>
                <w:szCs w:val="18"/>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32,381</w:t>
            </w: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32,369</w:t>
            </w: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80" w:type="dxa"/>
            <w:vAlign w:val="bottom"/>
          </w:tcPr>
          <w:p>
            <w:pPr>
              <w:ind w:left="140"/>
              <w:spacing w:after="0"/>
              <w:rPr>
                <w:sz w:val="20"/>
                <w:szCs w:val="20"/>
                <w:color w:val="auto"/>
              </w:rPr>
            </w:pPr>
            <w:r>
              <w:rPr>
                <w:rFonts w:ascii="Arial" w:cs="Arial" w:eastAsia="Arial" w:hAnsi="Arial"/>
                <w:sz w:val="16"/>
                <w:szCs w:val="16"/>
                <w:color w:val="auto"/>
              </w:rPr>
              <w:t>basic net income per share</w:t>
            </w:r>
          </w:p>
        </w:tc>
        <w:tc>
          <w:tcPr>
            <w:tcW w:w="24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32,337</w:t>
            </w:r>
          </w:p>
        </w:tc>
        <w:tc>
          <w:tcPr>
            <w:tcW w:w="38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32,326</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Effect of dilutive stock-based compensation plans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57"/>
        </w:trPr>
        <w:tc>
          <w:tcPr>
            <w:tcW w:w="4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7"/>
        </w:trPr>
        <w:tc>
          <w:tcPr>
            <w:tcW w:w="4280" w:type="dxa"/>
            <w:vAlign w:val="bottom"/>
            <w:shd w:val="clear" w:color="auto" w:fill="CCEEFF"/>
          </w:tcPr>
          <w:p>
            <w:pPr>
              <w:ind w:left="140"/>
              <w:spacing w:after="0" w:line="178" w:lineRule="exact"/>
              <w:rPr>
                <w:sz w:val="20"/>
                <w:szCs w:val="20"/>
                <w:color w:val="auto"/>
              </w:rPr>
            </w:pPr>
            <w:r>
              <w:rPr>
                <w:rFonts w:ascii="Arial" w:cs="Arial" w:eastAsia="Arial" w:hAnsi="Arial"/>
                <w:sz w:val="16"/>
                <w:szCs w:val="16"/>
                <w:color w:val="auto"/>
              </w:rPr>
              <w:t>Weighted average number of shares used in calculating</w:t>
            </w:r>
          </w:p>
        </w:tc>
        <w:tc>
          <w:tcPr>
            <w:tcW w:w="24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32,434</w:t>
            </w: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32,424</w:t>
            </w:r>
          </w:p>
        </w:tc>
        <w:tc>
          <w:tcPr>
            <w:tcW w:w="4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2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diluted net income per share</w:t>
            </w:r>
          </w:p>
        </w:tc>
        <w:tc>
          <w:tcPr>
            <w:tcW w:w="2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vMerge w:val="continue"/>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32,344</w:t>
            </w:r>
          </w:p>
        </w:tc>
        <w:tc>
          <w:tcPr>
            <w:tcW w:w="38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vMerge w:val="continue"/>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32,333</w:t>
            </w:r>
          </w:p>
        </w:tc>
        <w:tc>
          <w:tcPr>
            <w:tcW w:w="0" w:type="dxa"/>
            <w:vAlign w:val="bottom"/>
          </w:tcPr>
          <w:p>
            <w:pPr>
              <w:spacing w:after="0"/>
              <w:rPr>
                <w:sz w:val="1"/>
                <w:szCs w:val="1"/>
                <w:color w:val="auto"/>
              </w:rPr>
            </w:pPr>
          </w:p>
        </w:tc>
      </w:tr>
      <w:tr>
        <w:trPr>
          <w:trHeight w:val="240"/>
        </w:trPr>
        <w:tc>
          <w:tcPr>
            <w:tcW w:w="4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4280" w:type="dxa"/>
            <w:vAlign w:val="bottom"/>
            <w:shd w:val="clear" w:color="auto" w:fill="CCEEFF"/>
          </w:tcPr>
          <w:p>
            <w:pPr>
              <w:ind w:left="140"/>
              <w:spacing w:after="0" w:line="178" w:lineRule="exact"/>
              <w:rPr>
                <w:sz w:val="20"/>
                <w:szCs w:val="20"/>
                <w:color w:val="auto"/>
              </w:rPr>
            </w:pPr>
            <w:r>
              <w:rPr>
                <w:rFonts w:ascii="Arial" w:cs="Arial" w:eastAsia="Arial" w:hAnsi="Arial"/>
                <w:sz w:val="16"/>
                <w:szCs w:val="16"/>
                <w:color w:val="auto"/>
              </w:rPr>
              <w:t>Average market price of common stock used for</w:t>
            </w:r>
          </w:p>
        </w:tc>
        <w:tc>
          <w:tcPr>
            <w:tcW w:w="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80.33</w:t>
            </w: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82.41</w:t>
            </w:r>
          </w:p>
        </w:tc>
        <w:tc>
          <w:tcPr>
            <w:tcW w:w="4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calculation of dilutive shares</w:t>
            </w:r>
          </w:p>
        </w:tc>
        <w:tc>
          <w:tcPr>
            <w:tcW w:w="240" w:type="dxa"/>
            <w:vAlign w:val="bottom"/>
            <w:vMerge w:val="continue"/>
            <w:shd w:val="clear" w:color="auto" w:fill="CCEEFF"/>
          </w:tcPr>
          <w:p>
            <w:pPr>
              <w:spacing w:after="0"/>
              <w:rPr>
                <w:sz w:val="17"/>
                <w:szCs w:val="17"/>
                <w:color w:val="auto"/>
              </w:rPr>
            </w:pPr>
          </w:p>
        </w:tc>
        <w:tc>
          <w:tcPr>
            <w:tcW w:w="1420" w:type="dxa"/>
            <w:vAlign w:val="bottom"/>
            <w:vMerge w:val="continue"/>
            <w:shd w:val="clear" w:color="auto" w:fill="CCEEFF"/>
          </w:tcPr>
          <w:p>
            <w:pPr>
              <w:spacing w:after="0"/>
              <w:rPr>
                <w:sz w:val="17"/>
                <w:szCs w:val="17"/>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51.81</w:t>
            </w:r>
          </w:p>
        </w:tc>
        <w:tc>
          <w:tcPr>
            <w:tcW w:w="380" w:type="dxa"/>
            <w:vAlign w:val="bottom"/>
            <w:vMerge w:val="continue"/>
            <w:shd w:val="clear" w:color="auto" w:fill="CCEEFF"/>
          </w:tcPr>
          <w:p>
            <w:pPr>
              <w:spacing w:after="0"/>
              <w:rPr>
                <w:sz w:val="17"/>
                <w:szCs w:val="17"/>
                <w:color w:val="auto"/>
              </w:rPr>
            </w:pPr>
          </w:p>
        </w:tc>
        <w:tc>
          <w:tcPr>
            <w:tcW w:w="1400" w:type="dxa"/>
            <w:vAlign w:val="bottom"/>
            <w:vMerge w:val="continue"/>
            <w:shd w:val="clear" w:color="auto" w:fill="CCEEFF"/>
          </w:tcPr>
          <w:p>
            <w:pPr>
              <w:spacing w:after="0"/>
              <w:rPr>
                <w:sz w:val="17"/>
                <w:szCs w:val="17"/>
                <w:color w:val="auto"/>
              </w:rPr>
            </w:pPr>
          </w:p>
        </w:tc>
        <w:tc>
          <w:tcPr>
            <w:tcW w:w="4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57.05</w:t>
            </w:r>
          </w:p>
        </w:tc>
        <w:tc>
          <w:tcPr>
            <w:tcW w:w="0" w:type="dxa"/>
            <w:vAlign w:val="bottom"/>
          </w:tcPr>
          <w:p>
            <w:pPr>
              <w:spacing w:after="0"/>
              <w:rPr>
                <w:sz w:val="1"/>
                <w:szCs w:val="1"/>
                <w:color w:val="auto"/>
              </w:rPr>
            </w:pPr>
          </w:p>
        </w:tc>
      </w:tr>
      <w:tr>
        <w:trPr>
          <w:trHeight w:val="256"/>
        </w:trPr>
        <w:tc>
          <w:tcPr>
            <w:tcW w:w="4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attributable to the Company per share:</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80" w:type="dxa"/>
            <w:vAlign w:val="bottom"/>
          </w:tcPr>
          <w:p>
            <w:pPr>
              <w:ind w:left="140"/>
              <w:spacing w:after="0"/>
              <w:rPr>
                <w:sz w:val="20"/>
                <w:szCs w:val="20"/>
                <w:color w:val="auto"/>
              </w:rPr>
            </w:pPr>
            <w:r>
              <w:rPr>
                <w:rFonts w:ascii="Arial" w:cs="Arial" w:eastAsia="Arial" w:hAnsi="Arial"/>
                <w:sz w:val="16"/>
                <w:szCs w:val="16"/>
                <w:color w:val="auto"/>
              </w:rPr>
              <w:t>Basic</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0.95</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0.92</w:t>
            </w:r>
          </w:p>
        </w:tc>
        <w:tc>
          <w:tcPr>
            <w:tcW w:w="38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2.78</w:t>
            </w:r>
          </w:p>
        </w:tc>
        <w:tc>
          <w:tcPr>
            <w:tcW w:w="4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16"/>
        </w:trPr>
        <w:tc>
          <w:tcPr>
            <w:tcW w:w="42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0.95</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0.91</w:t>
            </w:r>
          </w:p>
        </w:tc>
        <w:tc>
          <w:tcPr>
            <w:tcW w:w="3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2.77</w:t>
            </w:r>
          </w:p>
        </w:tc>
        <w:tc>
          <w:tcPr>
            <w:tcW w:w="4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Accumulated Other Comprehensive Income (AOCI)</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changes in the components of AOCI for the period December 31, 2020 to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151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center"/>
              <w:ind w:right="103"/>
              <w:spacing w:after="0"/>
              <w:rPr>
                <w:sz w:val="20"/>
                <w:szCs w:val="20"/>
                <w:color w:val="auto"/>
              </w:rPr>
            </w:pPr>
            <w:r>
              <w:rPr>
                <w:rFonts w:ascii="Arial" w:cs="Arial" w:eastAsia="Arial" w:hAnsi="Arial"/>
                <w:sz w:val="14"/>
                <w:szCs w:val="14"/>
                <w:b w:val="1"/>
                <w:bCs w:val="1"/>
                <w:color w:val="auto"/>
              </w:rPr>
              <w:t>Pension and</w:t>
            </w: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2"/>
        </w:trPr>
        <w:tc>
          <w:tcPr>
            <w:tcW w:w="5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center"/>
              <w:ind w:right="103"/>
              <w:spacing w:after="0"/>
              <w:rPr>
                <w:sz w:val="20"/>
                <w:szCs w:val="20"/>
                <w:color w:val="auto"/>
              </w:rPr>
            </w:pPr>
            <w:r>
              <w:rPr>
                <w:rFonts w:ascii="Arial" w:cs="Arial" w:eastAsia="Arial" w:hAnsi="Arial"/>
                <w:sz w:val="14"/>
                <w:szCs w:val="14"/>
                <w:b w:val="1"/>
                <w:bCs w:val="1"/>
                <w:color w:val="auto"/>
              </w:rPr>
              <w:t>postretirement</w:t>
            </w: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ind w:right="82"/>
              <w:spacing w:after="0"/>
              <w:rPr>
                <w:sz w:val="20"/>
                <w:szCs w:val="20"/>
                <w:color w:val="auto"/>
              </w:rPr>
            </w:pPr>
            <w:r>
              <w:rPr>
                <w:rFonts w:ascii="Arial" w:cs="Arial" w:eastAsia="Arial" w:hAnsi="Arial"/>
                <w:sz w:val="14"/>
                <w:szCs w:val="14"/>
                <w:b w:val="1"/>
                <w:bCs w:val="1"/>
                <w:color w:val="auto"/>
              </w:rPr>
              <w:t>Total Other</w:t>
            </w:r>
          </w:p>
        </w:tc>
      </w:tr>
      <w:tr>
        <w:trPr>
          <w:trHeight w:val="162"/>
        </w:trPr>
        <w:tc>
          <w:tcPr>
            <w:tcW w:w="5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right"/>
              <w:ind w:right="301"/>
              <w:spacing w:after="0"/>
              <w:rPr>
                <w:sz w:val="20"/>
                <w:szCs w:val="20"/>
                <w:color w:val="auto"/>
              </w:rPr>
            </w:pPr>
            <w:r>
              <w:rPr>
                <w:rFonts w:ascii="Arial" w:cs="Arial" w:eastAsia="Arial" w:hAnsi="Arial"/>
                <w:sz w:val="14"/>
                <w:szCs w:val="14"/>
                <w:b w:val="1"/>
                <w:bCs w:val="1"/>
                <w:color w:val="auto"/>
              </w:rPr>
              <w:t>Translation</w:t>
            </w:r>
          </w:p>
        </w:tc>
        <w:tc>
          <w:tcPr>
            <w:tcW w:w="180" w:type="dxa"/>
            <w:vAlign w:val="bottom"/>
          </w:tcPr>
          <w:p>
            <w:pPr>
              <w:spacing w:after="0"/>
              <w:rPr>
                <w:sz w:val="14"/>
                <w:szCs w:val="14"/>
                <w:color w:val="auto"/>
              </w:rPr>
            </w:pPr>
          </w:p>
        </w:tc>
        <w:tc>
          <w:tcPr>
            <w:tcW w:w="1320" w:type="dxa"/>
            <w:vAlign w:val="bottom"/>
          </w:tcPr>
          <w:p>
            <w:pPr>
              <w:jc w:val="center"/>
              <w:ind w:right="103"/>
              <w:spacing w:after="0"/>
              <w:rPr>
                <w:sz w:val="20"/>
                <w:szCs w:val="20"/>
                <w:color w:val="auto"/>
              </w:rPr>
            </w:pPr>
            <w:r>
              <w:rPr>
                <w:rFonts w:ascii="Arial" w:cs="Arial" w:eastAsia="Arial" w:hAnsi="Arial"/>
                <w:sz w:val="14"/>
                <w:szCs w:val="14"/>
                <w:b w:val="1"/>
                <w:bCs w:val="1"/>
                <w:color w:val="auto"/>
              </w:rPr>
              <w:t>liability</w:t>
            </w:r>
          </w:p>
        </w:tc>
        <w:tc>
          <w:tcPr>
            <w:tcW w:w="240" w:type="dxa"/>
            <w:vAlign w:val="bottom"/>
          </w:tcPr>
          <w:p>
            <w:pPr>
              <w:spacing w:after="0"/>
              <w:rPr>
                <w:sz w:val="14"/>
                <w:szCs w:val="14"/>
                <w:color w:val="auto"/>
              </w:rPr>
            </w:pPr>
          </w:p>
        </w:tc>
        <w:tc>
          <w:tcPr>
            <w:tcW w:w="1280" w:type="dxa"/>
            <w:vAlign w:val="bottom"/>
          </w:tcPr>
          <w:p>
            <w:pPr>
              <w:jc w:val="right"/>
              <w:ind w:right="341"/>
              <w:spacing w:after="0"/>
              <w:rPr>
                <w:sz w:val="20"/>
                <w:szCs w:val="20"/>
                <w:color w:val="auto"/>
              </w:rPr>
            </w:pPr>
            <w:r>
              <w:rPr>
                <w:rFonts w:ascii="Arial" w:cs="Arial" w:eastAsia="Arial" w:hAnsi="Arial"/>
                <w:sz w:val="14"/>
                <w:szCs w:val="14"/>
                <w:b w:val="1"/>
                <w:bCs w:val="1"/>
                <w:color w:val="auto"/>
              </w:rPr>
              <w:t>Derivative</w:t>
            </w:r>
          </w:p>
        </w:tc>
        <w:tc>
          <w:tcPr>
            <w:tcW w:w="160" w:type="dxa"/>
            <w:vAlign w:val="bottom"/>
          </w:tcPr>
          <w:p>
            <w:pPr>
              <w:spacing w:after="0"/>
              <w:rPr>
                <w:sz w:val="14"/>
                <w:szCs w:val="14"/>
                <w:color w:val="auto"/>
              </w:rPr>
            </w:pPr>
          </w:p>
        </w:tc>
        <w:tc>
          <w:tcPr>
            <w:tcW w:w="1360" w:type="dxa"/>
            <w:vAlign w:val="bottom"/>
          </w:tcPr>
          <w:p>
            <w:pPr>
              <w:jc w:val="center"/>
              <w:ind w:right="82"/>
              <w:spacing w:after="0"/>
              <w:rPr>
                <w:sz w:val="20"/>
                <w:szCs w:val="20"/>
                <w:color w:val="auto"/>
              </w:rPr>
            </w:pPr>
            <w:r>
              <w:rPr>
                <w:rFonts w:ascii="Arial" w:cs="Arial" w:eastAsia="Arial" w:hAnsi="Arial"/>
                <w:sz w:val="14"/>
                <w:szCs w:val="14"/>
                <w:b w:val="1"/>
                <w:bCs w:val="1"/>
                <w:color w:val="auto"/>
              </w:rPr>
              <w:t>Comprehensive</w:t>
            </w:r>
          </w:p>
        </w:tc>
      </w:tr>
      <w:tr>
        <w:trPr>
          <w:trHeight w:val="196"/>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rPr>
              <w:t>adjustments</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adjustment</w:t>
            </w: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Income</w:t>
            </w:r>
          </w:p>
        </w:tc>
      </w:tr>
      <w:tr>
        <w:trPr>
          <w:trHeight w:val="215"/>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2020</w:t>
            </w:r>
          </w:p>
        </w:tc>
        <w:tc>
          <w:tcPr>
            <w:tcW w:w="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(83,203)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(39,661)</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(9,544)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(132,408)</w:t>
            </w:r>
          </w:p>
        </w:tc>
      </w:tr>
      <w:tr>
        <w:trPr>
          <w:trHeight w:val="234"/>
        </w:trPr>
        <w:tc>
          <w:tcPr>
            <w:tcW w:w="5100" w:type="dxa"/>
            <w:vAlign w:val="bottom"/>
          </w:tcPr>
          <w:p>
            <w:pPr>
              <w:ind w:left="20"/>
              <w:spacing w:after="0"/>
              <w:rPr>
                <w:sz w:val="20"/>
                <w:szCs w:val="20"/>
                <w:color w:val="auto"/>
              </w:rPr>
            </w:pPr>
            <w:r>
              <w:rPr>
                <w:rFonts w:ascii="Arial" w:cs="Arial" w:eastAsia="Arial" w:hAnsi="Arial"/>
                <w:sz w:val="16"/>
                <w:szCs w:val="16"/>
                <w:color w:val="auto"/>
              </w:rPr>
              <w:t>Other comprehensive income/(loss) before reclassifications, net of tax</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(17,124)</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627</w:t>
            </w:r>
          </w:p>
        </w:tc>
        <w:tc>
          <w:tcPr>
            <w:tcW w:w="240" w:type="dxa"/>
            <w:vAlign w:val="bottom"/>
          </w:tcPr>
          <w:p>
            <w:pPr>
              <w:spacing w:after="0"/>
              <w:rPr>
                <w:sz w:val="20"/>
                <w:szCs w:val="20"/>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274</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(16,223)</w:t>
            </w:r>
          </w:p>
        </w:tc>
      </w:tr>
      <w:tr>
        <w:trPr>
          <w:trHeight w:val="180"/>
        </w:trPr>
        <w:tc>
          <w:tcPr>
            <w:tcW w:w="510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Interest expense related to swaps reclassified to the Consolidated</w:t>
            </w: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01"/>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Statements of Income, net of tax</w:t>
            </w: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3,745</w:t>
            </w: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3,745</w:t>
            </w:r>
          </w:p>
        </w:tc>
      </w:tr>
      <w:tr>
        <w:trPr>
          <w:trHeight w:val="218"/>
        </w:trPr>
        <w:tc>
          <w:tcPr>
            <w:tcW w:w="5100" w:type="dxa"/>
            <w:vAlign w:val="bottom"/>
          </w:tcPr>
          <w:p>
            <w:pPr>
              <w:ind w:left="20"/>
              <w:spacing w:after="0"/>
              <w:rPr>
                <w:sz w:val="20"/>
                <w:szCs w:val="20"/>
                <w:color w:val="auto"/>
              </w:rPr>
            </w:pPr>
            <w:r>
              <w:rPr>
                <w:rFonts w:ascii="Arial" w:cs="Arial" w:eastAsia="Arial" w:hAnsi="Arial"/>
                <w:sz w:val="16"/>
                <w:szCs w:val="16"/>
                <w:color w:val="auto"/>
              </w:rPr>
              <w:t>Pension and postretirement liability adjustments reclassified to</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1"/>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Consolidated Statements of Income, net of tax</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r>
      <w:tr>
        <w:trPr>
          <w:trHeight w:val="209"/>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current period other comprehensive income</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(17,124)</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4,019</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(12,503)</w:t>
            </w:r>
          </w:p>
        </w:tc>
      </w:tr>
      <w:tr>
        <w:trPr>
          <w:trHeight w:val="212"/>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September 30, 2021</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(100,327)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(39,059)</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(5,525)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(144,911)</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4" w:name="page15"/>
    <w:bookmarkEnd w:id="1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changes in the components of AOCI for the period December 31, 2019 to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151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center"/>
              <w:ind w:right="102"/>
              <w:spacing w:after="0"/>
              <w:rPr>
                <w:sz w:val="20"/>
                <w:szCs w:val="20"/>
                <w:color w:val="auto"/>
              </w:rPr>
            </w:pPr>
            <w:r>
              <w:rPr>
                <w:rFonts w:ascii="Arial" w:cs="Arial" w:eastAsia="Arial" w:hAnsi="Arial"/>
                <w:sz w:val="14"/>
                <w:szCs w:val="14"/>
                <w:b w:val="1"/>
                <w:bCs w:val="1"/>
                <w:color w:val="auto"/>
              </w:rPr>
              <w:t>Pension and</w:t>
            </w: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2"/>
        </w:trPr>
        <w:tc>
          <w:tcPr>
            <w:tcW w:w="5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center"/>
              <w:ind w:right="102"/>
              <w:spacing w:after="0"/>
              <w:rPr>
                <w:sz w:val="20"/>
                <w:szCs w:val="20"/>
                <w:color w:val="auto"/>
              </w:rPr>
            </w:pPr>
            <w:r>
              <w:rPr>
                <w:rFonts w:ascii="Arial" w:cs="Arial" w:eastAsia="Arial" w:hAnsi="Arial"/>
                <w:sz w:val="14"/>
                <w:szCs w:val="14"/>
                <w:b w:val="1"/>
                <w:bCs w:val="1"/>
                <w:color w:val="auto"/>
              </w:rPr>
              <w:t>postretirement</w:t>
            </w: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ind w:right="82"/>
              <w:spacing w:after="0"/>
              <w:rPr>
                <w:sz w:val="20"/>
                <w:szCs w:val="20"/>
                <w:color w:val="auto"/>
              </w:rPr>
            </w:pPr>
            <w:r>
              <w:rPr>
                <w:rFonts w:ascii="Arial" w:cs="Arial" w:eastAsia="Arial" w:hAnsi="Arial"/>
                <w:sz w:val="14"/>
                <w:szCs w:val="14"/>
                <w:b w:val="1"/>
                <w:bCs w:val="1"/>
                <w:color w:val="auto"/>
              </w:rPr>
              <w:t>Total Other</w:t>
            </w:r>
          </w:p>
        </w:tc>
      </w:tr>
      <w:tr>
        <w:trPr>
          <w:trHeight w:val="162"/>
        </w:trPr>
        <w:tc>
          <w:tcPr>
            <w:tcW w:w="5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right"/>
              <w:ind w:right="301"/>
              <w:spacing w:after="0"/>
              <w:rPr>
                <w:sz w:val="20"/>
                <w:szCs w:val="20"/>
                <w:color w:val="auto"/>
              </w:rPr>
            </w:pPr>
            <w:r>
              <w:rPr>
                <w:rFonts w:ascii="Arial" w:cs="Arial" w:eastAsia="Arial" w:hAnsi="Arial"/>
                <w:sz w:val="14"/>
                <w:szCs w:val="14"/>
                <w:b w:val="1"/>
                <w:bCs w:val="1"/>
                <w:color w:val="auto"/>
              </w:rPr>
              <w:t>Translation</w:t>
            </w:r>
          </w:p>
        </w:tc>
        <w:tc>
          <w:tcPr>
            <w:tcW w:w="180" w:type="dxa"/>
            <w:vAlign w:val="bottom"/>
          </w:tcPr>
          <w:p>
            <w:pPr>
              <w:spacing w:after="0"/>
              <w:rPr>
                <w:sz w:val="14"/>
                <w:szCs w:val="14"/>
                <w:color w:val="auto"/>
              </w:rPr>
            </w:pPr>
          </w:p>
        </w:tc>
        <w:tc>
          <w:tcPr>
            <w:tcW w:w="1320" w:type="dxa"/>
            <w:vAlign w:val="bottom"/>
          </w:tcPr>
          <w:p>
            <w:pPr>
              <w:jc w:val="center"/>
              <w:ind w:right="102"/>
              <w:spacing w:after="0"/>
              <w:rPr>
                <w:sz w:val="20"/>
                <w:szCs w:val="20"/>
                <w:color w:val="auto"/>
              </w:rPr>
            </w:pPr>
            <w:r>
              <w:rPr>
                <w:rFonts w:ascii="Arial" w:cs="Arial" w:eastAsia="Arial" w:hAnsi="Arial"/>
                <w:sz w:val="14"/>
                <w:szCs w:val="14"/>
                <w:b w:val="1"/>
                <w:bCs w:val="1"/>
                <w:color w:val="auto"/>
              </w:rPr>
              <w:t>liability</w:t>
            </w:r>
          </w:p>
        </w:tc>
        <w:tc>
          <w:tcPr>
            <w:tcW w:w="240" w:type="dxa"/>
            <w:vAlign w:val="bottom"/>
          </w:tcPr>
          <w:p>
            <w:pPr>
              <w:spacing w:after="0"/>
              <w:rPr>
                <w:sz w:val="14"/>
                <w:szCs w:val="14"/>
                <w:color w:val="auto"/>
              </w:rPr>
            </w:pPr>
          </w:p>
        </w:tc>
        <w:tc>
          <w:tcPr>
            <w:tcW w:w="1280" w:type="dxa"/>
            <w:vAlign w:val="bottom"/>
          </w:tcPr>
          <w:p>
            <w:pPr>
              <w:jc w:val="right"/>
              <w:ind w:right="341"/>
              <w:spacing w:after="0"/>
              <w:rPr>
                <w:sz w:val="20"/>
                <w:szCs w:val="20"/>
                <w:color w:val="auto"/>
              </w:rPr>
            </w:pPr>
            <w:r>
              <w:rPr>
                <w:rFonts w:ascii="Arial" w:cs="Arial" w:eastAsia="Arial" w:hAnsi="Arial"/>
                <w:sz w:val="14"/>
                <w:szCs w:val="14"/>
                <w:b w:val="1"/>
                <w:bCs w:val="1"/>
                <w:color w:val="auto"/>
              </w:rPr>
              <w:t>Derivative</w:t>
            </w:r>
          </w:p>
        </w:tc>
        <w:tc>
          <w:tcPr>
            <w:tcW w:w="160" w:type="dxa"/>
            <w:vAlign w:val="bottom"/>
          </w:tcPr>
          <w:p>
            <w:pPr>
              <w:spacing w:after="0"/>
              <w:rPr>
                <w:sz w:val="14"/>
                <w:szCs w:val="14"/>
                <w:color w:val="auto"/>
              </w:rPr>
            </w:pPr>
          </w:p>
        </w:tc>
        <w:tc>
          <w:tcPr>
            <w:tcW w:w="1360" w:type="dxa"/>
            <w:vAlign w:val="bottom"/>
          </w:tcPr>
          <w:p>
            <w:pPr>
              <w:jc w:val="center"/>
              <w:ind w:right="82"/>
              <w:spacing w:after="0"/>
              <w:rPr>
                <w:sz w:val="20"/>
                <w:szCs w:val="20"/>
                <w:color w:val="auto"/>
              </w:rPr>
            </w:pPr>
            <w:r>
              <w:rPr>
                <w:rFonts w:ascii="Arial" w:cs="Arial" w:eastAsia="Arial" w:hAnsi="Arial"/>
                <w:sz w:val="14"/>
                <w:szCs w:val="14"/>
                <w:b w:val="1"/>
                <w:bCs w:val="1"/>
                <w:color w:val="auto"/>
              </w:rPr>
              <w:t>Comprehensive</w:t>
            </w:r>
          </w:p>
        </w:tc>
      </w:tr>
      <w:tr>
        <w:trPr>
          <w:trHeight w:val="202"/>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adjustments</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adjustment</w:t>
            </w: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Income</w:t>
            </w:r>
          </w:p>
        </w:tc>
      </w:tr>
      <w:tr>
        <w:trPr>
          <w:trHeight w:val="209"/>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2019</w:t>
            </w:r>
          </w:p>
        </w:tc>
        <w:tc>
          <w:tcPr>
            <w:tcW w:w="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(122,852)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(49,994)</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(3,135)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(175,981)</w:t>
            </w:r>
          </w:p>
        </w:tc>
      </w:tr>
      <w:tr>
        <w:trPr>
          <w:trHeight w:val="207"/>
        </w:trPr>
        <w:tc>
          <w:tcPr>
            <w:tcW w:w="5100" w:type="dxa"/>
            <w:vAlign w:val="bottom"/>
          </w:tcPr>
          <w:p>
            <w:pPr>
              <w:ind w:left="20"/>
              <w:spacing w:after="0"/>
              <w:rPr>
                <w:sz w:val="20"/>
                <w:szCs w:val="20"/>
                <w:color w:val="auto"/>
              </w:rPr>
            </w:pPr>
            <w:r>
              <w:rPr>
                <w:rFonts w:ascii="Arial" w:cs="Arial" w:eastAsia="Arial" w:hAnsi="Arial"/>
                <w:sz w:val="16"/>
                <w:szCs w:val="16"/>
                <w:color w:val="auto"/>
              </w:rPr>
              <w:t>Other comprehensive income/(loss) before reclassifications, net of tax</w:t>
            </w:r>
          </w:p>
        </w:tc>
        <w:tc>
          <w:tcPr>
            <w:tcW w:w="28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3,038</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(9,315)</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(6,268)</w:t>
            </w:r>
          </w:p>
        </w:tc>
      </w:tr>
      <w:tr>
        <w:trPr>
          <w:trHeight w:val="219"/>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Pension/postretirement curtailment loss, net of tax</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265</w:t>
            </w:r>
          </w:p>
        </w:tc>
      </w:tr>
      <w:tr>
        <w:trPr>
          <w:trHeight w:val="177"/>
        </w:trPr>
        <w:tc>
          <w:tcPr>
            <w:tcW w:w="5100" w:type="dxa"/>
            <w:vAlign w:val="bottom"/>
          </w:tcPr>
          <w:p>
            <w:pPr>
              <w:ind w:left="20"/>
              <w:spacing w:after="0" w:line="178" w:lineRule="exact"/>
              <w:rPr>
                <w:sz w:val="20"/>
                <w:szCs w:val="20"/>
                <w:color w:val="auto"/>
              </w:rPr>
            </w:pPr>
            <w:r>
              <w:rPr>
                <w:rFonts w:ascii="Arial" w:cs="Arial" w:eastAsia="Arial" w:hAnsi="Arial"/>
                <w:sz w:val="16"/>
                <w:szCs w:val="16"/>
                <w:color w:val="auto"/>
              </w:rPr>
              <w:t>Interest expense related to swaps reclassified to the Consolidated</w:t>
            </w: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98"/>
        </w:trPr>
        <w:tc>
          <w:tcPr>
            <w:tcW w:w="5100" w:type="dxa"/>
            <w:vAlign w:val="bottom"/>
          </w:tcPr>
          <w:p>
            <w:pPr>
              <w:ind w:left="20"/>
              <w:spacing w:after="0"/>
              <w:rPr>
                <w:sz w:val="20"/>
                <w:szCs w:val="20"/>
                <w:color w:val="auto"/>
              </w:rPr>
            </w:pPr>
            <w:r>
              <w:rPr>
                <w:rFonts w:ascii="Arial" w:cs="Arial" w:eastAsia="Arial" w:hAnsi="Arial"/>
                <w:sz w:val="16"/>
                <w:szCs w:val="16"/>
                <w:color w:val="auto"/>
              </w:rPr>
              <w:t>Statements of Income, net of tax</w:t>
            </w:r>
          </w:p>
        </w:tc>
        <w:tc>
          <w:tcPr>
            <w:tcW w:w="280" w:type="dxa"/>
            <w:vAlign w:val="bottom"/>
          </w:tcPr>
          <w:p>
            <w:pPr>
              <w:spacing w:after="0"/>
              <w:rPr>
                <w:sz w:val="17"/>
                <w:szCs w:val="17"/>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2,041</w:t>
            </w:r>
          </w:p>
        </w:tc>
        <w:tc>
          <w:tcPr>
            <w:tcW w:w="160" w:type="dxa"/>
            <w:vAlign w:val="bottom"/>
          </w:tcPr>
          <w:p>
            <w:pPr>
              <w:spacing w:after="0"/>
              <w:rPr>
                <w:sz w:val="17"/>
                <w:szCs w:val="17"/>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2,041</w:t>
            </w:r>
          </w:p>
        </w:tc>
      </w:tr>
      <w:tr>
        <w:trPr>
          <w:trHeight w:val="180"/>
        </w:trPr>
        <w:tc>
          <w:tcPr>
            <w:tcW w:w="510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Pension and postretirement liability adjustments reclassified to</w:t>
            </w: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98"/>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Consolidated Statements of Income, net of tax</w:t>
            </w:r>
          </w:p>
        </w:tc>
        <w:tc>
          <w:tcPr>
            <w:tcW w:w="2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2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284</w:t>
            </w:r>
          </w:p>
        </w:tc>
      </w:tr>
      <w:tr>
        <w:trPr>
          <w:trHeight w:val="209"/>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current period other comprehensive income</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3,038</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(7,274)</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(3,678)</w:t>
            </w:r>
          </w:p>
        </w:tc>
      </w:tr>
      <w:tr>
        <w:trPr>
          <w:trHeight w:val="212"/>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September 30, 2020</w:t>
            </w:r>
          </w:p>
        </w:tc>
        <w:tc>
          <w:tcPr>
            <w:tcW w:w="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(119,814)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(49,436)</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(10,409)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(179,659)</w:t>
            </w:r>
          </w:p>
        </w:tc>
      </w:tr>
    </w:tbl>
    <w:p>
      <w:pPr>
        <w:spacing w:after="0" w:line="10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components of our Accumulated Other Comprehensive Income that are reclassified to the Statement of Income relate to our pension and postretirement plans and interest rate swaps.</w:t>
      </w:r>
    </w:p>
    <w:p>
      <w:pPr>
        <w:spacing w:after="0" w:line="9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table below presents the expense/(income) amounts reclassified from AOCI, and the line items of the Statement of Income that were affected for the three and nine months ended September 30, 2021 and 2020:</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00" w:type="dxa"/>
            <w:vAlign w:val="bottom"/>
            <w:tcBorders>
              <w:top w:val="single" w:sz="8" w:color="auto"/>
            </w:tcBorders>
          </w:tcPr>
          <w:p>
            <w:pPr>
              <w:spacing w:after="0"/>
              <w:rPr>
                <w:sz w:val="17"/>
                <w:szCs w:val="17"/>
                <w:color w:val="auto"/>
              </w:rPr>
            </w:pPr>
          </w:p>
        </w:tc>
        <w:tc>
          <w:tcPr>
            <w:tcW w:w="26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Borders>
              <w:top w:val="single" w:sz="8" w:color="auto"/>
              <w:bottom w:val="single" w:sz="8" w:color="auto"/>
            </w:tcBorders>
          </w:tcPr>
          <w:p>
            <w:pPr>
              <w:spacing w:after="0"/>
              <w:rPr>
                <w:sz w:val="17"/>
                <w:szCs w:val="17"/>
                <w:color w:val="auto"/>
              </w:rPr>
            </w:pPr>
          </w:p>
        </w:tc>
        <w:tc>
          <w:tcPr>
            <w:tcW w:w="250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56"/>
        </w:trPr>
        <w:tc>
          <w:tcPr>
            <w:tcW w:w="600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Pretax Derivative valuation reclassified from Accumulated</w:t>
            </w: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Comprehensive Income: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000" w:type="dxa"/>
            <w:vAlign w:val="bottom"/>
          </w:tcPr>
          <w:p>
            <w:pPr>
              <w:ind w:left="140"/>
              <w:spacing w:after="0"/>
              <w:rPr>
                <w:sz w:val="20"/>
                <w:szCs w:val="20"/>
                <w:color w:val="auto"/>
              </w:rPr>
            </w:pPr>
            <w:r>
              <w:rPr>
                <w:rFonts w:ascii="Arial" w:cs="Arial" w:eastAsia="Arial" w:hAnsi="Arial"/>
                <w:sz w:val="16"/>
                <w:szCs w:val="16"/>
                <w:color w:val="auto"/>
              </w:rPr>
              <w:t>Expense/(income) related to interest rate swaps included in Income before taxes</w:t>
            </w:r>
          </w:p>
        </w:tc>
        <w:tc>
          <w:tcPr>
            <w:tcW w:w="300" w:type="dxa"/>
            <w:vAlign w:val="bottom"/>
            <w:vMerge w:val="restart"/>
          </w:tcPr>
          <w:p>
            <w:pPr>
              <w:jc w:val="right"/>
              <w:ind w:right="101"/>
              <w:spacing w:after="0"/>
              <w:rPr>
                <w:sz w:val="20"/>
                <w:szCs w:val="20"/>
                <w:color w:val="auto"/>
              </w:rPr>
            </w:pPr>
            <w:r>
              <w:rPr>
                <w:rFonts w:ascii="Arial" w:cs="Arial" w:eastAsia="Arial" w:hAnsi="Arial"/>
                <w:sz w:val="16"/>
                <w:szCs w:val="16"/>
                <w:b w:val="1"/>
                <w:bCs w:val="1"/>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1,803</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5,049</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00" w:type="dxa"/>
            <w:vAlign w:val="bottom"/>
          </w:tcPr>
          <w:p>
            <w:pPr>
              <w:ind w:left="140"/>
              <w:spacing w:after="0"/>
              <w:rPr>
                <w:sz w:val="20"/>
                <w:szCs w:val="20"/>
                <w:color w:val="auto"/>
              </w:rPr>
            </w:pPr>
            <w:r>
              <w:rPr>
                <w:rFonts w:ascii="Arial" w:cs="Arial" w:eastAsia="Arial" w:hAnsi="Arial"/>
                <w:sz w:val="16"/>
                <w:szCs w:val="16"/>
                <w:color w:val="auto"/>
              </w:rPr>
              <w:t>(a)</w:t>
            </w:r>
          </w:p>
        </w:tc>
        <w:tc>
          <w:tcPr>
            <w:tcW w:w="3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1,219</w:t>
            </w:r>
          </w:p>
        </w:tc>
        <w:tc>
          <w:tcPr>
            <w:tcW w:w="12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2,742</w:t>
            </w:r>
          </w:p>
        </w:tc>
        <w:tc>
          <w:tcPr>
            <w:tcW w:w="0" w:type="dxa"/>
            <w:vAlign w:val="bottom"/>
          </w:tcPr>
          <w:p>
            <w:pPr>
              <w:spacing w:after="0"/>
              <w:rPr>
                <w:sz w:val="1"/>
                <w:szCs w:val="1"/>
                <w:color w:val="auto"/>
              </w:rPr>
            </w:pPr>
          </w:p>
        </w:tc>
      </w:tr>
      <w:tr>
        <w:trPr>
          <w:trHeight w:val="218"/>
        </w:trPr>
        <w:tc>
          <w:tcPr>
            <w:tcW w:w="60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Income tax effect</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(466)</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(1,304)</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(701)</w:t>
            </w:r>
          </w:p>
        </w:tc>
        <w:tc>
          <w:tcPr>
            <w:tcW w:w="0" w:type="dxa"/>
            <w:vAlign w:val="bottom"/>
          </w:tcPr>
          <w:p>
            <w:pPr>
              <w:spacing w:after="0"/>
              <w:rPr>
                <w:sz w:val="1"/>
                <w:szCs w:val="1"/>
                <w:color w:val="auto"/>
              </w:rPr>
            </w:pPr>
          </w:p>
        </w:tc>
      </w:tr>
      <w:tr>
        <w:trPr>
          <w:trHeight w:val="212"/>
        </w:trPr>
        <w:tc>
          <w:tcPr>
            <w:tcW w:w="6000" w:type="dxa"/>
            <w:vAlign w:val="bottom"/>
          </w:tcPr>
          <w:p>
            <w:pPr>
              <w:ind w:left="20"/>
              <w:spacing w:after="0"/>
              <w:rPr>
                <w:sz w:val="20"/>
                <w:szCs w:val="20"/>
                <w:color w:val="auto"/>
              </w:rPr>
            </w:pPr>
            <w:r>
              <w:rPr>
                <w:rFonts w:ascii="Arial" w:cs="Arial" w:eastAsia="Arial" w:hAnsi="Arial"/>
                <w:sz w:val="16"/>
                <w:szCs w:val="16"/>
                <w:color w:val="auto"/>
              </w:rPr>
              <w:t>Effect on net income due to items reclassified from Accumulated Other</w:t>
            </w:r>
          </w:p>
        </w:tc>
        <w:tc>
          <w:tcPr>
            <w:tcW w:w="300" w:type="dxa"/>
            <w:vAlign w:val="bottom"/>
            <w:vMerge w:val="restart"/>
          </w:tcPr>
          <w:p>
            <w:pPr>
              <w:jc w:val="right"/>
              <w:ind w:right="101"/>
              <w:spacing w:after="0"/>
              <w:rPr>
                <w:sz w:val="20"/>
                <w:szCs w:val="20"/>
                <w:color w:val="auto"/>
              </w:rPr>
            </w:pPr>
            <w:r>
              <w:rPr>
                <w:rFonts w:ascii="Arial" w:cs="Arial" w:eastAsia="Arial" w:hAnsi="Arial"/>
                <w:sz w:val="16"/>
                <w:szCs w:val="16"/>
                <w:b w:val="1"/>
                <w:bCs w:val="1"/>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1,337</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3,745</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Comprehensive Income</w:t>
            </w:r>
          </w:p>
        </w:tc>
        <w:tc>
          <w:tcPr>
            <w:tcW w:w="30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908</w:t>
            </w:r>
          </w:p>
        </w:tc>
        <w:tc>
          <w:tcPr>
            <w:tcW w:w="12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2,041</w:t>
            </w:r>
          </w:p>
        </w:tc>
        <w:tc>
          <w:tcPr>
            <w:tcW w:w="0" w:type="dxa"/>
            <w:vAlign w:val="bottom"/>
          </w:tcPr>
          <w:p>
            <w:pPr>
              <w:spacing w:after="0"/>
              <w:rPr>
                <w:sz w:val="1"/>
                <w:szCs w:val="1"/>
                <w:color w:val="auto"/>
              </w:rPr>
            </w:pPr>
          </w:p>
        </w:tc>
      </w:tr>
      <w:tr>
        <w:trPr>
          <w:trHeight w:val="240"/>
        </w:trPr>
        <w:tc>
          <w:tcPr>
            <w:tcW w:w="60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000" w:type="dxa"/>
            <w:vAlign w:val="bottom"/>
          </w:tcPr>
          <w:p>
            <w:pPr>
              <w:ind w:left="20"/>
              <w:spacing w:after="0"/>
              <w:rPr>
                <w:sz w:val="20"/>
                <w:szCs w:val="20"/>
                <w:color w:val="auto"/>
              </w:rPr>
            </w:pPr>
            <w:r>
              <w:rPr>
                <w:rFonts w:ascii="Arial" w:cs="Arial" w:eastAsia="Arial" w:hAnsi="Arial"/>
                <w:sz w:val="16"/>
                <w:szCs w:val="16"/>
                <w:b w:val="1"/>
                <w:bCs w:val="1"/>
                <w:color w:val="auto"/>
              </w:rPr>
              <w:t>Pretax pension and postretirement liabilities reclassified from</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000" w:type="dxa"/>
            <w:vAlign w:val="bottom"/>
          </w:tcPr>
          <w:p>
            <w:pPr>
              <w:ind w:left="20"/>
              <w:spacing w:after="0"/>
              <w:rPr>
                <w:sz w:val="20"/>
                <w:szCs w:val="20"/>
                <w:color w:val="auto"/>
              </w:rPr>
            </w:pPr>
            <w:r>
              <w:rPr>
                <w:rFonts w:ascii="Arial" w:cs="Arial" w:eastAsia="Arial" w:hAnsi="Arial"/>
                <w:sz w:val="16"/>
                <w:szCs w:val="16"/>
                <w:b w:val="1"/>
                <w:bCs w:val="1"/>
                <w:color w:val="auto"/>
              </w:rPr>
              <w:t>Accumulated Other Comprehensive Income:</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Pension/postretirement curtailment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0" w:type="dxa"/>
            <w:vAlign w:val="bottom"/>
          </w:tcPr>
          <w:p>
            <w:pPr>
              <w:spacing w:after="0"/>
              <w:rPr>
                <w:sz w:val="1"/>
                <w:szCs w:val="1"/>
                <w:color w:val="auto"/>
              </w:rPr>
            </w:pPr>
          </w:p>
        </w:tc>
      </w:tr>
      <w:tr>
        <w:trPr>
          <w:trHeight w:val="215"/>
        </w:trPr>
        <w:tc>
          <w:tcPr>
            <w:tcW w:w="6000" w:type="dxa"/>
            <w:vAlign w:val="bottom"/>
          </w:tcPr>
          <w:p>
            <w:pPr>
              <w:ind w:left="140"/>
              <w:spacing w:after="0"/>
              <w:rPr>
                <w:sz w:val="20"/>
                <w:szCs w:val="20"/>
                <w:color w:val="auto"/>
              </w:rPr>
            </w:pPr>
            <w:r>
              <w:rPr>
                <w:rFonts w:ascii="Arial" w:cs="Arial" w:eastAsia="Arial" w:hAnsi="Arial"/>
                <w:sz w:val="16"/>
                <w:szCs w:val="16"/>
                <w:color w:val="auto"/>
              </w:rPr>
              <w:t>Amortization of prior service credit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(1,119)</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(1,114)</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(3,356)</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(3,342)</w:t>
            </w:r>
          </w:p>
        </w:tc>
        <w:tc>
          <w:tcPr>
            <w:tcW w:w="0" w:type="dxa"/>
            <w:vAlign w:val="bottom"/>
          </w:tcPr>
          <w:p>
            <w:pPr>
              <w:spacing w:after="0"/>
              <w:rPr>
                <w:sz w:val="1"/>
                <w:szCs w:val="1"/>
                <w:color w:val="auto"/>
              </w:rPr>
            </w:pPr>
          </w:p>
        </w:tc>
      </w:tr>
      <w:tr>
        <w:trPr>
          <w:trHeight w:val="216"/>
        </w:trPr>
        <w:tc>
          <w:tcPr>
            <w:tcW w:w="60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Amortization of net actuarial loss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1,103</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1,244</w:t>
            </w: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3,320</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3,720</w:t>
            </w:r>
          </w:p>
        </w:tc>
        <w:tc>
          <w:tcPr>
            <w:tcW w:w="0" w:type="dxa"/>
            <w:vAlign w:val="bottom"/>
          </w:tcPr>
          <w:p>
            <w:pPr>
              <w:spacing w:after="0"/>
              <w:rPr>
                <w:sz w:val="1"/>
                <w:szCs w:val="1"/>
                <w:color w:val="auto"/>
              </w:rPr>
            </w:pPr>
          </w:p>
        </w:tc>
      </w:tr>
      <w:tr>
        <w:trPr>
          <w:trHeight w:val="210"/>
        </w:trPr>
        <w:tc>
          <w:tcPr>
            <w:tcW w:w="6000" w:type="dxa"/>
            <w:vAlign w:val="bottom"/>
          </w:tcPr>
          <w:p>
            <w:pPr>
              <w:ind w:left="20"/>
              <w:spacing w:after="0"/>
              <w:rPr>
                <w:sz w:val="20"/>
                <w:szCs w:val="20"/>
                <w:color w:val="auto"/>
              </w:rPr>
            </w:pPr>
            <w:r>
              <w:rPr>
                <w:rFonts w:ascii="Arial" w:cs="Arial" w:eastAsia="Arial" w:hAnsi="Arial"/>
                <w:sz w:val="16"/>
                <w:szCs w:val="16"/>
                <w:color w:val="auto"/>
              </w:rPr>
              <w:t>Total pretax amount reclassified (b)</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(16)</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(36)</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756</w:t>
            </w:r>
          </w:p>
        </w:tc>
        <w:tc>
          <w:tcPr>
            <w:tcW w:w="0" w:type="dxa"/>
            <w:vAlign w:val="bottom"/>
          </w:tcPr>
          <w:p>
            <w:pPr>
              <w:spacing w:after="0"/>
              <w:rPr>
                <w:sz w:val="1"/>
                <w:szCs w:val="1"/>
                <w:color w:val="auto"/>
              </w:rPr>
            </w:pPr>
          </w:p>
        </w:tc>
      </w:tr>
      <w:tr>
        <w:trPr>
          <w:trHeight w:val="216"/>
        </w:trPr>
        <w:tc>
          <w:tcPr>
            <w:tcW w:w="6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tax effect</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172"/>
        </w:trPr>
        <w:tc>
          <w:tcPr>
            <w:tcW w:w="6000" w:type="dxa"/>
            <w:vAlign w:val="bottom"/>
          </w:tcPr>
          <w:p>
            <w:pPr>
              <w:ind w:left="20"/>
              <w:spacing w:after="0" w:line="171" w:lineRule="exact"/>
              <w:rPr>
                <w:sz w:val="20"/>
                <w:szCs w:val="20"/>
                <w:color w:val="auto"/>
              </w:rPr>
            </w:pPr>
            <w:r>
              <w:rPr>
                <w:rFonts w:ascii="Arial" w:cs="Arial" w:eastAsia="Arial" w:hAnsi="Arial"/>
                <w:sz w:val="16"/>
                <w:szCs w:val="16"/>
                <w:color w:val="auto"/>
              </w:rPr>
              <w:t>Effect on net income due to items reclassified from Accumulated Other</w:t>
            </w:r>
          </w:p>
        </w:tc>
        <w:tc>
          <w:tcPr>
            <w:tcW w:w="300" w:type="dxa"/>
            <w:vAlign w:val="bottom"/>
            <w:vMerge w:val="restart"/>
          </w:tcPr>
          <w:p>
            <w:pPr>
              <w:jc w:val="right"/>
              <w:ind w:right="101"/>
              <w:spacing w:after="0"/>
              <w:rPr>
                <w:sz w:val="20"/>
                <w:szCs w:val="20"/>
                <w:color w:val="auto"/>
              </w:rPr>
            </w:pPr>
            <w:r>
              <w:rPr>
                <w:rFonts w:ascii="Arial" w:cs="Arial" w:eastAsia="Arial" w:hAnsi="Arial"/>
                <w:sz w:val="16"/>
                <w:szCs w:val="16"/>
                <w:b w:val="1"/>
                <w:bCs w:val="1"/>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(11)</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(25)</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Comprehensive Income</w:t>
            </w:r>
          </w:p>
        </w:tc>
        <w:tc>
          <w:tcPr>
            <w:tcW w:w="30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660" w:hanging="652"/>
        <w:spacing w:after="0" w:line="246"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Included in Interest expense, net are payments related to the interest rate swap agreements and amortization of swap buyouts (see Notes 13 and 14).</w:t>
      </w:r>
    </w:p>
    <w:p>
      <w:pPr>
        <w:ind w:left="660" w:hanging="652"/>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These accumulated other comprehensive income components are included in the computation of net periodic pension cost (see Note 3).</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Noncontrolling Interest</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Effective October 31, 2013, Safran S.A. (Safran) acquired a 10 percent equity interest in a new Albany subsidiary, Albany Safran Composites, LLC (ASC). The table below presents a reconciliation of income attributable to the noncontrolling interest and noncontrolling equity in the Company’s subsidiary Albany Safran Composites, LLC:</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5" w:name="page16"/>
    <w:bookmarkEnd w:id="1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473075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620"/>
        <w:spacing w:after="0"/>
        <w:rPr>
          <w:sz w:val="20"/>
          <w:szCs w:val="20"/>
          <w:color w:val="auto"/>
        </w:rPr>
      </w:pPr>
      <w:r>
        <w:rPr>
          <w:rFonts w:ascii="Arial" w:cs="Arial" w:eastAsia="Arial" w:hAnsi="Arial"/>
          <w:sz w:val="14"/>
          <w:szCs w:val="14"/>
          <w:b w:val="1"/>
          <w:bCs w:val="1"/>
          <w:color w:val="auto"/>
        </w:rPr>
        <w:t>Nine months ended September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56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2020</w:t>
            </w:r>
          </w:p>
        </w:tc>
      </w:tr>
      <w:tr>
        <w:trPr>
          <w:trHeight w:val="210"/>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income/(loss) of Albany Safran Composites (ASC)</w:t>
            </w: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2,495</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(13,310)</w:t>
            </w:r>
          </w:p>
        </w:tc>
      </w:tr>
      <w:tr>
        <w:trPr>
          <w:trHeight w:val="215"/>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Return attributable to the Company's preferred holding</w:t>
            </w:r>
          </w:p>
        </w:tc>
        <w:tc>
          <w:tcPr>
            <w:tcW w:w="1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991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884</w:t>
            </w:r>
          </w:p>
        </w:tc>
      </w:tr>
      <w:tr>
        <w:trPr>
          <w:trHeight w:val="210"/>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income/(loss) of ASC available for common ownership</w:t>
            </w: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1,504</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(14,194)</w:t>
            </w:r>
          </w:p>
        </w:tc>
      </w:tr>
      <w:tr>
        <w:trPr>
          <w:trHeight w:val="215"/>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Ownership percentage of noncontrolling shareholder</w:t>
            </w:r>
          </w:p>
        </w:tc>
        <w:tc>
          <w:tcPr>
            <w:tcW w:w="1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10 %</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10 %</w:t>
            </w:r>
          </w:p>
        </w:tc>
      </w:tr>
      <w:tr>
        <w:trPr>
          <w:trHeight w:val="210"/>
        </w:trPr>
        <w:tc>
          <w:tcPr>
            <w:tcW w:w="7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income/(loss) attributable to the noncontrolling interest</w:t>
            </w:r>
          </w:p>
        </w:tc>
        <w:tc>
          <w:tcPr>
            <w:tcW w:w="15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150</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(1,419)</w:t>
            </w:r>
          </w:p>
        </w:tc>
      </w:tr>
      <w:tr>
        <w:trPr>
          <w:trHeight w:val="237"/>
        </w:trPr>
        <w:tc>
          <w:tcPr>
            <w:tcW w:w="7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16"/>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 beginning of year</w:t>
            </w: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3,799</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4,006</w:t>
            </w:r>
          </w:p>
        </w:tc>
      </w:tr>
      <w:tr>
        <w:trPr>
          <w:trHeight w:val="215"/>
        </w:trPr>
        <w:tc>
          <w:tcPr>
            <w:tcW w:w="7140" w:type="dxa"/>
            <w:vAlign w:val="bottom"/>
          </w:tcPr>
          <w:p>
            <w:pPr>
              <w:ind w:left="20"/>
              <w:spacing w:after="0"/>
              <w:rPr>
                <w:sz w:val="20"/>
                <w:szCs w:val="20"/>
                <w:color w:val="auto"/>
              </w:rPr>
            </w:pPr>
            <w:r>
              <w:rPr>
                <w:rFonts w:ascii="Arial" w:cs="Arial" w:eastAsia="Arial" w:hAnsi="Arial"/>
                <w:sz w:val="16"/>
                <w:szCs w:val="16"/>
                <w:color w:val="auto"/>
              </w:rPr>
              <w:t>Net income/(loss) attributable to the noncontrolling interest</w:t>
            </w:r>
          </w:p>
        </w:tc>
        <w:tc>
          <w:tcPr>
            <w:tcW w:w="1560" w:type="dxa"/>
            <w:vAlign w:val="bottom"/>
          </w:tcPr>
          <w:p>
            <w:pPr>
              <w:spacing w:after="0"/>
              <w:rPr>
                <w:sz w:val="18"/>
                <w:szCs w:val="18"/>
                <w:color w:val="auto"/>
              </w:rPr>
            </w:pPr>
          </w:p>
        </w:tc>
        <w:tc>
          <w:tcPr>
            <w:tcW w:w="1100" w:type="dxa"/>
            <w:vAlign w:val="bottom"/>
          </w:tcPr>
          <w:p>
            <w:pPr>
              <w:jc w:val="right"/>
              <w:ind w:right="120"/>
              <w:spacing w:after="0"/>
              <w:rPr>
                <w:sz w:val="20"/>
                <w:szCs w:val="20"/>
                <w:color w:val="auto"/>
              </w:rPr>
            </w:pPr>
            <w:r>
              <w:rPr>
                <w:rFonts w:ascii="Arial" w:cs="Arial" w:eastAsia="Arial" w:hAnsi="Arial"/>
                <w:sz w:val="16"/>
                <w:szCs w:val="16"/>
                <w:b w:val="1"/>
                <w:bCs w:val="1"/>
                <w:color w:val="auto"/>
              </w:rPr>
              <w:t>150</w:t>
            </w:r>
          </w:p>
        </w:tc>
        <w:tc>
          <w:tcPr>
            <w:tcW w:w="340" w:type="dxa"/>
            <w:vAlign w:val="bottom"/>
          </w:tcPr>
          <w:p>
            <w:pPr>
              <w:spacing w:after="0"/>
              <w:rPr>
                <w:sz w:val="18"/>
                <w:szCs w:val="18"/>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(1,419)</w:t>
            </w:r>
          </w:p>
        </w:tc>
      </w:tr>
      <w:tr>
        <w:trPr>
          <w:trHeight w:val="216"/>
        </w:trPr>
        <w:tc>
          <w:tcPr>
            <w:tcW w:w="7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Changes in other comprehensive income attributable to the noncontrolling interest</w:t>
            </w:r>
          </w:p>
        </w:tc>
        <w:tc>
          <w:tcPr>
            <w:tcW w:w="15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(219)</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462</w:t>
            </w:r>
          </w:p>
        </w:tc>
      </w:tr>
      <w:tr>
        <w:trPr>
          <w:trHeight w:val="209"/>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Noncontrolling interest, end of interim period</w:t>
            </w:r>
          </w:p>
        </w:tc>
        <w:tc>
          <w:tcPr>
            <w:tcW w:w="15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3,730</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3,049</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Accounts Receivable</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Accounts receivable includes trade receivables. In connection with certain sales in Asia, the Company accepts a bank promissory note as customer payment. The notes may be presented for payment at maturity, which is less than one year. As of September 30, 2021 and December 31, 2020, Accounts receivable consisted of the following:</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4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1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5640" w:type="dxa"/>
            <w:vAlign w:val="bottom"/>
            <w:tcBorders>
              <w:bottom w:val="single" w:sz="8" w:color="auto"/>
            </w:tcBorders>
            <w:vMerge w:val="continue"/>
          </w:tcPr>
          <w:p>
            <w:pPr>
              <w:spacing w:after="0"/>
              <w:rPr>
                <w:sz w:val="15"/>
                <w:szCs w:val="15"/>
                <w:color w:val="auto"/>
              </w:rPr>
            </w:pPr>
          </w:p>
        </w:tc>
        <w:tc>
          <w:tcPr>
            <w:tcW w:w="3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and other accounts receivable</w:t>
            </w:r>
          </w:p>
        </w:tc>
        <w:tc>
          <w:tcPr>
            <w:tcW w:w="3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176,320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167,370</w:t>
            </w:r>
          </w:p>
        </w:tc>
        <w:tc>
          <w:tcPr>
            <w:tcW w:w="0" w:type="dxa"/>
            <w:vAlign w:val="bottom"/>
          </w:tcPr>
          <w:p>
            <w:pPr>
              <w:spacing w:after="0"/>
              <w:rPr>
                <w:sz w:val="1"/>
                <w:szCs w:val="1"/>
                <w:color w:val="auto"/>
              </w:rPr>
            </w:pPr>
          </w:p>
        </w:tc>
      </w:tr>
      <w:tr>
        <w:trPr>
          <w:trHeight w:val="240"/>
        </w:trPr>
        <w:tc>
          <w:tcPr>
            <w:tcW w:w="5640" w:type="dxa"/>
            <w:vAlign w:val="bottom"/>
          </w:tcPr>
          <w:p>
            <w:pPr>
              <w:ind w:left="20"/>
              <w:spacing w:after="0"/>
              <w:rPr>
                <w:sz w:val="20"/>
                <w:szCs w:val="20"/>
                <w:color w:val="auto"/>
              </w:rPr>
            </w:pPr>
            <w:r>
              <w:rPr>
                <w:rFonts w:ascii="Arial" w:cs="Arial" w:eastAsia="Arial" w:hAnsi="Arial"/>
                <w:sz w:val="16"/>
                <w:szCs w:val="16"/>
                <w:color w:val="auto"/>
              </w:rPr>
              <w:t>Bank promissory notes</w:t>
            </w:r>
          </w:p>
        </w:tc>
        <w:tc>
          <w:tcPr>
            <w:tcW w:w="3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25,828</w:t>
            </w:r>
          </w:p>
        </w:tc>
        <w:tc>
          <w:tcPr>
            <w:tcW w:w="160" w:type="dxa"/>
            <w:vAlign w:val="bottom"/>
          </w:tcPr>
          <w:p>
            <w:pPr>
              <w:spacing w:after="0"/>
              <w:rPr>
                <w:sz w:val="20"/>
                <w:szCs w:val="20"/>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24,860</w:t>
            </w:r>
          </w:p>
        </w:tc>
        <w:tc>
          <w:tcPr>
            <w:tcW w:w="0" w:type="dxa"/>
            <w:vAlign w:val="bottom"/>
          </w:tcPr>
          <w:p>
            <w:pPr>
              <w:spacing w:after="0"/>
              <w:rPr>
                <w:sz w:val="1"/>
                <w:szCs w:val="1"/>
                <w:color w:val="auto"/>
              </w:rPr>
            </w:pPr>
          </w:p>
        </w:tc>
      </w:tr>
      <w:tr>
        <w:trPr>
          <w:trHeight w:val="218"/>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Allowance for expected credit losses</w:t>
            </w:r>
          </w:p>
        </w:tc>
        <w:tc>
          <w:tcPr>
            <w:tcW w:w="3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(3,024)</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(3,807)</w:t>
            </w:r>
          </w:p>
        </w:tc>
        <w:tc>
          <w:tcPr>
            <w:tcW w:w="0" w:type="dxa"/>
            <w:vAlign w:val="bottom"/>
          </w:tcPr>
          <w:p>
            <w:pPr>
              <w:spacing w:after="0"/>
              <w:rPr>
                <w:sz w:val="1"/>
                <w:szCs w:val="1"/>
                <w:color w:val="auto"/>
              </w:rPr>
            </w:pPr>
          </w:p>
        </w:tc>
      </w:tr>
      <w:tr>
        <w:trPr>
          <w:trHeight w:val="234"/>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Accounts receivable, net</w:t>
            </w:r>
          </w:p>
        </w:tc>
        <w:tc>
          <w:tcPr>
            <w:tcW w:w="3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199,124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188,423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 has Noncurrent receivables in the AEC segment that represent revenue earned, which has extended payment terms. The Noncurrent receivables will be invoiced to the customer over a 10-year period, which began in 2020. As of September 30, 2021 and December 31, 2020, Noncurrent receivables consisted of the following:</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4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1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10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5640" w:type="dxa"/>
            <w:vAlign w:val="bottom"/>
            <w:tcBorders>
              <w:bottom w:val="single" w:sz="8" w:color="auto"/>
            </w:tcBorders>
            <w:vMerge w:val="continue"/>
          </w:tcPr>
          <w:p>
            <w:pPr>
              <w:spacing w:after="0"/>
              <w:rPr>
                <w:sz w:val="15"/>
                <w:szCs w:val="15"/>
                <w:color w:val="auto"/>
              </w:rPr>
            </w:pPr>
          </w:p>
        </w:tc>
        <w:tc>
          <w:tcPr>
            <w:tcW w:w="3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receivables</w:t>
            </w:r>
          </w:p>
        </w:tc>
        <w:tc>
          <w:tcPr>
            <w:tcW w:w="3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33,681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36,539</w:t>
            </w:r>
          </w:p>
        </w:tc>
        <w:tc>
          <w:tcPr>
            <w:tcW w:w="0" w:type="dxa"/>
            <w:vAlign w:val="bottom"/>
          </w:tcPr>
          <w:p>
            <w:pPr>
              <w:spacing w:after="0"/>
              <w:rPr>
                <w:sz w:val="1"/>
                <w:szCs w:val="1"/>
                <w:color w:val="auto"/>
              </w:rPr>
            </w:pPr>
          </w:p>
        </w:tc>
      </w:tr>
      <w:tr>
        <w:trPr>
          <w:trHeight w:val="240"/>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Allowance for expected credit losses</w:t>
            </w:r>
          </w:p>
        </w:tc>
        <w:tc>
          <w:tcPr>
            <w:tcW w:w="3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(210)</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212"/>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Noncurrent receivables, net</w:t>
            </w:r>
          </w:p>
        </w:tc>
        <w:tc>
          <w:tcPr>
            <w:tcW w:w="3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33,471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36,265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Contract Assets and Liabilities</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Contract assets includes unbilled amounts typically resulting from sales under contracts when the cost-to-cost method of revenue recognition is utilized, and revenue recognized exceeds the amount billed to the customer. Contract assets are transferred to Accounts receivable, net when the entitlement to pay becomes unconditional. Contract liabilities include advance payments and billings in excess of revenue recognized. Contract liabilities are included in Accrued liabilities in the Consolidated Balance Sheets.</w:t>
      </w:r>
    </w:p>
    <w:p>
      <w:pPr>
        <w:spacing w:after="0" w:line="9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Contract assets and Contract liabilities are reported on the Consolidated Balance Sheets in a net position on a contract-by-contract basis at the end of each reporting period.</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2021 and December 31, 2020, Contract assets and Contract liabilities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6" w:name="page17"/>
    <w:bookmarkEnd w:id="1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4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1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5640" w:type="dxa"/>
            <w:vAlign w:val="bottom"/>
            <w:tcBorders>
              <w:bottom w:val="single" w:sz="8" w:color="auto"/>
            </w:tcBorders>
            <w:vMerge w:val="continue"/>
          </w:tcPr>
          <w:p>
            <w:pPr>
              <w:spacing w:after="0"/>
              <w:rPr>
                <w:sz w:val="15"/>
                <w:szCs w:val="15"/>
                <w:color w:val="auto"/>
              </w:rPr>
            </w:pPr>
          </w:p>
        </w:tc>
        <w:tc>
          <w:tcPr>
            <w:tcW w:w="3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assets</w:t>
            </w:r>
          </w:p>
        </w:tc>
        <w:tc>
          <w:tcPr>
            <w:tcW w:w="3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116,653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140,348</w:t>
            </w:r>
          </w:p>
        </w:tc>
        <w:tc>
          <w:tcPr>
            <w:tcW w:w="0" w:type="dxa"/>
            <w:vAlign w:val="bottom"/>
          </w:tcPr>
          <w:p>
            <w:pPr>
              <w:spacing w:after="0"/>
              <w:rPr>
                <w:sz w:val="1"/>
                <w:szCs w:val="1"/>
                <w:color w:val="auto"/>
              </w:rPr>
            </w:pPr>
          </w:p>
        </w:tc>
      </w:tr>
      <w:tr>
        <w:trPr>
          <w:trHeight w:val="240"/>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Allowance for expected credit losses</w:t>
            </w:r>
          </w:p>
        </w:tc>
        <w:tc>
          <w:tcPr>
            <w:tcW w:w="3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(729)</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(1,059)</w:t>
            </w:r>
          </w:p>
        </w:tc>
        <w:tc>
          <w:tcPr>
            <w:tcW w:w="0" w:type="dxa"/>
            <w:vAlign w:val="bottom"/>
          </w:tcPr>
          <w:p>
            <w:pPr>
              <w:spacing w:after="0"/>
              <w:rPr>
                <w:sz w:val="1"/>
                <w:szCs w:val="1"/>
                <w:color w:val="auto"/>
              </w:rPr>
            </w:pPr>
          </w:p>
        </w:tc>
      </w:tr>
      <w:tr>
        <w:trPr>
          <w:trHeight w:val="212"/>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Contract assets, net</w:t>
            </w:r>
          </w:p>
        </w:tc>
        <w:tc>
          <w:tcPr>
            <w:tcW w:w="3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115,924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139,289</w:t>
            </w:r>
          </w:p>
        </w:tc>
        <w:tc>
          <w:tcPr>
            <w:tcW w:w="0" w:type="dxa"/>
            <w:vAlign w:val="bottom"/>
          </w:tcPr>
          <w:p>
            <w:pPr>
              <w:spacing w:after="0"/>
              <w:rPr>
                <w:sz w:val="1"/>
                <w:szCs w:val="1"/>
                <w:color w:val="auto"/>
              </w:rPr>
            </w:pPr>
          </w:p>
        </w:tc>
      </w:tr>
      <w:tr>
        <w:trPr>
          <w:trHeight w:val="237"/>
        </w:trPr>
        <w:tc>
          <w:tcPr>
            <w:tcW w:w="56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Contract liabilities</w:t>
            </w:r>
          </w:p>
        </w:tc>
        <w:tc>
          <w:tcPr>
            <w:tcW w:w="3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6,250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8,206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Contract assets decreased $23.4 million during the nine-month period ended September 30, 2021. The decrease was primarily due to invoicing to customers exceeding revenue recognized for satisfied performance obligations for contracts that were in a contract asset position. There were no credit losses related to our Contract assets during the nine month periods ended September 30, 2021 and September 30, 2020.</w:t>
      </w:r>
    </w:p>
    <w:p>
      <w:pPr>
        <w:spacing w:after="0" w:line="96" w:lineRule="exact"/>
        <w:rPr>
          <w:sz w:val="20"/>
          <w:szCs w:val="20"/>
          <w:color w:val="auto"/>
        </w:rPr>
      </w:pPr>
    </w:p>
    <w:p>
      <w:pPr>
        <w:jc w:val="both"/>
        <w:ind w:right="20" w:firstLine="324"/>
        <w:spacing w:after="0" w:line="254" w:lineRule="auto"/>
        <w:rPr>
          <w:sz w:val="20"/>
          <w:szCs w:val="20"/>
          <w:color w:val="auto"/>
        </w:rPr>
      </w:pPr>
      <w:r>
        <w:rPr>
          <w:rFonts w:ascii="Arial" w:cs="Arial" w:eastAsia="Arial" w:hAnsi="Arial"/>
          <w:sz w:val="18"/>
          <w:szCs w:val="18"/>
          <w:color w:val="auto"/>
        </w:rPr>
        <w:t>Contract liabilities decreased $2.0 million during the nine-month period ended September 30, 2021, primarily due to revenue recognized from satisfied performance obligations exceeding amounts invoiced to customers that were in a contract liability position. Revenue recognized for the nine-month periods ended September 30, 2021 and 2020 that was included in the Contract liability balance at the beginning of the year was $5.3 million and $3.5 million, respectively.</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Inventories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Costs included in inventories are raw materials, labor, supplies and allocable depreciation and overhead. Raw material inventories are valued on an average cost basis. Other inventory cost elements are valued at cost, using the first-in, first-out method. The Company writes down the inventories for estimated obsolescence, and to lower of cost or net realizable value based upon assumptions about future demand and market conditions. If actual demand or market conditions are less favorable than those projected by the Company, additional inventory write-downs may be required. Once established, the original cost of the inventory less the related write-down represents the new cost basis of such inventories.</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2021 and December 31, 2020, Inventories consisted of the following:</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8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4920" w:type="dxa"/>
            <w:vAlign w:val="bottom"/>
            <w:tcBorders>
              <w:bottom w:val="single" w:sz="8" w:color="auto"/>
            </w:tcBorders>
            <w:vMerge w:val="continue"/>
          </w:tcPr>
          <w:p>
            <w:pPr>
              <w:spacing w:after="0"/>
              <w:rPr>
                <w:sz w:val="15"/>
                <w:szCs w:val="15"/>
                <w:color w:val="auto"/>
              </w:rPr>
            </w:pPr>
          </w:p>
        </w:tc>
        <w:tc>
          <w:tcPr>
            <w:tcW w:w="38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3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57,534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57,789</w:t>
            </w:r>
          </w:p>
        </w:tc>
        <w:tc>
          <w:tcPr>
            <w:tcW w:w="0" w:type="dxa"/>
            <w:vAlign w:val="bottom"/>
          </w:tcPr>
          <w:p>
            <w:pPr>
              <w:spacing w:after="0"/>
              <w:rPr>
                <w:sz w:val="1"/>
                <w:szCs w:val="1"/>
                <w:color w:val="auto"/>
              </w:rPr>
            </w:pPr>
          </w:p>
        </w:tc>
      </w:tr>
      <w:tr>
        <w:trPr>
          <w:trHeight w:val="240"/>
        </w:trPr>
        <w:tc>
          <w:tcPr>
            <w:tcW w:w="4920" w:type="dxa"/>
            <w:vAlign w:val="bottom"/>
          </w:tcPr>
          <w:p>
            <w:pPr>
              <w:ind w:left="20"/>
              <w:spacing w:after="0"/>
              <w:rPr>
                <w:sz w:val="20"/>
                <w:szCs w:val="20"/>
                <w:color w:val="auto"/>
              </w:rPr>
            </w:pPr>
            <w:r>
              <w:rPr>
                <w:rFonts w:ascii="Arial" w:cs="Arial" w:eastAsia="Arial" w:hAnsi="Arial"/>
                <w:sz w:val="16"/>
                <w:szCs w:val="16"/>
                <w:color w:val="auto"/>
              </w:rPr>
              <w:t>Work in process</w:t>
            </w:r>
          </w:p>
        </w:tc>
        <w:tc>
          <w:tcPr>
            <w:tcW w:w="38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44,715</w:t>
            </w:r>
          </w:p>
        </w:tc>
        <w:tc>
          <w:tcPr>
            <w:tcW w:w="180" w:type="dxa"/>
            <w:vAlign w:val="bottom"/>
          </w:tcPr>
          <w:p>
            <w:pPr>
              <w:spacing w:after="0"/>
              <w:rPr>
                <w:sz w:val="20"/>
                <w:szCs w:val="20"/>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40,416</w:t>
            </w:r>
          </w:p>
        </w:tc>
        <w:tc>
          <w:tcPr>
            <w:tcW w:w="0" w:type="dxa"/>
            <w:vAlign w:val="bottom"/>
          </w:tcPr>
          <w:p>
            <w:pPr>
              <w:spacing w:after="0"/>
              <w:rPr>
                <w:sz w:val="1"/>
                <w:szCs w:val="1"/>
                <w:color w:val="auto"/>
              </w:rPr>
            </w:pPr>
          </w:p>
        </w:tc>
      </w:tr>
      <w:tr>
        <w:trPr>
          <w:trHeight w:val="218"/>
        </w:trPr>
        <w:tc>
          <w:tcPr>
            <w:tcW w:w="4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38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15,880</w:t>
            </w: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12,273</w:t>
            </w:r>
          </w:p>
        </w:tc>
        <w:tc>
          <w:tcPr>
            <w:tcW w:w="0" w:type="dxa"/>
            <w:vAlign w:val="bottom"/>
          </w:tcPr>
          <w:p>
            <w:pPr>
              <w:spacing w:after="0"/>
              <w:rPr>
                <w:sz w:val="1"/>
                <w:szCs w:val="1"/>
                <w:color w:val="auto"/>
              </w:rPr>
            </w:pPr>
          </w:p>
        </w:tc>
      </w:tr>
      <w:tr>
        <w:trPr>
          <w:trHeight w:val="234"/>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inventories</w:t>
            </w:r>
          </w:p>
        </w:tc>
        <w:tc>
          <w:tcPr>
            <w:tcW w:w="3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118,129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110,478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Goodwill and Other Intangible Assets</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Goodwill and intangible assets with indefinite useful lives are not amortized, but are tested for impairment at least annually. Goodwill represents the excess of the purchase price over the fair value of the net tangible and identifiable intangible assets acquired in each business combination. Our reportable segments are consistent with our operating segments.</w:t>
      </w:r>
    </w:p>
    <w:p>
      <w:pPr>
        <w:spacing w:after="0" w:line="9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Determining the fair value of a reporting unit requires the use of significant estimates and assumptions, including revenue growth rates, operating margins, discount rates, and future market conditions, among others. Goodwill and other long-lived assets are reviewed for impairment whenever events, such as significant changes in the business climate, plant closures, changes in product offerings, or other circumstances indicate that the carrying amount may not be recoverable.</w:t>
      </w:r>
    </w:p>
    <w:p>
      <w:pPr>
        <w:spacing w:after="0" w:line="9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To determine fair value, we utilize two market-based approaches and an income approach. Under the market-based approaches, we utilize information regarding the Company, as well as publicly available industry information, to determine earnings multiples and sales multiples. Under the income approach, we determine fair value based on estimated future cash flows of each reporting unit, discounted by an estimated weighted-average cost of capital, which reflects the overall level of inherent risk of a reporting unit and the rate of return an outside investor would expect to earn.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7" w:name="page18"/>
    <w:bookmarkEnd w:id="1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In the second quarter of 2021, management applied the qualitative assessment approach in performing its annual evaluation of goodwill for the Company's Machine Clothing reporting unit and three AEC reporting units and concluded that each reporting unit’s fair value continued to exceed its carrying value. In addition, there were no amounts at risk due to the estimated excess between the fair and carrying values. Accordingly, no impairment charges were recorded.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Financial Instruments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Long-term debt, principally to banks and noteholders, consists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interest rates)</w:t>
            </w:r>
          </w:p>
        </w:tc>
        <w:tc>
          <w:tcPr>
            <w:tcW w:w="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11"/>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Revolving credit agreement with borrowings outstanding at an end of period interest rate of 3.74% in 2021</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and 3.50% in 2020 (including the effect of interest rate hedging transactions, as described below), due</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350,000</w:t>
            </w: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 2024</w:t>
            </w:r>
          </w:p>
        </w:tc>
        <w:tc>
          <w:tcPr>
            <w:tcW w:w="240" w:type="dxa"/>
            <w:vAlign w:val="bottom"/>
            <w:vMerge w:val="continue"/>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398,000</w:t>
            </w:r>
          </w:p>
        </w:tc>
        <w:tc>
          <w:tcPr>
            <w:tcW w:w="0" w:type="dxa"/>
            <w:vAlign w:val="bottom"/>
          </w:tcPr>
          <w:p>
            <w:pPr>
              <w:spacing w:after="0"/>
              <w:rPr>
                <w:sz w:val="1"/>
                <w:szCs w:val="1"/>
                <w:color w:val="auto"/>
              </w:rPr>
            </w:pPr>
          </w:p>
        </w:tc>
      </w:tr>
      <w:tr>
        <w:trPr>
          <w:trHeight w:val="240"/>
        </w:trPr>
        <w:tc>
          <w:tcPr>
            <w:tcW w:w="7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debt, at an average end of period rate of 5.50% in 2020, paid in varying amounts through April 2021</w:t>
            </w: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3"/>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350,000</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398,009</w:t>
            </w:r>
          </w:p>
        </w:tc>
        <w:tc>
          <w:tcPr>
            <w:tcW w:w="0" w:type="dxa"/>
            <w:vAlign w:val="bottom"/>
          </w:tcPr>
          <w:p>
            <w:pPr>
              <w:spacing w:after="0"/>
              <w:rPr>
                <w:sz w:val="1"/>
                <w:szCs w:val="1"/>
                <w:color w:val="auto"/>
              </w:rPr>
            </w:pPr>
          </w:p>
        </w:tc>
      </w:tr>
      <w:tr>
        <w:trPr>
          <w:trHeight w:val="240"/>
        </w:trPr>
        <w:tc>
          <w:tcPr>
            <w:tcW w:w="7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current portion</w:t>
            </w: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2"/>
        </w:trPr>
        <w:tc>
          <w:tcPr>
            <w:tcW w:w="7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Long-term debt, net of current portion</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350,000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398,000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October 27, 2020, we entered into a $700 million unsecured Four-Year Revolving Credit Facility Agreement (the “Credit Agreement”) which amended and restated the prior amended and restated $685 million Five-Year Revolving Credit Facility Agreement, which we had entered into on November 7, 2017 (the “Prior Agreement”). Under the Credit Agreement, $350 million of borrowings were outstanding as of September 30, 2021. The applicable interest rate for borrowings was LIBOR plus a spread, based on our leverage ratio at the time of borrowing. At the time of the last borrowing on September 16, 2021, the spread was 1.625%. The spread was based on a pricing grid, which ranged from 1.500% to 2.000%, based on our leverage ratio. Based on our maximum leverage ratio and our Consolidated EBITDA, and without modification to any other credit agreements, as of September 30, 2021, we would have been able to borrow an additional $350 million under the Agreement.</w:t>
      </w:r>
    </w:p>
    <w:p>
      <w:pPr>
        <w:spacing w:after="0" w:line="9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Credit Agreement contains customary terms, as well as affirmative covenants, negative covenants and events of default that are comparable to those in the Prior Agreement. The Borrowings are guaranteed by certain of the Company’s subsidiaries.</w:t>
      </w:r>
    </w:p>
    <w:p>
      <w:pPr>
        <w:spacing w:after="0" w:line="9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ability to borrow additional amounts under the Credit Agreement is conditional upon the absence of any defaults, as well as the absence of any material adverse change (as defined in the Credit Agreement).</w:t>
      </w:r>
    </w:p>
    <w:p>
      <w:pPr>
        <w:spacing w:after="0" w:line="76" w:lineRule="exact"/>
        <w:rPr>
          <w:sz w:val="20"/>
          <w:szCs w:val="20"/>
          <w:color w:val="auto"/>
        </w:rPr>
      </w:pPr>
    </w:p>
    <w:p>
      <w:pPr>
        <w:jc w:val="both"/>
        <w:ind w:firstLine="324"/>
        <w:spacing w:after="0" w:line="225" w:lineRule="auto"/>
        <w:rPr>
          <w:sz w:val="20"/>
          <w:szCs w:val="20"/>
          <w:color w:val="auto"/>
        </w:rPr>
      </w:pPr>
      <w:r>
        <w:rPr>
          <w:rFonts w:ascii="Arial" w:cs="Arial" w:eastAsia="Arial" w:hAnsi="Arial"/>
          <w:sz w:val="18"/>
          <w:szCs w:val="18"/>
          <w:color w:val="auto"/>
        </w:rPr>
        <w:t>On June 14, 2021, we entered into interest rate swap agreements for the period October 17, 2022 through October 27, 2024. These transactions have the effect of fixing the LIBOR portion of the effective interest rate (before addition of the spread) on $350 million of indebtedness drawn under the Credit Agreement at the rate of 0.838% during the period. Under the terms of these transactions, we pay the fixed rate of 0.838% and the counterparties pay a floating rate based on the one-month LIBOR rate at each monthly calculation date, which on September 16, 2021 was 0.09%.</w:t>
      </w:r>
    </w:p>
    <w:p>
      <w:pPr>
        <w:spacing w:after="0" w:line="9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November 27, 2017, we terminated our interest rate swap agreements, originally entered into on May 9, 2016, that had effectively fixed the interest rate on $300 million of revolving credit borrowings, in order to enter into a new interest rate swap with a greater notional amount, and the same maturity as the Credit Agreement. We received $6.3 million when the swap agreements were terminated, which has been fully amortized into interest expense through March 2021.</w:t>
      </w:r>
    </w:p>
    <w:p>
      <w:pPr>
        <w:spacing w:after="0" w:line="9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November 28, 2017, we entered into interest rate swap agreements for the period December 18, 2017 through October 17, 2022. These transactions have the effect of fixing the LIBOR portion of the effective interest rate (before addition of the spread) on $350 million of indebtedness drawn under the Credit Agreement at the rate of 2.11% during the period. Under the terms of these transactions, we pay the fixed rate of 2.11% and the counterparties pay a floating rate based on the one-month LIBOR rate at each monthly calculation date, which on September 16, 2021 was 0.09%, during the swap period. On September 16, 2021, the all-in-rate on the $350 million of debt was 3.735%.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8" w:name="page19"/>
    <w:bookmarkEnd w:id="1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firstLine="324"/>
        <w:spacing w:after="0" w:line="235" w:lineRule="auto"/>
        <w:rPr>
          <w:sz w:val="20"/>
          <w:szCs w:val="20"/>
          <w:color w:val="auto"/>
        </w:rPr>
      </w:pPr>
      <w:r>
        <w:rPr>
          <w:rFonts w:ascii="Arial" w:cs="Arial" w:eastAsia="Arial" w:hAnsi="Arial"/>
          <w:sz w:val="18"/>
          <w:szCs w:val="18"/>
          <w:color w:val="auto"/>
        </w:rPr>
        <w:t>These interest rate swaps are accounted for as a hedge of future cash flows, as further described in Note 14. No cash collateral was received or pledged in relation to the swap agreements.</w:t>
      </w:r>
    </w:p>
    <w:p>
      <w:pPr>
        <w:spacing w:after="0" w:line="94"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Under the Credit Agreement, we are currently required to maintain a leverage ratio (as defined in the agreement) of not greater than 3.50 to 1.00 and minimum interest coverage (as defined) of 3.00 to 1.00.</w:t>
      </w:r>
    </w:p>
    <w:p>
      <w:pPr>
        <w:spacing w:after="0" w:line="225"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As of September 30, 2021, our leverage ratio was 1.07 to 1.00 and our interest coverage ratio was 14.51 to 1.00. We may purchase our Common Stock or pay dividends to the extent our leverage ratio remains at or below 3.50 to 1.00, and may make acquisitions with cash, provided our leverage ratio does not exceed the limits noted above.</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Indebtedness under the Credit Agreement is ranked equally in right of payment to all unsecured senior debt.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were in compliance with all debt covenants as of September 30, 2021.</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Fair-Value Measurements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Accounting principles establish a hierarchy for inputs used in measuring fair value that maximizes the use of observable inputs and minimizes the use of unobservable inputs by requiring that the most observable inputs be used when available. Level 3 inputs are unobservable data points for the asset or liability, and include situations in which there is little, if any, market activity for the asset or liability. We had no Level 3 financial assets or liabilities at September 30, 2021, or at December 31, 2020.</w:t>
      </w:r>
    </w:p>
    <w:p>
      <w:pPr>
        <w:spacing w:after="0" w:line="10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table presents the fair-value hierarchy for our Level 1 and Level 2 financial and non-financial assets and liabilities, which are measured at fair value on a recurring basis: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8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2820" w:type="dxa"/>
            <w:vAlign w:val="bottom"/>
            <w:tcBorders>
              <w:top w:val="single" w:sz="8" w:color="auto"/>
              <w:bottom w:val="single" w:sz="8" w:color="auto"/>
            </w:tcBorders>
            <w:gridSpan w:val="3"/>
          </w:tcPr>
          <w:p>
            <w:pPr>
              <w:jc w:val="right"/>
              <w:ind w:right="944"/>
              <w:spacing w:after="0"/>
              <w:rPr>
                <w:sz w:val="20"/>
                <w:szCs w:val="20"/>
                <w:color w:val="auto"/>
              </w:rPr>
            </w:pPr>
            <w:r>
              <w:rPr>
                <w:rFonts w:ascii="Arial" w:cs="Arial" w:eastAsia="Arial" w:hAnsi="Arial"/>
                <w:sz w:val="14"/>
                <w:szCs w:val="14"/>
                <w:b w:val="1"/>
                <w:bCs w:val="1"/>
                <w:color w:val="auto"/>
              </w:rPr>
              <w:t>September 30, 2021</w:t>
            </w:r>
          </w:p>
        </w:tc>
        <w:tc>
          <w:tcPr>
            <w:tcW w:w="2500" w:type="dxa"/>
            <w:vAlign w:val="bottom"/>
            <w:tcBorders>
              <w:top w:val="single" w:sz="8" w:color="auto"/>
              <w:bottom w:val="single" w:sz="8" w:color="auto"/>
            </w:tcBorders>
            <w:gridSpan w:val="3"/>
          </w:tcPr>
          <w:p>
            <w:pPr>
              <w:jc w:val="right"/>
              <w:ind w:right="644"/>
              <w:spacing w:after="0"/>
              <w:rPr>
                <w:sz w:val="20"/>
                <w:szCs w:val="20"/>
                <w:color w:val="auto"/>
              </w:rPr>
            </w:pPr>
            <w:r>
              <w:rPr>
                <w:rFonts w:ascii="Arial" w:cs="Arial" w:eastAsia="Arial" w:hAnsi="Arial"/>
                <w:sz w:val="14"/>
                <w:szCs w:val="14"/>
                <w:b w:val="1"/>
                <w:bCs w:val="1"/>
                <w:color w:val="auto"/>
              </w:rPr>
              <w:t>December 31, 2020</w:t>
            </w:r>
          </w:p>
        </w:tc>
      </w:tr>
      <w:tr>
        <w:trPr>
          <w:trHeight w:val="169"/>
        </w:trPr>
        <w:tc>
          <w:tcPr>
            <w:tcW w:w="5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ind w:right="164"/>
              <w:spacing w:after="0"/>
              <w:rPr>
                <w:sz w:val="20"/>
                <w:szCs w:val="20"/>
                <w:color w:val="auto"/>
              </w:rPr>
            </w:pPr>
            <w:r>
              <w:rPr>
                <w:rFonts w:ascii="Arial" w:cs="Arial" w:eastAsia="Arial" w:hAnsi="Arial"/>
                <w:sz w:val="14"/>
                <w:szCs w:val="14"/>
                <w:b w:val="1"/>
                <w:bCs w:val="1"/>
                <w:color w:val="auto"/>
              </w:rPr>
              <w:t>Quoted</w:t>
            </w:r>
          </w:p>
        </w:tc>
        <w:tc>
          <w:tcPr>
            <w:tcW w:w="280" w:type="dxa"/>
            <w:vAlign w:val="bottom"/>
          </w:tcPr>
          <w:p>
            <w:pPr>
              <w:spacing w:after="0"/>
              <w:rPr>
                <w:sz w:val="14"/>
                <w:szCs w:val="14"/>
                <w:color w:val="auto"/>
              </w:rPr>
            </w:pPr>
          </w:p>
        </w:tc>
        <w:tc>
          <w:tcPr>
            <w:tcW w:w="1440" w:type="dxa"/>
            <w:vAlign w:val="bottom"/>
          </w:tcPr>
          <w:p>
            <w:pPr>
              <w:jc w:val="center"/>
              <w:ind w:right="464"/>
              <w:spacing w:after="0"/>
              <w:rPr>
                <w:sz w:val="20"/>
                <w:szCs w:val="20"/>
                <w:color w:val="auto"/>
              </w:rPr>
            </w:pPr>
            <w:r>
              <w:rPr>
                <w:rFonts w:ascii="Arial" w:cs="Arial" w:eastAsia="Arial" w:hAnsi="Arial"/>
                <w:sz w:val="14"/>
                <w:szCs w:val="14"/>
                <w:b w:val="1"/>
                <w:bCs w:val="1"/>
                <w:color w:val="auto"/>
              </w:rPr>
              <w:t>Significant</w:t>
            </w:r>
          </w:p>
        </w:tc>
        <w:tc>
          <w:tcPr>
            <w:tcW w:w="1100" w:type="dxa"/>
            <w:vAlign w:val="bottom"/>
          </w:tcPr>
          <w:p>
            <w:pPr>
              <w:jc w:val="center"/>
              <w:ind w:right="164"/>
              <w:spacing w:after="0"/>
              <w:rPr>
                <w:sz w:val="20"/>
                <w:szCs w:val="20"/>
                <w:color w:val="auto"/>
              </w:rPr>
            </w:pPr>
            <w:r>
              <w:rPr>
                <w:rFonts w:ascii="Arial" w:cs="Arial" w:eastAsia="Arial" w:hAnsi="Arial"/>
                <w:sz w:val="14"/>
                <w:szCs w:val="14"/>
                <w:b w:val="1"/>
                <w:bCs w:val="1"/>
                <w:color w:val="auto"/>
              </w:rPr>
              <w:t>Quoted</w:t>
            </w:r>
          </w:p>
        </w:tc>
        <w:tc>
          <w:tcPr>
            <w:tcW w:w="280" w:type="dxa"/>
            <w:vAlign w:val="bottom"/>
          </w:tcPr>
          <w:p>
            <w:pPr>
              <w:spacing w:after="0"/>
              <w:rPr>
                <w:sz w:val="14"/>
                <w:szCs w:val="14"/>
                <w:color w:val="auto"/>
              </w:rPr>
            </w:pPr>
          </w:p>
        </w:tc>
        <w:tc>
          <w:tcPr>
            <w:tcW w:w="1120" w:type="dxa"/>
            <w:vAlign w:val="bottom"/>
          </w:tcPr>
          <w:p>
            <w:pPr>
              <w:jc w:val="center"/>
              <w:ind w:right="124"/>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5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ind w:right="164"/>
              <w:spacing w:after="0"/>
              <w:rPr>
                <w:sz w:val="20"/>
                <w:szCs w:val="20"/>
                <w:color w:val="auto"/>
              </w:rPr>
            </w:pPr>
            <w:r>
              <w:rPr>
                <w:rFonts w:ascii="Arial" w:cs="Arial" w:eastAsia="Arial" w:hAnsi="Arial"/>
                <w:sz w:val="14"/>
                <w:szCs w:val="14"/>
                <w:b w:val="1"/>
                <w:bCs w:val="1"/>
                <w:color w:val="auto"/>
              </w:rPr>
              <w:t>prices in</w:t>
            </w:r>
          </w:p>
        </w:tc>
        <w:tc>
          <w:tcPr>
            <w:tcW w:w="280" w:type="dxa"/>
            <w:vAlign w:val="bottom"/>
          </w:tcPr>
          <w:p>
            <w:pPr>
              <w:spacing w:after="0"/>
              <w:rPr>
                <w:sz w:val="14"/>
                <w:szCs w:val="14"/>
                <w:color w:val="auto"/>
              </w:rPr>
            </w:pPr>
          </w:p>
        </w:tc>
        <w:tc>
          <w:tcPr>
            <w:tcW w:w="1440" w:type="dxa"/>
            <w:vAlign w:val="bottom"/>
          </w:tcPr>
          <w:p>
            <w:pPr>
              <w:jc w:val="center"/>
              <w:ind w:right="444"/>
              <w:spacing w:after="0"/>
              <w:rPr>
                <w:sz w:val="20"/>
                <w:szCs w:val="20"/>
                <w:color w:val="auto"/>
              </w:rPr>
            </w:pPr>
            <w:r>
              <w:rPr>
                <w:rFonts w:ascii="Arial" w:cs="Arial" w:eastAsia="Arial" w:hAnsi="Arial"/>
                <w:sz w:val="14"/>
                <w:szCs w:val="14"/>
                <w:b w:val="1"/>
                <w:bCs w:val="1"/>
                <w:color w:val="auto"/>
              </w:rPr>
              <w:t>other</w:t>
            </w:r>
          </w:p>
        </w:tc>
        <w:tc>
          <w:tcPr>
            <w:tcW w:w="1100" w:type="dxa"/>
            <w:vAlign w:val="bottom"/>
          </w:tcPr>
          <w:p>
            <w:pPr>
              <w:jc w:val="center"/>
              <w:ind w:right="164"/>
              <w:spacing w:after="0"/>
              <w:rPr>
                <w:sz w:val="20"/>
                <w:szCs w:val="20"/>
                <w:color w:val="auto"/>
              </w:rPr>
            </w:pPr>
            <w:r>
              <w:rPr>
                <w:rFonts w:ascii="Arial" w:cs="Arial" w:eastAsia="Arial" w:hAnsi="Arial"/>
                <w:sz w:val="14"/>
                <w:szCs w:val="14"/>
                <w:b w:val="1"/>
                <w:bCs w:val="1"/>
                <w:color w:val="auto"/>
              </w:rPr>
              <w:t>prices in</w:t>
            </w:r>
          </w:p>
        </w:tc>
        <w:tc>
          <w:tcPr>
            <w:tcW w:w="280" w:type="dxa"/>
            <w:vAlign w:val="bottom"/>
          </w:tcPr>
          <w:p>
            <w:pPr>
              <w:spacing w:after="0"/>
              <w:rPr>
                <w:sz w:val="14"/>
                <w:szCs w:val="14"/>
                <w:color w:val="auto"/>
              </w:rPr>
            </w:pPr>
          </w:p>
        </w:tc>
        <w:tc>
          <w:tcPr>
            <w:tcW w:w="1120" w:type="dxa"/>
            <w:vAlign w:val="bottom"/>
          </w:tcPr>
          <w:p>
            <w:pPr>
              <w:jc w:val="center"/>
              <w:ind w:right="124"/>
              <w:spacing w:after="0"/>
              <w:rPr>
                <w:sz w:val="20"/>
                <w:szCs w:val="20"/>
                <w:color w:val="auto"/>
              </w:rPr>
            </w:pPr>
            <w:r>
              <w:rPr>
                <w:rFonts w:ascii="Arial" w:cs="Arial" w:eastAsia="Arial" w:hAnsi="Arial"/>
                <w:sz w:val="14"/>
                <w:szCs w:val="14"/>
                <w:b w:val="1"/>
                <w:bCs w:val="1"/>
                <w:color w:val="auto"/>
              </w:rPr>
              <w:t>other</w:t>
            </w:r>
          </w:p>
        </w:tc>
      </w:tr>
      <w:tr>
        <w:trPr>
          <w:trHeight w:val="162"/>
        </w:trPr>
        <w:tc>
          <w:tcPr>
            <w:tcW w:w="5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ind w:right="164"/>
              <w:spacing w:after="0"/>
              <w:rPr>
                <w:sz w:val="20"/>
                <w:szCs w:val="20"/>
                <w:color w:val="auto"/>
              </w:rPr>
            </w:pPr>
            <w:r>
              <w:rPr>
                <w:rFonts w:ascii="Arial" w:cs="Arial" w:eastAsia="Arial" w:hAnsi="Arial"/>
                <w:sz w:val="14"/>
                <w:szCs w:val="14"/>
                <w:b w:val="1"/>
                <w:bCs w:val="1"/>
                <w:color w:val="auto"/>
              </w:rPr>
              <w:t>active</w:t>
            </w:r>
          </w:p>
        </w:tc>
        <w:tc>
          <w:tcPr>
            <w:tcW w:w="280" w:type="dxa"/>
            <w:vAlign w:val="bottom"/>
          </w:tcPr>
          <w:p>
            <w:pPr>
              <w:spacing w:after="0"/>
              <w:rPr>
                <w:sz w:val="14"/>
                <w:szCs w:val="14"/>
                <w:color w:val="auto"/>
              </w:rPr>
            </w:pPr>
          </w:p>
        </w:tc>
        <w:tc>
          <w:tcPr>
            <w:tcW w:w="1440" w:type="dxa"/>
            <w:vAlign w:val="bottom"/>
          </w:tcPr>
          <w:p>
            <w:pPr>
              <w:jc w:val="center"/>
              <w:ind w:right="444"/>
              <w:spacing w:after="0"/>
              <w:rPr>
                <w:sz w:val="20"/>
                <w:szCs w:val="20"/>
                <w:color w:val="auto"/>
              </w:rPr>
            </w:pPr>
            <w:r>
              <w:rPr>
                <w:rFonts w:ascii="Arial" w:cs="Arial" w:eastAsia="Arial" w:hAnsi="Arial"/>
                <w:sz w:val="14"/>
                <w:szCs w:val="14"/>
                <w:b w:val="1"/>
                <w:bCs w:val="1"/>
                <w:color w:val="auto"/>
              </w:rPr>
              <w:t>observable</w:t>
            </w:r>
          </w:p>
        </w:tc>
        <w:tc>
          <w:tcPr>
            <w:tcW w:w="1100" w:type="dxa"/>
            <w:vAlign w:val="bottom"/>
          </w:tcPr>
          <w:p>
            <w:pPr>
              <w:jc w:val="center"/>
              <w:ind w:right="164"/>
              <w:spacing w:after="0"/>
              <w:rPr>
                <w:sz w:val="20"/>
                <w:szCs w:val="20"/>
                <w:color w:val="auto"/>
              </w:rPr>
            </w:pPr>
            <w:r>
              <w:rPr>
                <w:rFonts w:ascii="Arial" w:cs="Arial" w:eastAsia="Arial" w:hAnsi="Arial"/>
                <w:sz w:val="14"/>
                <w:szCs w:val="14"/>
                <w:b w:val="1"/>
                <w:bCs w:val="1"/>
                <w:color w:val="auto"/>
              </w:rPr>
              <w:t>active</w:t>
            </w:r>
          </w:p>
        </w:tc>
        <w:tc>
          <w:tcPr>
            <w:tcW w:w="280" w:type="dxa"/>
            <w:vAlign w:val="bottom"/>
          </w:tcPr>
          <w:p>
            <w:pPr>
              <w:spacing w:after="0"/>
              <w:rPr>
                <w:sz w:val="14"/>
                <w:szCs w:val="14"/>
                <w:color w:val="auto"/>
              </w:rPr>
            </w:pPr>
          </w:p>
        </w:tc>
        <w:tc>
          <w:tcPr>
            <w:tcW w:w="1120" w:type="dxa"/>
            <w:vAlign w:val="bottom"/>
          </w:tcPr>
          <w:p>
            <w:pPr>
              <w:jc w:val="center"/>
              <w:ind w:right="124"/>
              <w:spacing w:after="0"/>
              <w:rPr>
                <w:sz w:val="20"/>
                <w:szCs w:val="20"/>
                <w:color w:val="auto"/>
              </w:rPr>
            </w:pPr>
            <w:r>
              <w:rPr>
                <w:rFonts w:ascii="Arial" w:cs="Arial" w:eastAsia="Arial" w:hAnsi="Arial"/>
                <w:sz w:val="14"/>
                <w:szCs w:val="14"/>
                <w:b w:val="1"/>
                <w:bCs w:val="1"/>
                <w:color w:val="auto"/>
              </w:rPr>
              <w:t>observable</w:t>
            </w:r>
          </w:p>
        </w:tc>
      </w:tr>
      <w:tr>
        <w:trPr>
          <w:trHeight w:val="190"/>
        </w:trPr>
        <w:tc>
          <w:tcPr>
            <w:tcW w:w="5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ind w:right="164"/>
              <w:spacing w:after="0"/>
              <w:rPr>
                <w:sz w:val="20"/>
                <w:szCs w:val="20"/>
                <w:color w:val="auto"/>
              </w:rPr>
            </w:pPr>
            <w:r>
              <w:rPr>
                <w:rFonts w:ascii="Arial" w:cs="Arial" w:eastAsia="Arial" w:hAnsi="Arial"/>
                <w:sz w:val="14"/>
                <w:szCs w:val="14"/>
                <w:b w:val="1"/>
                <w:bCs w:val="1"/>
                <w:color w:val="auto"/>
              </w:rPr>
              <w:t>markets</w:t>
            </w:r>
          </w:p>
        </w:tc>
        <w:tc>
          <w:tcPr>
            <w:tcW w:w="280" w:type="dxa"/>
            <w:vAlign w:val="bottom"/>
          </w:tcPr>
          <w:p>
            <w:pPr>
              <w:spacing w:after="0"/>
              <w:rPr>
                <w:sz w:val="16"/>
                <w:szCs w:val="16"/>
                <w:color w:val="auto"/>
              </w:rPr>
            </w:pPr>
          </w:p>
        </w:tc>
        <w:tc>
          <w:tcPr>
            <w:tcW w:w="1440" w:type="dxa"/>
            <w:vAlign w:val="bottom"/>
          </w:tcPr>
          <w:p>
            <w:pPr>
              <w:jc w:val="center"/>
              <w:ind w:right="444"/>
              <w:spacing w:after="0"/>
              <w:rPr>
                <w:sz w:val="20"/>
                <w:szCs w:val="20"/>
                <w:color w:val="auto"/>
              </w:rPr>
            </w:pPr>
            <w:r>
              <w:rPr>
                <w:rFonts w:ascii="Arial" w:cs="Arial" w:eastAsia="Arial" w:hAnsi="Arial"/>
                <w:sz w:val="14"/>
                <w:szCs w:val="14"/>
                <w:b w:val="1"/>
                <w:bCs w:val="1"/>
                <w:color w:val="auto"/>
              </w:rPr>
              <w:t>inputs</w:t>
            </w:r>
          </w:p>
        </w:tc>
        <w:tc>
          <w:tcPr>
            <w:tcW w:w="1100" w:type="dxa"/>
            <w:vAlign w:val="bottom"/>
          </w:tcPr>
          <w:p>
            <w:pPr>
              <w:jc w:val="center"/>
              <w:ind w:right="164"/>
              <w:spacing w:after="0"/>
              <w:rPr>
                <w:sz w:val="20"/>
                <w:szCs w:val="20"/>
                <w:color w:val="auto"/>
              </w:rPr>
            </w:pPr>
            <w:r>
              <w:rPr>
                <w:rFonts w:ascii="Arial" w:cs="Arial" w:eastAsia="Arial" w:hAnsi="Arial"/>
                <w:sz w:val="14"/>
                <w:szCs w:val="14"/>
                <w:b w:val="1"/>
                <w:bCs w:val="1"/>
                <w:color w:val="auto"/>
              </w:rPr>
              <w:t>markets</w:t>
            </w:r>
          </w:p>
        </w:tc>
        <w:tc>
          <w:tcPr>
            <w:tcW w:w="280" w:type="dxa"/>
            <w:vAlign w:val="bottom"/>
          </w:tcPr>
          <w:p>
            <w:pPr>
              <w:spacing w:after="0"/>
              <w:rPr>
                <w:sz w:val="16"/>
                <w:szCs w:val="16"/>
                <w:color w:val="auto"/>
              </w:rPr>
            </w:pPr>
          </w:p>
        </w:tc>
        <w:tc>
          <w:tcPr>
            <w:tcW w:w="1120" w:type="dxa"/>
            <w:vAlign w:val="bottom"/>
          </w:tcPr>
          <w:p>
            <w:pPr>
              <w:jc w:val="center"/>
              <w:ind w:right="124"/>
              <w:spacing w:after="0"/>
              <w:rPr>
                <w:sz w:val="20"/>
                <w:szCs w:val="20"/>
                <w:color w:val="auto"/>
              </w:rPr>
            </w:pPr>
            <w:r>
              <w:rPr>
                <w:rFonts w:ascii="Arial" w:cs="Arial" w:eastAsia="Arial" w:hAnsi="Arial"/>
                <w:sz w:val="14"/>
                <w:szCs w:val="14"/>
                <w:b w:val="1"/>
                <w:bCs w:val="1"/>
                <w:color w:val="auto"/>
              </w:rPr>
              <w:t>inputs</w:t>
            </w:r>
          </w:p>
        </w:tc>
      </w:tr>
      <w:tr>
        <w:trPr>
          <w:trHeight w:val="222"/>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464"/>
              <w:spacing w:after="0"/>
              <w:rPr>
                <w:sz w:val="20"/>
                <w:szCs w:val="20"/>
                <w:color w:val="auto"/>
              </w:rPr>
            </w:pPr>
            <w:r>
              <w:rPr>
                <w:rFonts w:ascii="Arial" w:cs="Arial" w:eastAsia="Arial" w:hAnsi="Arial"/>
                <w:sz w:val="14"/>
                <w:szCs w:val="14"/>
                <w:b w:val="1"/>
                <w:bCs w:val="1"/>
                <w:color w:val="auto"/>
              </w:rPr>
              <w:t>(Level 2)</w:t>
            </w:r>
          </w:p>
        </w:tc>
        <w:tc>
          <w:tcPr>
            <w:tcW w:w="110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(Level 2)</w:t>
            </w:r>
          </w:p>
        </w:tc>
      </w:tr>
      <w:tr>
        <w:trPr>
          <w:trHeight w:val="215"/>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Fair Value</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3"/>
        </w:trPr>
        <w:tc>
          <w:tcPr>
            <w:tcW w:w="5680" w:type="dxa"/>
            <w:vAlign w:val="bottom"/>
          </w:tcPr>
          <w:p>
            <w:pPr>
              <w:ind w:left="20"/>
              <w:spacing w:after="0"/>
              <w:rPr>
                <w:sz w:val="20"/>
                <w:szCs w:val="20"/>
                <w:color w:val="auto"/>
              </w:rPr>
            </w:pPr>
            <w:r>
              <w:rPr>
                <w:rFonts w:ascii="Arial" w:cs="Arial" w:eastAsia="Arial" w:hAnsi="Arial"/>
                <w:sz w:val="16"/>
                <w:szCs w:val="16"/>
                <w:i w:val="1"/>
                <w:iCs w:val="1"/>
                <w:color w:val="auto"/>
              </w:rPr>
              <w:t>Assets:</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6"/>
        </w:trPr>
        <w:tc>
          <w:tcPr>
            <w:tcW w:w="5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equivalents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32,878</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  $</w:t>
            </w:r>
          </w:p>
        </w:tc>
        <w:tc>
          <w:tcPr>
            <w:tcW w:w="11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17,508</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ind w:left="880"/>
              <w:spacing w:after="0"/>
              <w:rPr>
                <w:sz w:val="20"/>
                <w:szCs w:val="20"/>
                <w:color w:val="auto"/>
              </w:rPr>
            </w:pPr>
            <w:r>
              <w:rPr>
                <w:rFonts w:ascii="Arial" w:cs="Arial" w:eastAsia="Arial" w:hAnsi="Arial"/>
                <w:sz w:val="16"/>
                <w:szCs w:val="16"/>
                <w:color w:val="auto"/>
              </w:rPr>
              <w:t>—</w:t>
            </w:r>
          </w:p>
        </w:tc>
      </w:tr>
      <w:tr>
        <w:trPr>
          <w:trHeight w:val="233"/>
        </w:trPr>
        <w:tc>
          <w:tcPr>
            <w:tcW w:w="5680" w:type="dxa"/>
            <w:vAlign w:val="bottom"/>
          </w:tcPr>
          <w:p>
            <w:pPr>
              <w:ind w:left="140"/>
              <w:spacing w:after="0"/>
              <w:rPr>
                <w:sz w:val="20"/>
                <w:szCs w:val="20"/>
                <w:color w:val="auto"/>
              </w:rPr>
            </w:pPr>
            <w:r>
              <w:rPr>
                <w:rFonts w:ascii="Arial" w:cs="Arial" w:eastAsia="Arial" w:hAnsi="Arial"/>
                <w:sz w:val="16"/>
                <w:szCs w:val="16"/>
                <w:i w:val="1"/>
                <w:iCs w:val="1"/>
                <w:color w:val="auto"/>
              </w:rPr>
              <w:t>Other Assets:</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0"/>
        </w:trPr>
        <w:tc>
          <w:tcPr>
            <w:tcW w:w="5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 of unaffiliated foreign public company (a)</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741</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24"/>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748</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ind w:left="880"/>
              <w:spacing w:after="0"/>
              <w:rPr>
                <w:sz w:val="20"/>
                <w:szCs w:val="20"/>
                <w:color w:val="auto"/>
              </w:rPr>
            </w:pPr>
            <w:r>
              <w:rPr>
                <w:rFonts w:ascii="Arial" w:cs="Arial" w:eastAsia="Arial" w:hAnsi="Arial"/>
                <w:sz w:val="16"/>
                <w:szCs w:val="16"/>
                <w:color w:val="auto"/>
              </w:rPr>
              <w:t>—</w:t>
            </w:r>
          </w:p>
        </w:tc>
      </w:tr>
      <w:tr>
        <w:trPr>
          <w:trHeight w:val="222"/>
        </w:trPr>
        <w:tc>
          <w:tcPr>
            <w:tcW w:w="5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rate swaps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24"/>
              <w:spacing w:after="0"/>
              <w:rPr>
                <w:sz w:val="20"/>
                <w:szCs w:val="20"/>
                <w:color w:val="auto"/>
              </w:rPr>
            </w:pPr>
            <w:r>
              <w:rPr>
                <w:rFonts w:ascii="Arial" w:cs="Arial" w:eastAsia="Arial" w:hAnsi="Arial"/>
                <w:sz w:val="16"/>
                <w:szCs w:val="16"/>
                <w:color w:val="auto"/>
              </w:rPr>
              <w:t>174</w:t>
            </w:r>
          </w:p>
        </w:tc>
        <w:tc>
          <w:tcPr>
            <w:tcW w:w="11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ind w:left="880"/>
              <w:spacing w:after="0"/>
              <w:rPr>
                <w:sz w:val="20"/>
                <w:szCs w:val="20"/>
                <w:color w:val="auto"/>
              </w:rPr>
            </w:pPr>
            <w:r>
              <w:rPr>
                <w:rFonts w:ascii="Arial" w:cs="Arial" w:eastAsia="Arial" w:hAnsi="Arial"/>
                <w:sz w:val="16"/>
                <w:szCs w:val="16"/>
                <w:color w:val="auto"/>
              </w:rPr>
              <w:t>—</w:t>
            </w:r>
          </w:p>
        </w:tc>
      </w:tr>
      <w:tr>
        <w:trPr>
          <w:trHeight w:val="213"/>
        </w:trPr>
        <w:tc>
          <w:tcPr>
            <w:tcW w:w="5680" w:type="dxa"/>
            <w:vAlign w:val="bottom"/>
          </w:tcPr>
          <w:p>
            <w:pPr>
              <w:ind w:left="20"/>
              <w:spacing w:after="0"/>
              <w:rPr>
                <w:sz w:val="20"/>
                <w:szCs w:val="20"/>
                <w:color w:val="auto"/>
              </w:rPr>
            </w:pPr>
            <w:r>
              <w:rPr>
                <w:rFonts w:ascii="Arial" w:cs="Arial" w:eastAsia="Arial" w:hAnsi="Arial"/>
                <w:sz w:val="16"/>
                <w:szCs w:val="16"/>
                <w:i w:val="1"/>
                <w:iCs w:val="1"/>
                <w:color w:val="auto"/>
              </w:rPr>
              <w:t>Liabilities: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568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Other noncurrent liabilities: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56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Interest rate swaps</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84"/>
              <w:spacing w:after="0"/>
              <w:rPr>
                <w:sz w:val="20"/>
                <w:szCs w:val="20"/>
                <w:color w:val="auto"/>
              </w:rPr>
            </w:pPr>
            <w:r>
              <w:rPr>
                <w:rFonts w:ascii="Arial" w:cs="Arial" w:eastAsia="Arial" w:hAnsi="Arial"/>
                <w:sz w:val="16"/>
                <w:szCs w:val="16"/>
                <w:color w:val="auto"/>
              </w:rPr>
              <w:t>(7,622)</w:t>
            </w: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(12,714)</w:t>
            </w:r>
          </w:p>
        </w:tc>
      </w:tr>
    </w:tbl>
    <w:p>
      <w:pPr>
        <w:spacing w:after="0" w:line="80" w:lineRule="exact"/>
        <w:rPr>
          <w:sz w:val="20"/>
          <w:szCs w:val="20"/>
          <w:color w:val="auto"/>
        </w:rPr>
      </w:pPr>
    </w:p>
    <w:p>
      <w:pPr>
        <w:ind w:left="640" w:hanging="63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Original cost basis $0.5 million.</w:t>
      </w:r>
    </w:p>
    <w:p>
      <w:pPr>
        <w:spacing w:after="0" w:line="252"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Cash equivalents include short-term securities that are considered to be highly liquid and easily tradable. These securities are valued using inputs observable in active markets for identical securities.</w:t>
      </w:r>
    </w:p>
    <w:p>
      <w:pPr>
        <w:spacing w:after="0" w:line="9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interest rate swaps are accounted for as hedges of future cash flows. The fair value of our interest rate swaps are derived from a discounted cash flow analysis based on the terms of the contract and the interest rate curve, and is included in Other assets and/or Other noncurrent liabilities in the Consolidated Balance Sheets. Unrealized gains and losses on the swaps flow through the caption Derivative valuation adjustment in the Shareholders’ equity section of the Consolidated Balance Sheets. As of September 30, 2021, these interest rate swaps were determined to be highly effective hedges of interest rate cash flow risk. Amounts accumulated in Other comprehensive income are reclassified as Interest expense, net when the related interest payments (that is, the hedged forecasted transactions), and amortization related to the swap buyouts, affect earnings. Interest (income)/expense related to payments under the active swap agreements totaled $5.3 million for the nine month period ended September 30, 2021, and $3.7 million for the nine month period ended September 30, 2020. Additionally, non-cash interest income related to the amortization of swap buyouts totaled $0.3 million for the nine month period ended September 30, 2021 and $0.9 million for the nine month period ended September 30, 2020.</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9" w:name="page20"/>
    <w:bookmarkEnd w:id="1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9560" w:firstLine="8"/>
        <w:spacing w:after="0" w:line="388" w:lineRule="auto"/>
        <w:tabs>
          <w:tab w:leader="none" w:pos="30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Contingencies </w:t>
      </w:r>
      <w:r>
        <w:rPr>
          <w:rFonts w:ascii="Arial" w:cs="Arial" w:eastAsia="Arial" w:hAnsi="Arial"/>
          <w:sz w:val="18"/>
          <w:szCs w:val="18"/>
          <w:b w:val="1"/>
          <w:bCs w:val="1"/>
          <w:color w:val="auto"/>
        </w:rPr>
        <w:t>Asbestos Litigation</w:t>
      </w:r>
    </w:p>
    <w:p>
      <w:pPr>
        <w:spacing w:after="0" w:line="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Albany International Corp. is a defendant in suits brought in various courts in the United States by plaintiffs who allege that they have suffered personal injury as a result of exposure to asbestos-containing paper machine clothing synthetic dryer fabrics marketed during the period from 1967 to 1976 and used in certain paper mills.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were defending 3,625 claims as of September 30, 2021.</w:t>
      </w:r>
    </w:p>
    <w:p>
      <w:pPr>
        <w:spacing w:after="0" w:line="117"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0628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0" w:type="dxa"/>
            <w:vAlign w:val="bottom"/>
          </w:tcPr>
          <w:p>
            <w:pPr>
              <w:jc w:val="center"/>
              <w:ind w:left="128"/>
              <w:spacing w:after="0"/>
              <w:rPr>
                <w:sz w:val="20"/>
                <w:szCs w:val="20"/>
                <w:color w:val="auto"/>
              </w:rPr>
            </w:pPr>
            <w:r>
              <w:rPr>
                <w:rFonts w:ascii="Arial" w:cs="Arial" w:eastAsia="Arial" w:hAnsi="Arial"/>
                <w:sz w:val="14"/>
                <w:szCs w:val="14"/>
                <w:b w:val="1"/>
                <w:bCs w:val="1"/>
                <w:color w:val="auto"/>
              </w:rPr>
              <w:t>Claims</w:t>
            </w:r>
          </w:p>
        </w:tc>
        <w:tc>
          <w:tcPr>
            <w:tcW w:w="1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center"/>
              <w:ind w:right="103"/>
              <w:spacing w:after="0"/>
              <w:rPr>
                <w:sz w:val="20"/>
                <w:szCs w:val="20"/>
                <w:color w:val="auto"/>
              </w:rPr>
            </w:pPr>
            <w:r>
              <w:rPr>
                <w:rFonts w:ascii="Arial" w:cs="Arial" w:eastAsia="Arial" w:hAnsi="Arial"/>
                <w:sz w:val="14"/>
                <w:szCs w:val="14"/>
                <w:b w:val="1"/>
                <w:bCs w:val="1"/>
                <w:color w:val="auto"/>
              </w:rPr>
              <w:t>Amounts Paid</w:t>
            </w:r>
          </w:p>
        </w:tc>
      </w:tr>
      <w:tr>
        <w:trPr>
          <w:trHeight w:val="162"/>
        </w:trPr>
        <w:tc>
          <w:tcPr>
            <w:tcW w:w="3060" w:type="dxa"/>
            <w:vAlign w:val="bottom"/>
          </w:tcPr>
          <w:p>
            <w:pPr>
              <w:spacing w:after="0"/>
              <w:rPr>
                <w:sz w:val="14"/>
                <w:szCs w:val="14"/>
                <w:color w:val="auto"/>
              </w:rPr>
            </w:pPr>
          </w:p>
        </w:tc>
        <w:tc>
          <w:tcPr>
            <w:tcW w:w="2280" w:type="dxa"/>
            <w:vAlign w:val="bottom"/>
          </w:tcPr>
          <w:p>
            <w:pPr>
              <w:jc w:val="center"/>
              <w:ind w:left="422"/>
              <w:spacing w:after="0"/>
              <w:rPr>
                <w:sz w:val="20"/>
                <w:szCs w:val="20"/>
                <w:color w:val="auto"/>
              </w:rPr>
            </w:pPr>
            <w:r>
              <w:rPr>
                <w:rFonts w:ascii="Arial" w:cs="Arial" w:eastAsia="Arial" w:hAnsi="Arial"/>
                <w:sz w:val="14"/>
                <w:szCs w:val="14"/>
                <w:b w:val="1"/>
                <w:bCs w:val="1"/>
                <w:color w:val="auto"/>
              </w:rPr>
              <w:t>Opening</w:t>
            </w:r>
          </w:p>
        </w:tc>
        <w:tc>
          <w:tcPr>
            <w:tcW w:w="1000" w:type="dxa"/>
            <w:vAlign w:val="bottom"/>
          </w:tcPr>
          <w:p>
            <w:pPr>
              <w:jc w:val="center"/>
              <w:ind w:left="128"/>
              <w:spacing w:after="0"/>
              <w:rPr>
                <w:sz w:val="20"/>
                <w:szCs w:val="20"/>
                <w:color w:val="auto"/>
              </w:rPr>
            </w:pPr>
            <w:r>
              <w:rPr>
                <w:rFonts w:ascii="Arial" w:cs="Arial" w:eastAsia="Arial" w:hAnsi="Arial"/>
                <w:sz w:val="14"/>
                <w:szCs w:val="14"/>
                <w:b w:val="1"/>
                <w:bCs w:val="1"/>
                <w:color w:val="auto"/>
              </w:rPr>
              <w:t>Dismissed,</w:t>
            </w:r>
          </w:p>
        </w:tc>
        <w:tc>
          <w:tcPr>
            <w:tcW w:w="1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20" w:type="dxa"/>
            <w:vAlign w:val="bottom"/>
          </w:tcPr>
          <w:p>
            <w:pPr>
              <w:jc w:val="center"/>
              <w:ind w:right="42"/>
              <w:spacing w:after="0"/>
              <w:rPr>
                <w:sz w:val="20"/>
                <w:szCs w:val="20"/>
                <w:color w:val="auto"/>
              </w:rPr>
            </w:pPr>
            <w:r>
              <w:rPr>
                <w:rFonts w:ascii="Arial" w:cs="Arial" w:eastAsia="Arial" w:hAnsi="Arial"/>
                <w:sz w:val="14"/>
                <w:szCs w:val="14"/>
                <w:b w:val="1"/>
                <w:bCs w:val="1"/>
                <w:color w:val="auto"/>
              </w:rPr>
              <w:t>Closing</w:t>
            </w:r>
          </w:p>
        </w:tc>
        <w:tc>
          <w:tcPr>
            <w:tcW w:w="200" w:type="dxa"/>
            <w:vAlign w:val="bottom"/>
          </w:tcPr>
          <w:p>
            <w:pPr>
              <w:spacing w:after="0"/>
              <w:rPr>
                <w:sz w:val="14"/>
                <w:szCs w:val="14"/>
                <w:color w:val="auto"/>
              </w:rPr>
            </w:pPr>
          </w:p>
        </w:tc>
        <w:tc>
          <w:tcPr>
            <w:tcW w:w="1340" w:type="dxa"/>
            <w:vAlign w:val="bottom"/>
          </w:tcPr>
          <w:p>
            <w:pPr>
              <w:jc w:val="center"/>
              <w:ind w:right="103"/>
              <w:spacing w:after="0"/>
              <w:rPr>
                <w:sz w:val="20"/>
                <w:szCs w:val="20"/>
                <w:color w:val="auto"/>
              </w:rPr>
            </w:pPr>
            <w:r>
              <w:rPr>
                <w:rFonts w:ascii="Arial" w:cs="Arial" w:eastAsia="Arial" w:hAnsi="Arial"/>
                <w:sz w:val="14"/>
                <w:szCs w:val="14"/>
                <w:b w:val="1"/>
                <w:bCs w:val="1"/>
                <w:color w:val="auto"/>
              </w:rPr>
              <w:t>(thousands) to</w:t>
            </w:r>
          </w:p>
        </w:tc>
      </w:tr>
      <w:tr>
        <w:trPr>
          <w:trHeight w:val="162"/>
        </w:trPr>
        <w:tc>
          <w:tcPr>
            <w:tcW w:w="3060" w:type="dxa"/>
            <w:vAlign w:val="bottom"/>
          </w:tcPr>
          <w:p>
            <w:pPr>
              <w:spacing w:after="0"/>
              <w:rPr>
                <w:sz w:val="14"/>
                <w:szCs w:val="14"/>
                <w:color w:val="auto"/>
              </w:rPr>
            </w:pPr>
          </w:p>
        </w:tc>
        <w:tc>
          <w:tcPr>
            <w:tcW w:w="2280" w:type="dxa"/>
            <w:vAlign w:val="bottom"/>
          </w:tcPr>
          <w:p>
            <w:pPr>
              <w:jc w:val="center"/>
              <w:ind w:left="402"/>
              <w:spacing w:after="0"/>
              <w:rPr>
                <w:sz w:val="20"/>
                <w:szCs w:val="20"/>
                <w:color w:val="auto"/>
              </w:rPr>
            </w:pPr>
            <w:r>
              <w:rPr>
                <w:rFonts w:ascii="Arial" w:cs="Arial" w:eastAsia="Arial" w:hAnsi="Arial"/>
                <w:sz w:val="14"/>
                <w:szCs w:val="14"/>
                <w:b w:val="1"/>
                <w:bCs w:val="1"/>
                <w:color w:val="auto"/>
              </w:rPr>
              <w:t>Number of</w:t>
            </w:r>
          </w:p>
        </w:tc>
        <w:tc>
          <w:tcPr>
            <w:tcW w:w="1000" w:type="dxa"/>
            <w:vAlign w:val="bottom"/>
          </w:tcPr>
          <w:p>
            <w:pPr>
              <w:jc w:val="center"/>
              <w:ind w:left="128"/>
              <w:spacing w:after="0"/>
              <w:rPr>
                <w:sz w:val="20"/>
                <w:szCs w:val="20"/>
                <w:color w:val="auto"/>
              </w:rPr>
            </w:pPr>
            <w:r>
              <w:rPr>
                <w:rFonts w:ascii="Arial" w:cs="Arial" w:eastAsia="Arial" w:hAnsi="Arial"/>
                <w:sz w:val="14"/>
                <w:szCs w:val="14"/>
                <w:b w:val="1"/>
                <w:bCs w:val="1"/>
                <w:color w:val="auto"/>
              </w:rPr>
              <w:t>Settled, or</w:t>
            </w:r>
          </w:p>
        </w:tc>
        <w:tc>
          <w:tcPr>
            <w:tcW w:w="1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20" w:type="dxa"/>
            <w:vAlign w:val="bottom"/>
          </w:tcPr>
          <w:p>
            <w:pPr>
              <w:jc w:val="center"/>
              <w:ind w:right="42"/>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4"/>
                <w:szCs w:val="14"/>
                <w:color w:val="auto"/>
              </w:rPr>
            </w:pPr>
          </w:p>
        </w:tc>
        <w:tc>
          <w:tcPr>
            <w:tcW w:w="1340" w:type="dxa"/>
            <w:vAlign w:val="bottom"/>
          </w:tcPr>
          <w:p>
            <w:pPr>
              <w:jc w:val="center"/>
              <w:ind w:right="83"/>
              <w:spacing w:after="0"/>
              <w:rPr>
                <w:sz w:val="20"/>
                <w:szCs w:val="20"/>
                <w:color w:val="auto"/>
              </w:rPr>
            </w:pPr>
            <w:r>
              <w:rPr>
                <w:rFonts w:ascii="Arial" w:cs="Arial" w:eastAsia="Arial" w:hAnsi="Arial"/>
                <w:sz w:val="14"/>
                <w:szCs w:val="14"/>
                <w:b w:val="1"/>
                <w:bCs w:val="1"/>
                <w:color w:val="auto"/>
              </w:rPr>
              <w:t>Settle or</w:t>
            </w:r>
          </w:p>
        </w:tc>
      </w:tr>
      <w:tr>
        <w:trPr>
          <w:trHeight w:val="202"/>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2280" w:type="dxa"/>
            <w:vAlign w:val="bottom"/>
            <w:tcBorders>
              <w:bottom w:val="single" w:sz="8" w:color="auto"/>
            </w:tcBorders>
          </w:tcPr>
          <w:p>
            <w:pPr>
              <w:jc w:val="center"/>
              <w:ind w:left="402"/>
              <w:spacing w:after="0"/>
              <w:rPr>
                <w:sz w:val="20"/>
                <w:szCs w:val="20"/>
                <w:color w:val="auto"/>
              </w:rPr>
            </w:pPr>
            <w:r>
              <w:rPr>
                <w:rFonts w:ascii="Arial" w:cs="Arial" w:eastAsia="Arial" w:hAnsi="Arial"/>
                <w:sz w:val="14"/>
                <w:szCs w:val="14"/>
                <w:b w:val="1"/>
                <w:bCs w:val="1"/>
                <w:color w:val="auto"/>
              </w:rPr>
              <w:t>Claims</w:t>
            </w:r>
          </w:p>
        </w:tc>
        <w:tc>
          <w:tcPr>
            <w:tcW w:w="100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rPr>
              <w:t>Resolved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New Claims</w:t>
            </w:r>
          </w:p>
        </w:tc>
        <w:tc>
          <w:tcPr>
            <w:tcW w:w="5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Claims</w:t>
            </w: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rPr>
              <w:t>Resolve</w:t>
            </w:r>
          </w:p>
        </w:tc>
      </w:tr>
      <w:tr>
        <w:trPr>
          <w:trHeight w:val="209"/>
        </w:trPr>
        <w:tc>
          <w:tcPr>
            <w:tcW w:w="3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2016</w:t>
            </w:r>
          </w:p>
        </w:tc>
        <w:tc>
          <w:tcPr>
            <w:tcW w:w="228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3,791</w:t>
            </w:r>
          </w:p>
        </w:tc>
        <w:tc>
          <w:tcPr>
            <w:tcW w:w="10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140"/>
              <w:spacing w:after="0"/>
              <w:rPr>
                <w:sz w:val="20"/>
                <w:szCs w:val="20"/>
                <w:color w:val="auto"/>
              </w:rPr>
            </w:pPr>
            <w:r>
              <w:rPr>
                <w:rFonts w:ascii="Arial" w:cs="Arial" w:eastAsia="Arial" w:hAnsi="Arial"/>
                <w:sz w:val="16"/>
                <w:szCs w:val="16"/>
                <w:color w:val="auto"/>
                <w:w w:val="97"/>
              </w:rPr>
              <w:t>148</w:t>
            </w:r>
          </w:p>
        </w:tc>
        <w:tc>
          <w:tcPr>
            <w:tcW w:w="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97"/>
              </w:rPr>
              <w:t>102</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758</w:t>
            </w:r>
          </w:p>
        </w:tc>
      </w:tr>
      <w:tr>
        <w:trPr>
          <w:trHeight w:val="213"/>
        </w:trPr>
        <w:tc>
          <w:tcPr>
            <w:tcW w:w="3060" w:type="dxa"/>
            <w:vAlign w:val="bottom"/>
          </w:tcPr>
          <w:p>
            <w:pPr>
              <w:ind w:left="20"/>
              <w:spacing w:after="0"/>
              <w:rPr>
                <w:sz w:val="20"/>
                <w:szCs w:val="20"/>
                <w:color w:val="auto"/>
              </w:rPr>
            </w:pPr>
            <w:r>
              <w:rPr>
                <w:rFonts w:ascii="Arial" w:cs="Arial" w:eastAsia="Arial" w:hAnsi="Arial"/>
                <w:sz w:val="16"/>
                <w:szCs w:val="16"/>
                <w:color w:val="auto"/>
              </w:rPr>
              <w:t>2017</w:t>
            </w:r>
          </w:p>
        </w:tc>
        <w:tc>
          <w:tcPr>
            <w:tcW w:w="2280" w:type="dxa"/>
            <w:vAlign w:val="bottom"/>
          </w:tcPr>
          <w:p>
            <w:pPr>
              <w:jc w:val="right"/>
              <w:ind w:right="142"/>
              <w:spacing w:after="0"/>
              <w:rPr>
                <w:sz w:val="20"/>
                <w:szCs w:val="20"/>
                <w:color w:val="auto"/>
              </w:rPr>
            </w:pPr>
            <w:r>
              <w:rPr>
                <w:rFonts w:ascii="Arial" w:cs="Arial" w:eastAsia="Arial" w:hAnsi="Arial"/>
                <w:sz w:val="16"/>
                <w:szCs w:val="16"/>
                <w:color w:val="auto"/>
              </w:rPr>
              <w:t>3,745</w:t>
            </w:r>
          </w:p>
        </w:tc>
        <w:tc>
          <w:tcPr>
            <w:tcW w:w="1000" w:type="dxa"/>
            <w:vAlign w:val="bottom"/>
          </w:tcPr>
          <w:p>
            <w:pPr>
              <w:spacing w:after="0"/>
              <w:rPr>
                <w:sz w:val="18"/>
                <w:szCs w:val="18"/>
                <w:color w:val="auto"/>
              </w:rPr>
            </w:pPr>
          </w:p>
        </w:tc>
        <w:tc>
          <w:tcPr>
            <w:tcW w:w="1500" w:type="dxa"/>
            <w:vAlign w:val="bottom"/>
          </w:tcPr>
          <w:p>
            <w:pPr>
              <w:jc w:val="right"/>
              <w:ind w:right="1140"/>
              <w:spacing w:after="0"/>
              <w:rPr>
                <w:sz w:val="20"/>
                <w:szCs w:val="20"/>
                <w:color w:val="auto"/>
              </w:rPr>
            </w:pPr>
            <w:r>
              <w:rPr>
                <w:rFonts w:ascii="Arial" w:cs="Arial" w:eastAsia="Arial" w:hAnsi="Arial"/>
                <w:sz w:val="16"/>
                <w:szCs w:val="16"/>
                <w:color w:val="auto"/>
                <w:w w:val="97"/>
              </w:rPr>
              <w:t>105</w:t>
            </w:r>
          </w:p>
        </w:tc>
        <w:tc>
          <w:tcPr>
            <w:tcW w:w="500" w:type="dxa"/>
            <w:vAlign w:val="bottom"/>
          </w:tcPr>
          <w:p>
            <w:pPr>
              <w:jc w:val="right"/>
              <w:ind w:right="139"/>
              <w:spacing w:after="0"/>
              <w:rPr>
                <w:sz w:val="20"/>
                <w:szCs w:val="20"/>
                <w:color w:val="auto"/>
              </w:rPr>
            </w:pPr>
            <w:r>
              <w:rPr>
                <w:rFonts w:ascii="Arial" w:cs="Arial" w:eastAsia="Arial" w:hAnsi="Arial"/>
                <w:sz w:val="16"/>
                <w:szCs w:val="16"/>
                <w:color w:val="auto"/>
              </w:rPr>
              <w:t>90</w:t>
            </w:r>
          </w:p>
        </w:tc>
        <w:tc>
          <w:tcPr>
            <w:tcW w:w="1320" w:type="dxa"/>
            <w:vAlign w:val="bottom"/>
          </w:tcPr>
          <w:p>
            <w:pPr>
              <w:jc w:val="right"/>
              <w:spacing w:after="0"/>
              <w:rPr>
                <w:sz w:val="20"/>
                <w:szCs w:val="20"/>
                <w:color w:val="auto"/>
              </w:rPr>
            </w:pPr>
            <w:r>
              <w:rPr>
                <w:rFonts w:ascii="Arial" w:cs="Arial" w:eastAsia="Arial" w:hAnsi="Arial"/>
                <w:sz w:val="16"/>
                <w:szCs w:val="16"/>
                <w:color w:val="auto"/>
              </w:rPr>
              <w:t>3,730</w:t>
            </w:r>
          </w:p>
        </w:tc>
        <w:tc>
          <w:tcPr>
            <w:tcW w:w="200" w:type="dxa"/>
            <w:vAlign w:val="bottom"/>
          </w:tcPr>
          <w:p>
            <w:pPr>
              <w:spacing w:after="0"/>
              <w:rPr>
                <w:sz w:val="18"/>
                <w:szCs w:val="18"/>
                <w:color w:val="auto"/>
              </w:rPr>
            </w:pPr>
          </w:p>
        </w:tc>
        <w:tc>
          <w:tcPr>
            <w:tcW w:w="1340" w:type="dxa"/>
            <w:vAlign w:val="bottom"/>
          </w:tcPr>
          <w:p>
            <w:pPr>
              <w:jc w:val="right"/>
              <w:ind w:right="3"/>
              <w:spacing w:after="0"/>
              <w:rPr>
                <w:sz w:val="20"/>
                <w:szCs w:val="20"/>
                <w:color w:val="auto"/>
              </w:rPr>
            </w:pPr>
            <w:r>
              <w:rPr>
                <w:rFonts w:ascii="Arial" w:cs="Arial" w:eastAsia="Arial" w:hAnsi="Arial"/>
                <w:sz w:val="16"/>
                <w:szCs w:val="16"/>
                <w:color w:val="auto"/>
              </w:rPr>
              <w:t>55</w:t>
            </w:r>
          </w:p>
        </w:tc>
      </w:tr>
      <w:tr>
        <w:trPr>
          <w:trHeight w:val="219"/>
        </w:trPr>
        <w:tc>
          <w:tcPr>
            <w:tcW w:w="3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2018</w:t>
            </w:r>
          </w:p>
        </w:tc>
        <w:tc>
          <w:tcPr>
            <w:tcW w:w="228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3,730</w:t>
            </w:r>
          </w:p>
        </w:tc>
        <w:tc>
          <w:tcPr>
            <w:tcW w:w="10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40"/>
              <w:spacing w:after="0"/>
              <w:rPr>
                <w:sz w:val="20"/>
                <w:szCs w:val="20"/>
                <w:color w:val="auto"/>
              </w:rPr>
            </w:pPr>
            <w:r>
              <w:rPr>
                <w:rFonts w:ascii="Arial" w:cs="Arial" w:eastAsia="Arial" w:hAnsi="Arial"/>
                <w:sz w:val="16"/>
                <w:szCs w:val="16"/>
                <w:color w:val="auto"/>
                <w:w w:val="97"/>
              </w:rPr>
              <w:t>152</w:t>
            </w:r>
          </w:p>
        </w:tc>
        <w:tc>
          <w:tcPr>
            <w:tcW w:w="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97"/>
              </w:rPr>
              <w:t>106</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3,684</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100</w:t>
            </w:r>
          </w:p>
        </w:tc>
      </w:tr>
      <w:tr>
        <w:trPr>
          <w:trHeight w:val="213"/>
        </w:trPr>
        <w:tc>
          <w:tcPr>
            <w:tcW w:w="3060" w:type="dxa"/>
            <w:vAlign w:val="bottom"/>
          </w:tcPr>
          <w:p>
            <w:pPr>
              <w:ind w:left="20"/>
              <w:spacing w:after="0"/>
              <w:rPr>
                <w:sz w:val="20"/>
                <w:szCs w:val="20"/>
                <w:color w:val="auto"/>
              </w:rPr>
            </w:pPr>
            <w:r>
              <w:rPr>
                <w:rFonts w:ascii="Arial" w:cs="Arial" w:eastAsia="Arial" w:hAnsi="Arial"/>
                <w:sz w:val="16"/>
                <w:szCs w:val="16"/>
                <w:color w:val="auto"/>
              </w:rPr>
              <w:t>2019</w:t>
            </w:r>
          </w:p>
        </w:tc>
        <w:tc>
          <w:tcPr>
            <w:tcW w:w="2280" w:type="dxa"/>
            <w:vAlign w:val="bottom"/>
          </w:tcPr>
          <w:p>
            <w:pPr>
              <w:jc w:val="right"/>
              <w:ind w:right="142"/>
              <w:spacing w:after="0"/>
              <w:rPr>
                <w:sz w:val="20"/>
                <w:szCs w:val="20"/>
                <w:color w:val="auto"/>
              </w:rPr>
            </w:pPr>
            <w:r>
              <w:rPr>
                <w:rFonts w:ascii="Arial" w:cs="Arial" w:eastAsia="Arial" w:hAnsi="Arial"/>
                <w:sz w:val="16"/>
                <w:szCs w:val="16"/>
                <w:color w:val="auto"/>
              </w:rPr>
              <w:t>3,684</w:t>
            </w:r>
          </w:p>
        </w:tc>
        <w:tc>
          <w:tcPr>
            <w:tcW w:w="1000" w:type="dxa"/>
            <w:vAlign w:val="bottom"/>
          </w:tcPr>
          <w:p>
            <w:pPr>
              <w:spacing w:after="0"/>
              <w:rPr>
                <w:sz w:val="18"/>
                <w:szCs w:val="18"/>
                <w:color w:val="auto"/>
              </w:rPr>
            </w:pPr>
          </w:p>
        </w:tc>
        <w:tc>
          <w:tcPr>
            <w:tcW w:w="1500" w:type="dxa"/>
            <w:vAlign w:val="bottom"/>
          </w:tcPr>
          <w:p>
            <w:pPr>
              <w:jc w:val="right"/>
              <w:ind w:right="1140"/>
              <w:spacing w:after="0"/>
              <w:rPr>
                <w:sz w:val="20"/>
                <w:szCs w:val="20"/>
                <w:color w:val="auto"/>
              </w:rPr>
            </w:pPr>
            <w:r>
              <w:rPr>
                <w:rFonts w:ascii="Arial" w:cs="Arial" w:eastAsia="Arial" w:hAnsi="Arial"/>
                <w:sz w:val="16"/>
                <w:szCs w:val="16"/>
                <w:color w:val="auto"/>
              </w:rPr>
              <w:t>51</w:t>
            </w:r>
          </w:p>
        </w:tc>
        <w:tc>
          <w:tcPr>
            <w:tcW w:w="500" w:type="dxa"/>
            <w:vAlign w:val="bottom"/>
          </w:tcPr>
          <w:p>
            <w:pPr>
              <w:jc w:val="right"/>
              <w:ind w:right="139"/>
              <w:spacing w:after="0"/>
              <w:rPr>
                <w:sz w:val="20"/>
                <w:szCs w:val="20"/>
                <w:color w:val="auto"/>
              </w:rPr>
            </w:pPr>
            <w:r>
              <w:rPr>
                <w:rFonts w:ascii="Arial" w:cs="Arial" w:eastAsia="Arial" w:hAnsi="Arial"/>
                <w:sz w:val="16"/>
                <w:szCs w:val="16"/>
                <w:color w:val="auto"/>
              </w:rPr>
              <w:t>75</w:t>
            </w:r>
          </w:p>
        </w:tc>
        <w:tc>
          <w:tcPr>
            <w:tcW w:w="1320" w:type="dxa"/>
            <w:vAlign w:val="bottom"/>
          </w:tcPr>
          <w:p>
            <w:pPr>
              <w:jc w:val="right"/>
              <w:spacing w:after="0"/>
              <w:rPr>
                <w:sz w:val="20"/>
                <w:szCs w:val="20"/>
                <w:color w:val="auto"/>
              </w:rPr>
            </w:pPr>
            <w:r>
              <w:rPr>
                <w:rFonts w:ascii="Arial" w:cs="Arial" w:eastAsia="Arial" w:hAnsi="Arial"/>
                <w:sz w:val="16"/>
                <w:szCs w:val="16"/>
                <w:color w:val="auto"/>
              </w:rPr>
              <w:t>3,708</w:t>
            </w:r>
          </w:p>
        </w:tc>
        <w:tc>
          <w:tcPr>
            <w:tcW w:w="200" w:type="dxa"/>
            <w:vAlign w:val="bottom"/>
          </w:tcPr>
          <w:p>
            <w:pPr>
              <w:spacing w:after="0"/>
              <w:rPr>
                <w:sz w:val="18"/>
                <w:szCs w:val="18"/>
                <w:color w:val="auto"/>
              </w:rPr>
            </w:pPr>
          </w:p>
        </w:tc>
        <w:tc>
          <w:tcPr>
            <w:tcW w:w="1340" w:type="dxa"/>
            <w:vAlign w:val="bottom"/>
          </w:tcPr>
          <w:p>
            <w:pPr>
              <w:jc w:val="right"/>
              <w:ind w:right="3"/>
              <w:spacing w:after="0"/>
              <w:rPr>
                <w:sz w:val="20"/>
                <w:szCs w:val="20"/>
                <w:color w:val="auto"/>
              </w:rPr>
            </w:pPr>
            <w:r>
              <w:rPr>
                <w:rFonts w:ascii="Arial" w:cs="Arial" w:eastAsia="Arial" w:hAnsi="Arial"/>
                <w:sz w:val="16"/>
                <w:szCs w:val="16"/>
                <w:color w:val="auto"/>
              </w:rPr>
              <w:t>25</w:t>
            </w:r>
          </w:p>
        </w:tc>
      </w:tr>
      <w:tr>
        <w:trPr>
          <w:trHeight w:val="219"/>
        </w:trPr>
        <w:tc>
          <w:tcPr>
            <w:tcW w:w="3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228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3,708</w:t>
            </w:r>
          </w:p>
        </w:tc>
        <w:tc>
          <w:tcPr>
            <w:tcW w:w="10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40"/>
              <w:spacing w:after="0"/>
              <w:rPr>
                <w:sz w:val="20"/>
                <w:szCs w:val="20"/>
                <w:color w:val="auto"/>
              </w:rPr>
            </w:pPr>
            <w:r>
              <w:rPr>
                <w:rFonts w:ascii="Arial" w:cs="Arial" w:eastAsia="Arial" w:hAnsi="Arial"/>
                <w:sz w:val="16"/>
                <w:szCs w:val="16"/>
                <w:color w:val="auto"/>
                <w:w w:val="97"/>
              </w:rPr>
              <w:t>152</w:t>
            </w:r>
          </w:p>
        </w:tc>
        <w:tc>
          <w:tcPr>
            <w:tcW w:w="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59</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3,615</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57</w:t>
            </w:r>
          </w:p>
        </w:tc>
      </w:tr>
      <w:tr>
        <w:trPr>
          <w:trHeight w:val="215"/>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2021 (As of September 30)</w:t>
            </w:r>
          </w:p>
        </w:tc>
        <w:tc>
          <w:tcPr>
            <w:tcW w:w="22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3,615</w:t>
            </w:r>
          </w:p>
        </w:tc>
        <w:tc>
          <w:tcPr>
            <w:tcW w:w="10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140"/>
              <w:spacing w:after="0"/>
              <w:rPr>
                <w:sz w:val="20"/>
                <w:szCs w:val="20"/>
                <w:color w:val="auto"/>
              </w:rPr>
            </w:pPr>
            <w:r>
              <w:rPr>
                <w:rFonts w:ascii="Arial" w:cs="Arial" w:eastAsia="Arial" w:hAnsi="Arial"/>
                <w:sz w:val="16"/>
                <w:szCs w:val="16"/>
                <w:b w:val="1"/>
                <w:bCs w:val="1"/>
                <w:color w:val="auto"/>
              </w:rPr>
              <w:t>9</w:t>
            </w:r>
          </w:p>
        </w:tc>
        <w:tc>
          <w:tcPr>
            <w:tcW w:w="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19</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3,625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w:t>
            </w:r>
          </w:p>
        </w:tc>
      </w:tr>
    </w:tbl>
    <w:p>
      <w:pPr>
        <w:spacing w:after="0" w:line="200" w:lineRule="exact"/>
        <w:rPr>
          <w:sz w:val="20"/>
          <w:szCs w:val="20"/>
          <w:color w:val="auto"/>
        </w:rPr>
      </w:pPr>
    </w:p>
    <w:p>
      <w:pPr>
        <w:spacing w:after="0" w:line="25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anticipate that additional claims will be filed against the Company and related companies in the future, but are unable to predict the number and timing of such future claims. Due to the fact that information sufficient to meaningfully estimate a range of possible loss of a particular claim is typically not available until late in the discovery process, we do not believe a meaningful estimate can be made regarding the range of possible loss with respect to pending or future claims and therefore are unable to estimate a range of reasonably possible loss in excess of amounts already accrued for pending or future claims.</w:t>
      </w:r>
    </w:p>
    <w:p>
      <w:pPr>
        <w:spacing w:after="0" w:line="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While we believe we have meritorious defenses to these claims, we have settled certain claims for amounts we consider reasonable given the facts and circumstances of each case. Our insurance carrier has defended each case and funded settlements under a standard reservation of rights. As of September 30, 2021, we had resolved, by means of settlement or dismissal, 37,957 claims. The total cost of resolving all claims was $10.4 million. Of this amount, almost 100% was paid by our insurance carrier, who has confirmed that we have approximately $140 million of remaining coverage under primary and excess policies that should be available with respect to current and future asbestos claims.</w:t>
      </w:r>
    </w:p>
    <w:p>
      <w:pPr>
        <w:spacing w:after="0" w:line="10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Company’s subsidiary, Brandon Drying Fabrics, Inc. (“Brandon”), is also a separate defendant in many of the asbestos cases in which Albany is named as a defendant, despite never having manufactured any fabrics containing asbestos. While Brandon was defending against 7,709 claims as of September 30, 2021, only twelve claims have been filed against Brandon since January 1, 2012, and a negligible amount of settlement costs have been incurred since 2001. Brandon was acquired by the Company in 1999, and has its own insurance policies covering periods prior to 1999. Since 2004, Brandon’s insurance carriers have covered 100% of indemnification and defense costs, subject to policy limits and a standard reservation of rights.</w:t>
      </w:r>
    </w:p>
    <w:p>
      <w:pPr>
        <w:spacing w:after="0" w:line="10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some of these asbestos cases, the Company is named both as a direct defendant and as the “successor in interest” to Mount Vernon Mills (“Mount Vernon”). We acquired certain assets from Mount Vernon in 1993. Certain plaintiffs allege injury caused by asbestos-containing products alleged to have been sold by Mount Vernon many years prior to this acquisition. Mount Vernon is contractually obligated to indemnify the Company against any liability arising out of such products. We deny any liability for products sold by Mount Vernon prior to the acquisition of the Mount Vernon assets. Pursuant to its contractual indemnification obligations, Mount Vernon has assumed the defense of these claims. On this basis, we have successfully moved for dismissal in a number of actions.</w:t>
      </w:r>
    </w:p>
    <w:p>
      <w:pPr>
        <w:spacing w:after="0" w:line="10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currently do not anticipate, based on currently available information, that the ultimate resolution of the aforementioned proceedings will have a material adverse effect on the financial position, results of operations, or cash flows of the Company. Although we cannot predict the number and timing of future claims, based on the foregoing</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0" w:name="page21"/>
    <w:bookmarkEnd w:id="2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factors, the trends in claims filed against us, and available insurance, we also do not currently anticipate that potential future claims will have a material adverse effect on our financial position, results of operations, or cash flows.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 Changes in Shareholders’ Equity</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changes in Shareholders’ Equity for the period December 31, 2020 to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360" w:type="dxa"/>
            <w:vAlign w:val="bottom"/>
          </w:tcPr>
          <w:p>
            <w:pPr>
              <w:spacing w:after="0"/>
              <w:rPr>
                <w:sz w:val="10"/>
                <w:szCs w:val="10"/>
                <w:color w:val="auto"/>
              </w:rPr>
            </w:pPr>
          </w:p>
        </w:tc>
        <w:tc>
          <w:tcPr>
            <w:tcW w:w="1520" w:type="dxa"/>
            <w:vAlign w:val="bottom"/>
            <w:gridSpan w:val="3"/>
          </w:tcPr>
          <w:p>
            <w:pPr>
              <w:jc w:val="right"/>
              <w:ind w:right="546"/>
              <w:spacing w:after="0"/>
              <w:rPr>
                <w:sz w:val="20"/>
                <w:szCs w:val="20"/>
                <w:color w:val="auto"/>
              </w:rPr>
            </w:pPr>
            <w:r>
              <w:rPr>
                <w:rFonts w:ascii="Arial" w:cs="Arial" w:eastAsia="Arial" w:hAnsi="Arial"/>
                <w:sz w:val="11"/>
                <w:szCs w:val="11"/>
                <w:b w:val="1"/>
                <w:bCs w:val="1"/>
                <w:color w:val="auto"/>
              </w:rPr>
              <w:t>Class A</w:t>
            </w:r>
          </w:p>
        </w:tc>
        <w:tc>
          <w:tcPr>
            <w:tcW w:w="1320" w:type="dxa"/>
            <w:vAlign w:val="bottom"/>
            <w:gridSpan w:val="3"/>
          </w:tcPr>
          <w:p>
            <w:pPr>
              <w:jc w:val="right"/>
              <w:ind w:right="446"/>
              <w:spacing w:after="0"/>
              <w:rPr>
                <w:sz w:val="20"/>
                <w:szCs w:val="20"/>
                <w:color w:val="auto"/>
              </w:rPr>
            </w:pPr>
            <w:r>
              <w:rPr>
                <w:rFonts w:ascii="Arial" w:cs="Arial" w:eastAsia="Arial" w:hAnsi="Arial"/>
                <w:sz w:val="11"/>
                <w:szCs w:val="11"/>
                <w:b w:val="1"/>
                <w:bCs w:val="1"/>
                <w:color w:val="auto"/>
              </w:rPr>
              <w:t>Class B</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300" w:type="dxa"/>
            <w:vAlign w:val="bottom"/>
            <w:gridSpan w:val="3"/>
          </w:tcPr>
          <w:p>
            <w:pPr>
              <w:jc w:val="center"/>
              <w:spacing w:after="0"/>
              <w:rPr>
                <w:sz w:val="20"/>
                <w:szCs w:val="20"/>
                <w:color w:val="auto"/>
              </w:rPr>
            </w:pPr>
            <w:r>
              <w:rPr>
                <w:rFonts w:ascii="Arial" w:cs="Arial" w:eastAsia="Arial" w:hAnsi="Arial"/>
                <w:sz w:val="11"/>
                <w:szCs w:val="11"/>
                <w:b w:val="1"/>
                <w:bCs w:val="1"/>
                <w:color w:val="auto"/>
                <w:w w:val="99"/>
              </w:rPr>
              <w:t>Class A</w:t>
            </w: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360" w:type="dxa"/>
            <w:vAlign w:val="bottom"/>
          </w:tcPr>
          <w:p>
            <w:pPr>
              <w:spacing w:after="0"/>
              <w:rPr>
                <w:sz w:val="12"/>
                <w:szCs w:val="12"/>
                <w:color w:val="auto"/>
              </w:rPr>
            </w:pPr>
          </w:p>
        </w:tc>
        <w:tc>
          <w:tcPr>
            <w:tcW w:w="1520" w:type="dxa"/>
            <w:vAlign w:val="bottom"/>
            <w:gridSpan w:val="3"/>
          </w:tcPr>
          <w:p>
            <w:pPr>
              <w:jc w:val="right"/>
              <w:ind w:right="346"/>
              <w:spacing w:after="0"/>
              <w:rPr>
                <w:sz w:val="20"/>
                <w:szCs w:val="20"/>
                <w:color w:val="auto"/>
              </w:rPr>
            </w:pPr>
            <w:r>
              <w:rPr>
                <w:rFonts w:ascii="Arial" w:cs="Arial" w:eastAsia="Arial" w:hAnsi="Arial"/>
                <w:sz w:val="11"/>
                <w:szCs w:val="11"/>
                <w:b w:val="1"/>
                <w:bCs w:val="1"/>
                <w:color w:val="auto"/>
              </w:rPr>
              <w:t>Common Stock</w:t>
            </w:r>
          </w:p>
        </w:tc>
        <w:tc>
          <w:tcPr>
            <w:tcW w:w="1320" w:type="dxa"/>
            <w:vAlign w:val="bottom"/>
            <w:gridSpan w:val="3"/>
          </w:tcPr>
          <w:p>
            <w:pPr>
              <w:jc w:val="right"/>
              <w:ind w:right="246"/>
              <w:spacing w:after="0"/>
              <w:rPr>
                <w:sz w:val="20"/>
                <w:szCs w:val="20"/>
                <w:color w:val="auto"/>
              </w:rPr>
            </w:pPr>
            <w:r>
              <w:rPr>
                <w:rFonts w:ascii="Arial" w:cs="Arial" w:eastAsia="Arial" w:hAnsi="Arial"/>
                <w:sz w:val="11"/>
                <w:szCs w:val="11"/>
                <w:b w:val="1"/>
                <w:bCs w:val="1"/>
                <w:color w:val="auto"/>
              </w:rPr>
              <w:t>Common Stock</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300" w:type="dxa"/>
            <w:vAlign w:val="bottom"/>
            <w:gridSpan w:val="3"/>
          </w:tcPr>
          <w:p>
            <w:pPr>
              <w:jc w:val="center"/>
              <w:spacing w:after="0"/>
              <w:rPr>
                <w:sz w:val="20"/>
                <w:szCs w:val="20"/>
                <w:color w:val="auto"/>
              </w:rPr>
            </w:pPr>
            <w:r>
              <w:rPr>
                <w:rFonts w:ascii="Arial" w:cs="Arial" w:eastAsia="Arial" w:hAnsi="Arial"/>
                <w:sz w:val="11"/>
                <w:szCs w:val="11"/>
                <w:b w:val="1"/>
                <w:bCs w:val="1"/>
                <w:color w:val="auto"/>
                <w:w w:val="98"/>
              </w:rPr>
              <w:t>Treasury Stock</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3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w w:val="98"/>
              </w:rPr>
              <w:t>Additional paid-</w:t>
            </w: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w w:val="99"/>
              </w:rPr>
              <w:t>Accumulated other comprehensive</w:t>
            </w: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2"/>
        </w:trPr>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6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360" w:type="dxa"/>
            <w:vAlign w:val="bottom"/>
          </w:tcPr>
          <w:p>
            <w:pPr>
              <w:ind w:left="320"/>
              <w:spacing w:after="0"/>
              <w:rPr>
                <w:sz w:val="20"/>
                <w:szCs w:val="20"/>
                <w:color w:val="auto"/>
              </w:rPr>
            </w:pPr>
            <w:r>
              <w:rPr>
                <w:rFonts w:ascii="Arial" w:cs="Arial" w:eastAsia="Arial" w:hAnsi="Arial"/>
                <w:sz w:val="11"/>
                <w:szCs w:val="11"/>
                <w:b w:val="1"/>
                <w:bCs w:val="1"/>
                <w:color w:val="auto"/>
              </w:rPr>
              <w:t>(in thousands)</w:t>
            </w:r>
          </w:p>
        </w:tc>
        <w:tc>
          <w:tcPr>
            <w:tcW w:w="720" w:type="dxa"/>
            <w:vAlign w:val="bottom"/>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2"/>
                <w:szCs w:val="12"/>
                <w:color w:val="auto"/>
              </w:rPr>
            </w:pPr>
          </w:p>
        </w:tc>
        <w:tc>
          <w:tcPr>
            <w:tcW w:w="660" w:type="dxa"/>
            <w:vAlign w:val="bottom"/>
          </w:tcPr>
          <w:p>
            <w:pPr>
              <w:jc w:val="right"/>
              <w:ind w:right="166"/>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2"/>
                <w:szCs w:val="12"/>
                <w:color w:val="auto"/>
              </w:rPr>
            </w:pPr>
          </w:p>
        </w:tc>
        <w:tc>
          <w:tcPr>
            <w:tcW w:w="720" w:type="dxa"/>
            <w:vAlign w:val="bottom"/>
          </w:tcPr>
          <w:p>
            <w:pPr>
              <w:jc w:val="right"/>
              <w:ind w:right="146"/>
              <w:spacing w:after="0"/>
              <w:rPr>
                <w:sz w:val="20"/>
                <w:szCs w:val="20"/>
                <w:color w:val="auto"/>
              </w:rPr>
            </w:pPr>
            <w:r>
              <w:rPr>
                <w:rFonts w:ascii="Arial" w:cs="Arial" w:eastAsia="Arial" w:hAnsi="Arial"/>
                <w:sz w:val="11"/>
                <w:szCs w:val="11"/>
                <w:b w:val="1"/>
                <w:bCs w:val="1"/>
                <w:color w:val="auto"/>
              </w:rPr>
              <w:t>in capital</w:t>
            </w: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w w:val="98"/>
              </w:rPr>
              <w:t>Retained earnings</w:t>
            </w:r>
          </w:p>
        </w:tc>
        <w:tc>
          <w:tcPr>
            <w:tcW w:w="400" w:type="dxa"/>
            <w:vAlign w:val="bottom"/>
          </w:tcPr>
          <w:p>
            <w:pPr>
              <w:spacing w:after="0"/>
              <w:rPr>
                <w:sz w:val="12"/>
                <w:szCs w:val="12"/>
                <w:color w:val="auto"/>
              </w:rPr>
            </w:pPr>
          </w:p>
        </w:tc>
        <w:tc>
          <w:tcPr>
            <w:tcW w:w="1460" w:type="dxa"/>
            <w:vAlign w:val="bottom"/>
          </w:tcPr>
          <w:p>
            <w:pPr>
              <w:jc w:val="right"/>
              <w:ind w:right="686"/>
              <w:spacing w:after="0"/>
              <w:rPr>
                <w:sz w:val="20"/>
                <w:szCs w:val="20"/>
                <w:color w:val="auto"/>
              </w:rPr>
            </w:pPr>
            <w:r>
              <w:rPr>
                <w:rFonts w:ascii="Arial" w:cs="Arial" w:eastAsia="Arial" w:hAnsi="Arial"/>
                <w:sz w:val="11"/>
                <w:szCs w:val="11"/>
                <w:b w:val="1"/>
                <w:bCs w:val="1"/>
                <w:color w:val="auto"/>
              </w:rPr>
              <w:t>income</w:t>
            </w:r>
          </w:p>
        </w:tc>
        <w:tc>
          <w:tcPr>
            <w:tcW w:w="600" w:type="dxa"/>
            <w:vAlign w:val="bottom"/>
          </w:tcPr>
          <w:p>
            <w:pPr>
              <w:jc w:val="right"/>
              <w:ind w:right="66"/>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2"/>
                <w:szCs w:val="12"/>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b w:val="1"/>
                <w:bCs w:val="1"/>
                <w:color w:val="auto"/>
              </w:rPr>
              <w:t>Amount</w:t>
            </w:r>
          </w:p>
        </w:tc>
        <w:tc>
          <w:tcPr>
            <w:tcW w:w="1220" w:type="dxa"/>
            <w:vAlign w:val="bottom"/>
            <w:gridSpan w:val="2"/>
          </w:tcPr>
          <w:p>
            <w:pPr>
              <w:ind w:left="20"/>
              <w:spacing w:after="0"/>
              <w:rPr>
                <w:sz w:val="20"/>
                <w:szCs w:val="20"/>
                <w:color w:val="auto"/>
              </w:rPr>
            </w:pPr>
            <w:r>
              <w:rPr>
                <w:rFonts w:ascii="Arial" w:cs="Arial" w:eastAsia="Arial" w:hAnsi="Arial"/>
                <w:sz w:val="11"/>
                <w:szCs w:val="11"/>
                <w:b w:val="1"/>
                <w:bCs w:val="1"/>
                <w:color w:val="auto"/>
                <w:w w:val="97"/>
              </w:rPr>
              <w:t>Noncontrolling Interest</w:t>
            </w:r>
          </w:p>
        </w:tc>
        <w:tc>
          <w:tcPr>
            <w:tcW w:w="100" w:type="dxa"/>
            <w:vAlign w:val="bottom"/>
          </w:tcPr>
          <w:p>
            <w:pPr>
              <w:spacing w:after="0"/>
              <w:rPr>
                <w:sz w:val="12"/>
                <w:szCs w:val="12"/>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b w:val="1"/>
                <w:bCs w:val="1"/>
                <w:color w:val="auto"/>
                <w:w w:val="95"/>
              </w:rPr>
              <w:t>Total Equity</w:t>
            </w:r>
          </w:p>
        </w:tc>
        <w:tc>
          <w:tcPr>
            <w:tcW w:w="0" w:type="dxa"/>
            <w:vAlign w:val="bottom"/>
          </w:tcPr>
          <w:p>
            <w:pPr>
              <w:spacing w:after="0"/>
              <w:rPr>
                <w:sz w:val="1"/>
                <w:szCs w:val="1"/>
                <w:color w:val="auto"/>
              </w:rPr>
            </w:pPr>
          </w:p>
        </w:tc>
      </w:tr>
      <w:tr>
        <w:trPr>
          <w:trHeight w:val="22"/>
        </w:trPr>
        <w:tc>
          <w:tcPr>
            <w:tcW w:w="1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December 31, 2020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39,115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39</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1,618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433,696</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770,746</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(132,408)</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8,391</w:t>
            </w: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(256,009)</w:t>
            </w: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3,799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819,865</w:t>
            </w:r>
          </w:p>
        </w:tc>
        <w:tc>
          <w:tcPr>
            <w:tcW w:w="0" w:type="dxa"/>
            <w:vAlign w:val="bottom"/>
          </w:tcPr>
          <w:p>
            <w:pPr>
              <w:spacing w:after="0"/>
              <w:rPr>
                <w:sz w:val="1"/>
                <w:szCs w:val="1"/>
                <w:color w:val="auto"/>
              </w:rPr>
            </w:pPr>
          </w:p>
        </w:tc>
      </w:tr>
      <w:tr>
        <w:trPr>
          <w:trHeight w:val="133"/>
        </w:trPr>
        <w:tc>
          <w:tcPr>
            <w:tcW w:w="136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Net income</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6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27,582</w:t>
            </w:r>
          </w:p>
        </w:tc>
        <w:tc>
          <w:tcPr>
            <w:tcW w:w="40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27</w:t>
            </w: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27,609</w:t>
            </w:r>
          </w:p>
        </w:tc>
        <w:tc>
          <w:tcPr>
            <w:tcW w:w="0" w:type="dxa"/>
            <w:vAlign w:val="bottom"/>
          </w:tcPr>
          <w:p>
            <w:pPr>
              <w:spacing w:after="0"/>
              <w:rPr>
                <w:sz w:val="1"/>
                <w:szCs w:val="1"/>
                <w:color w:val="auto"/>
              </w:rPr>
            </w:pPr>
          </w:p>
        </w:tc>
      </w:tr>
      <w:tr>
        <w:trPr>
          <w:trHeight w:val="22"/>
        </w:trPr>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3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Compensation and</w:t>
            </w: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60" w:type="dxa"/>
            <w:vAlign w:val="bottom"/>
            <w:shd w:val="clear" w:color="auto" w:fill="CCEEFF"/>
          </w:tcPr>
          <w:p>
            <w:pPr>
              <w:ind w:left="20"/>
              <w:spacing w:after="0" w:line="108" w:lineRule="exact"/>
              <w:rPr>
                <w:sz w:val="20"/>
                <w:szCs w:val="20"/>
                <w:color w:val="auto"/>
              </w:rPr>
            </w:pPr>
            <w:r>
              <w:rPr>
                <w:rFonts w:ascii="Arial" w:cs="Arial" w:eastAsia="Arial" w:hAnsi="Arial"/>
                <w:sz w:val="11"/>
                <w:szCs w:val="11"/>
                <w:color w:val="auto"/>
              </w:rPr>
              <w:t>benefits paid or payable in</w:t>
            </w: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shares</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20</w:t>
            </w: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3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CCEEFF"/>
            </w:tcBorders>
            <w:shd w:val="clear" w:color="auto" w:fill="CCEEFF"/>
          </w:tcPr>
          <w:p>
            <w:pPr>
              <w:spacing w:after="0"/>
              <w:rPr>
                <w:sz w:val="11"/>
                <w:szCs w:val="11"/>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40"/>
        </w:trPr>
        <w:tc>
          <w:tcPr>
            <w:tcW w:w="1360" w:type="dxa"/>
            <w:vAlign w:val="bottom"/>
          </w:tcPr>
          <w:p>
            <w:pPr>
              <w:ind w:left="20"/>
              <w:spacing w:after="0"/>
              <w:rPr>
                <w:sz w:val="20"/>
                <w:szCs w:val="20"/>
                <w:color w:val="auto"/>
              </w:rPr>
            </w:pPr>
            <w:r>
              <w:rPr>
                <w:rFonts w:ascii="Arial" w:cs="Arial" w:eastAsia="Arial" w:hAnsi="Arial"/>
                <w:sz w:val="11"/>
                <w:szCs w:val="11"/>
                <w:color w:val="auto"/>
              </w:rPr>
              <w:t>Options exercised</w:t>
            </w:r>
          </w:p>
        </w:tc>
        <w:tc>
          <w:tcPr>
            <w:tcW w:w="720" w:type="dxa"/>
            <w:vAlign w:val="bottom"/>
          </w:tcPr>
          <w:p>
            <w:pPr>
              <w:jc w:val="right"/>
              <w:spacing w:after="0"/>
              <w:rPr>
                <w:sz w:val="20"/>
                <w:szCs w:val="20"/>
                <w:color w:val="auto"/>
              </w:rPr>
            </w:pPr>
            <w:r>
              <w:rPr>
                <w:rFonts w:ascii="Arial" w:cs="Arial" w:eastAsia="Arial" w:hAnsi="Arial"/>
                <w:sz w:val="11"/>
                <w:szCs w:val="11"/>
                <w:color w:val="auto"/>
              </w:rPr>
              <w:t>6</w:t>
            </w:r>
          </w:p>
        </w:tc>
        <w:tc>
          <w:tcPr>
            <w:tcW w:w="140" w:type="dxa"/>
            <w:vAlign w:val="bottom"/>
          </w:tcPr>
          <w:p>
            <w:pPr>
              <w:spacing w:after="0"/>
              <w:rPr>
                <w:sz w:val="12"/>
                <w:szCs w:val="12"/>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128</w:t>
            </w:r>
          </w:p>
        </w:tc>
        <w:tc>
          <w:tcPr>
            <w:tcW w:w="30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14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128</w:t>
            </w:r>
          </w:p>
        </w:tc>
        <w:tc>
          <w:tcPr>
            <w:tcW w:w="0" w:type="dxa"/>
            <w:vAlign w:val="bottom"/>
          </w:tcPr>
          <w:p>
            <w:pPr>
              <w:spacing w:after="0"/>
              <w:rPr>
                <w:sz w:val="1"/>
                <w:szCs w:val="1"/>
                <w:color w:val="auto"/>
              </w:rPr>
            </w:pPr>
          </w:p>
        </w:tc>
      </w:tr>
      <w:tr>
        <w:trPr>
          <w:trHeight w:val="22"/>
        </w:trPr>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Dividends declared</w:t>
            </w:r>
          </w:p>
        </w:tc>
        <w:tc>
          <w:tcPr>
            <w:tcW w:w="7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14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360" w:type="dxa"/>
            <w:vAlign w:val="bottom"/>
          </w:tcPr>
          <w:p>
            <w:pPr>
              <w:ind w:left="20"/>
              <w:spacing w:after="0" w:line="119" w:lineRule="exact"/>
              <w:rPr>
                <w:sz w:val="20"/>
                <w:szCs w:val="20"/>
                <w:color w:val="auto"/>
              </w:rPr>
            </w:pPr>
            <w:r>
              <w:rPr>
                <w:rFonts w:ascii="Arial" w:cs="Arial" w:eastAsia="Arial" w:hAnsi="Arial"/>
                <w:sz w:val="11"/>
                <w:szCs w:val="11"/>
                <w:color w:val="auto"/>
              </w:rPr>
              <w:t>Class A Common Stock,</w:t>
            </w: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360" w:type="dxa"/>
            <w:vAlign w:val="bottom"/>
          </w:tcPr>
          <w:p>
            <w:pPr>
              <w:ind w:left="20"/>
              <w:spacing w:after="0"/>
              <w:rPr>
                <w:sz w:val="20"/>
                <w:szCs w:val="20"/>
                <w:color w:val="auto"/>
              </w:rPr>
            </w:pPr>
            <w:r>
              <w:rPr>
                <w:rFonts w:ascii="Arial" w:cs="Arial" w:eastAsia="Arial" w:hAnsi="Arial"/>
                <w:sz w:val="11"/>
                <w:szCs w:val="11"/>
                <w:color w:val="auto"/>
              </w:rPr>
              <w:t>$0.20 per share</w:t>
            </w: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(6,150)</w:t>
            </w:r>
          </w:p>
        </w:tc>
        <w:tc>
          <w:tcPr>
            <w:tcW w:w="400" w:type="dxa"/>
            <w:vAlign w:val="bottom"/>
          </w:tcPr>
          <w:p>
            <w:pPr>
              <w:spacing w:after="0"/>
              <w:rPr>
                <w:sz w:val="11"/>
                <w:szCs w:val="11"/>
                <w:color w:val="auto"/>
              </w:rPr>
            </w:pPr>
          </w:p>
        </w:tc>
        <w:tc>
          <w:tcPr>
            <w:tcW w:w="14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(6,150)</w:t>
            </w:r>
          </w:p>
        </w:tc>
        <w:tc>
          <w:tcPr>
            <w:tcW w:w="0" w:type="dxa"/>
            <w:vAlign w:val="bottom"/>
          </w:tcPr>
          <w:p>
            <w:pPr>
              <w:spacing w:after="0"/>
              <w:rPr>
                <w:sz w:val="1"/>
                <w:szCs w:val="1"/>
                <w:color w:val="auto"/>
              </w:rPr>
            </w:pPr>
          </w:p>
        </w:tc>
      </w:tr>
      <w:tr>
        <w:trPr>
          <w:trHeight w:val="22"/>
        </w:trPr>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3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Class B Common Stock,</w:t>
            </w: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$0.20 per share</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(324)</w:t>
            </w:r>
          </w:p>
        </w:tc>
        <w:tc>
          <w:tcPr>
            <w:tcW w:w="400" w:type="dxa"/>
            <w:vAlign w:val="bottom"/>
            <w:tcBorders>
              <w:bottom w:val="single" w:sz="8" w:color="CCEEFF"/>
            </w:tcBorders>
            <w:shd w:val="clear" w:color="auto" w:fill="CCEEFF"/>
          </w:tcPr>
          <w:p>
            <w:pPr>
              <w:spacing w:after="0"/>
              <w:rPr>
                <w:sz w:val="11"/>
                <w:szCs w:val="11"/>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(324)</w:t>
            </w:r>
          </w:p>
        </w:tc>
        <w:tc>
          <w:tcPr>
            <w:tcW w:w="0" w:type="dxa"/>
            <w:vAlign w:val="bottom"/>
          </w:tcPr>
          <w:p>
            <w:pPr>
              <w:spacing w:after="0"/>
              <w:rPr>
                <w:sz w:val="1"/>
                <w:szCs w:val="1"/>
                <w:color w:val="auto"/>
              </w:rPr>
            </w:pPr>
          </w:p>
        </w:tc>
      </w:tr>
      <w:tr>
        <w:trPr>
          <w:trHeight w:val="118"/>
        </w:trPr>
        <w:tc>
          <w:tcPr>
            <w:tcW w:w="1360" w:type="dxa"/>
            <w:vAlign w:val="bottom"/>
          </w:tcPr>
          <w:p>
            <w:pPr>
              <w:ind w:left="20"/>
              <w:spacing w:after="0" w:line="119" w:lineRule="exact"/>
              <w:rPr>
                <w:sz w:val="20"/>
                <w:szCs w:val="20"/>
                <w:color w:val="auto"/>
              </w:rPr>
            </w:pPr>
            <w:r>
              <w:rPr>
                <w:rFonts w:ascii="Arial" w:cs="Arial" w:eastAsia="Arial" w:hAnsi="Arial"/>
                <w:sz w:val="11"/>
                <w:szCs w:val="11"/>
                <w:color w:val="auto"/>
              </w:rPr>
              <w:t>Cumulative translation</w:t>
            </w: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360" w:type="dxa"/>
            <w:vAlign w:val="bottom"/>
          </w:tcPr>
          <w:p>
            <w:pPr>
              <w:ind w:left="20"/>
              <w:spacing w:after="0"/>
              <w:rPr>
                <w:sz w:val="20"/>
                <w:szCs w:val="20"/>
                <w:color w:val="auto"/>
              </w:rPr>
            </w:pPr>
            <w:r>
              <w:rPr>
                <w:rFonts w:ascii="Arial" w:cs="Arial" w:eastAsia="Arial" w:hAnsi="Arial"/>
                <w:sz w:val="11"/>
                <w:szCs w:val="11"/>
                <w:color w:val="auto"/>
              </w:rPr>
              <w:t>adjustments</w:t>
            </w: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(15,955)</w:t>
            </w: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(210)</w:t>
            </w: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(16,165)</w:t>
            </w:r>
          </w:p>
        </w:tc>
        <w:tc>
          <w:tcPr>
            <w:tcW w:w="0" w:type="dxa"/>
            <w:vAlign w:val="bottom"/>
          </w:tcPr>
          <w:p>
            <w:pPr>
              <w:spacing w:after="0"/>
              <w:rPr>
                <w:sz w:val="1"/>
                <w:szCs w:val="1"/>
                <w:color w:val="auto"/>
              </w:rPr>
            </w:pPr>
          </w:p>
        </w:tc>
      </w:tr>
      <w:tr>
        <w:trPr>
          <w:trHeight w:val="22"/>
        </w:trPr>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3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Pension and</w:t>
            </w: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60" w:type="dxa"/>
            <w:vAlign w:val="bottom"/>
            <w:shd w:val="clear" w:color="auto" w:fill="CCEEFF"/>
          </w:tcPr>
          <w:p>
            <w:pPr>
              <w:ind w:left="20"/>
              <w:spacing w:after="0" w:line="108" w:lineRule="exact"/>
              <w:rPr>
                <w:sz w:val="20"/>
                <w:szCs w:val="20"/>
                <w:color w:val="auto"/>
              </w:rPr>
            </w:pPr>
            <w:r>
              <w:rPr>
                <w:rFonts w:ascii="Arial" w:cs="Arial" w:eastAsia="Arial" w:hAnsi="Arial"/>
                <w:sz w:val="11"/>
                <w:szCs w:val="11"/>
                <w:color w:val="auto"/>
              </w:rPr>
              <w:t>postretirement liability</w:t>
            </w: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adjustments</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CCEEFF"/>
            </w:tcBorders>
            <w:shd w:val="clear" w:color="auto" w:fill="CCEEFF"/>
          </w:tcPr>
          <w:p>
            <w:pPr>
              <w:spacing w:after="0"/>
              <w:rPr>
                <w:sz w:val="11"/>
                <w:szCs w:val="11"/>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509</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509</w:t>
            </w:r>
          </w:p>
        </w:tc>
        <w:tc>
          <w:tcPr>
            <w:tcW w:w="0" w:type="dxa"/>
            <w:vAlign w:val="bottom"/>
          </w:tcPr>
          <w:p>
            <w:pPr>
              <w:spacing w:after="0"/>
              <w:rPr>
                <w:sz w:val="1"/>
                <w:szCs w:val="1"/>
                <w:color w:val="auto"/>
              </w:rPr>
            </w:pPr>
          </w:p>
        </w:tc>
      </w:tr>
      <w:tr>
        <w:trPr>
          <w:trHeight w:val="118"/>
        </w:trPr>
        <w:tc>
          <w:tcPr>
            <w:tcW w:w="1360" w:type="dxa"/>
            <w:vAlign w:val="bottom"/>
          </w:tcPr>
          <w:p>
            <w:pPr>
              <w:ind w:left="20"/>
              <w:spacing w:after="0" w:line="119" w:lineRule="exact"/>
              <w:rPr>
                <w:sz w:val="20"/>
                <w:szCs w:val="20"/>
                <w:color w:val="auto"/>
              </w:rPr>
            </w:pPr>
            <w:r>
              <w:rPr>
                <w:rFonts w:ascii="Arial" w:cs="Arial" w:eastAsia="Arial" w:hAnsi="Arial"/>
                <w:sz w:val="11"/>
                <w:szCs w:val="11"/>
                <w:color w:val="auto"/>
              </w:rPr>
              <w:t>Derivative valuation</w:t>
            </w: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360" w:type="dxa"/>
            <w:vAlign w:val="bottom"/>
          </w:tcPr>
          <w:p>
            <w:pPr>
              <w:ind w:left="20"/>
              <w:spacing w:after="0"/>
              <w:rPr>
                <w:sz w:val="20"/>
                <w:szCs w:val="20"/>
                <w:color w:val="auto"/>
              </w:rPr>
            </w:pPr>
            <w:r>
              <w:rPr>
                <w:rFonts w:ascii="Arial" w:cs="Arial" w:eastAsia="Arial" w:hAnsi="Arial"/>
                <w:sz w:val="11"/>
                <w:szCs w:val="11"/>
                <w:color w:val="auto"/>
              </w:rPr>
              <w:t>adjustment</w:t>
            </w: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1"/>
                <w:szCs w:val="11"/>
                <w:color w:val="auto"/>
              </w:rPr>
            </w:pPr>
          </w:p>
        </w:tc>
        <w:tc>
          <w:tcPr>
            <w:tcW w:w="1460" w:type="dxa"/>
            <w:vAlign w:val="bottom"/>
          </w:tcPr>
          <w:p>
            <w:pPr>
              <w:jc w:val="right"/>
              <w:ind w:right="6"/>
              <w:spacing w:after="0"/>
              <w:rPr>
                <w:sz w:val="20"/>
                <w:szCs w:val="20"/>
                <w:color w:val="auto"/>
              </w:rPr>
            </w:pPr>
            <w:r>
              <w:rPr>
                <w:rFonts w:ascii="Arial" w:cs="Arial" w:eastAsia="Arial" w:hAnsi="Arial"/>
                <w:sz w:val="11"/>
                <w:szCs w:val="11"/>
                <w:color w:val="auto"/>
              </w:rPr>
              <w:t>752</w:t>
            </w: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752</w:t>
            </w:r>
          </w:p>
        </w:tc>
        <w:tc>
          <w:tcPr>
            <w:tcW w:w="0" w:type="dxa"/>
            <w:vAlign w:val="bottom"/>
          </w:tcPr>
          <w:p>
            <w:pPr>
              <w:spacing w:after="0"/>
              <w:rPr>
                <w:sz w:val="1"/>
                <w:szCs w:val="1"/>
                <w:color w:val="auto"/>
              </w:rPr>
            </w:pPr>
          </w:p>
        </w:tc>
      </w:tr>
      <w:tr>
        <w:trPr>
          <w:trHeight w:val="22"/>
        </w:trPr>
        <w:tc>
          <w:tcPr>
            <w:tcW w:w="1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March 31, 2021</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39,141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39</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1,618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433,811</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791,854</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(147,102)</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8,391</w:t>
            </w: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(256,009)</w:t>
            </w: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3,616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826,211</w:t>
            </w:r>
          </w:p>
        </w:tc>
        <w:tc>
          <w:tcPr>
            <w:tcW w:w="0" w:type="dxa"/>
            <w:vAlign w:val="bottom"/>
          </w:tcPr>
          <w:p>
            <w:pPr>
              <w:spacing w:after="0"/>
              <w:rPr>
                <w:sz w:val="1"/>
                <w:szCs w:val="1"/>
                <w:color w:val="auto"/>
              </w:rPr>
            </w:pPr>
          </w:p>
        </w:tc>
      </w:tr>
      <w:tr>
        <w:trPr>
          <w:trHeight w:val="133"/>
        </w:trPr>
        <w:tc>
          <w:tcPr>
            <w:tcW w:w="136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Net income</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6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31,397</w:t>
            </w:r>
          </w:p>
        </w:tc>
        <w:tc>
          <w:tcPr>
            <w:tcW w:w="40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43</w:t>
            </w: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31,440</w:t>
            </w:r>
          </w:p>
        </w:tc>
        <w:tc>
          <w:tcPr>
            <w:tcW w:w="0" w:type="dxa"/>
            <w:vAlign w:val="bottom"/>
          </w:tcPr>
          <w:p>
            <w:pPr>
              <w:spacing w:after="0"/>
              <w:rPr>
                <w:sz w:val="1"/>
                <w:szCs w:val="1"/>
                <w:color w:val="auto"/>
              </w:rPr>
            </w:pPr>
          </w:p>
        </w:tc>
      </w:tr>
      <w:tr>
        <w:trPr>
          <w:trHeight w:val="22"/>
        </w:trPr>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3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Compensation and</w:t>
            </w: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60" w:type="dxa"/>
            <w:vAlign w:val="bottom"/>
            <w:shd w:val="clear" w:color="auto" w:fill="CCEEFF"/>
          </w:tcPr>
          <w:p>
            <w:pPr>
              <w:ind w:left="20"/>
              <w:spacing w:after="0" w:line="108" w:lineRule="exact"/>
              <w:rPr>
                <w:sz w:val="20"/>
                <w:szCs w:val="20"/>
                <w:color w:val="auto"/>
              </w:rPr>
            </w:pPr>
            <w:r>
              <w:rPr>
                <w:rFonts w:ascii="Arial" w:cs="Arial" w:eastAsia="Arial" w:hAnsi="Arial"/>
                <w:sz w:val="11"/>
                <w:szCs w:val="11"/>
                <w:color w:val="auto"/>
              </w:rPr>
              <w:t>benefits paid or payable in</w:t>
            </w: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shares</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692</w:t>
            </w:r>
          </w:p>
        </w:tc>
        <w:tc>
          <w:tcPr>
            <w:tcW w:w="3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CCEEFF"/>
            </w:tcBorders>
            <w:shd w:val="clear" w:color="auto" w:fill="CCEEFF"/>
          </w:tcPr>
          <w:p>
            <w:pPr>
              <w:spacing w:after="0"/>
              <w:rPr>
                <w:sz w:val="11"/>
                <w:szCs w:val="11"/>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692</w:t>
            </w:r>
          </w:p>
        </w:tc>
        <w:tc>
          <w:tcPr>
            <w:tcW w:w="0" w:type="dxa"/>
            <w:vAlign w:val="bottom"/>
          </w:tcPr>
          <w:p>
            <w:pPr>
              <w:spacing w:after="0"/>
              <w:rPr>
                <w:sz w:val="1"/>
                <w:szCs w:val="1"/>
                <w:color w:val="auto"/>
              </w:rPr>
            </w:pPr>
          </w:p>
        </w:tc>
      </w:tr>
      <w:tr>
        <w:trPr>
          <w:trHeight w:val="140"/>
        </w:trPr>
        <w:tc>
          <w:tcPr>
            <w:tcW w:w="1360" w:type="dxa"/>
            <w:vAlign w:val="bottom"/>
          </w:tcPr>
          <w:p>
            <w:pPr>
              <w:ind w:left="20"/>
              <w:spacing w:after="0"/>
              <w:rPr>
                <w:sz w:val="20"/>
                <w:szCs w:val="20"/>
                <w:color w:val="auto"/>
              </w:rPr>
            </w:pPr>
            <w:r>
              <w:rPr>
                <w:rFonts w:ascii="Arial" w:cs="Arial" w:eastAsia="Arial" w:hAnsi="Arial"/>
                <w:sz w:val="11"/>
                <w:szCs w:val="11"/>
                <w:color w:val="auto"/>
              </w:rPr>
              <w:t>Options exercised</w:t>
            </w:r>
          </w:p>
        </w:tc>
        <w:tc>
          <w:tcPr>
            <w:tcW w:w="720" w:type="dxa"/>
            <w:vAlign w:val="bottom"/>
          </w:tcPr>
          <w:p>
            <w:pPr>
              <w:jc w:val="right"/>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12"/>
                <w:szCs w:val="12"/>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21</w:t>
            </w:r>
          </w:p>
        </w:tc>
        <w:tc>
          <w:tcPr>
            <w:tcW w:w="30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14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22"/>
        </w:trPr>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Shares issued to Directors'</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706</w:t>
            </w:r>
          </w:p>
        </w:tc>
        <w:tc>
          <w:tcPr>
            <w:tcW w:w="3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CCEEFF"/>
            </w:tcBorders>
            <w:shd w:val="clear" w:color="auto" w:fill="CCEEFF"/>
          </w:tcPr>
          <w:p>
            <w:pPr>
              <w:spacing w:after="0"/>
              <w:rPr>
                <w:sz w:val="12"/>
                <w:szCs w:val="12"/>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241</w:t>
            </w:r>
          </w:p>
        </w:tc>
        <w:tc>
          <w:tcPr>
            <w:tcW w:w="5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947</w:t>
            </w:r>
          </w:p>
        </w:tc>
        <w:tc>
          <w:tcPr>
            <w:tcW w:w="0" w:type="dxa"/>
            <w:vAlign w:val="bottom"/>
          </w:tcPr>
          <w:p>
            <w:pPr>
              <w:spacing w:after="0"/>
              <w:rPr>
                <w:sz w:val="1"/>
                <w:szCs w:val="1"/>
                <w:color w:val="auto"/>
              </w:rPr>
            </w:pPr>
          </w:p>
        </w:tc>
      </w:tr>
      <w:tr>
        <w:trPr>
          <w:trHeight w:val="140"/>
        </w:trPr>
        <w:tc>
          <w:tcPr>
            <w:tcW w:w="1360" w:type="dxa"/>
            <w:vAlign w:val="bottom"/>
          </w:tcPr>
          <w:p>
            <w:pPr>
              <w:ind w:left="20"/>
              <w:spacing w:after="0"/>
              <w:rPr>
                <w:sz w:val="20"/>
                <w:szCs w:val="20"/>
                <w:color w:val="auto"/>
              </w:rPr>
            </w:pPr>
            <w:r>
              <w:rPr>
                <w:rFonts w:ascii="Arial" w:cs="Arial" w:eastAsia="Arial" w:hAnsi="Arial"/>
                <w:sz w:val="11"/>
                <w:szCs w:val="11"/>
                <w:color w:val="auto"/>
              </w:rPr>
              <w:t>Dividends declared</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3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Class A Common Stock,</w:t>
            </w: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$0.20 per share</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(6,150)</w:t>
            </w:r>
          </w:p>
        </w:tc>
        <w:tc>
          <w:tcPr>
            <w:tcW w:w="400" w:type="dxa"/>
            <w:vAlign w:val="bottom"/>
            <w:tcBorders>
              <w:bottom w:val="single" w:sz="8" w:color="CCEEFF"/>
            </w:tcBorders>
            <w:shd w:val="clear" w:color="auto" w:fill="CCEEFF"/>
          </w:tcPr>
          <w:p>
            <w:pPr>
              <w:spacing w:after="0"/>
              <w:rPr>
                <w:sz w:val="11"/>
                <w:szCs w:val="11"/>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(6,150)</w:t>
            </w:r>
          </w:p>
        </w:tc>
        <w:tc>
          <w:tcPr>
            <w:tcW w:w="0" w:type="dxa"/>
            <w:vAlign w:val="bottom"/>
          </w:tcPr>
          <w:p>
            <w:pPr>
              <w:spacing w:after="0"/>
              <w:rPr>
                <w:sz w:val="1"/>
                <w:szCs w:val="1"/>
                <w:color w:val="auto"/>
              </w:rPr>
            </w:pPr>
          </w:p>
        </w:tc>
      </w:tr>
      <w:tr>
        <w:trPr>
          <w:trHeight w:val="118"/>
        </w:trPr>
        <w:tc>
          <w:tcPr>
            <w:tcW w:w="1360" w:type="dxa"/>
            <w:vAlign w:val="bottom"/>
          </w:tcPr>
          <w:p>
            <w:pPr>
              <w:ind w:left="20"/>
              <w:spacing w:after="0" w:line="119" w:lineRule="exact"/>
              <w:rPr>
                <w:sz w:val="20"/>
                <w:szCs w:val="20"/>
                <w:color w:val="auto"/>
              </w:rPr>
            </w:pPr>
            <w:r>
              <w:rPr>
                <w:rFonts w:ascii="Arial" w:cs="Arial" w:eastAsia="Arial" w:hAnsi="Arial"/>
                <w:sz w:val="11"/>
                <w:szCs w:val="11"/>
                <w:color w:val="auto"/>
              </w:rPr>
              <w:t>Class B Common Stock,</w:t>
            </w: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360" w:type="dxa"/>
            <w:vAlign w:val="bottom"/>
          </w:tcPr>
          <w:p>
            <w:pPr>
              <w:ind w:left="20"/>
              <w:spacing w:after="0"/>
              <w:rPr>
                <w:sz w:val="20"/>
                <w:szCs w:val="20"/>
                <w:color w:val="auto"/>
              </w:rPr>
            </w:pPr>
            <w:r>
              <w:rPr>
                <w:rFonts w:ascii="Arial" w:cs="Arial" w:eastAsia="Arial" w:hAnsi="Arial"/>
                <w:sz w:val="11"/>
                <w:szCs w:val="11"/>
                <w:color w:val="auto"/>
              </w:rPr>
              <w:t>$0.20 per share</w:t>
            </w: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(323)</w:t>
            </w:r>
          </w:p>
        </w:tc>
        <w:tc>
          <w:tcPr>
            <w:tcW w:w="400" w:type="dxa"/>
            <w:vAlign w:val="bottom"/>
          </w:tcPr>
          <w:p>
            <w:pPr>
              <w:spacing w:after="0"/>
              <w:rPr>
                <w:sz w:val="11"/>
                <w:szCs w:val="11"/>
                <w:color w:val="auto"/>
              </w:rPr>
            </w:pPr>
          </w:p>
        </w:tc>
        <w:tc>
          <w:tcPr>
            <w:tcW w:w="14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(323)</w:t>
            </w:r>
          </w:p>
        </w:tc>
        <w:tc>
          <w:tcPr>
            <w:tcW w:w="0" w:type="dxa"/>
            <w:vAlign w:val="bottom"/>
          </w:tcPr>
          <w:p>
            <w:pPr>
              <w:spacing w:after="0"/>
              <w:rPr>
                <w:sz w:val="1"/>
                <w:szCs w:val="1"/>
                <w:color w:val="auto"/>
              </w:rPr>
            </w:pPr>
          </w:p>
        </w:tc>
      </w:tr>
      <w:tr>
        <w:trPr>
          <w:trHeight w:val="22"/>
        </w:trPr>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3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Cumulative translation</w:t>
            </w: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adjustments</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CCEEFF"/>
            </w:tcBorders>
            <w:shd w:val="clear" w:color="auto" w:fill="CCEEFF"/>
          </w:tcPr>
          <w:p>
            <w:pPr>
              <w:spacing w:after="0"/>
              <w:rPr>
                <w:sz w:val="11"/>
                <w:szCs w:val="11"/>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13,774</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183</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13,957</w:t>
            </w:r>
          </w:p>
        </w:tc>
        <w:tc>
          <w:tcPr>
            <w:tcW w:w="0" w:type="dxa"/>
            <w:vAlign w:val="bottom"/>
          </w:tcPr>
          <w:p>
            <w:pPr>
              <w:spacing w:after="0"/>
              <w:rPr>
                <w:sz w:val="1"/>
                <w:szCs w:val="1"/>
                <w:color w:val="auto"/>
              </w:rPr>
            </w:pPr>
          </w:p>
        </w:tc>
      </w:tr>
      <w:tr>
        <w:trPr>
          <w:trHeight w:val="118"/>
        </w:trPr>
        <w:tc>
          <w:tcPr>
            <w:tcW w:w="1360" w:type="dxa"/>
            <w:vAlign w:val="bottom"/>
          </w:tcPr>
          <w:p>
            <w:pPr>
              <w:ind w:left="20"/>
              <w:spacing w:after="0" w:line="119" w:lineRule="exact"/>
              <w:rPr>
                <w:sz w:val="20"/>
                <w:szCs w:val="20"/>
                <w:color w:val="auto"/>
              </w:rPr>
            </w:pPr>
            <w:r>
              <w:rPr>
                <w:rFonts w:ascii="Arial" w:cs="Arial" w:eastAsia="Arial" w:hAnsi="Arial"/>
                <w:sz w:val="11"/>
                <w:szCs w:val="11"/>
                <w:color w:val="auto"/>
              </w:rPr>
              <w:t>Pension and</w:t>
            </w: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60" w:type="dxa"/>
            <w:vAlign w:val="bottom"/>
          </w:tcPr>
          <w:p>
            <w:pPr>
              <w:ind w:left="20"/>
              <w:spacing w:after="0" w:line="108" w:lineRule="exact"/>
              <w:rPr>
                <w:sz w:val="20"/>
                <w:szCs w:val="20"/>
                <w:color w:val="auto"/>
              </w:rPr>
            </w:pPr>
            <w:r>
              <w:rPr>
                <w:rFonts w:ascii="Arial" w:cs="Arial" w:eastAsia="Arial" w:hAnsi="Arial"/>
                <w:sz w:val="11"/>
                <w:szCs w:val="11"/>
                <w:color w:val="auto"/>
              </w:rPr>
              <w:t>postretirement liability</w:t>
            </w: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360" w:type="dxa"/>
            <w:vAlign w:val="bottom"/>
          </w:tcPr>
          <w:p>
            <w:pPr>
              <w:ind w:left="20"/>
              <w:spacing w:after="0"/>
              <w:rPr>
                <w:sz w:val="20"/>
                <w:szCs w:val="20"/>
                <w:color w:val="auto"/>
              </w:rPr>
            </w:pPr>
            <w:r>
              <w:rPr>
                <w:rFonts w:ascii="Arial" w:cs="Arial" w:eastAsia="Arial" w:hAnsi="Arial"/>
                <w:sz w:val="11"/>
                <w:szCs w:val="11"/>
                <w:color w:val="auto"/>
              </w:rPr>
              <w:t>adjustments</w:t>
            </w: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(130)</w:t>
            </w: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(130)</w:t>
            </w:r>
          </w:p>
        </w:tc>
        <w:tc>
          <w:tcPr>
            <w:tcW w:w="0" w:type="dxa"/>
            <w:vAlign w:val="bottom"/>
          </w:tcPr>
          <w:p>
            <w:pPr>
              <w:spacing w:after="0"/>
              <w:rPr>
                <w:sz w:val="1"/>
                <w:szCs w:val="1"/>
                <w:color w:val="auto"/>
              </w:rPr>
            </w:pPr>
          </w:p>
        </w:tc>
      </w:tr>
      <w:tr>
        <w:trPr>
          <w:trHeight w:val="22"/>
        </w:trPr>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3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Derivative valuation</w:t>
            </w: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adjustment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1,394</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1,394</w:t>
            </w:r>
          </w:p>
        </w:tc>
        <w:tc>
          <w:tcPr>
            <w:tcW w:w="0" w:type="dxa"/>
            <w:vAlign w:val="bottom"/>
          </w:tcPr>
          <w:p>
            <w:pPr>
              <w:spacing w:after="0"/>
              <w:rPr>
                <w:sz w:val="1"/>
                <w:szCs w:val="1"/>
                <w:color w:val="auto"/>
              </w:rPr>
            </w:pPr>
          </w:p>
        </w:tc>
      </w:tr>
      <w:tr>
        <w:trPr>
          <w:trHeight w:val="135"/>
        </w:trPr>
        <w:tc>
          <w:tcPr>
            <w:tcW w:w="1360" w:type="dxa"/>
            <w:vAlign w:val="bottom"/>
            <w:tcBorders>
              <w:top w:val="single" w:sz="8" w:color="auto"/>
            </w:tcBorders>
          </w:tcPr>
          <w:p>
            <w:pPr>
              <w:ind w:left="20"/>
              <w:spacing w:after="0"/>
              <w:rPr>
                <w:sz w:val="20"/>
                <w:szCs w:val="20"/>
                <w:color w:val="auto"/>
              </w:rPr>
            </w:pPr>
            <w:r>
              <w:rPr>
                <w:rFonts w:ascii="Arial" w:cs="Arial" w:eastAsia="Arial" w:hAnsi="Arial"/>
                <w:sz w:val="11"/>
                <w:szCs w:val="11"/>
                <w:b w:val="1"/>
                <w:bCs w:val="1"/>
                <w:color w:val="auto"/>
              </w:rPr>
              <w:t>June 30, 2021</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39,142</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66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39</w:t>
            </w:r>
          </w:p>
        </w:tc>
        <w:tc>
          <w:tcPr>
            <w:tcW w:w="6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1,618</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w:t>
            </w: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7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435,230</w:t>
            </w: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6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816,778</w:t>
            </w:r>
          </w:p>
        </w:tc>
        <w:tc>
          <w:tcPr>
            <w:tcW w:w="400" w:type="dxa"/>
            <w:vAlign w:val="bottom"/>
            <w:tcBorders>
              <w:top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(132,064)</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8,380</w:t>
            </w:r>
          </w:p>
        </w:tc>
        <w:tc>
          <w:tcPr>
            <w:tcW w:w="12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(255,768)</w:t>
            </w:r>
          </w:p>
        </w:tc>
        <w:tc>
          <w:tcPr>
            <w:tcW w:w="500" w:type="dxa"/>
            <w:vAlign w:val="bottom"/>
            <w:tcBorders>
              <w:top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3,842</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868,059</w:t>
            </w:r>
          </w:p>
        </w:tc>
        <w:tc>
          <w:tcPr>
            <w:tcW w:w="0" w:type="dxa"/>
            <w:vAlign w:val="bottom"/>
          </w:tcPr>
          <w:p>
            <w:pPr>
              <w:spacing w:after="0"/>
              <w:rPr>
                <w:sz w:val="1"/>
                <w:szCs w:val="1"/>
                <w:color w:val="auto"/>
              </w:rPr>
            </w:pP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30,862</w:t>
            </w:r>
          </w:p>
        </w:tc>
        <w:tc>
          <w:tcPr>
            <w:tcW w:w="400" w:type="dxa"/>
            <w:vAlign w:val="bottom"/>
            <w:tcBorders>
              <w:bottom w:val="single" w:sz="8" w:color="CCEEFF"/>
            </w:tcBorders>
            <w:shd w:val="clear" w:color="auto" w:fill="CCEEFF"/>
          </w:tcPr>
          <w:p>
            <w:pPr>
              <w:spacing w:after="0"/>
              <w:rPr>
                <w:sz w:val="11"/>
                <w:szCs w:val="11"/>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80</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30,942</w:t>
            </w:r>
          </w:p>
        </w:tc>
        <w:tc>
          <w:tcPr>
            <w:tcW w:w="0" w:type="dxa"/>
            <w:vAlign w:val="bottom"/>
          </w:tcPr>
          <w:p>
            <w:pPr>
              <w:spacing w:after="0"/>
              <w:rPr>
                <w:sz w:val="1"/>
                <w:szCs w:val="1"/>
                <w:color w:val="auto"/>
              </w:rPr>
            </w:pPr>
          </w:p>
        </w:tc>
      </w:tr>
      <w:tr>
        <w:trPr>
          <w:trHeight w:val="118"/>
        </w:trPr>
        <w:tc>
          <w:tcPr>
            <w:tcW w:w="1360" w:type="dxa"/>
            <w:vAlign w:val="bottom"/>
          </w:tcPr>
          <w:p>
            <w:pPr>
              <w:ind w:left="20"/>
              <w:spacing w:after="0" w:line="119" w:lineRule="exact"/>
              <w:rPr>
                <w:sz w:val="20"/>
                <w:szCs w:val="20"/>
                <w:color w:val="auto"/>
              </w:rPr>
            </w:pPr>
            <w:r>
              <w:rPr>
                <w:rFonts w:ascii="Arial" w:cs="Arial" w:eastAsia="Arial" w:hAnsi="Arial"/>
                <w:sz w:val="11"/>
                <w:szCs w:val="11"/>
                <w:color w:val="auto"/>
              </w:rPr>
              <w:t>Compensation and</w:t>
            </w: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60" w:type="dxa"/>
            <w:vAlign w:val="bottom"/>
          </w:tcPr>
          <w:p>
            <w:pPr>
              <w:ind w:left="20"/>
              <w:spacing w:after="0" w:line="108" w:lineRule="exact"/>
              <w:rPr>
                <w:sz w:val="20"/>
                <w:szCs w:val="20"/>
                <w:color w:val="auto"/>
              </w:rPr>
            </w:pPr>
            <w:r>
              <w:rPr>
                <w:rFonts w:ascii="Arial" w:cs="Arial" w:eastAsia="Arial" w:hAnsi="Arial"/>
                <w:sz w:val="11"/>
                <w:szCs w:val="11"/>
                <w:color w:val="auto"/>
              </w:rPr>
              <w:t>benefits paid or payable in</w:t>
            </w: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360" w:type="dxa"/>
            <w:vAlign w:val="bottom"/>
          </w:tcPr>
          <w:p>
            <w:pPr>
              <w:ind w:left="20"/>
              <w:spacing w:after="0"/>
              <w:rPr>
                <w:sz w:val="20"/>
                <w:szCs w:val="20"/>
                <w:color w:val="auto"/>
              </w:rPr>
            </w:pPr>
            <w:r>
              <w:rPr>
                <w:rFonts w:ascii="Arial" w:cs="Arial" w:eastAsia="Arial" w:hAnsi="Arial"/>
                <w:sz w:val="11"/>
                <w:szCs w:val="11"/>
                <w:color w:val="auto"/>
              </w:rPr>
              <w:t>shares</w:t>
            </w: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845</w:t>
            </w:r>
          </w:p>
        </w:tc>
        <w:tc>
          <w:tcPr>
            <w:tcW w:w="30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1"/>
                <w:szCs w:val="11"/>
                <w:color w:val="auto"/>
              </w:rPr>
            </w:pPr>
          </w:p>
        </w:tc>
        <w:tc>
          <w:tcPr>
            <w:tcW w:w="14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845</w:t>
            </w:r>
          </w:p>
        </w:tc>
        <w:tc>
          <w:tcPr>
            <w:tcW w:w="0" w:type="dxa"/>
            <w:vAlign w:val="bottom"/>
          </w:tcPr>
          <w:p>
            <w:pPr>
              <w:spacing w:after="0"/>
              <w:rPr>
                <w:sz w:val="1"/>
                <w:szCs w:val="1"/>
                <w:color w:val="auto"/>
              </w:rPr>
            </w:pPr>
          </w:p>
        </w:tc>
      </w:tr>
      <w:tr>
        <w:trPr>
          <w:trHeight w:val="22"/>
        </w:trPr>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Options exercised</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w:t>
            </w:r>
          </w:p>
        </w:tc>
        <w:tc>
          <w:tcPr>
            <w:tcW w:w="3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CCEEFF"/>
            </w:tcBorders>
            <w:shd w:val="clear" w:color="auto" w:fill="CCEEFF"/>
          </w:tcPr>
          <w:p>
            <w:pPr>
              <w:spacing w:after="0"/>
              <w:rPr>
                <w:sz w:val="12"/>
                <w:szCs w:val="12"/>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40"/>
        </w:trPr>
        <w:tc>
          <w:tcPr>
            <w:tcW w:w="1360" w:type="dxa"/>
            <w:vAlign w:val="bottom"/>
          </w:tcPr>
          <w:p>
            <w:pPr>
              <w:ind w:left="20"/>
              <w:spacing w:after="0"/>
              <w:rPr>
                <w:sz w:val="20"/>
                <w:szCs w:val="20"/>
                <w:color w:val="auto"/>
              </w:rPr>
            </w:pPr>
            <w:r>
              <w:rPr>
                <w:rFonts w:ascii="Arial" w:cs="Arial" w:eastAsia="Arial" w:hAnsi="Arial"/>
                <w:sz w:val="11"/>
                <w:szCs w:val="11"/>
                <w:color w:val="auto"/>
              </w:rPr>
              <w:t>Shares issued to Directors'</w:t>
            </w: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14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Dividends declared</w:t>
            </w:r>
          </w:p>
        </w:tc>
        <w:tc>
          <w:tcPr>
            <w:tcW w:w="7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14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360" w:type="dxa"/>
            <w:vAlign w:val="bottom"/>
          </w:tcPr>
          <w:p>
            <w:pPr>
              <w:ind w:left="20"/>
              <w:spacing w:after="0" w:line="119" w:lineRule="exact"/>
              <w:rPr>
                <w:sz w:val="20"/>
                <w:szCs w:val="20"/>
                <w:color w:val="auto"/>
              </w:rPr>
            </w:pPr>
            <w:r>
              <w:rPr>
                <w:rFonts w:ascii="Arial" w:cs="Arial" w:eastAsia="Arial" w:hAnsi="Arial"/>
                <w:sz w:val="11"/>
                <w:szCs w:val="11"/>
                <w:color w:val="auto"/>
              </w:rPr>
              <w:t>Class A Common Stock,</w:t>
            </w: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360" w:type="dxa"/>
            <w:vAlign w:val="bottom"/>
          </w:tcPr>
          <w:p>
            <w:pPr>
              <w:ind w:left="20"/>
              <w:spacing w:after="0"/>
              <w:rPr>
                <w:sz w:val="20"/>
                <w:szCs w:val="20"/>
                <w:color w:val="auto"/>
              </w:rPr>
            </w:pPr>
            <w:r>
              <w:rPr>
                <w:rFonts w:ascii="Arial" w:cs="Arial" w:eastAsia="Arial" w:hAnsi="Arial"/>
                <w:sz w:val="11"/>
                <w:szCs w:val="11"/>
                <w:color w:val="auto"/>
              </w:rPr>
              <w:t>$0.20 per share</w:t>
            </w: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(6,478)</w:t>
            </w:r>
          </w:p>
        </w:tc>
        <w:tc>
          <w:tcPr>
            <w:tcW w:w="400" w:type="dxa"/>
            <w:vAlign w:val="bottom"/>
          </w:tcPr>
          <w:p>
            <w:pPr>
              <w:spacing w:after="0"/>
              <w:rPr>
                <w:sz w:val="11"/>
                <w:szCs w:val="11"/>
                <w:color w:val="auto"/>
              </w:rPr>
            </w:pPr>
          </w:p>
        </w:tc>
        <w:tc>
          <w:tcPr>
            <w:tcW w:w="14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(6,478)</w:t>
            </w:r>
          </w:p>
        </w:tc>
        <w:tc>
          <w:tcPr>
            <w:tcW w:w="0" w:type="dxa"/>
            <w:vAlign w:val="bottom"/>
          </w:tcPr>
          <w:p>
            <w:pPr>
              <w:spacing w:after="0"/>
              <w:rPr>
                <w:sz w:val="1"/>
                <w:szCs w:val="1"/>
                <w:color w:val="auto"/>
              </w:rPr>
            </w:pPr>
          </w:p>
        </w:tc>
      </w:tr>
      <w:tr>
        <w:trPr>
          <w:trHeight w:val="22"/>
        </w:trPr>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3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Class B Common Stock,</w:t>
            </w: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$0.20 per share</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CCEEFF"/>
            </w:tcBorders>
            <w:shd w:val="clear" w:color="auto" w:fill="CCEEFF"/>
          </w:tcPr>
          <w:p>
            <w:pPr>
              <w:spacing w:after="0"/>
              <w:rPr>
                <w:sz w:val="11"/>
                <w:szCs w:val="11"/>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8"/>
        </w:trPr>
        <w:tc>
          <w:tcPr>
            <w:tcW w:w="1360" w:type="dxa"/>
            <w:vAlign w:val="bottom"/>
          </w:tcPr>
          <w:p>
            <w:pPr>
              <w:ind w:left="20"/>
              <w:spacing w:after="0" w:line="119" w:lineRule="exact"/>
              <w:rPr>
                <w:sz w:val="20"/>
                <w:szCs w:val="20"/>
                <w:color w:val="auto"/>
              </w:rPr>
            </w:pPr>
            <w:r>
              <w:rPr>
                <w:rFonts w:ascii="Arial" w:cs="Arial" w:eastAsia="Arial" w:hAnsi="Arial"/>
                <w:sz w:val="11"/>
                <w:szCs w:val="11"/>
                <w:color w:val="auto"/>
              </w:rPr>
              <w:t>Conversion of Class B</w:t>
            </w: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60" w:type="dxa"/>
            <w:vAlign w:val="bottom"/>
          </w:tcPr>
          <w:p>
            <w:pPr>
              <w:ind w:left="20"/>
              <w:spacing w:after="0" w:line="108" w:lineRule="exact"/>
              <w:rPr>
                <w:sz w:val="20"/>
                <w:szCs w:val="20"/>
                <w:color w:val="auto"/>
              </w:rPr>
            </w:pPr>
            <w:r>
              <w:rPr>
                <w:rFonts w:ascii="Arial" w:cs="Arial" w:eastAsia="Arial" w:hAnsi="Arial"/>
                <w:sz w:val="11"/>
                <w:szCs w:val="11"/>
                <w:color w:val="auto"/>
              </w:rPr>
              <w:t>shares to Class A shares</w:t>
            </w: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360" w:type="dxa"/>
            <w:vAlign w:val="bottom"/>
          </w:tcPr>
          <w:p>
            <w:pPr>
              <w:ind w:left="20"/>
              <w:spacing w:after="0"/>
              <w:rPr>
                <w:sz w:val="20"/>
                <w:szCs w:val="20"/>
                <w:color w:val="auto"/>
              </w:rPr>
            </w:pPr>
            <w:r>
              <w:rPr>
                <w:rFonts w:ascii="Arial" w:cs="Arial" w:eastAsia="Arial" w:hAnsi="Arial"/>
                <w:sz w:val="11"/>
                <w:szCs w:val="11"/>
                <w:color w:val="auto"/>
              </w:rPr>
              <w:t>(b)</w:t>
            </w:r>
          </w:p>
        </w:tc>
        <w:tc>
          <w:tcPr>
            <w:tcW w:w="720" w:type="dxa"/>
            <w:vAlign w:val="bottom"/>
          </w:tcPr>
          <w:p>
            <w:pPr>
              <w:jc w:val="right"/>
              <w:spacing w:after="0"/>
              <w:rPr>
                <w:sz w:val="20"/>
                <w:szCs w:val="20"/>
                <w:color w:val="auto"/>
              </w:rPr>
            </w:pPr>
            <w:r>
              <w:rPr>
                <w:rFonts w:ascii="Arial" w:cs="Arial" w:eastAsia="Arial" w:hAnsi="Arial"/>
                <w:sz w:val="11"/>
                <w:szCs w:val="11"/>
                <w:color w:val="auto"/>
              </w:rPr>
              <w:t>1,617</w:t>
            </w:r>
          </w:p>
        </w:tc>
        <w:tc>
          <w:tcPr>
            <w:tcW w:w="140" w:type="dxa"/>
            <w:vAlign w:val="bottom"/>
          </w:tcPr>
          <w:p>
            <w:pPr>
              <w:spacing w:after="0"/>
              <w:rPr>
                <w:sz w:val="11"/>
                <w:szCs w:val="11"/>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2</w:t>
            </w:r>
          </w:p>
        </w:tc>
        <w:tc>
          <w:tcPr>
            <w:tcW w:w="660" w:type="dxa"/>
            <w:vAlign w:val="bottom"/>
          </w:tcPr>
          <w:p>
            <w:pPr>
              <w:jc w:val="right"/>
              <w:spacing w:after="0"/>
              <w:rPr>
                <w:sz w:val="20"/>
                <w:szCs w:val="20"/>
                <w:color w:val="auto"/>
              </w:rPr>
            </w:pPr>
            <w:r>
              <w:rPr>
                <w:rFonts w:ascii="Arial" w:cs="Arial" w:eastAsia="Arial" w:hAnsi="Arial"/>
                <w:sz w:val="11"/>
                <w:szCs w:val="11"/>
                <w:color w:val="auto"/>
              </w:rPr>
              <w:t>(1,617)</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w:t>
            </w:r>
          </w:p>
        </w:tc>
        <w:tc>
          <w:tcPr>
            <w:tcW w:w="140" w:type="dxa"/>
            <w:vAlign w:val="bottom"/>
          </w:tcPr>
          <w:p>
            <w:pPr>
              <w:spacing w:after="0"/>
              <w:rPr>
                <w:sz w:val="11"/>
                <w:szCs w:val="11"/>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1"/>
                <w:szCs w:val="11"/>
                <w:color w:val="auto"/>
              </w:rPr>
            </w:pPr>
          </w:p>
        </w:tc>
        <w:tc>
          <w:tcPr>
            <w:tcW w:w="14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3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Cumulative translation</w:t>
            </w: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adjustments</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CCEEFF"/>
            </w:tcBorders>
            <w:shd w:val="clear" w:color="auto" w:fill="CCEEFF"/>
          </w:tcPr>
          <w:p>
            <w:pPr>
              <w:spacing w:after="0"/>
              <w:rPr>
                <w:sz w:val="11"/>
                <w:szCs w:val="1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(14,943)</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(192)</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(15,135)</w:t>
            </w:r>
          </w:p>
        </w:tc>
        <w:tc>
          <w:tcPr>
            <w:tcW w:w="0" w:type="dxa"/>
            <w:vAlign w:val="bottom"/>
          </w:tcPr>
          <w:p>
            <w:pPr>
              <w:spacing w:after="0"/>
              <w:rPr>
                <w:sz w:val="1"/>
                <w:szCs w:val="1"/>
                <w:color w:val="auto"/>
              </w:rPr>
            </w:pPr>
          </w:p>
        </w:tc>
      </w:tr>
      <w:tr>
        <w:trPr>
          <w:trHeight w:val="118"/>
        </w:trPr>
        <w:tc>
          <w:tcPr>
            <w:tcW w:w="1360" w:type="dxa"/>
            <w:vAlign w:val="bottom"/>
          </w:tcPr>
          <w:p>
            <w:pPr>
              <w:ind w:left="20"/>
              <w:spacing w:after="0" w:line="119" w:lineRule="exact"/>
              <w:rPr>
                <w:sz w:val="20"/>
                <w:szCs w:val="20"/>
                <w:color w:val="auto"/>
              </w:rPr>
            </w:pPr>
            <w:r>
              <w:rPr>
                <w:rFonts w:ascii="Arial" w:cs="Arial" w:eastAsia="Arial" w:hAnsi="Arial"/>
                <w:sz w:val="11"/>
                <w:szCs w:val="11"/>
                <w:color w:val="auto"/>
              </w:rPr>
              <w:t>Pension and</w:t>
            </w: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60" w:type="dxa"/>
            <w:vAlign w:val="bottom"/>
          </w:tcPr>
          <w:p>
            <w:pPr>
              <w:ind w:left="20"/>
              <w:spacing w:after="0" w:line="108" w:lineRule="exact"/>
              <w:rPr>
                <w:sz w:val="20"/>
                <w:szCs w:val="20"/>
                <w:color w:val="auto"/>
              </w:rPr>
            </w:pPr>
            <w:r>
              <w:rPr>
                <w:rFonts w:ascii="Arial" w:cs="Arial" w:eastAsia="Arial" w:hAnsi="Arial"/>
                <w:sz w:val="11"/>
                <w:szCs w:val="11"/>
                <w:color w:val="auto"/>
              </w:rPr>
              <w:t>postretirement liability</w:t>
            </w: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360" w:type="dxa"/>
            <w:vAlign w:val="bottom"/>
          </w:tcPr>
          <w:p>
            <w:pPr>
              <w:ind w:left="20"/>
              <w:spacing w:after="0"/>
              <w:rPr>
                <w:sz w:val="20"/>
                <w:szCs w:val="20"/>
                <w:color w:val="auto"/>
              </w:rPr>
            </w:pPr>
            <w:r>
              <w:rPr>
                <w:rFonts w:ascii="Arial" w:cs="Arial" w:eastAsia="Arial" w:hAnsi="Arial"/>
                <w:sz w:val="11"/>
                <w:szCs w:val="11"/>
                <w:color w:val="auto"/>
              </w:rPr>
              <w:t>adjustments</w:t>
            </w: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1"/>
                <w:szCs w:val="11"/>
                <w:color w:val="auto"/>
              </w:rPr>
            </w:pPr>
          </w:p>
        </w:tc>
        <w:tc>
          <w:tcPr>
            <w:tcW w:w="1460" w:type="dxa"/>
            <w:vAlign w:val="bottom"/>
          </w:tcPr>
          <w:p>
            <w:pPr>
              <w:jc w:val="right"/>
              <w:ind w:right="6"/>
              <w:spacing w:after="0"/>
              <w:rPr>
                <w:sz w:val="20"/>
                <w:szCs w:val="20"/>
                <w:color w:val="auto"/>
              </w:rPr>
            </w:pPr>
            <w:r>
              <w:rPr>
                <w:rFonts w:ascii="Arial" w:cs="Arial" w:eastAsia="Arial" w:hAnsi="Arial"/>
                <w:sz w:val="11"/>
                <w:szCs w:val="11"/>
                <w:color w:val="auto"/>
              </w:rPr>
              <w:t>223</w:t>
            </w: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223</w:t>
            </w:r>
          </w:p>
        </w:tc>
        <w:tc>
          <w:tcPr>
            <w:tcW w:w="0" w:type="dxa"/>
            <w:vAlign w:val="bottom"/>
          </w:tcPr>
          <w:p>
            <w:pPr>
              <w:spacing w:after="0"/>
              <w:rPr>
                <w:sz w:val="1"/>
                <w:szCs w:val="1"/>
                <w:color w:val="auto"/>
              </w:rPr>
            </w:pPr>
          </w:p>
        </w:tc>
      </w:tr>
      <w:tr>
        <w:trPr>
          <w:trHeight w:val="22"/>
        </w:trPr>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3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Derivative valuation</w:t>
            </w: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adjustment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1,873</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1,873</w:t>
            </w:r>
          </w:p>
        </w:tc>
        <w:tc>
          <w:tcPr>
            <w:tcW w:w="0" w:type="dxa"/>
            <w:vAlign w:val="bottom"/>
          </w:tcPr>
          <w:p>
            <w:pPr>
              <w:spacing w:after="0"/>
              <w:rPr>
                <w:sz w:val="1"/>
                <w:szCs w:val="1"/>
                <w:color w:val="auto"/>
              </w:rPr>
            </w:pPr>
          </w:p>
        </w:tc>
      </w:tr>
      <w:tr>
        <w:trPr>
          <w:trHeight w:val="135"/>
        </w:trPr>
        <w:tc>
          <w:tcPr>
            <w:tcW w:w="1360" w:type="dxa"/>
            <w:vAlign w:val="bottom"/>
            <w:tcBorders>
              <w:top w:val="single" w:sz="8" w:color="auto"/>
            </w:tcBorders>
          </w:tcPr>
          <w:p>
            <w:pPr>
              <w:ind w:left="20"/>
              <w:spacing w:after="0"/>
              <w:rPr>
                <w:sz w:val="20"/>
                <w:szCs w:val="20"/>
                <w:color w:val="auto"/>
              </w:rPr>
            </w:pPr>
            <w:r>
              <w:rPr>
                <w:rFonts w:ascii="Arial" w:cs="Arial" w:eastAsia="Arial" w:hAnsi="Arial"/>
                <w:sz w:val="11"/>
                <w:szCs w:val="11"/>
                <w:b w:val="1"/>
                <w:bCs w:val="1"/>
                <w:color w:val="auto"/>
              </w:rPr>
              <w:t>September 30, 2021</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40,760</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66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41</w:t>
            </w:r>
          </w:p>
        </w:tc>
        <w:tc>
          <w:tcPr>
            <w:tcW w:w="6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w:t>
            </w: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7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436,079</w:t>
            </w: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6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841,162</w:t>
            </w:r>
          </w:p>
        </w:tc>
        <w:tc>
          <w:tcPr>
            <w:tcW w:w="400" w:type="dxa"/>
            <w:vAlign w:val="bottom"/>
            <w:tcBorders>
              <w:top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(144,911)</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8,380</w:t>
            </w:r>
          </w:p>
        </w:tc>
        <w:tc>
          <w:tcPr>
            <w:tcW w:w="12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(255,768)</w:t>
            </w:r>
          </w:p>
        </w:tc>
        <w:tc>
          <w:tcPr>
            <w:tcW w:w="500" w:type="dxa"/>
            <w:vAlign w:val="bottom"/>
            <w:tcBorders>
              <w:top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3,730</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880,333</w:t>
            </w:r>
          </w:p>
        </w:tc>
        <w:tc>
          <w:tcPr>
            <w:tcW w:w="0" w:type="dxa"/>
            <w:vAlign w:val="bottom"/>
          </w:tcPr>
          <w:p>
            <w:pPr>
              <w:spacing w:after="0"/>
              <w:rPr>
                <w:sz w:val="1"/>
                <w:szCs w:val="1"/>
                <w:color w:val="auto"/>
              </w:rPr>
            </w:pP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1" w:name="page22"/>
    <w:bookmarkEnd w:id="2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changes in Shareholders’ Equity for the period December 31, 2019 to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0465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60" w:type="dxa"/>
            <w:vAlign w:val="bottom"/>
          </w:tcPr>
          <w:p>
            <w:pPr>
              <w:spacing w:after="0"/>
              <w:rPr>
                <w:sz w:val="10"/>
                <w:szCs w:val="10"/>
                <w:color w:val="auto"/>
              </w:rPr>
            </w:pPr>
          </w:p>
        </w:tc>
        <w:tc>
          <w:tcPr>
            <w:tcW w:w="1480" w:type="dxa"/>
            <w:vAlign w:val="bottom"/>
            <w:gridSpan w:val="3"/>
          </w:tcPr>
          <w:p>
            <w:pPr>
              <w:jc w:val="right"/>
              <w:ind w:right="526"/>
              <w:spacing w:after="0"/>
              <w:rPr>
                <w:sz w:val="20"/>
                <w:szCs w:val="20"/>
                <w:color w:val="auto"/>
              </w:rPr>
            </w:pPr>
            <w:r>
              <w:rPr>
                <w:rFonts w:ascii="Arial" w:cs="Arial" w:eastAsia="Arial" w:hAnsi="Arial"/>
                <w:sz w:val="11"/>
                <w:szCs w:val="11"/>
                <w:b w:val="1"/>
                <w:bCs w:val="1"/>
                <w:color w:val="auto"/>
              </w:rPr>
              <w:t>Class A</w:t>
            </w:r>
          </w:p>
        </w:tc>
        <w:tc>
          <w:tcPr>
            <w:tcW w:w="1300" w:type="dxa"/>
            <w:vAlign w:val="bottom"/>
            <w:gridSpan w:val="3"/>
          </w:tcPr>
          <w:p>
            <w:pPr>
              <w:jc w:val="right"/>
              <w:ind w:right="446"/>
              <w:spacing w:after="0"/>
              <w:rPr>
                <w:sz w:val="20"/>
                <w:szCs w:val="20"/>
                <w:color w:val="auto"/>
              </w:rPr>
            </w:pPr>
            <w:r>
              <w:rPr>
                <w:rFonts w:ascii="Arial" w:cs="Arial" w:eastAsia="Arial" w:hAnsi="Arial"/>
                <w:sz w:val="11"/>
                <w:szCs w:val="11"/>
                <w:b w:val="1"/>
                <w:bCs w:val="1"/>
                <w:color w:val="auto"/>
              </w:rPr>
              <w:t>Class B</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320" w:type="dxa"/>
            <w:vAlign w:val="bottom"/>
            <w:gridSpan w:val="3"/>
          </w:tcPr>
          <w:p>
            <w:pPr>
              <w:jc w:val="center"/>
              <w:spacing w:after="0"/>
              <w:rPr>
                <w:sz w:val="20"/>
                <w:szCs w:val="20"/>
                <w:color w:val="auto"/>
              </w:rPr>
            </w:pPr>
            <w:r>
              <w:rPr>
                <w:rFonts w:ascii="Arial" w:cs="Arial" w:eastAsia="Arial" w:hAnsi="Arial"/>
                <w:sz w:val="11"/>
                <w:szCs w:val="11"/>
                <w:b w:val="1"/>
                <w:bCs w:val="1"/>
                <w:color w:val="auto"/>
                <w:w w:val="99"/>
              </w:rPr>
              <w:t>Class A</w:t>
            </w: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480" w:type="dxa"/>
            <w:vAlign w:val="bottom"/>
            <w:gridSpan w:val="3"/>
          </w:tcPr>
          <w:p>
            <w:pPr>
              <w:jc w:val="right"/>
              <w:ind w:right="326"/>
              <w:spacing w:after="0"/>
              <w:rPr>
                <w:sz w:val="20"/>
                <w:szCs w:val="20"/>
                <w:color w:val="auto"/>
              </w:rPr>
            </w:pPr>
            <w:r>
              <w:rPr>
                <w:rFonts w:ascii="Arial" w:cs="Arial" w:eastAsia="Arial" w:hAnsi="Arial"/>
                <w:sz w:val="11"/>
                <w:szCs w:val="11"/>
                <w:b w:val="1"/>
                <w:bCs w:val="1"/>
                <w:color w:val="auto"/>
              </w:rPr>
              <w:t>Common Stock</w:t>
            </w:r>
          </w:p>
        </w:tc>
        <w:tc>
          <w:tcPr>
            <w:tcW w:w="1300" w:type="dxa"/>
            <w:vAlign w:val="bottom"/>
            <w:gridSpan w:val="3"/>
          </w:tcPr>
          <w:p>
            <w:pPr>
              <w:jc w:val="right"/>
              <w:ind w:right="246"/>
              <w:spacing w:after="0"/>
              <w:rPr>
                <w:sz w:val="20"/>
                <w:szCs w:val="20"/>
                <w:color w:val="auto"/>
              </w:rPr>
            </w:pPr>
            <w:r>
              <w:rPr>
                <w:rFonts w:ascii="Arial" w:cs="Arial" w:eastAsia="Arial" w:hAnsi="Arial"/>
                <w:sz w:val="11"/>
                <w:szCs w:val="11"/>
                <w:b w:val="1"/>
                <w:bCs w:val="1"/>
                <w:color w:val="auto"/>
              </w:rPr>
              <w:t>Common Stock</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20" w:type="dxa"/>
            <w:vAlign w:val="bottom"/>
            <w:gridSpan w:val="3"/>
          </w:tcPr>
          <w:p>
            <w:pPr>
              <w:jc w:val="center"/>
              <w:spacing w:after="0"/>
              <w:rPr>
                <w:sz w:val="20"/>
                <w:szCs w:val="20"/>
                <w:color w:val="auto"/>
              </w:rPr>
            </w:pPr>
            <w:r>
              <w:rPr>
                <w:rFonts w:ascii="Arial" w:cs="Arial" w:eastAsia="Arial" w:hAnsi="Arial"/>
                <w:sz w:val="11"/>
                <w:szCs w:val="11"/>
                <w:b w:val="1"/>
                <w:bCs w:val="1"/>
                <w:color w:val="auto"/>
                <w:w w:val="98"/>
              </w:rPr>
              <w:t>Treasury Stock</w:t>
            </w: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w w:val="98"/>
              </w:rPr>
              <w:t>Additional paid-</w:t>
            </w: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w w:val="98"/>
              </w:rPr>
              <w:t>Accumulated other comprehensive</w:t>
            </w: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
        </w:trPr>
        <w:tc>
          <w:tcPr>
            <w:tcW w:w="1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4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1260" w:type="dxa"/>
            <w:vAlign w:val="bottom"/>
          </w:tcPr>
          <w:p>
            <w:pPr>
              <w:ind w:left="20"/>
              <w:spacing w:after="0"/>
              <w:rPr>
                <w:sz w:val="20"/>
                <w:szCs w:val="20"/>
                <w:color w:val="auto"/>
              </w:rPr>
            </w:pPr>
            <w:r>
              <w:rPr>
                <w:rFonts w:ascii="Arial" w:cs="Arial" w:eastAsia="Arial" w:hAnsi="Arial"/>
                <w:sz w:val="11"/>
                <w:szCs w:val="11"/>
                <w:b w:val="1"/>
                <w:bCs w:val="1"/>
                <w:color w:val="auto"/>
              </w:rPr>
              <w:t>(in thousands)</w:t>
            </w:r>
          </w:p>
        </w:tc>
        <w:tc>
          <w:tcPr>
            <w:tcW w:w="680" w:type="dxa"/>
            <w:vAlign w:val="bottom"/>
          </w:tcPr>
          <w:p>
            <w:pPr>
              <w:jc w:val="right"/>
              <w:ind w:right="86"/>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2"/>
                <w:szCs w:val="12"/>
                <w:color w:val="auto"/>
              </w:rPr>
            </w:pPr>
          </w:p>
        </w:tc>
        <w:tc>
          <w:tcPr>
            <w:tcW w:w="660" w:type="dxa"/>
            <w:vAlign w:val="bottom"/>
          </w:tcPr>
          <w:p>
            <w:pPr>
              <w:jc w:val="right"/>
              <w:ind w:right="166"/>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jc w:val="right"/>
              <w:ind w:right="106"/>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2"/>
                <w:szCs w:val="12"/>
                <w:color w:val="auto"/>
              </w:rPr>
            </w:pPr>
          </w:p>
        </w:tc>
        <w:tc>
          <w:tcPr>
            <w:tcW w:w="740" w:type="dxa"/>
            <w:vAlign w:val="bottom"/>
          </w:tcPr>
          <w:p>
            <w:pPr>
              <w:jc w:val="right"/>
              <w:ind w:right="146"/>
              <w:spacing w:after="0"/>
              <w:rPr>
                <w:sz w:val="20"/>
                <w:szCs w:val="20"/>
                <w:color w:val="auto"/>
              </w:rPr>
            </w:pPr>
            <w:r>
              <w:rPr>
                <w:rFonts w:ascii="Arial" w:cs="Arial" w:eastAsia="Arial" w:hAnsi="Arial"/>
                <w:sz w:val="11"/>
                <w:szCs w:val="11"/>
                <w:b w:val="1"/>
                <w:bCs w:val="1"/>
                <w:color w:val="auto"/>
              </w:rPr>
              <w:t>in capital</w:t>
            </w: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w w:val="98"/>
              </w:rPr>
              <w:t>Retained earnings</w:t>
            </w:r>
          </w:p>
        </w:tc>
        <w:tc>
          <w:tcPr>
            <w:tcW w:w="420" w:type="dxa"/>
            <w:vAlign w:val="bottom"/>
          </w:tcPr>
          <w:p>
            <w:pPr>
              <w:spacing w:after="0"/>
              <w:rPr>
                <w:sz w:val="12"/>
                <w:szCs w:val="12"/>
                <w:color w:val="auto"/>
              </w:rPr>
            </w:pPr>
          </w:p>
        </w:tc>
        <w:tc>
          <w:tcPr>
            <w:tcW w:w="1420" w:type="dxa"/>
            <w:vAlign w:val="bottom"/>
          </w:tcPr>
          <w:p>
            <w:pPr>
              <w:jc w:val="right"/>
              <w:ind w:right="666"/>
              <w:spacing w:after="0"/>
              <w:rPr>
                <w:sz w:val="20"/>
                <w:szCs w:val="20"/>
                <w:color w:val="auto"/>
              </w:rPr>
            </w:pPr>
            <w:r>
              <w:rPr>
                <w:rFonts w:ascii="Arial" w:cs="Arial" w:eastAsia="Arial" w:hAnsi="Arial"/>
                <w:sz w:val="11"/>
                <w:szCs w:val="11"/>
                <w:b w:val="1"/>
                <w:bCs w:val="1"/>
                <w:color w:val="auto"/>
              </w:rPr>
              <w:t>income</w:t>
            </w:r>
          </w:p>
        </w:tc>
        <w:tc>
          <w:tcPr>
            <w:tcW w:w="620" w:type="dxa"/>
            <w:vAlign w:val="bottom"/>
          </w:tcPr>
          <w:p>
            <w:pPr>
              <w:jc w:val="right"/>
              <w:ind w:right="66"/>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2"/>
                <w:szCs w:val="12"/>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b w:val="1"/>
                <w:bCs w:val="1"/>
                <w:color w:val="auto"/>
              </w:rPr>
              <w:t>Amount</w:t>
            </w:r>
          </w:p>
        </w:tc>
        <w:tc>
          <w:tcPr>
            <w:tcW w:w="1220" w:type="dxa"/>
            <w:vAlign w:val="bottom"/>
            <w:gridSpan w:val="2"/>
          </w:tcPr>
          <w:p>
            <w:pPr>
              <w:ind w:left="20"/>
              <w:spacing w:after="0"/>
              <w:rPr>
                <w:sz w:val="20"/>
                <w:szCs w:val="20"/>
                <w:color w:val="auto"/>
              </w:rPr>
            </w:pPr>
            <w:r>
              <w:rPr>
                <w:rFonts w:ascii="Arial" w:cs="Arial" w:eastAsia="Arial" w:hAnsi="Arial"/>
                <w:sz w:val="11"/>
                <w:szCs w:val="11"/>
                <w:b w:val="1"/>
                <w:bCs w:val="1"/>
                <w:color w:val="auto"/>
                <w:w w:val="97"/>
              </w:rPr>
              <w:t>Noncontrolling Interest</w:t>
            </w:r>
          </w:p>
        </w:tc>
        <w:tc>
          <w:tcPr>
            <w:tcW w:w="100" w:type="dxa"/>
            <w:vAlign w:val="bottom"/>
          </w:tcPr>
          <w:p>
            <w:pPr>
              <w:spacing w:after="0"/>
              <w:rPr>
                <w:sz w:val="12"/>
                <w:szCs w:val="12"/>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b w:val="1"/>
                <w:bCs w:val="1"/>
                <w:color w:val="auto"/>
                <w:w w:val="98"/>
              </w:rPr>
              <w:t>Total Equity</w:t>
            </w:r>
          </w:p>
        </w:tc>
        <w:tc>
          <w:tcPr>
            <w:tcW w:w="0" w:type="dxa"/>
            <w:vAlign w:val="bottom"/>
          </w:tcPr>
          <w:p>
            <w:pPr>
              <w:spacing w:after="0"/>
              <w:rPr>
                <w:sz w:val="1"/>
                <w:szCs w:val="1"/>
                <w:color w:val="auto"/>
              </w:rPr>
            </w:pPr>
          </w:p>
        </w:tc>
      </w:tr>
      <w:tr>
        <w:trPr>
          <w:trHeight w:val="22"/>
        </w:trPr>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December 31, 2019</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39,099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39</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1,618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w:t>
            </w: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w:t>
            </w: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432,518</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698,496</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(175,981)</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8,409</w:t>
            </w: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(256,391)</w:t>
            </w: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4,006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702,689</w:t>
            </w:r>
          </w:p>
        </w:tc>
        <w:tc>
          <w:tcPr>
            <w:tcW w:w="0" w:type="dxa"/>
            <w:vAlign w:val="bottom"/>
          </w:tcPr>
          <w:p>
            <w:pPr>
              <w:spacing w:after="0"/>
              <w:rPr>
                <w:sz w:val="1"/>
                <w:szCs w:val="1"/>
                <w:color w:val="auto"/>
              </w:rPr>
            </w:pPr>
          </w:p>
        </w:tc>
      </w:tr>
      <w:tr>
        <w:trPr>
          <w:trHeight w:val="139"/>
        </w:trPr>
        <w:tc>
          <w:tcPr>
            <w:tcW w:w="126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Adoption of accounting</w:t>
            </w:r>
          </w:p>
        </w:tc>
        <w:tc>
          <w:tcPr>
            <w:tcW w:w="6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260" w:type="dxa"/>
            <w:vAlign w:val="bottom"/>
          </w:tcPr>
          <w:p>
            <w:pPr>
              <w:ind w:left="20"/>
              <w:spacing w:after="0"/>
              <w:rPr>
                <w:sz w:val="20"/>
                <w:szCs w:val="20"/>
                <w:color w:val="auto"/>
              </w:rPr>
            </w:pPr>
            <w:r>
              <w:rPr>
                <w:rFonts w:ascii="Arial" w:cs="Arial" w:eastAsia="Arial" w:hAnsi="Arial"/>
                <w:sz w:val="11"/>
                <w:szCs w:val="11"/>
                <w:color w:val="auto"/>
              </w:rPr>
              <w:t>standards (a)</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(1,443)</w:t>
            </w:r>
          </w:p>
        </w:tc>
        <w:tc>
          <w:tcPr>
            <w:tcW w:w="42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(1,443)</w:t>
            </w: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9,109</w:t>
            </w:r>
          </w:p>
        </w:tc>
        <w:tc>
          <w:tcPr>
            <w:tcW w:w="42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(1,515)</w:t>
            </w: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7,594</w:t>
            </w:r>
          </w:p>
        </w:tc>
        <w:tc>
          <w:tcPr>
            <w:tcW w:w="0" w:type="dxa"/>
            <w:vAlign w:val="bottom"/>
          </w:tcPr>
          <w:p>
            <w:pPr>
              <w:spacing w:after="0"/>
              <w:rPr>
                <w:sz w:val="1"/>
                <w:szCs w:val="1"/>
                <w:color w:val="auto"/>
              </w:rPr>
            </w:pPr>
          </w:p>
        </w:tc>
      </w:tr>
      <w:tr>
        <w:trPr>
          <w:trHeight w:val="145"/>
        </w:trPr>
        <w:tc>
          <w:tcPr>
            <w:tcW w:w="1260" w:type="dxa"/>
            <w:vAlign w:val="bottom"/>
          </w:tcPr>
          <w:p>
            <w:pPr>
              <w:ind w:left="20"/>
              <w:spacing w:after="0"/>
              <w:rPr>
                <w:sz w:val="20"/>
                <w:szCs w:val="20"/>
                <w:color w:val="auto"/>
              </w:rPr>
            </w:pPr>
            <w:r>
              <w:rPr>
                <w:rFonts w:ascii="Arial" w:cs="Arial" w:eastAsia="Arial" w:hAnsi="Arial"/>
                <w:sz w:val="11"/>
                <w:szCs w:val="11"/>
                <w:color w:val="auto"/>
              </w:rPr>
              <w:t>Compensation and</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260" w:type="dxa"/>
            <w:vAlign w:val="bottom"/>
          </w:tcPr>
          <w:p>
            <w:pPr>
              <w:ind w:left="20"/>
              <w:spacing w:after="0" w:line="122" w:lineRule="exact"/>
              <w:rPr>
                <w:sz w:val="20"/>
                <w:szCs w:val="20"/>
                <w:color w:val="auto"/>
              </w:rPr>
            </w:pPr>
            <w:r>
              <w:rPr>
                <w:rFonts w:ascii="Arial" w:cs="Arial" w:eastAsia="Arial" w:hAnsi="Arial"/>
                <w:sz w:val="11"/>
                <w:szCs w:val="11"/>
                <w:color w:val="auto"/>
              </w:rPr>
              <w:t>benefits paid or payable</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260" w:type="dxa"/>
            <w:vAlign w:val="bottom"/>
          </w:tcPr>
          <w:p>
            <w:pPr>
              <w:ind w:left="20"/>
              <w:spacing w:after="0"/>
              <w:rPr>
                <w:sz w:val="20"/>
                <w:szCs w:val="20"/>
                <w:color w:val="auto"/>
              </w:rPr>
            </w:pPr>
            <w:r>
              <w:rPr>
                <w:rFonts w:ascii="Arial" w:cs="Arial" w:eastAsia="Arial" w:hAnsi="Arial"/>
                <w:sz w:val="11"/>
                <w:szCs w:val="11"/>
                <w:color w:val="auto"/>
              </w:rPr>
              <w:t>in shares</w:t>
            </w:r>
          </w:p>
        </w:tc>
        <w:tc>
          <w:tcPr>
            <w:tcW w:w="680" w:type="dxa"/>
            <w:vAlign w:val="bottom"/>
          </w:tcPr>
          <w:p>
            <w:pPr>
              <w:jc w:val="right"/>
              <w:spacing w:after="0"/>
              <w:rPr>
                <w:sz w:val="20"/>
                <w:szCs w:val="20"/>
                <w:color w:val="auto"/>
              </w:rPr>
            </w:pPr>
            <w:r>
              <w:rPr>
                <w:rFonts w:ascii="Arial" w:cs="Arial" w:eastAsia="Arial" w:hAnsi="Arial"/>
                <w:sz w:val="11"/>
                <w:szCs w:val="11"/>
                <w:color w:val="auto"/>
              </w:rPr>
              <w:t>13</w:t>
            </w:r>
          </w:p>
        </w:tc>
        <w:tc>
          <w:tcPr>
            <w:tcW w:w="140" w:type="dxa"/>
            <w:vAlign w:val="bottom"/>
          </w:tcPr>
          <w:p>
            <w:pPr>
              <w:spacing w:after="0"/>
              <w:rPr>
                <w:sz w:val="11"/>
                <w:szCs w:val="11"/>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(682)</w:t>
            </w:r>
          </w:p>
        </w:tc>
        <w:tc>
          <w:tcPr>
            <w:tcW w:w="30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(682)</w:t>
            </w: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Options exercised</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1260" w:type="dxa"/>
            <w:vAlign w:val="bottom"/>
          </w:tcPr>
          <w:p>
            <w:pPr>
              <w:ind w:left="20"/>
              <w:spacing w:after="0"/>
              <w:rPr>
                <w:sz w:val="20"/>
                <w:szCs w:val="20"/>
                <w:color w:val="auto"/>
              </w:rPr>
            </w:pPr>
            <w:r>
              <w:rPr>
                <w:rFonts w:ascii="Arial" w:cs="Arial" w:eastAsia="Arial" w:hAnsi="Arial"/>
                <w:sz w:val="11"/>
                <w:szCs w:val="11"/>
                <w:color w:val="auto"/>
              </w:rPr>
              <w:t>Shares issued to</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260" w:type="dxa"/>
            <w:vAlign w:val="bottom"/>
          </w:tcPr>
          <w:p>
            <w:pPr>
              <w:ind w:left="20"/>
              <w:spacing w:after="0"/>
              <w:rPr>
                <w:sz w:val="20"/>
                <w:szCs w:val="20"/>
                <w:color w:val="auto"/>
              </w:rPr>
            </w:pPr>
            <w:r>
              <w:rPr>
                <w:rFonts w:ascii="Arial" w:cs="Arial" w:eastAsia="Arial" w:hAnsi="Arial"/>
                <w:sz w:val="11"/>
                <w:szCs w:val="11"/>
                <w:color w:val="auto"/>
              </w:rPr>
              <w:t>Directors'</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Dividends declared</w:t>
            </w:r>
          </w:p>
        </w:tc>
        <w:tc>
          <w:tcPr>
            <w:tcW w:w="6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260" w:type="dxa"/>
            <w:vAlign w:val="bottom"/>
          </w:tcPr>
          <w:p>
            <w:pPr>
              <w:ind w:left="20"/>
              <w:spacing w:after="0" w:line="119" w:lineRule="exact"/>
              <w:rPr>
                <w:sz w:val="20"/>
                <w:szCs w:val="20"/>
                <w:color w:val="auto"/>
              </w:rPr>
            </w:pPr>
            <w:r>
              <w:rPr>
                <w:rFonts w:ascii="Arial" w:cs="Arial" w:eastAsia="Arial" w:hAnsi="Arial"/>
                <w:sz w:val="11"/>
                <w:szCs w:val="11"/>
                <w:color w:val="auto"/>
              </w:rPr>
              <w:t>Class A Common Stock,</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260" w:type="dxa"/>
            <w:vAlign w:val="bottom"/>
          </w:tcPr>
          <w:p>
            <w:pPr>
              <w:ind w:left="20"/>
              <w:spacing w:after="0"/>
              <w:rPr>
                <w:sz w:val="20"/>
                <w:szCs w:val="20"/>
                <w:color w:val="auto"/>
              </w:rPr>
            </w:pPr>
            <w:r>
              <w:rPr>
                <w:rFonts w:ascii="Arial" w:cs="Arial" w:eastAsia="Arial" w:hAnsi="Arial"/>
                <w:sz w:val="11"/>
                <w:szCs w:val="11"/>
                <w:color w:val="auto"/>
              </w:rPr>
              <w:t>$0.19 per share</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(5,834)</w:t>
            </w:r>
          </w:p>
        </w:tc>
        <w:tc>
          <w:tcPr>
            <w:tcW w:w="42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(5,834)</w:t>
            </w: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2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Class B Common Stock,</w:t>
            </w: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$0.19 per share</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(307)</w:t>
            </w:r>
          </w:p>
        </w:tc>
        <w:tc>
          <w:tcPr>
            <w:tcW w:w="420" w:type="dxa"/>
            <w:vAlign w:val="bottom"/>
            <w:tcBorders>
              <w:bottom w:val="single" w:sz="8" w:color="CCEEFF"/>
            </w:tcBorders>
            <w:shd w:val="clear" w:color="auto" w:fill="CCEEFF"/>
          </w:tcPr>
          <w:p>
            <w:pPr>
              <w:spacing w:after="0"/>
              <w:rPr>
                <w:sz w:val="11"/>
                <w:szCs w:val="1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(307)</w:t>
            </w:r>
          </w:p>
        </w:tc>
        <w:tc>
          <w:tcPr>
            <w:tcW w:w="0" w:type="dxa"/>
            <w:vAlign w:val="bottom"/>
          </w:tcPr>
          <w:p>
            <w:pPr>
              <w:spacing w:after="0"/>
              <w:rPr>
                <w:sz w:val="1"/>
                <w:szCs w:val="1"/>
                <w:color w:val="auto"/>
              </w:rPr>
            </w:pPr>
          </w:p>
        </w:tc>
      </w:tr>
      <w:tr>
        <w:trPr>
          <w:trHeight w:val="145"/>
        </w:trPr>
        <w:tc>
          <w:tcPr>
            <w:tcW w:w="1260" w:type="dxa"/>
            <w:vAlign w:val="bottom"/>
          </w:tcPr>
          <w:p>
            <w:pPr>
              <w:ind w:left="20"/>
              <w:spacing w:after="0"/>
              <w:rPr>
                <w:sz w:val="20"/>
                <w:szCs w:val="20"/>
                <w:color w:val="auto"/>
              </w:rPr>
            </w:pPr>
            <w:r>
              <w:rPr>
                <w:rFonts w:ascii="Arial" w:cs="Arial" w:eastAsia="Arial" w:hAnsi="Arial"/>
                <w:sz w:val="11"/>
                <w:szCs w:val="11"/>
                <w:color w:val="auto"/>
              </w:rPr>
              <w:t>Cumulative translation</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260" w:type="dxa"/>
            <w:vAlign w:val="bottom"/>
          </w:tcPr>
          <w:p>
            <w:pPr>
              <w:ind w:left="20"/>
              <w:spacing w:after="0"/>
              <w:rPr>
                <w:sz w:val="20"/>
                <w:szCs w:val="20"/>
                <w:color w:val="auto"/>
              </w:rPr>
            </w:pPr>
            <w:r>
              <w:rPr>
                <w:rFonts w:ascii="Arial" w:cs="Arial" w:eastAsia="Arial" w:hAnsi="Arial"/>
                <w:sz w:val="11"/>
                <w:szCs w:val="11"/>
                <w:color w:val="auto"/>
              </w:rPr>
              <w:t>adjustments</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(25,747)</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109</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(25,638)</w:t>
            </w: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2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Pension and</w:t>
            </w: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60" w:type="dxa"/>
            <w:vAlign w:val="bottom"/>
            <w:shd w:val="clear" w:color="auto" w:fill="CCEEFF"/>
          </w:tcPr>
          <w:p>
            <w:pPr>
              <w:ind w:left="20"/>
              <w:spacing w:after="0" w:line="108" w:lineRule="exact"/>
              <w:rPr>
                <w:sz w:val="20"/>
                <w:szCs w:val="20"/>
                <w:color w:val="auto"/>
              </w:rPr>
            </w:pPr>
            <w:r>
              <w:rPr>
                <w:rFonts w:ascii="Arial" w:cs="Arial" w:eastAsia="Arial" w:hAnsi="Arial"/>
                <w:sz w:val="11"/>
                <w:szCs w:val="11"/>
                <w:color w:val="auto"/>
              </w:rPr>
              <w:t>postretirement liability</w:t>
            </w: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adjustments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spacing w:after="0"/>
              <w:rPr>
                <w:sz w:val="11"/>
                <w:szCs w:val="1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890</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890</w:t>
            </w:r>
          </w:p>
        </w:tc>
        <w:tc>
          <w:tcPr>
            <w:tcW w:w="0" w:type="dxa"/>
            <w:vAlign w:val="bottom"/>
          </w:tcPr>
          <w:p>
            <w:pPr>
              <w:spacing w:after="0"/>
              <w:rPr>
                <w:sz w:val="1"/>
                <w:szCs w:val="1"/>
                <w:color w:val="auto"/>
              </w:rPr>
            </w:pPr>
          </w:p>
        </w:tc>
      </w:tr>
      <w:tr>
        <w:trPr>
          <w:trHeight w:val="145"/>
        </w:trPr>
        <w:tc>
          <w:tcPr>
            <w:tcW w:w="1260" w:type="dxa"/>
            <w:vAlign w:val="bottom"/>
          </w:tcPr>
          <w:p>
            <w:pPr>
              <w:ind w:left="20"/>
              <w:spacing w:after="0"/>
              <w:rPr>
                <w:sz w:val="20"/>
                <w:szCs w:val="20"/>
                <w:color w:val="auto"/>
              </w:rPr>
            </w:pPr>
            <w:r>
              <w:rPr>
                <w:rFonts w:ascii="Arial" w:cs="Arial" w:eastAsia="Arial" w:hAnsi="Arial"/>
                <w:sz w:val="11"/>
                <w:szCs w:val="11"/>
                <w:color w:val="auto"/>
              </w:rPr>
              <w:t>Derivative valuation</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260" w:type="dxa"/>
            <w:vAlign w:val="bottom"/>
          </w:tcPr>
          <w:p>
            <w:pPr>
              <w:ind w:left="20"/>
              <w:spacing w:after="0"/>
              <w:rPr>
                <w:sz w:val="20"/>
                <w:szCs w:val="20"/>
                <w:color w:val="auto"/>
              </w:rPr>
            </w:pPr>
            <w:r>
              <w:rPr>
                <w:rFonts w:ascii="Arial" w:cs="Arial" w:eastAsia="Arial" w:hAnsi="Arial"/>
                <w:sz w:val="11"/>
                <w:szCs w:val="11"/>
                <w:color w:val="auto"/>
              </w:rPr>
              <w:t>adjustment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(7,708)</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(7,708)</w:t>
            </w:r>
          </w:p>
        </w:tc>
        <w:tc>
          <w:tcPr>
            <w:tcW w:w="0" w:type="dxa"/>
            <w:vAlign w:val="bottom"/>
          </w:tcPr>
          <w:p>
            <w:pPr>
              <w:spacing w:after="0"/>
              <w:rPr>
                <w:sz w:val="1"/>
                <w:szCs w:val="1"/>
                <w:color w:val="auto"/>
              </w:rPr>
            </w:pPr>
          </w:p>
        </w:tc>
      </w:tr>
      <w:tr>
        <w:trPr>
          <w:trHeight w:val="22"/>
        </w:trPr>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March 31, 2020</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39,112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39</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1,618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w:t>
            </w: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w:t>
            </w: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431,836</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700,021</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(208,546)</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8,409</w:t>
            </w: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(256,391)</w:t>
            </w: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2,600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669,561</w:t>
            </w:r>
          </w:p>
        </w:tc>
        <w:tc>
          <w:tcPr>
            <w:tcW w:w="0" w:type="dxa"/>
            <w:vAlign w:val="bottom"/>
          </w:tcPr>
          <w:p>
            <w:pPr>
              <w:spacing w:after="0"/>
              <w:rPr>
                <w:sz w:val="1"/>
                <w:szCs w:val="1"/>
                <w:color w:val="auto"/>
              </w:rPr>
            </w:pPr>
          </w:p>
        </w:tc>
      </w:tr>
      <w:tr>
        <w:trPr>
          <w:trHeight w:val="133"/>
        </w:trPr>
        <w:tc>
          <w:tcPr>
            <w:tcW w:w="126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Net income</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32,354</w:t>
            </w:r>
          </w:p>
        </w:tc>
        <w:tc>
          <w:tcPr>
            <w:tcW w:w="42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95</w:t>
            </w: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32,449</w:t>
            </w: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2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Compensation and</w:t>
            </w: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60" w:type="dxa"/>
            <w:vAlign w:val="bottom"/>
            <w:shd w:val="clear" w:color="auto" w:fill="CCEEFF"/>
          </w:tcPr>
          <w:p>
            <w:pPr>
              <w:ind w:left="20"/>
              <w:spacing w:after="0" w:line="108" w:lineRule="exact"/>
              <w:rPr>
                <w:sz w:val="20"/>
                <w:szCs w:val="20"/>
                <w:color w:val="auto"/>
              </w:rPr>
            </w:pPr>
            <w:r>
              <w:rPr>
                <w:rFonts w:ascii="Arial" w:cs="Arial" w:eastAsia="Arial" w:hAnsi="Arial"/>
                <w:sz w:val="11"/>
                <w:szCs w:val="11"/>
                <w:color w:val="auto"/>
              </w:rPr>
              <w:t>benefits paid or payable</w:t>
            </w: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 shares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466</w:t>
            </w:r>
          </w:p>
        </w:tc>
        <w:tc>
          <w:tcPr>
            <w:tcW w:w="3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spacing w:after="0"/>
              <w:rPr>
                <w:sz w:val="11"/>
                <w:szCs w:val="1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w:t>
            </w:r>
          </w:p>
        </w:tc>
        <w:tc>
          <w:tcPr>
            <w:tcW w:w="1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317</w:t>
            </w:r>
          </w:p>
        </w:tc>
        <w:tc>
          <w:tcPr>
            <w:tcW w:w="46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783</w:t>
            </w:r>
          </w:p>
        </w:tc>
        <w:tc>
          <w:tcPr>
            <w:tcW w:w="0" w:type="dxa"/>
            <w:vAlign w:val="bottom"/>
          </w:tcPr>
          <w:p>
            <w:pPr>
              <w:spacing w:after="0"/>
              <w:rPr>
                <w:sz w:val="1"/>
                <w:szCs w:val="1"/>
                <w:color w:val="auto"/>
              </w:rPr>
            </w:pPr>
          </w:p>
        </w:tc>
      </w:tr>
      <w:tr>
        <w:trPr>
          <w:trHeight w:val="140"/>
        </w:trPr>
        <w:tc>
          <w:tcPr>
            <w:tcW w:w="1260" w:type="dxa"/>
            <w:vAlign w:val="bottom"/>
          </w:tcPr>
          <w:p>
            <w:pPr>
              <w:ind w:left="20"/>
              <w:spacing w:after="0"/>
              <w:rPr>
                <w:sz w:val="20"/>
                <w:szCs w:val="20"/>
                <w:color w:val="auto"/>
              </w:rPr>
            </w:pPr>
            <w:r>
              <w:rPr>
                <w:rFonts w:ascii="Arial" w:cs="Arial" w:eastAsia="Arial" w:hAnsi="Arial"/>
                <w:sz w:val="11"/>
                <w:szCs w:val="11"/>
                <w:color w:val="auto"/>
              </w:rPr>
              <w:t>Options exercised</w:t>
            </w:r>
          </w:p>
        </w:tc>
        <w:tc>
          <w:tcPr>
            <w:tcW w:w="680" w:type="dxa"/>
            <w:vAlign w:val="bottom"/>
          </w:tcPr>
          <w:p>
            <w:pPr>
              <w:jc w:val="right"/>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12"/>
                <w:szCs w:val="12"/>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20</w:t>
            </w:r>
          </w:p>
        </w:tc>
        <w:tc>
          <w:tcPr>
            <w:tcW w:w="30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2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Shares issued to</w:t>
            </w: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Directors'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416</w:t>
            </w:r>
          </w:p>
        </w:tc>
        <w:tc>
          <w:tcPr>
            <w:tcW w:w="3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spacing w:after="0"/>
              <w:rPr>
                <w:sz w:val="11"/>
                <w:szCs w:val="1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416</w:t>
            </w:r>
          </w:p>
        </w:tc>
        <w:tc>
          <w:tcPr>
            <w:tcW w:w="0" w:type="dxa"/>
            <w:vAlign w:val="bottom"/>
          </w:tcPr>
          <w:p>
            <w:pPr>
              <w:spacing w:after="0"/>
              <w:rPr>
                <w:sz w:val="1"/>
                <w:szCs w:val="1"/>
                <w:color w:val="auto"/>
              </w:rPr>
            </w:pPr>
          </w:p>
        </w:tc>
      </w:tr>
      <w:tr>
        <w:trPr>
          <w:trHeight w:val="140"/>
        </w:trPr>
        <w:tc>
          <w:tcPr>
            <w:tcW w:w="1260" w:type="dxa"/>
            <w:vAlign w:val="bottom"/>
          </w:tcPr>
          <w:p>
            <w:pPr>
              <w:ind w:left="20"/>
              <w:spacing w:after="0"/>
              <w:rPr>
                <w:sz w:val="20"/>
                <w:szCs w:val="20"/>
                <w:color w:val="auto"/>
              </w:rPr>
            </w:pPr>
            <w:r>
              <w:rPr>
                <w:rFonts w:ascii="Arial" w:cs="Arial" w:eastAsia="Arial" w:hAnsi="Arial"/>
                <w:sz w:val="11"/>
                <w:szCs w:val="11"/>
                <w:color w:val="auto"/>
              </w:rPr>
              <w:t>Dividends declared</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2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Class A Common Stock,</w:t>
            </w: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$0.20 per share</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(5,835)</w:t>
            </w:r>
          </w:p>
        </w:tc>
        <w:tc>
          <w:tcPr>
            <w:tcW w:w="420" w:type="dxa"/>
            <w:vAlign w:val="bottom"/>
            <w:tcBorders>
              <w:bottom w:val="single" w:sz="8" w:color="CCEEFF"/>
            </w:tcBorders>
            <w:shd w:val="clear" w:color="auto" w:fill="CCEEFF"/>
          </w:tcPr>
          <w:p>
            <w:pPr>
              <w:spacing w:after="0"/>
              <w:rPr>
                <w:sz w:val="11"/>
                <w:szCs w:val="1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(5,835)</w:t>
            </w:r>
          </w:p>
        </w:tc>
        <w:tc>
          <w:tcPr>
            <w:tcW w:w="0" w:type="dxa"/>
            <w:vAlign w:val="bottom"/>
          </w:tcPr>
          <w:p>
            <w:pPr>
              <w:spacing w:after="0"/>
              <w:rPr>
                <w:sz w:val="1"/>
                <w:szCs w:val="1"/>
                <w:color w:val="auto"/>
              </w:rPr>
            </w:pPr>
          </w:p>
        </w:tc>
      </w:tr>
      <w:tr>
        <w:trPr>
          <w:trHeight w:val="118"/>
        </w:trPr>
        <w:tc>
          <w:tcPr>
            <w:tcW w:w="1260" w:type="dxa"/>
            <w:vAlign w:val="bottom"/>
          </w:tcPr>
          <w:p>
            <w:pPr>
              <w:ind w:left="20"/>
              <w:spacing w:after="0" w:line="119" w:lineRule="exact"/>
              <w:rPr>
                <w:sz w:val="20"/>
                <w:szCs w:val="20"/>
                <w:color w:val="auto"/>
              </w:rPr>
            </w:pPr>
            <w:r>
              <w:rPr>
                <w:rFonts w:ascii="Arial" w:cs="Arial" w:eastAsia="Arial" w:hAnsi="Arial"/>
                <w:sz w:val="11"/>
                <w:szCs w:val="11"/>
                <w:color w:val="auto"/>
              </w:rPr>
              <w:t>Class B Common Stock,</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260" w:type="dxa"/>
            <w:vAlign w:val="bottom"/>
          </w:tcPr>
          <w:p>
            <w:pPr>
              <w:ind w:left="20"/>
              <w:spacing w:after="0"/>
              <w:rPr>
                <w:sz w:val="20"/>
                <w:szCs w:val="20"/>
                <w:color w:val="auto"/>
              </w:rPr>
            </w:pPr>
            <w:r>
              <w:rPr>
                <w:rFonts w:ascii="Arial" w:cs="Arial" w:eastAsia="Arial" w:hAnsi="Arial"/>
                <w:sz w:val="11"/>
                <w:szCs w:val="11"/>
                <w:color w:val="auto"/>
              </w:rPr>
              <w:t>$0.20 per share</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(307)</w:t>
            </w:r>
          </w:p>
        </w:tc>
        <w:tc>
          <w:tcPr>
            <w:tcW w:w="42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(307)</w:t>
            </w: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2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Cumulative translation</w:t>
            </w: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adjustments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spacing w:after="0"/>
              <w:rPr>
                <w:sz w:val="11"/>
                <w:szCs w:val="1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8,964</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152</w:t>
            </w: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9,116</w:t>
            </w:r>
          </w:p>
        </w:tc>
        <w:tc>
          <w:tcPr>
            <w:tcW w:w="0" w:type="dxa"/>
            <w:vAlign w:val="bottom"/>
          </w:tcPr>
          <w:p>
            <w:pPr>
              <w:spacing w:after="0"/>
              <w:rPr>
                <w:sz w:val="1"/>
                <w:szCs w:val="1"/>
                <w:color w:val="auto"/>
              </w:rPr>
            </w:pPr>
          </w:p>
        </w:tc>
      </w:tr>
      <w:tr>
        <w:trPr>
          <w:trHeight w:val="118"/>
        </w:trPr>
        <w:tc>
          <w:tcPr>
            <w:tcW w:w="1260" w:type="dxa"/>
            <w:vAlign w:val="bottom"/>
          </w:tcPr>
          <w:p>
            <w:pPr>
              <w:ind w:left="20"/>
              <w:spacing w:after="0" w:line="119" w:lineRule="exact"/>
              <w:rPr>
                <w:sz w:val="20"/>
                <w:szCs w:val="20"/>
                <w:color w:val="auto"/>
              </w:rPr>
            </w:pPr>
            <w:r>
              <w:rPr>
                <w:rFonts w:ascii="Arial" w:cs="Arial" w:eastAsia="Arial" w:hAnsi="Arial"/>
                <w:sz w:val="11"/>
                <w:szCs w:val="11"/>
                <w:color w:val="auto"/>
              </w:rPr>
              <w:t>Pension and</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60" w:type="dxa"/>
            <w:vAlign w:val="bottom"/>
          </w:tcPr>
          <w:p>
            <w:pPr>
              <w:ind w:left="20"/>
              <w:spacing w:after="0" w:line="108" w:lineRule="exact"/>
              <w:rPr>
                <w:sz w:val="20"/>
                <w:szCs w:val="20"/>
                <w:color w:val="auto"/>
              </w:rPr>
            </w:pPr>
            <w:r>
              <w:rPr>
                <w:rFonts w:ascii="Arial" w:cs="Arial" w:eastAsia="Arial" w:hAnsi="Arial"/>
                <w:sz w:val="11"/>
                <w:szCs w:val="11"/>
                <w:color w:val="auto"/>
              </w:rPr>
              <w:t>postretirement liability</w:t>
            </w: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260" w:type="dxa"/>
            <w:vAlign w:val="bottom"/>
          </w:tcPr>
          <w:p>
            <w:pPr>
              <w:ind w:left="20"/>
              <w:spacing w:after="0"/>
              <w:rPr>
                <w:sz w:val="20"/>
                <w:szCs w:val="20"/>
                <w:color w:val="auto"/>
              </w:rPr>
            </w:pPr>
            <w:r>
              <w:rPr>
                <w:rFonts w:ascii="Arial" w:cs="Arial" w:eastAsia="Arial" w:hAnsi="Arial"/>
                <w:sz w:val="11"/>
                <w:szCs w:val="11"/>
                <w:color w:val="auto"/>
              </w:rPr>
              <w:t>adjustments</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142</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142</w:t>
            </w: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2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Derivative valuation</w:t>
            </w: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adjustment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spacing w:after="0"/>
              <w:rPr>
                <w:sz w:val="13"/>
                <w:szCs w:val="1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(187)</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(187)</w:t>
            </w:r>
          </w:p>
        </w:tc>
        <w:tc>
          <w:tcPr>
            <w:tcW w:w="0" w:type="dxa"/>
            <w:vAlign w:val="bottom"/>
          </w:tcPr>
          <w:p>
            <w:pPr>
              <w:spacing w:after="0"/>
              <w:rPr>
                <w:sz w:val="1"/>
                <w:szCs w:val="1"/>
                <w:color w:val="auto"/>
              </w:rPr>
            </w:pPr>
          </w:p>
        </w:tc>
      </w:tr>
      <w:tr>
        <w:trPr>
          <w:trHeight w:val="135"/>
        </w:trPr>
        <w:tc>
          <w:tcPr>
            <w:tcW w:w="1260" w:type="dxa"/>
            <w:vAlign w:val="bottom"/>
            <w:tcBorders>
              <w:top w:val="single" w:sz="8" w:color="auto"/>
            </w:tcBorders>
          </w:tcPr>
          <w:p>
            <w:pPr>
              <w:ind w:left="20"/>
              <w:spacing w:after="0"/>
              <w:rPr>
                <w:sz w:val="20"/>
                <w:szCs w:val="20"/>
                <w:color w:val="auto"/>
              </w:rPr>
            </w:pPr>
            <w:r>
              <w:rPr>
                <w:rFonts w:ascii="Arial" w:cs="Arial" w:eastAsia="Arial" w:hAnsi="Arial"/>
                <w:sz w:val="11"/>
                <w:szCs w:val="11"/>
                <w:b w:val="1"/>
                <w:bCs w:val="1"/>
                <w:color w:val="auto"/>
              </w:rPr>
              <w:t>June 30, 2020</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39,113</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66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39</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1,618</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5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w:t>
            </w:r>
          </w:p>
        </w:tc>
        <w:tc>
          <w:tcPr>
            <w:tcW w:w="12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w:t>
            </w:r>
          </w:p>
        </w:tc>
        <w:tc>
          <w:tcPr>
            <w:tcW w:w="7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432,738</w:t>
            </w: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6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726,233</w:t>
            </w:r>
          </w:p>
        </w:tc>
        <w:tc>
          <w:tcPr>
            <w:tcW w:w="420" w:type="dxa"/>
            <w:vAlign w:val="bottom"/>
            <w:tcBorders>
              <w:top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(199,627)</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8,394</w:t>
            </w:r>
          </w:p>
        </w:tc>
        <w:tc>
          <w:tcPr>
            <w:tcW w:w="12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(256,074)</w:t>
            </w:r>
          </w:p>
        </w:tc>
        <w:tc>
          <w:tcPr>
            <w:tcW w:w="460" w:type="dxa"/>
            <w:vAlign w:val="bottom"/>
            <w:tcBorders>
              <w:top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2,847</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7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706,158</w:t>
            </w:r>
          </w:p>
        </w:tc>
        <w:tc>
          <w:tcPr>
            <w:tcW w:w="0" w:type="dxa"/>
            <w:vAlign w:val="bottom"/>
          </w:tcPr>
          <w:p>
            <w:pPr>
              <w:spacing w:after="0"/>
              <w:rPr>
                <w:sz w:val="1"/>
                <w:szCs w:val="1"/>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29,589</w:t>
            </w:r>
          </w:p>
        </w:tc>
        <w:tc>
          <w:tcPr>
            <w:tcW w:w="420" w:type="dxa"/>
            <w:vAlign w:val="bottom"/>
            <w:tcBorders>
              <w:bottom w:val="single" w:sz="8" w:color="CCEEFF"/>
            </w:tcBorders>
            <w:shd w:val="clear" w:color="auto" w:fill="CCEEFF"/>
          </w:tcPr>
          <w:p>
            <w:pPr>
              <w:spacing w:after="0"/>
              <w:rPr>
                <w:sz w:val="11"/>
                <w:szCs w:val="1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29,590</w:t>
            </w:r>
          </w:p>
        </w:tc>
        <w:tc>
          <w:tcPr>
            <w:tcW w:w="0" w:type="dxa"/>
            <w:vAlign w:val="bottom"/>
          </w:tcPr>
          <w:p>
            <w:pPr>
              <w:spacing w:after="0"/>
              <w:rPr>
                <w:sz w:val="1"/>
                <w:szCs w:val="1"/>
                <w:color w:val="auto"/>
              </w:rPr>
            </w:pPr>
          </w:p>
        </w:tc>
      </w:tr>
      <w:tr>
        <w:trPr>
          <w:trHeight w:val="118"/>
        </w:trPr>
        <w:tc>
          <w:tcPr>
            <w:tcW w:w="1260" w:type="dxa"/>
            <w:vAlign w:val="bottom"/>
          </w:tcPr>
          <w:p>
            <w:pPr>
              <w:ind w:left="20"/>
              <w:spacing w:after="0" w:line="119" w:lineRule="exact"/>
              <w:rPr>
                <w:sz w:val="20"/>
                <w:szCs w:val="20"/>
                <w:color w:val="auto"/>
              </w:rPr>
            </w:pPr>
            <w:r>
              <w:rPr>
                <w:rFonts w:ascii="Arial" w:cs="Arial" w:eastAsia="Arial" w:hAnsi="Arial"/>
                <w:sz w:val="11"/>
                <w:szCs w:val="11"/>
                <w:color w:val="auto"/>
              </w:rPr>
              <w:t>Compensation and</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60" w:type="dxa"/>
            <w:vAlign w:val="bottom"/>
          </w:tcPr>
          <w:p>
            <w:pPr>
              <w:ind w:left="20"/>
              <w:spacing w:after="0" w:line="108" w:lineRule="exact"/>
              <w:rPr>
                <w:sz w:val="20"/>
                <w:szCs w:val="20"/>
                <w:color w:val="auto"/>
              </w:rPr>
            </w:pPr>
            <w:r>
              <w:rPr>
                <w:rFonts w:ascii="Arial" w:cs="Arial" w:eastAsia="Arial" w:hAnsi="Arial"/>
                <w:sz w:val="11"/>
                <w:szCs w:val="11"/>
                <w:color w:val="auto"/>
              </w:rPr>
              <w:t>benefits paid or payable</w:t>
            </w: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260" w:type="dxa"/>
            <w:vAlign w:val="bottom"/>
          </w:tcPr>
          <w:p>
            <w:pPr>
              <w:ind w:left="20"/>
              <w:spacing w:after="0"/>
              <w:rPr>
                <w:sz w:val="20"/>
                <w:szCs w:val="20"/>
                <w:color w:val="auto"/>
              </w:rPr>
            </w:pPr>
            <w:r>
              <w:rPr>
                <w:rFonts w:ascii="Arial" w:cs="Arial" w:eastAsia="Arial" w:hAnsi="Arial"/>
                <w:sz w:val="11"/>
                <w:szCs w:val="11"/>
                <w:color w:val="auto"/>
              </w:rPr>
              <w:t>in shares</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80</w:t>
            </w:r>
          </w:p>
        </w:tc>
        <w:tc>
          <w:tcPr>
            <w:tcW w:w="30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80</w:t>
            </w: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Options exercised</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w:t>
            </w:r>
          </w:p>
        </w:tc>
        <w:tc>
          <w:tcPr>
            <w:tcW w:w="3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18"/>
        </w:trPr>
        <w:tc>
          <w:tcPr>
            <w:tcW w:w="1260" w:type="dxa"/>
            <w:vAlign w:val="bottom"/>
          </w:tcPr>
          <w:p>
            <w:pPr>
              <w:ind w:left="20"/>
              <w:spacing w:after="0" w:line="119" w:lineRule="exact"/>
              <w:rPr>
                <w:sz w:val="20"/>
                <w:szCs w:val="20"/>
                <w:color w:val="auto"/>
              </w:rPr>
            </w:pPr>
            <w:r>
              <w:rPr>
                <w:rFonts w:ascii="Arial" w:cs="Arial" w:eastAsia="Arial" w:hAnsi="Arial"/>
                <w:sz w:val="11"/>
                <w:szCs w:val="11"/>
                <w:color w:val="auto"/>
              </w:rPr>
              <w:t>Shares issued to</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260" w:type="dxa"/>
            <w:vAlign w:val="bottom"/>
          </w:tcPr>
          <w:p>
            <w:pPr>
              <w:ind w:left="20"/>
              <w:spacing w:after="0"/>
              <w:rPr>
                <w:sz w:val="20"/>
                <w:szCs w:val="20"/>
                <w:color w:val="auto"/>
              </w:rPr>
            </w:pPr>
            <w:r>
              <w:rPr>
                <w:rFonts w:ascii="Arial" w:cs="Arial" w:eastAsia="Arial" w:hAnsi="Arial"/>
                <w:sz w:val="11"/>
                <w:szCs w:val="11"/>
                <w:color w:val="auto"/>
              </w:rPr>
              <w:t>Directors'</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Dividends declared</w:t>
            </w:r>
          </w:p>
        </w:tc>
        <w:tc>
          <w:tcPr>
            <w:tcW w:w="6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260" w:type="dxa"/>
            <w:vAlign w:val="bottom"/>
          </w:tcPr>
          <w:p>
            <w:pPr>
              <w:ind w:left="20"/>
              <w:spacing w:after="0" w:line="119" w:lineRule="exact"/>
              <w:rPr>
                <w:sz w:val="20"/>
                <w:szCs w:val="20"/>
                <w:color w:val="auto"/>
              </w:rPr>
            </w:pPr>
            <w:r>
              <w:rPr>
                <w:rFonts w:ascii="Arial" w:cs="Arial" w:eastAsia="Arial" w:hAnsi="Arial"/>
                <w:sz w:val="11"/>
                <w:szCs w:val="11"/>
                <w:color w:val="auto"/>
              </w:rPr>
              <w:t>Class A Common Stock,</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260" w:type="dxa"/>
            <w:vAlign w:val="bottom"/>
          </w:tcPr>
          <w:p>
            <w:pPr>
              <w:ind w:left="20"/>
              <w:spacing w:after="0"/>
              <w:rPr>
                <w:sz w:val="20"/>
                <w:szCs w:val="20"/>
                <w:color w:val="auto"/>
              </w:rPr>
            </w:pPr>
            <w:r>
              <w:rPr>
                <w:rFonts w:ascii="Arial" w:cs="Arial" w:eastAsia="Arial" w:hAnsi="Arial"/>
                <w:sz w:val="11"/>
                <w:szCs w:val="11"/>
                <w:color w:val="auto"/>
              </w:rPr>
              <w:t>$0.19 per share</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(5,837)</w:t>
            </w:r>
          </w:p>
        </w:tc>
        <w:tc>
          <w:tcPr>
            <w:tcW w:w="42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(5,837)</w:t>
            </w: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2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Class B Common Stock,</w:t>
            </w: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$0.19 per share</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(307)</w:t>
            </w:r>
          </w:p>
        </w:tc>
        <w:tc>
          <w:tcPr>
            <w:tcW w:w="420" w:type="dxa"/>
            <w:vAlign w:val="bottom"/>
            <w:tcBorders>
              <w:bottom w:val="single" w:sz="8" w:color="CCEEFF"/>
            </w:tcBorders>
            <w:shd w:val="clear" w:color="auto" w:fill="CCEEFF"/>
          </w:tcPr>
          <w:p>
            <w:pPr>
              <w:spacing w:after="0"/>
              <w:rPr>
                <w:sz w:val="11"/>
                <w:szCs w:val="1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(307)</w:t>
            </w:r>
          </w:p>
        </w:tc>
        <w:tc>
          <w:tcPr>
            <w:tcW w:w="0" w:type="dxa"/>
            <w:vAlign w:val="bottom"/>
          </w:tcPr>
          <w:p>
            <w:pPr>
              <w:spacing w:after="0"/>
              <w:rPr>
                <w:sz w:val="1"/>
                <w:szCs w:val="1"/>
                <w:color w:val="auto"/>
              </w:rPr>
            </w:pPr>
          </w:p>
        </w:tc>
      </w:tr>
      <w:tr>
        <w:trPr>
          <w:trHeight w:val="118"/>
        </w:trPr>
        <w:tc>
          <w:tcPr>
            <w:tcW w:w="1260" w:type="dxa"/>
            <w:vAlign w:val="bottom"/>
          </w:tcPr>
          <w:p>
            <w:pPr>
              <w:ind w:left="20"/>
              <w:spacing w:after="0" w:line="119" w:lineRule="exact"/>
              <w:rPr>
                <w:sz w:val="20"/>
                <w:szCs w:val="20"/>
                <w:color w:val="auto"/>
              </w:rPr>
            </w:pPr>
            <w:r>
              <w:rPr>
                <w:rFonts w:ascii="Arial" w:cs="Arial" w:eastAsia="Arial" w:hAnsi="Arial"/>
                <w:sz w:val="11"/>
                <w:szCs w:val="11"/>
                <w:color w:val="auto"/>
              </w:rPr>
              <w:t>Cumulative translation</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260" w:type="dxa"/>
            <w:vAlign w:val="bottom"/>
          </w:tcPr>
          <w:p>
            <w:pPr>
              <w:ind w:left="20"/>
              <w:spacing w:after="0"/>
              <w:rPr>
                <w:sz w:val="20"/>
                <w:szCs w:val="20"/>
                <w:color w:val="auto"/>
              </w:rPr>
            </w:pPr>
            <w:r>
              <w:rPr>
                <w:rFonts w:ascii="Arial" w:cs="Arial" w:eastAsia="Arial" w:hAnsi="Arial"/>
                <w:sz w:val="11"/>
                <w:szCs w:val="11"/>
                <w:color w:val="auto"/>
              </w:rPr>
              <w:t>adjustments</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19,821</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201</w:t>
            </w:r>
          </w:p>
        </w:tc>
        <w:tc>
          <w:tcPr>
            <w:tcW w:w="10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20,022</w:t>
            </w: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2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Pension and</w:t>
            </w: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60" w:type="dxa"/>
            <w:vAlign w:val="bottom"/>
            <w:shd w:val="clear" w:color="auto" w:fill="CCEEFF"/>
          </w:tcPr>
          <w:p>
            <w:pPr>
              <w:ind w:left="20"/>
              <w:spacing w:after="0" w:line="108" w:lineRule="exact"/>
              <w:rPr>
                <w:sz w:val="20"/>
                <w:szCs w:val="20"/>
                <w:color w:val="auto"/>
              </w:rPr>
            </w:pPr>
            <w:r>
              <w:rPr>
                <w:rFonts w:ascii="Arial" w:cs="Arial" w:eastAsia="Arial" w:hAnsi="Arial"/>
                <w:sz w:val="11"/>
                <w:szCs w:val="11"/>
                <w:color w:val="auto"/>
              </w:rPr>
              <w:t>postretirement liability</w:t>
            </w: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adjustments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spacing w:after="0"/>
              <w:rPr>
                <w:sz w:val="11"/>
                <w:szCs w:val="1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(474)</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(474)</w:t>
            </w:r>
          </w:p>
        </w:tc>
        <w:tc>
          <w:tcPr>
            <w:tcW w:w="0" w:type="dxa"/>
            <w:vAlign w:val="bottom"/>
          </w:tcPr>
          <w:p>
            <w:pPr>
              <w:spacing w:after="0"/>
              <w:rPr>
                <w:sz w:val="1"/>
                <w:szCs w:val="1"/>
                <w:color w:val="auto"/>
              </w:rPr>
            </w:pPr>
          </w:p>
        </w:tc>
      </w:tr>
      <w:tr>
        <w:trPr>
          <w:trHeight w:val="118"/>
        </w:trPr>
        <w:tc>
          <w:tcPr>
            <w:tcW w:w="1260" w:type="dxa"/>
            <w:vAlign w:val="bottom"/>
          </w:tcPr>
          <w:p>
            <w:pPr>
              <w:ind w:left="20"/>
              <w:spacing w:after="0" w:line="119" w:lineRule="exact"/>
              <w:rPr>
                <w:sz w:val="20"/>
                <w:szCs w:val="20"/>
                <w:color w:val="auto"/>
              </w:rPr>
            </w:pPr>
            <w:r>
              <w:rPr>
                <w:rFonts w:ascii="Arial" w:cs="Arial" w:eastAsia="Arial" w:hAnsi="Arial"/>
                <w:sz w:val="11"/>
                <w:szCs w:val="11"/>
                <w:color w:val="auto"/>
              </w:rPr>
              <w:t>Derivative valuation</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260" w:type="dxa"/>
            <w:vAlign w:val="bottom"/>
          </w:tcPr>
          <w:p>
            <w:pPr>
              <w:ind w:left="20"/>
              <w:spacing w:after="0"/>
              <w:rPr>
                <w:sz w:val="20"/>
                <w:szCs w:val="20"/>
                <w:color w:val="auto"/>
              </w:rPr>
            </w:pPr>
            <w:r>
              <w:rPr>
                <w:rFonts w:ascii="Arial" w:cs="Arial" w:eastAsia="Arial" w:hAnsi="Arial"/>
                <w:sz w:val="11"/>
                <w:szCs w:val="11"/>
                <w:color w:val="auto"/>
              </w:rPr>
              <w:t>adjustment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621</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621</w:t>
            </w:r>
          </w:p>
        </w:tc>
        <w:tc>
          <w:tcPr>
            <w:tcW w:w="0" w:type="dxa"/>
            <w:vAlign w:val="bottom"/>
          </w:tcPr>
          <w:p>
            <w:pPr>
              <w:spacing w:after="0"/>
              <w:rPr>
                <w:sz w:val="1"/>
                <w:szCs w:val="1"/>
                <w:color w:val="auto"/>
              </w:rPr>
            </w:pPr>
          </w:p>
        </w:tc>
      </w:tr>
      <w:tr>
        <w:trPr>
          <w:trHeight w:val="22"/>
        </w:trPr>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September 30, 2020</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39,114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39</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1,618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w:t>
            </w: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w:t>
            </w: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432,823</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749,678</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(179,659)</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8,394</w:t>
            </w: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(256,074)</w:t>
            </w: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3,049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749,858</w:t>
            </w: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0" w:right="479" w:bottom="1440" w:gutter="0" w:footer="0" w:header="0"/>
        </w:sectPr>
      </w:pPr>
    </w:p>
    <w:bookmarkStart w:id="22" w:name="page23"/>
    <w:bookmarkEnd w:id="2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hanging="332"/>
        <w:spacing w:after="0" w:line="258" w:lineRule="auto"/>
        <w:tabs>
          <w:tab w:leader="none" w:pos="33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adopted the provisions of ASC 326, Current Expected Credit Losses ("CECL") effective January 1, 2020, which resulted in a decrease to Retained earnings of $1.4 million.</w:t>
      </w:r>
    </w:p>
    <w:p>
      <w:pPr>
        <w:jc w:val="both"/>
        <w:ind w:left="340" w:hanging="332"/>
        <w:spacing w:after="0" w:line="252" w:lineRule="auto"/>
        <w:tabs>
          <w:tab w:leader="none" w:pos="33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third quarter of 2021, Standish Family Holdings, LLC and J.S. Standish Company (the "Selling Stockholders") agreed to sell to J.P. Morgan Securities LLC 1,566,644 shares of the Company’s Class A Common Stock, par value $0.001 per share, to be issued upon conversion of an equal number of shares of the Company’s Class B common stock, par value $0.001 per share, at a price per share of $75.9656 (the "Transaction"). Immediately following the Transaction, the Selling Stockholders and related persons (including Christine L. Standish and John C. Standish) hold in the aggregate shares of the Company’s common stock entitling them to cast less than one percent of the combined votes entitled to be cast by all stockholders of the Company. Costs associated with the Transaction were borne directly by the Selling Stockholders.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October 25, 2021, the Company's Board of Directors authorized the Company to repurchase shares of up to $200 million through open market purchases, privately negotiated transactions or otherwise, and to determine the prices, times and amounts. The program does not obligate the Company to acquire any particular amount of common stock, and it may be suspended or terminated at any time at the Company's discretion. The share repurchase program does not have an expiration date. The timing and amount of any share repurchases will be based on the Company’s liquidity, general business and market conditions, debt covenant restrictions and other factors, including alternative investment opportunities and capital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3" w:name="page24"/>
    <w:bookmarkEnd w:id="2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Management’s Discussion and Analysis (“MD&amp;A”) is intended to help the reader understand the results of operations and financial condition of the Company. MD&amp;A is provided as a supplement to, and should be read in conjunction with, our Consolidated Financial Statements and the accompanying Notes.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This quarterly report and the documents incorporated or deemed to be incorporated by reference in this quarterly report contain statements concerning our future results and performance and other matters that are “forward-looking” statements within the meaning of Section 27A of the Securities Act and Section 21E of the Securities Exchange Act of 1934, as amended (the “Exchange Act”). The words “believe,” “expect,” “anticipate,” “intend,” “estimate,” “project,” ”look for,” “will,” “should,” “guidance,” “guide” and similar expressions identify forward-looking statements, which generally are not historical in nature. Because forward-looking statements are subject to certain risks and uncertainties, (including, without limitation, those set forth in the Company’s most recent Annual Report on Form 10-K or prior Quarterly Reports on Form 10-Q) actual results may differ materially from those expressed or implied by such forward-looking statements.</w:t>
      </w:r>
    </w:p>
    <w:p>
      <w:pPr>
        <w:spacing w:after="0" w:line="9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There are a number of risks, uncertainties, and other important factors that could cause actual results to differ materially from the forward-looking statements, including, but not limited to:</w:t>
      </w:r>
    </w:p>
    <w:p>
      <w:pPr>
        <w:spacing w:after="0" w:line="90" w:lineRule="exact"/>
        <w:rPr>
          <w:sz w:val="20"/>
          <w:szCs w:val="20"/>
          <w:color w:val="auto"/>
        </w:rPr>
      </w:pPr>
    </w:p>
    <w:p>
      <w:pPr>
        <w:jc w:val="both"/>
        <w:ind w:left="980" w:hanging="324"/>
        <w:spacing w:after="0" w:line="256"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Conditions in the industries in which our Machine Clothing and Albany Engineered Composites segments compete, along with the general risks associated with macroeconomic conditions, including continuation of COVID-19 pandemic effects for an extended period of time;</w:t>
      </w:r>
    </w:p>
    <w:p>
      <w:pPr>
        <w:spacing w:after="0" w:line="93" w:lineRule="exact"/>
        <w:rPr>
          <w:rFonts w:ascii="Arial" w:cs="Arial" w:eastAsia="Arial" w:hAnsi="Arial"/>
          <w:sz w:val="18"/>
          <w:szCs w:val="18"/>
          <w:color w:val="auto"/>
        </w:rPr>
      </w:pPr>
    </w:p>
    <w:p>
      <w:pPr>
        <w:ind w:left="980" w:right="20" w:hanging="324"/>
        <w:spacing w:after="0" w:line="261"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both the Machine Clothing and Albany Engineered Composites segments, increasing labor, raw material, energy, and logistic costs due to supply chain constraints and inflationary pressures</w:t>
      </w:r>
    </w:p>
    <w:p>
      <w:pPr>
        <w:spacing w:after="0" w:line="89" w:lineRule="exact"/>
        <w:rPr>
          <w:rFonts w:ascii="Arial" w:cs="Arial" w:eastAsia="Arial" w:hAnsi="Arial"/>
          <w:sz w:val="18"/>
          <w:szCs w:val="18"/>
          <w:color w:val="auto"/>
        </w:rPr>
      </w:pPr>
    </w:p>
    <w:p>
      <w:pPr>
        <w:ind w:left="980" w:right="20" w:hanging="324"/>
        <w:spacing w:after="0" w:line="261"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Machine Clothing segment, greater than anticipated declines in the demand for publication grades of paper, or lower than anticipated growth in other paper grades;</w:t>
      </w:r>
    </w:p>
    <w:p>
      <w:pPr>
        <w:spacing w:after="0" w:line="89" w:lineRule="exact"/>
        <w:rPr>
          <w:rFonts w:ascii="Arial" w:cs="Arial" w:eastAsia="Arial" w:hAnsi="Arial"/>
          <w:sz w:val="18"/>
          <w:szCs w:val="18"/>
          <w:color w:val="auto"/>
        </w:rPr>
      </w:pPr>
    </w:p>
    <w:p>
      <w:pPr>
        <w:jc w:val="both"/>
        <w:ind w:left="980" w:hanging="324"/>
        <w:spacing w:after="0" w:line="256"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Albany Engineered Composites segment, longer than expected timeframe for the aerospace industry to utilize existing inventories, and unanticipated reductions in demand, delays, technical difficulties, or cancellations in aerospace programs that are expected to generate revenue and drive long-term growth;</w:t>
      </w:r>
    </w:p>
    <w:p>
      <w:pPr>
        <w:spacing w:after="0" w:line="9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achieve or maintain anticipated profitable growth in our Albany Engineered Composites segment;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risks and uncertainties detailed in this report.</w:t>
      </w:r>
    </w:p>
    <w:p>
      <w:pPr>
        <w:spacing w:after="0" w:line="11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Further information concerning important factors that could cause actual events or results to be materially different from the forward-looking statements can be found in “Business Environment Overview and Trends” sections of this quarterly report, as well as in Item 1A-“Risk Factors” section of our most recent Annual Report on Form 10-K. Although we believe the expectations reflected in our other forward-looking statements are based on reasonable assumptions, it is not possible to foresee or identify all factors that could have a material and negative impact on our future performance. The forward-looking statements included or incorporated by reference in this report are made on the basis of our assumptions and analyses, as of the time the statements are made, in light of our experience and perception of historical conditions, expected future developments, and other factors believed to be appropriate under the circumstances.</w:t>
      </w:r>
    </w:p>
    <w:p>
      <w:pPr>
        <w:spacing w:after="0" w:line="9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Except as otherwise required by the federal securities laws, we disclaim any obligations or undertaking to publicly release any updates or revisions to any forward-looking statement contained or incorporated by reference in this report to reflect any change in our expectations with regard thereto or any change in events, conditions, or circumstances on which any such statement is based.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Environment Overview and Trends</w:t>
      </w:r>
    </w:p>
    <w:p>
      <w:pPr>
        <w:spacing w:after="0" w:line="139"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Our reportable segments, Machine Clothing (“MC”) and Albany Engineered Composites (“AEC”), draw on the same advanced textiles and materials processing capabilities, and compete on the basis of product-based advantage that is grounded in those core capabilities.</w:t>
      </w:r>
    </w:p>
    <w:p>
      <w:pPr>
        <w:spacing w:after="0" w:line="9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MC segment is the Company’s long-established core business and primary generator of cash. While it has been negatively impacted by well-documented declines in publication grades in the Company’s traditional markets, there has been some offsetting effect due to growth in demand for packaging and tissue grades, as well as the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4" w:name="page25"/>
    <w:bookmarkEnd w:id="2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expansion of paper consumption and production in Asia and South America. We feel we are well-positioned in key markets, with high-quality, low-cost production in growth markets, substantially lower fixed costs in mature markets, and continued strength in new product development, technical product support, and manufacturing technology. Some of the markets in which our products are sold are expected to have low levels of growth and we face pricing pressures in all markets. Despite these market pressures on revenue, the MC business retains the potential for maintaining stable earnings in the future. MC has been a significant generator of cash, and we seek to maintain the cash-generating potential of this business by maintaining the low costs that we have achieved through continuous focus on cost-reduction initiatives, and competing vigorously by using our differentiated and technically superior products to reduce our customers’ total cost of operation and improve their paper quality.</w:t>
      </w:r>
    </w:p>
    <w:p>
      <w:pPr>
        <w:spacing w:after="0" w:line="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AEC segment provides significant longer term growth potential for our Company. Our strategy is to grow by focusing our proprietary 3D-woven technology, as well as our non-3D technology capabilities, on high-value aerospace (both commercial and defense) applications, while at the same time performing successfully on our portfolio of growth programs. AEC (including Albany Safran Composites, LLC (“ASC”), in which our customer, SAFRAN Group, owns a 10 percent noncontrolling interest) supplies a number of customers in the aerospace industry. AEC’s largest aerospace customer is the SAFRAN Group and sales to SAFRAN, through ASC, (consisting primarily of fan blades and cases for CFM’s LEAP engine) accounted for approximately 11 percent of the Company’s consolidated Net sales in 2020. AEC, through ASC, also supplies 3D -woven composite fan cases for the GE9X engine. AEC’s current portfolio of non-3D programs includes components for the F-35, fuselage components for the Boeing 787, components for the CH-53K helicopter, vacuum waste tanks for Boeing 7-Series aircraft, and missile bodies for Lockheed Martin’s JASSM air-to-surface missiles. AEC is actively engaged in research to develop new applications in both commercial and defense aircraft engine and airframe markets. In 2020, approximately 46 percent of AEC sales were related to U.S. government contracts or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5" w:name="page26"/>
    <w:bookmarkEnd w:id="2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Net sales by business segment: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3720" w:type="dxa"/>
            <w:vAlign w:val="bottom"/>
            <w:tcBorders>
              <w:top w:val="single" w:sz="8" w:color="auto"/>
              <w:bottom w:val="single" w:sz="8" w:color="auto"/>
            </w:tcBorders>
            <w:gridSpan w:val="4"/>
          </w:tcPr>
          <w:p>
            <w:pPr>
              <w:jc w:val="right"/>
              <w:ind w:right="841"/>
              <w:spacing w:after="0"/>
              <w:rPr>
                <w:sz w:val="20"/>
                <w:szCs w:val="20"/>
                <w:color w:val="auto"/>
              </w:rPr>
            </w:pPr>
            <w:r>
              <w:rPr>
                <w:rFonts w:ascii="Arial" w:cs="Arial" w:eastAsia="Arial" w:hAnsi="Arial"/>
                <w:sz w:val="14"/>
                <w:szCs w:val="14"/>
                <w:b w:val="1"/>
                <w:bCs w:val="1"/>
                <w:color w:val="auto"/>
              </w:rPr>
              <w:t>Three months ended September 30,</w:t>
            </w:r>
          </w:p>
        </w:tc>
        <w:tc>
          <w:tcPr>
            <w:tcW w:w="3440" w:type="dxa"/>
            <w:vAlign w:val="bottom"/>
            <w:tcBorders>
              <w:top w:val="single" w:sz="8" w:color="auto"/>
              <w:bottom w:val="single" w:sz="8" w:color="auto"/>
            </w:tcBorders>
            <w:gridSpan w:val="4"/>
          </w:tcPr>
          <w:p>
            <w:pPr>
              <w:jc w:val="right"/>
              <w:ind w:right="601"/>
              <w:spacing w:after="0"/>
              <w:rPr>
                <w:sz w:val="20"/>
                <w:szCs w:val="20"/>
                <w:color w:val="auto"/>
              </w:rPr>
            </w:pPr>
            <w:r>
              <w:rPr>
                <w:rFonts w:ascii="Arial" w:cs="Arial" w:eastAsia="Arial" w:hAnsi="Arial"/>
                <w:sz w:val="14"/>
                <w:szCs w:val="14"/>
                <w:b w:val="1"/>
                <w:bCs w:val="1"/>
                <w:color w:val="auto"/>
              </w:rPr>
              <w:t>Nine months ended September 30,</w:t>
            </w:r>
          </w:p>
        </w:tc>
      </w:tr>
      <w:tr>
        <w:trPr>
          <w:trHeight w:val="209"/>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5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c>
          <w:tcPr>
            <w:tcW w:w="14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 Change</w:t>
            </w: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c>
          <w:tcPr>
            <w:tcW w:w="12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 Change</w:t>
            </w:r>
          </w:p>
        </w:tc>
      </w:tr>
      <w:tr>
        <w:trPr>
          <w:trHeight w:val="210"/>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5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154,171</w:t>
            </w:r>
          </w:p>
        </w:tc>
        <w:tc>
          <w:tcPr>
            <w:tcW w:w="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138,747</w:t>
            </w:r>
          </w:p>
        </w:tc>
        <w:tc>
          <w:tcPr>
            <w:tcW w:w="14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 xml:space="preserve">11.1 % </w:t>
            </w:r>
            <w:r>
              <w:rPr>
                <w:rFonts w:ascii="Arial" w:cs="Arial" w:eastAsia="Arial" w:hAnsi="Arial"/>
                <w:sz w:val="16"/>
                <w:szCs w:val="16"/>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462,298</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428,782</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7.8 %</w:t>
            </w:r>
          </w:p>
        </w:tc>
      </w:tr>
      <w:tr>
        <w:trPr>
          <w:trHeight w:val="240"/>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Albany Engineered Composites</w:t>
            </w:r>
          </w:p>
        </w:tc>
        <w:tc>
          <w:tcPr>
            <w:tcW w:w="5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78,271</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73,252</w:t>
            </w:r>
          </w:p>
        </w:tc>
        <w:tc>
          <w:tcPr>
            <w:tcW w:w="148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6.9 %</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227,024</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244,971</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-7.3 %</w:t>
            </w:r>
          </w:p>
        </w:tc>
      </w:tr>
      <w:tr>
        <w:trPr>
          <w:trHeight w:val="212"/>
        </w:trPr>
        <w:tc>
          <w:tcPr>
            <w:tcW w:w="2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5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232,442</w:t>
            </w:r>
          </w:p>
        </w:tc>
        <w:tc>
          <w:tcPr>
            <w:tcW w:w="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211,999</w:t>
            </w:r>
          </w:p>
        </w:tc>
        <w:tc>
          <w:tcPr>
            <w:tcW w:w="14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 xml:space="preserve">9.6 % </w:t>
            </w:r>
            <w:r>
              <w:rPr>
                <w:rFonts w:ascii="Arial" w:cs="Arial" w:eastAsia="Arial" w:hAnsi="Arial"/>
                <w:sz w:val="16"/>
                <w:szCs w:val="16"/>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689,322</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673,753</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2.3 %</w:t>
            </w: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provide a comparison of 2021 Net sales, excluding the impact of currency translation effects, to 2020 Net sales: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center"/>
              <w:ind w:right="24"/>
              <w:spacing w:after="0"/>
              <w:rPr>
                <w:sz w:val="20"/>
                <w:szCs w:val="20"/>
                <w:color w:val="auto"/>
              </w:rPr>
            </w:pPr>
            <w:r>
              <w:rPr>
                <w:rFonts w:ascii="Arial" w:cs="Arial" w:eastAsia="Arial" w:hAnsi="Arial"/>
                <w:sz w:val="14"/>
                <w:szCs w:val="14"/>
                <w:b w:val="1"/>
                <w:bCs w:val="1"/>
                <w:color w:val="auto"/>
              </w:rPr>
              <w:t>Increase due to</w:t>
            </w: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center"/>
              <w:ind w:right="43"/>
              <w:spacing w:after="0"/>
              <w:rPr>
                <w:sz w:val="20"/>
                <w:szCs w:val="20"/>
                <w:color w:val="auto"/>
              </w:rPr>
            </w:pPr>
            <w:r>
              <w:rPr>
                <w:rFonts w:ascii="Arial" w:cs="Arial" w:eastAsia="Arial" w:hAnsi="Arial"/>
                <w:sz w:val="14"/>
                <w:szCs w:val="14"/>
                <w:b w:val="1"/>
                <w:bCs w:val="1"/>
                <w:color w:val="auto"/>
              </w:rPr>
              <w:t>Q3 2021 sales on</w:t>
            </w:r>
          </w:p>
        </w:tc>
        <w:tc>
          <w:tcPr>
            <w:tcW w:w="2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 Change compared</w:t>
            </w: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vMerge w:val="restart"/>
          </w:tcPr>
          <w:p>
            <w:pPr>
              <w:jc w:val="center"/>
              <w:ind w:right="101"/>
              <w:spacing w:after="0"/>
              <w:rPr>
                <w:sz w:val="20"/>
                <w:szCs w:val="20"/>
                <w:color w:val="auto"/>
              </w:rPr>
            </w:pPr>
            <w:r>
              <w:rPr>
                <w:rFonts w:ascii="Arial" w:cs="Arial" w:eastAsia="Arial" w:hAnsi="Arial"/>
                <w:sz w:val="14"/>
                <w:szCs w:val="14"/>
                <w:b w:val="1"/>
                <w:bCs w:val="1"/>
                <w:color w:val="auto"/>
              </w:rPr>
              <w:t>Net sales as</w:t>
            </w:r>
          </w:p>
        </w:tc>
        <w:tc>
          <w:tcPr>
            <w:tcW w:w="140" w:type="dxa"/>
            <w:vAlign w:val="bottom"/>
          </w:tcPr>
          <w:p>
            <w:pPr>
              <w:spacing w:after="0"/>
              <w:rPr>
                <w:sz w:val="11"/>
                <w:szCs w:val="11"/>
                <w:color w:val="auto"/>
              </w:rPr>
            </w:pPr>
          </w:p>
        </w:tc>
        <w:tc>
          <w:tcPr>
            <w:tcW w:w="1280" w:type="dxa"/>
            <w:vAlign w:val="bottom"/>
          </w:tcPr>
          <w:p>
            <w:pPr>
              <w:jc w:val="center"/>
              <w:ind w:right="24"/>
              <w:spacing w:after="0" w:line="135" w:lineRule="exact"/>
              <w:rPr>
                <w:sz w:val="20"/>
                <w:szCs w:val="20"/>
                <w:color w:val="auto"/>
              </w:rPr>
            </w:pPr>
            <w:r>
              <w:rPr>
                <w:rFonts w:ascii="Arial" w:cs="Arial" w:eastAsia="Arial" w:hAnsi="Arial"/>
                <w:sz w:val="14"/>
                <w:szCs w:val="14"/>
                <w:b w:val="1"/>
                <w:bCs w:val="1"/>
                <w:color w:val="auto"/>
              </w:rPr>
              <w:t>changes in</w:t>
            </w:r>
          </w:p>
        </w:tc>
        <w:tc>
          <w:tcPr>
            <w:tcW w:w="14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same basis as Q3</w:t>
            </w:r>
          </w:p>
        </w:tc>
        <w:tc>
          <w:tcPr>
            <w:tcW w:w="200" w:type="dxa"/>
            <w:vAlign w:val="bottom"/>
          </w:tcPr>
          <w:p>
            <w:pPr>
              <w:spacing w:after="0"/>
              <w:rPr>
                <w:sz w:val="11"/>
                <w:szCs w:val="11"/>
                <w:color w:val="auto"/>
              </w:rPr>
            </w:pPr>
          </w:p>
        </w:tc>
        <w:tc>
          <w:tcPr>
            <w:tcW w:w="1200" w:type="dxa"/>
            <w:vAlign w:val="bottom"/>
            <w:vMerge w:val="restart"/>
          </w:tcPr>
          <w:p>
            <w:pPr>
              <w:jc w:val="center"/>
              <w:ind w:right="121"/>
              <w:spacing w:after="0"/>
              <w:rPr>
                <w:sz w:val="20"/>
                <w:szCs w:val="20"/>
                <w:color w:val="auto"/>
              </w:rPr>
            </w:pPr>
            <w:r>
              <w:rPr>
                <w:rFonts w:ascii="Arial" w:cs="Arial" w:eastAsia="Arial" w:hAnsi="Arial"/>
                <w:sz w:val="14"/>
                <w:szCs w:val="14"/>
                <w:b w:val="1"/>
                <w:bCs w:val="1"/>
                <w:color w:val="auto"/>
              </w:rPr>
              <w:t>Net sales as</w:t>
            </w:r>
          </w:p>
        </w:tc>
        <w:tc>
          <w:tcPr>
            <w:tcW w:w="1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6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jc w:val="center"/>
              <w:ind w:right="24"/>
              <w:spacing w:after="0" w:line="135" w:lineRule="exact"/>
              <w:rPr>
                <w:sz w:val="20"/>
                <w:szCs w:val="20"/>
                <w:color w:val="auto"/>
              </w:rPr>
            </w:pPr>
            <w:r>
              <w:rPr>
                <w:rFonts w:ascii="Arial" w:cs="Arial" w:eastAsia="Arial" w:hAnsi="Arial"/>
                <w:sz w:val="14"/>
                <w:szCs w:val="14"/>
                <w:b w:val="1"/>
                <w:bCs w:val="1"/>
                <w:color w:val="auto"/>
              </w:rPr>
              <w:t>currency</w:t>
            </w:r>
          </w:p>
        </w:tc>
        <w:tc>
          <w:tcPr>
            <w:tcW w:w="140" w:type="dxa"/>
            <w:vAlign w:val="bottom"/>
          </w:tcPr>
          <w:p>
            <w:pPr>
              <w:spacing w:after="0"/>
              <w:rPr>
                <w:sz w:val="11"/>
                <w:szCs w:val="11"/>
                <w:color w:val="auto"/>
              </w:rPr>
            </w:pPr>
          </w:p>
        </w:tc>
        <w:tc>
          <w:tcPr>
            <w:tcW w:w="1280" w:type="dxa"/>
            <w:vAlign w:val="bottom"/>
          </w:tcPr>
          <w:p>
            <w:pPr>
              <w:jc w:val="center"/>
              <w:ind w:right="43"/>
              <w:spacing w:after="0" w:line="135" w:lineRule="exact"/>
              <w:rPr>
                <w:sz w:val="20"/>
                <w:szCs w:val="20"/>
                <w:color w:val="auto"/>
              </w:rPr>
            </w:pPr>
            <w:r>
              <w:rPr>
                <w:rFonts w:ascii="Arial" w:cs="Arial" w:eastAsia="Arial" w:hAnsi="Arial"/>
                <w:sz w:val="14"/>
                <w:szCs w:val="14"/>
                <w:b w:val="1"/>
                <w:bCs w:val="1"/>
                <w:color w:val="auto"/>
              </w:rPr>
              <w:t>2020 currency</w:t>
            </w:r>
          </w:p>
        </w:tc>
        <w:tc>
          <w:tcPr>
            <w:tcW w:w="20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to Q3 2020, excluding</w:t>
            </w:r>
          </w:p>
        </w:tc>
        <w:tc>
          <w:tcPr>
            <w:tcW w:w="0" w:type="dxa"/>
            <w:vAlign w:val="bottom"/>
          </w:tcPr>
          <w:p>
            <w:pPr>
              <w:spacing w:after="0"/>
              <w:rPr>
                <w:sz w:val="1"/>
                <w:szCs w:val="1"/>
                <w:color w:val="auto"/>
              </w:rPr>
            </w:pPr>
          </w:p>
        </w:tc>
      </w:tr>
      <w:tr>
        <w:trPr>
          <w:trHeight w:val="175"/>
        </w:trPr>
        <w:tc>
          <w:tcPr>
            <w:tcW w:w="2900" w:type="dxa"/>
            <w:vAlign w:val="bottom"/>
            <w:tcBorders>
              <w:bottom w:val="single" w:sz="8" w:color="auto"/>
            </w:tcBorders>
            <w:vMerge w:val="continue"/>
          </w:tcPr>
          <w:p>
            <w:pPr>
              <w:spacing w:after="0"/>
              <w:rPr>
                <w:sz w:val="15"/>
                <w:szCs w:val="15"/>
                <w:color w:val="auto"/>
              </w:rPr>
            </w:pPr>
          </w:p>
        </w:tc>
        <w:tc>
          <w:tcPr>
            <w:tcW w:w="1840" w:type="dxa"/>
            <w:vAlign w:val="bottom"/>
            <w:tcBorders>
              <w:bottom w:val="single" w:sz="8" w:color="auto"/>
            </w:tcBorders>
            <w:gridSpan w:val="2"/>
          </w:tcPr>
          <w:p>
            <w:pPr>
              <w:jc w:val="center"/>
              <w:ind w:left="402"/>
              <w:spacing w:after="0"/>
              <w:rPr>
                <w:sz w:val="20"/>
                <w:szCs w:val="20"/>
                <w:color w:val="auto"/>
              </w:rPr>
            </w:pPr>
            <w:r>
              <w:rPr>
                <w:rFonts w:ascii="Arial" w:cs="Arial" w:eastAsia="Arial" w:hAnsi="Arial"/>
                <w:sz w:val="14"/>
                <w:szCs w:val="14"/>
                <w:b w:val="1"/>
                <w:bCs w:val="1"/>
                <w:color w:val="auto"/>
              </w:rPr>
              <w:t>reported, Q3 2021</w:t>
            </w: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translation rates</w:t>
            </w: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rPr>
              <w:t>translation rates</w:t>
            </w: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reported, Q3 2020</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currency rate effects</w:t>
            </w:r>
          </w:p>
        </w:tc>
        <w:tc>
          <w:tcPr>
            <w:tcW w:w="0" w:type="dxa"/>
            <w:vAlign w:val="bottom"/>
          </w:tcPr>
          <w:p>
            <w:pPr>
              <w:spacing w:after="0"/>
              <w:rPr>
                <w:sz w:val="1"/>
                <w:szCs w:val="1"/>
                <w:color w:val="auto"/>
              </w:rPr>
            </w:pPr>
          </w:p>
        </w:tc>
      </w:tr>
      <w:tr>
        <w:trPr>
          <w:trHeight w:val="210"/>
        </w:trPr>
        <w:tc>
          <w:tcPr>
            <w:tcW w:w="2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660" w:type="dxa"/>
            <w:vAlign w:val="bottom"/>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154,171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1,688</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152,483</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138,747</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9.9 %</w:t>
            </w:r>
          </w:p>
        </w:tc>
        <w:tc>
          <w:tcPr>
            <w:tcW w:w="0" w:type="dxa"/>
            <w:vAlign w:val="bottom"/>
          </w:tcPr>
          <w:p>
            <w:pPr>
              <w:spacing w:after="0"/>
              <w:rPr>
                <w:sz w:val="1"/>
                <w:szCs w:val="1"/>
                <w:color w:val="auto"/>
              </w:rPr>
            </w:pPr>
          </w:p>
        </w:tc>
      </w:tr>
      <w:tr>
        <w:trPr>
          <w:trHeight w:val="215"/>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Albany Engineered Composites</w:t>
            </w:r>
          </w:p>
        </w:tc>
        <w:tc>
          <w:tcPr>
            <w:tcW w:w="6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78,271</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78,181</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73,252</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6.7 %</w:t>
            </w:r>
          </w:p>
        </w:tc>
        <w:tc>
          <w:tcPr>
            <w:tcW w:w="0" w:type="dxa"/>
            <w:vAlign w:val="bottom"/>
          </w:tcPr>
          <w:p>
            <w:pPr>
              <w:spacing w:after="0"/>
              <w:rPr>
                <w:sz w:val="1"/>
                <w:szCs w:val="1"/>
                <w:color w:val="auto"/>
              </w:rPr>
            </w:pPr>
          </w:p>
        </w:tc>
      </w:tr>
      <w:tr>
        <w:trPr>
          <w:trHeight w:val="209"/>
        </w:trPr>
        <w:tc>
          <w:tcPr>
            <w:tcW w:w="2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Consolidated total</w:t>
            </w:r>
          </w:p>
        </w:tc>
        <w:tc>
          <w:tcPr>
            <w:tcW w:w="6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232,442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230,664</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211,999</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8.8 %</w:t>
            </w:r>
          </w:p>
        </w:tc>
        <w:tc>
          <w:tcPr>
            <w:tcW w:w="0" w:type="dxa"/>
            <w:vAlign w:val="bottom"/>
          </w:tcPr>
          <w:p>
            <w:pPr>
              <w:spacing w:after="0"/>
              <w:rPr>
                <w:sz w:val="1"/>
                <w:szCs w:val="1"/>
                <w:color w:val="auto"/>
              </w:rPr>
            </w:pPr>
          </w:p>
        </w:tc>
      </w:tr>
      <w:tr>
        <w:trPr>
          <w:trHeight w:val="197"/>
        </w:trPr>
        <w:tc>
          <w:tcPr>
            <w:tcW w:w="29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center"/>
              <w:ind w:right="24"/>
              <w:spacing w:after="0" w:line="142" w:lineRule="exact"/>
              <w:rPr>
                <w:sz w:val="20"/>
                <w:szCs w:val="20"/>
                <w:color w:val="auto"/>
              </w:rPr>
            </w:pPr>
            <w:r>
              <w:rPr>
                <w:rFonts w:ascii="Arial" w:cs="Arial" w:eastAsia="Arial" w:hAnsi="Arial"/>
                <w:sz w:val="14"/>
                <w:szCs w:val="14"/>
                <w:b w:val="1"/>
                <w:bCs w:val="1"/>
                <w:color w:val="auto"/>
              </w:rPr>
              <w:t>Increase due to</w:t>
            </w:r>
          </w:p>
        </w:tc>
        <w:tc>
          <w:tcPr>
            <w:tcW w:w="14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rPr>
              <w:t>YTD 2021 sales on</w:t>
            </w: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Change compared</w:t>
            </w: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vMerge w:val="restart"/>
          </w:tcPr>
          <w:p>
            <w:pPr>
              <w:jc w:val="center"/>
              <w:ind w:right="101"/>
              <w:spacing w:after="0"/>
              <w:rPr>
                <w:sz w:val="20"/>
                <w:szCs w:val="20"/>
                <w:color w:val="auto"/>
              </w:rPr>
            </w:pPr>
            <w:r>
              <w:rPr>
                <w:rFonts w:ascii="Arial" w:cs="Arial" w:eastAsia="Arial" w:hAnsi="Arial"/>
                <w:sz w:val="14"/>
                <w:szCs w:val="14"/>
                <w:b w:val="1"/>
                <w:bCs w:val="1"/>
                <w:color w:val="auto"/>
              </w:rPr>
              <w:t>Net sales as</w:t>
            </w:r>
          </w:p>
        </w:tc>
        <w:tc>
          <w:tcPr>
            <w:tcW w:w="140" w:type="dxa"/>
            <w:vAlign w:val="bottom"/>
          </w:tcPr>
          <w:p>
            <w:pPr>
              <w:spacing w:after="0"/>
              <w:rPr>
                <w:sz w:val="11"/>
                <w:szCs w:val="11"/>
                <w:color w:val="auto"/>
              </w:rPr>
            </w:pPr>
          </w:p>
        </w:tc>
        <w:tc>
          <w:tcPr>
            <w:tcW w:w="1280" w:type="dxa"/>
            <w:vAlign w:val="bottom"/>
          </w:tcPr>
          <w:p>
            <w:pPr>
              <w:jc w:val="center"/>
              <w:ind w:right="24"/>
              <w:spacing w:after="0" w:line="135" w:lineRule="exact"/>
              <w:rPr>
                <w:sz w:val="20"/>
                <w:szCs w:val="20"/>
                <w:color w:val="auto"/>
              </w:rPr>
            </w:pPr>
            <w:r>
              <w:rPr>
                <w:rFonts w:ascii="Arial" w:cs="Arial" w:eastAsia="Arial" w:hAnsi="Arial"/>
                <w:sz w:val="14"/>
                <w:szCs w:val="14"/>
                <w:b w:val="1"/>
                <w:bCs w:val="1"/>
                <w:color w:val="auto"/>
              </w:rPr>
              <w:t>changes in</w:t>
            </w:r>
          </w:p>
        </w:tc>
        <w:tc>
          <w:tcPr>
            <w:tcW w:w="14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same basis as 2020</w:t>
            </w:r>
          </w:p>
        </w:tc>
        <w:tc>
          <w:tcPr>
            <w:tcW w:w="200" w:type="dxa"/>
            <w:vAlign w:val="bottom"/>
          </w:tcPr>
          <w:p>
            <w:pPr>
              <w:spacing w:after="0"/>
              <w:rPr>
                <w:sz w:val="11"/>
                <w:szCs w:val="11"/>
                <w:color w:val="auto"/>
              </w:rPr>
            </w:pPr>
          </w:p>
        </w:tc>
        <w:tc>
          <w:tcPr>
            <w:tcW w:w="1200" w:type="dxa"/>
            <w:vAlign w:val="bottom"/>
            <w:vMerge w:val="restart"/>
          </w:tcPr>
          <w:p>
            <w:pPr>
              <w:jc w:val="center"/>
              <w:ind w:right="121"/>
              <w:spacing w:after="0"/>
              <w:rPr>
                <w:sz w:val="20"/>
                <w:szCs w:val="20"/>
                <w:color w:val="auto"/>
              </w:rPr>
            </w:pPr>
            <w:r>
              <w:rPr>
                <w:rFonts w:ascii="Arial" w:cs="Arial" w:eastAsia="Arial" w:hAnsi="Arial"/>
                <w:sz w:val="14"/>
                <w:szCs w:val="14"/>
                <w:b w:val="1"/>
                <w:bCs w:val="1"/>
                <w:color w:val="auto"/>
              </w:rPr>
              <w:t>Net sales as</w:t>
            </w:r>
          </w:p>
        </w:tc>
        <w:tc>
          <w:tcPr>
            <w:tcW w:w="1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6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jc w:val="center"/>
              <w:ind w:right="24"/>
              <w:spacing w:after="0" w:line="135" w:lineRule="exact"/>
              <w:rPr>
                <w:sz w:val="20"/>
                <w:szCs w:val="20"/>
                <w:color w:val="auto"/>
              </w:rPr>
            </w:pPr>
            <w:r>
              <w:rPr>
                <w:rFonts w:ascii="Arial" w:cs="Arial" w:eastAsia="Arial" w:hAnsi="Arial"/>
                <w:sz w:val="14"/>
                <w:szCs w:val="14"/>
                <w:b w:val="1"/>
                <w:bCs w:val="1"/>
                <w:color w:val="auto"/>
              </w:rPr>
              <w:t>currency</w:t>
            </w:r>
          </w:p>
        </w:tc>
        <w:tc>
          <w:tcPr>
            <w:tcW w:w="140" w:type="dxa"/>
            <w:vAlign w:val="bottom"/>
          </w:tcPr>
          <w:p>
            <w:pPr>
              <w:spacing w:after="0"/>
              <w:rPr>
                <w:sz w:val="11"/>
                <w:szCs w:val="11"/>
                <w:color w:val="auto"/>
              </w:rPr>
            </w:pPr>
          </w:p>
        </w:tc>
        <w:tc>
          <w:tcPr>
            <w:tcW w:w="1280" w:type="dxa"/>
            <w:vAlign w:val="bottom"/>
          </w:tcPr>
          <w:p>
            <w:pPr>
              <w:jc w:val="center"/>
              <w:ind w:right="43"/>
              <w:spacing w:after="0" w:line="135" w:lineRule="exact"/>
              <w:rPr>
                <w:sz w:val="20"/>
                <w:szCs w:val="20"/>
                <w:color w:val="auto"/>
              </w:rPr>
            </w:pPr>
            <w:r>
              <w:rPr>
                <w:rFonts w:ascii="Arial" w:cs="Arial" w:eastAsia="Arial" w:hAnsi="Arial"/>
                <w:sz w:val="14"/>
                <w:szCs w:val="14"/>
                <w:b w:val="1"/>
                <w:bCs w:val="1"/>
                <w:color w:val="auto"/>
              </w:rPr>
              <w:t>currency</w:t>
            </w:r>
          </w:p>
        </w:tc>
        <w:tc>
          <w:tcPr>
            <w:tcW w:w="20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to 2020, excluding</w:t>
            </w:r>
          </w:p>
        </w:tc>
        <w:tc>
          <w:tcPr>
            <w:tcW w:w="0" w:type="dxa"/>
            <w:vAlign w:val="bottom"/>
          </w:tcPr>
          <w:p>
            <w:pPr>
              <w:spacing w:after="0"/>
              <w:rPr>
                <w:sz w:val="1"/>
                <w:szCs w:val="1"/>
                <w:color w:val="auto"/>
              </w:rPr>
            </w:pPr>
          </w:p>
        </w:tc>
      </w:tr>
      <w:tr>
        <w:trPr>
          <w:trHeight w:val="176"/>
        </w:trPr>
        <w:tc>
          <w:tcPr>
            <w:tcW w:w="2900" w:type="dxa"/>
            <w:vAlign w:val="bottom"/>
            <w:tcBorders>
              <w:bottom w:val="single" w:sz="8" w:color="auto"/>
            </w:tcBorders>
            <w:vMerge w:val="continue"/>
          </w:tcPr>
          <w:p>
            <w:pPr>
              <w:spacing w:after="0"/>
              <w:rPr>
                <w:sz w:val="15"/>
                <w:szCs w:val="15"/>
                <w:color w:val="auto"/>
              </w:rPr>
            </w:pPr>
          </w:p>
        </w:tc>
        <w:tc>
          <w:tcPr>
            <w:tcW w:w="1840" w:type="dxa"/>
            <w:vAlign w:val="bottom"/>
            <w:tcBorders>
              <w:bottom w:val="single" w:sz="8" w:color="auto"/>
            </w:tcBorders>
            <w:gridSpan w:val="2"/>
          </w:tcPr>
          <w:p>
            <w:pPr>
              <w:jc w:val="center"/>
              <w:ind w:left="402"/>
              <w:spacing w:after="0"/>
              <w:rPr>
                <w:sz w:val="20"/>
                <w:szCs w:val="20"/>
                <w:color w:val="auto"/>
              </w:rPr>
            </w:pPr>
            <w:r>
              <w:rPr>
                <w:rFonts w:ascii="Arial" w:cs="Arial" w:eastAsia="Arial" w:hAnsi="Arial"/>
                <w:sz w:val="14"/>
                <w:szCs w:val="14"/>
                <w:b w:val="1"/>
                <w:bCs w:val="1"/>
                <w:color w:val="auto"/>
              </w:rPr>
              <w:t>reported, YTD 2021</w:t>
            </w: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translation rates</w:t>
            </w: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rPr>
              <w:t>translation rates</w:t>
            </w: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reported, YTD 2020</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currency rate effects</w:t>
            </w:r>
          </w:p>
        </w:tc>
        <w:tc>
          <w:tcPr>
            <w:tcW w:w="0" w:type="dxa"/>
            <w:vAlign w:val="bottom"/>
          </w:tcPr>
          <w:p>
            <w:pPr>
              <w:spacing w:after="0"/>
              <w:rPr>
                <w:sz w:val="1"/>
                <w:szCs w:val="1"/>
                <w:color w:val="auto"/>
              </w:rPr>
            </w:pPr>
          </w:p>
        </w:tc>
      </w:tr>
      <w:tr>
        <w:trPr>
          <w:trHeight w:val="209"/>
        </w:trPr>
        <w:tc>
          <w:tcPr>
            <w:tcW w:w="2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660" w:type="dxa"/>
            <w:vAlign w:val="bottom"/>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462,298</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11,829</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450,469</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428,782</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5.1 %</w:t>
            </w:r>
          </w:p>
        </w:tc>
        <w:tc>
          <w:tcPr>
            <w:tcW w:w="0" w:type="dxa"/>
            <w:vAlign w:val="bottom"/>
          </w:tcPr>
          <w:p>
            <w:pPr>
              <w:spacing w:after="0"/>
              <w:rPr>
                <w:sz w:val="1"/>
                <w:szCs w:val="1"/>
                <w:color w:val="auto"/>
              </w:rPr>
            </w:pPr>
          </w:p>
        </w:tc>
      </w:tr>
      <w:tr>
        <w:trPr>
          <w:trHeight w:val="215"/>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Albany Engineered Composites</w:t>
            </w:r>
          </w:p>
        </w:tc>
        <w:tc>
          <w:tcPr>
            <w:tcW w:w="6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227,024</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2,356</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224,668</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244,971</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-8.3 %</w:t>
            </w:r>
          </w:p>
        </w:tc>
        <w:tc>
          <w:tcPr>
            <w:tcW w:w="0" w:type="dxa"/>
            <w:vAlign w:val="bottom"/>
          </w:tcPr>
          <w:p>
            <w:pPr>
              <w:spacing w:after="0"/>
              <w:rPr>
                <w:sz w:val="1"/>
                <w:szCs w:val="1"/>
                <w:color w:val="auto"/>
              </w:rPr>
            </w:pPr>
          </w:p>
        </w:tc>
      </w:tr>
      <w:tr>
        <w:trPr>
          <w:trHeight w:val="210"/>
        </w:trPr>
        <w:tc>
          <w:tcPr>
            <w:tcW w:w="2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Consolidated total</w:t>
            </w:r>
          </w:p>
        </w:tc>
        <w:tc>
          <w:tcPr>
            <w:tcW w:w="660" w:type="dxa"/>
            <w:vAlign w:val="bottom"/>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689,322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14,185</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675,137</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673,753</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39" w:lineRule="exact"/>
        <w:rPr>
          <w:sz w:val="20"/>
          <w:szCs w:val="20"/>
          <w:color w:val="auto"/>
        </w:rPr>
      </w:pPr>
    </w:p>
    <w:p>
      <w:pPr>
        <w:ind w:left="980" w:hanging="324"/>
        <w:spacing w:after="0" w:line="261"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increasing Net sales by $1.8 million during the third quarter of 2021, as compared to 2020, principally due to stronger Euro and Chinese Yuan Renminbi in 2021.</w:t>
      </w:r>
    </w:p>
    <w:p>
      <w:pPr>
        <w:spacing w:after="0" w:line="8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Net sales increased 8.8% compared to the same period in 2020.</w:t>
      </w:r>
    </w:p>
    <w:p>
      <w:pPr>
        <w:spacing w:after="0" w:line="117" w:lineRule="exact"/>
        <w:rPr>
          <w:rFonts w:ascii="Arial" w:cs="Arial" w:eastAsia="Arial" w:hAnsi="Arial"/>
          <w:sz w:val="18"/>
          <w:szCs w:val="18"/>
          <w:color w:val="auto"/>
        </w:rPr>
      </w:pPr>
    </w:p>
    <w:p>
      <w:pPr>
        <w:ind w:left="1300" w:hanging="320"/>
        <w:spacing w:after="0" w:line="261" w:lineRule="auto"/>
        <w:tabs>
          <w:tab w:leader="none" w:pos="1295" w:val="left"/>
        </w:tabs>
        <w:numPr>
          <w:ilvl w:val="1"/>
          <w:numId w:val="9"/>
        </w:numPr>
        <w:rPr>
          <w:rFonts w:ascii="Arial" w:cs="Arial" w:eastAsia="Arial" w:hAnsi="Arial"/>
          <w:sz w:val="18"/>
          <w:szCs w:val="18"/>
          <w:color w:val="auto"/>
        </w:rPr>
      </w:pPr>
      <w:r>
        <w:rPr>
          <w:rFonts w:ascii="Arial" w:cs="Arial" w:eastAsia="Arial" w:hAnsi="Arial"/>
          <w:sz w:val="18"/>
          <w:szCs w:val="18"/>
          <w:color w:val="auto"/>
        </w:rPr>
        <w:t>Net sales in MC increased 9.9% compared to the third quarter of 2020, due to growth in all major grades of product, led by engineered fabric and packaging grades.</w:t>
      </w:r>
    </w:p>
    <w:p>
      <w:pPr>
        <w:spacing w:after="0" w:line="89" w:lineRule="exact"/>
        <w:rPr>
          <w:rFonts w:ascii="Arial" w:cs="Arial" w:eastAsia="Arial" w:hAnsi="Arial"/>
          <w:sz w:val="18"/>
          <w:szCs w:val="18"/>
          <w:color w:val="auto"/>
        </w:rPr>
      </w:pPr>
    </w:p>
    <w:p>
      <w:pPr>
        <w:ind w:left="1300" w:hanging="320"/>
        <w:spacing w:after="0" w:line="261" w:lineRule="auto"/>
        <w:tabs>
          <w:tab w:leader="none" w:pos="1295" w:val="left"/>
        </w:tabs>
        <w:numPr>
          <w:ilvl w:val="1"/>
          <w:numId w:val="9"/>
        </w:numPr>
        <w:rPr>
          <w:rFonts w:ascii="Arial" w:cs="Arial" w:eastAsia="Arial" w:hAnsi="Arial"/>
          <w:sz w:val="18"/>
          <w:szCs w:val="18"/>
          <w:color w:val="auto"/>
        </w:rPr>
      </w:pPr>
      <w:r>
        <w:rPr>
          <w:rFonts w:ascii="Arial" w:cs="Arial" w:eastAsia="Arial" w:hAnsi="Arial"/>
          <w:sz w:val="18"/>
          <w:szCs w:val="18"/>
          <w:color w:val="auto"/>
        </w:rPr>
        <w:t>Net sales in AEC increased 6.7%, mainly due to growth on LEAP and CH-53K programs, partially offset by a decline in sales for the Boeing 787 and F-35 platforms.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 comparison</w:t>
      </w:r>
    </w:p>
    <w:p>
      <w:pPr>
        <w:spacing w:after="0" w:line="139" w:lineRule="exact"/>
        <w:rPr>
          <w:sz w:val="20"/>
          <w:szCs w:val="20"/>
          <w:color w:val="auto"/>
        </w:rPr>
      </w:pPr>
    </w:p>
    <w:p>
      <w:pPr>
        <w:ind w:left="980" w:hanging="324"/>
        <w:spacing w:after="0" w:line="261"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increasing Net sales by $14.2 million during the first nine months of 2021, as compared to 2020, mainly due to stronger Euro and Chinese Yuan Renminbi in 2021.</w:t>
      </w:r>
    </w:p>
    <w:p>
      <w:pPr>
        <w:spacing w:after="0" w:line="8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Net sales increased 0.2% compared to the same period in 2020.</w:t>
      </w:r>
    </w:p>
    <w:p>
      <w:pPr>
        <w:spacing w:after="0" w:line="117" w:lineRule="exact"/>
        <w:rPr>
          <w:rFonts w:ascii="Arial" w:cs="Arial" w:eastAsia="Arial" w:hAnsi="Arial"/>
          <w:sz w:val="18"/>
          <w:szCs w:val="18"/>
          <w:color w:val="auto"/>
        </w:rPr>
      </w:pPr>
    </w:p>
    <w:p>
      <w:pPr>
        <w:ind w:left="1300" w:hanging="320"/>
        <w:spacing w:after="0" w:line="261" w:lineRule="auto"/>
        <w:tabs>
          <w:tab w:leader="none" w:pos="1295" w:val="left"/>
        </w:tabs>
        <w:numPr>
          <w:ilvl w:val="1"/>
          <w:numId w:val="10"/>
        </w:numPr>
        <w:rPr>
          <w:rFonts w:ascii="Arial" w:cs="Arial" w:eastAsia="Arial" w:hAnsi="Arial"/>
          <w:sz w:val="18"/>
          <w:szCs w:val="18"/>
          <w:color w:val="auto"/>
        </w:rPr>
      </w:pPr>
      <w:r>
        <w:rPr>
          <w:rFonts w:ascii="Arial" w:cs="Arial" w:eastAsia="Arial" w:hAnsi="Arial"/>
          <w:sz w:val="18"/>
          <w:szCs w:val="18"/>
          <w:color w:val="auto"/>
        </w:rPr>
        <w:t>Net sales in MC increased 5.1% compared to the same period in 2020, primarily due to growth in engineered fabric and packaging grades, offset by a decline in publication grades.</w:t>
      </w:r>
    </w:p>
    <w:p>
      <w:pPr>
        <w:spacing w:after="0" w:line="89" w:lineRule="exact"/>
        <w:rPr>
          <w:rFonts w:ascii="Arial" w:cs="Arial" w:eastAsia="Arial" w:hAnsi="Arial"/>
          <w:sz w:val="18"/>
          <w:szCs w:val="18"/>
          <w:color w:val="auto"/>
        </w:rPr>
      </w:pPr>
    </w:p>
    <w:p>
      <w:pPr>
        <w:ind w:left="1300" w:hanging="320"/>
        <w:spacing w:after="0" w:line="261" w:lineRule="auto"/>
        <w:tabs>
          <w:tab w:leader="none" w:pos="1295" w:val="left"/>
        </w:tabs>
        <w:numPr>
          <w:ilvl w:val="1"/>
          <w:numId w:val="10"/>
        </w:numPr>
        <w:rPr>
          <w:rFonts w:ascii="Arial" w:cs="Arial" w:eastAsia="Arial" w:hAnsi="Arial"/>
          <w:sz w:val="18"/>
          <w:szCs w:val="18"/>
          <w:color w:val="auto"/>
        </w:rPr>
      </w:pPr>
      <w:r>
        <w:rPr>
          <w:rFonts w:ascii="Arial" w:cs="Arial" w:eastAsia="Arial" w:hAnsi="Arial"/>
          <w:sz w:val="18"/>
          <w:szCs w:val="18"/>
          <w:color w:val="auto"/>
        </w:rPr>
        <w:t>Net sales in AEC decreased 8.3%, primarily due to declines in sales for the Boeing 787 program, partially offset by growth on the LEAP program.</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Gross profit by business segment: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6" w:name="page27"/>
    <w:bookmarkEnd w:id="2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40" w:type="dxa"/>
            <w:vAlign w:val="bottom"/>
            <w:tcBorders>
              <w:top w:val="single" w:sz="8" w:color="auto"/>
            </w:tcBorders>
          </w:tcPr>
          <w:p>
            <w:pPr>
              <w:spacing w:after="0"/>
              <w:rPr>
                <w:sz w:val="17"/>
                <w:szCs w:val="17"/>
                <w:color w:val="auto"/>
              </w:rPr>
            </w:pPr>
          </w:p>
        </w:tc>
        <w:tc>
          <w:tcPr>
            <w:tcW w:w="2620" w:type="dxa"/>
            <w:vAlign w:val="bottom"/>
            <w:tcBorders>
              <w:top w:val="single" w:sz="8" w:color="auto"/>
              <w:bottom w:val="single" w:sz="8" w:color="auto"/>
            </w:tcBorders>
            <w:gridSpan w:val="4"/>
          </w:tcPr>
          <w:p>
            <w:pPr>
              <w:jc w:val="right"/>
              <w:ind w:right="1"/>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Borders>
              <w:top w:val="single" w:sz="8" w:color="auto"/>
              <w:bottom w:val="single" w:sz="8" w:color="auto"/>
            </w:tcBorders>
          </w:tcPr>
          <w:p>
            <w:pPr>
              <w:spacing w:after="0"/>
              <w:rPr>
                <w:sz w:val="17"/>
                <w:szCs w:val="17"/>
                <w:color w:val="auto"/>
              </w:rPr>
            </w:pPr>
          </w:p>
        </w:tc>
        <w:tc>
          <w:tcPr>
            <w:tcW w:w="2520" w:type="dxa"/>
            <w:vAlign w:val="bottom"/>
            <w:tcBorders>
              <w:top w:val="single" w:sz="8" w:color="auto"/>
              <w:bottom w:val="single" w:sz="8" w:color="auto"/>
            </w:tcBorders>
            <w:gridSpan w:val="3"/>
          </w:tcPr>
          <w:p>
            <w:pPr>
              <w:jc w:val="right"/>
              <w:ind w:right="61"/>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2020</w:t>
            </w:r>
          </w:p>
        </w:tc>
      </w:tr>
      <w:tr>
        <w:trPr>
          <w:trHeight w:val="20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300" w:type="dxa"/>
            <w:vAlign w:val="bottom"/>
            <w:shd w:val="clear" w:color="auto" w:fill="CCEEFF"/>
          </w:tcPr>
          <w:p>
            <w:pPr>
              <w:jc w:val="right"/>
              <w:ind w:right="102"/>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79,437</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71,471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240,427</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227,734</w:t>
            </w:r>
          </w:p>
        </w:tc>
      </w:tr>
      <w:tr>
        <w:trPr>
          <w:trHeight w:val="240"/>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Albany Engineered Composites</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12,605</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15,831</w:t>
            </w: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41,889</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52,020</w:t>
            </w:r>
          </w:p>
        </w:tc>
      </w:tr>
      <w:tr>
        <w:trPr>
          <w:trHeight w:val="212"/>
        </w:trPr>
        <w:tc>
          <w:tcPr>
            <w:tcW w:w="4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92,042</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87,302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282,316</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279,754</w:t>
            </w:r>
          </w:p>
        </w:tc>
      </w:tr>
      <w:tr>
        <w:trPr>
          <w:trHeight w:val="234"/>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of Net sales</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39.6 %</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41.2 %</w:t>
            </w: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41.0 %</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41.5 %</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Third quarter 2021 gross profit increased 5.4% compared to that for the same period in 2020. Gross profit as a percentage of sales:</w:t>
      </w:r>
    </w:p>
    <w:p>
      <w:pPr>
        <w:spacing w:after="0" w:line="117"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Was flat at 51.5% in MC.</w:t>
      </w:r>
    </w:p>
    <w:p>
      <w:pPr>
        <w:spacing w:after="0" w:line="117" w:lineRule="exact"/>
        <w:rPr>
          <w:rFonts w:ascii="Arial" w:cs="Arial" w:eastAsia="Arial" w:hAnsi="Arial"/>
          <w:sz w:val="18"/>
          <w:szCs w:val="18"/>
          <w:color w:val="auto"/>
        </w:rPr>
      </w:pPr>
    </w:p>
    <w:p>
      <w:pPr>
        <w:jc w:val="both"/>
        <w:ind w:left="980" w:hanging="324"/>
        <w:spacing w:after="0" w:line="254"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Decreased from 21.6% in 2020 to 16.1% in 2021 in AEC, driven by a smaller impact from changes in the estimated profitability of long-term contracts, lower fixed cost absorption, and the effect of sharing with our customer base a portion of the AMJP grant received during the quarter. We recognized $2.1 million net favorable change in the estimated profitability of long-term contracts during for the third quarter of 2021, compared to a $3.5 million net favorable impact during the same period in 2020.</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 comparison</w:t>
      </w:r>
    </w:p>
    <w:p>
      <w:pPr>
        <w:spacing w:after="0" w:line="139"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Gross profit for the third quarter of 2021 was effectively flat compared to that for the same period in 2020. Gross profit as a percentage of sales:</w:t>
      </w:r>
    </w:p>
    <w:p>
      <w:pPr>
        <w:spacing w:after="0" w:line="90"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Decreased from 53.1% in 2020 to 52.0% in 2021 in MC, due to higher production costs, offset by improved absorption.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Decreased from 21.2% in 2020 to 18.5% in 2021 in AEC, driven by unfavorable shift in program revenue mix.</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Technical, General, and Research (STG&amp;R)</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STG&amp;R expenses by business segment: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Borders>
              <w:top w:val="single" w:sz="8" w:color="auto"/>
            </w:tcBorders>
          </w:tcPr>
          <w:p>
            <w:pPr>
              <w:spacing w:after="0"/>
              <w:rPr>
                <w:sz w:val="17"/>
                <w:szCs w:val="17"/>
                <w:color w:val="auto"/>
              </w:rPr>
            </w:pPr>
          </w:p>
        </w:tc>
        <w:tc>
          <w:tcPr>
            <w:tcW w:w="2660" w:type="dxa"/>
            <w:vAlign w:val="bottom"/>
            <w:tcBorders>
              <w:top w:val="single" w:sz="8" w:color="auto"/>
              <w:bottom w:val="single" w:sz="8" w:color="auto"/>
            </w:tcBorders>
            <w:gridSpan w:val="4"/>
          </w:tcPr>
          <w:p>
            <w:pPr>
              <w:jc w:val="right"/>
              <w:ind w:right="41"/>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Borders>
              <w:top w:val="single" w:sz="8" w:color="auto"/>
              <w:bottom w:val="single" w:sz="8" w:color="auto"/>
            </w:tcBorders>
          </w:tcPr>
          <w:p>
            <w:pPr>
              <w:spacing w:after="0"/>
              <w:rPr>
                <w:sz w:val="17"/>
                <w:szCs w:val="17"/>
                <w:color w:val="auto"/>
              </w:rPr>
            </w:pPr>
          </w:p>
        </w:tc>
        <w:tc>
          <w:tcPr>
            <w:tcW w:w="2520" w:type="dxa"/>
            <w:vAlign w:val="bottom"/>
            <w:tcBorders>
              <w:top w:val="single" w:sz="8" w:color="auto"/>
              <w:bottom w:val="single" w:sz="8" w:color="auto"/>
            </w:tcBorders>
            <w:gridSpan w:val="3"/>
          </w:tcPr>
          <w:p>
            <w:pPr>
              <w:jc w:val="right"/>
              <w:ind w:right="61"/>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2020</w:t>
            </w:r>
          </w:p>
        </w:tc>
      </w:tr>
      <w:tr>
        <w:trPr>
          <w:trHeight w:val="210"/>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32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121"/>
              <w:spacing w:after="0"/>
              <w:rPr>
                <w:sz w:val="20"/>
                <w:szCs w:val="20"/>
                <w:color w:val="auto"/>
              </w:rPr>
            </w:pPr>
            <w:r>
              <w:rPr>
                <w:rFonts w:ascii="Arial" w:cs="Arial" w:eastAsia="Arial" w:hAnsi="Arial"/>
                <w:sz w:val="16"/>
                <w:szCs w:val="16"/>
                <w:b w:val="1"/>
                <w:bCs w:val="1"/>
                <w:color w:val="auto"/>
              </w:rPr>
              <w:t>23,717</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25,386</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78,501</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76,903</w:t>
            </w:r>
          </w:p>
        </w:tc>
      </w:tr>
      <w:tr>
        <w:trPr>
          <w:trHeight w:val="240"/>
        </w:trPr>
        <w:tc>
          <w:tcPr>
            <w:tcW w:w="412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320" w:type="dxa"/>
            <w:vAlign w:val="bottom"/>
          </w:tcPr>
          <w:p>
            <w:pPr>
              <w:spacing w:after="0"/>
              <w:rPr>
                <w:sz w:val="20"/>
                <w:szCs w:val="20"/>
                <w:color w:val="auto"/>
              </w:rPr>
            </w:pPr>
          </w:p>
        </w:tc>
        <w:tc>
          <w:tcPr>
            <w:tcW w:w="1000" w:type="dxa"/>
            <w:vAlign w:val="bottom"/>
          </w:tcPr>
          <w:p>
            <w:pPr>
              <w:jc w:val="right"/>
              <w:ind w:right="121"/>
              <w:spacing w:after="0"/>
              <w:rPr>
                <w:sz w:val="20"/>
                <w:szCs w:val="20"/>
                <w:color w:val="auto"/>
              </w:rPr>
            </w:pPr>
            <w:r>
              <w:rPr>
                <w:rFonts w:ascii="Arial" w:cs="Arial" w:eastAsia="Arial" w:hAnsi="Arial"/>
                <w:sz w:val="16"/>
                <w:szCs w:val="16"/>
                <w:b w:val="1"/>
                <w:bCs w:val="1"/>
                <w:color w:val="auto"/>
              </w:rPr>
              <w:t>9,769</w:t>
            </w:r>
          </w:p>
        </w:tc>
        <w:tc>
          <w:tcPr>
            <w:tcW w:w="320" w:type="dxa"/>
            <w:vAlign w:val="bottom"/>
          </w:tcPr>
          <w:p>
            <w:pPr>
              <w:spacing w:after="0"/>
              <w:rPr>
                <w:sz w:val="20"/>
                <w:szCs w:val="20"/>
                <w:color w:val="auto"/>
              </w:rPr>
            </w:pPr>
          </w:p>
        </w:tc>
        <w:tc>
          <w:tcPr>
            <w:tcW w:w="1020" w:type="dxa"/>
            <w:vAlign w:val="bottom"/>
          </w:tcPr>
          <w:p>
            <w:pPr>
              <w:jc w:val="right"/>
              <w:ind w:right="141"/>
              <w:spacing w:after="0"/>
              <w:rPr>
                <w:sz w:val="20"/>
                <w:szCs w:val="20"/>
                <w:color w:val="auto"/>
              </w:rPr>
            </w:pPr>
            <w:r>
              <w:rPr>
                <w:rFonts w:ascii="Arial" w:cs="Arial" w:eastAsia="Arial" w:hAnsi="Arial"/>
                <w:sz w:val="16"/>
                <w:szCs w:val="16"/>
                <w:color w:val="auto"/>
              </w:rPr>
              <w:t>8,646</w:t>
            </w:r>
          </w:p>
        </w:tc>
        <w:tc>
          <w:tcPr>
            <w:tcW w:w="120" w:type="dxa"/>
            <w:vAlign w:val="bottom"/>
          </w:tcPr>
          <w:p>
            <w:pPr>
              <w:spacing w:after="0"/>
              <w:rPr>
                <w:sz w:val="20"/>
                <w:szCs w:val="20"/>
                <w:color w:val="auto"/>
              </w:rPr>
            </w:pPr>
          </w:p>
        </w:tc>
        <w:tc>
          <w:tcPr>
            <w:tcW w:w="1200" w:type="dxa"/>
            <w:vAlign w:val="bottom"/>
          </w:tcPr>
          <w:p>
            <w:pPr>
              <w:jc w:val="right"/>
              <w:ind w:right="142"/>
              <w:spacing w:after="0"/>
              <w:rPr>
                <w:sz w:val="20"/>
                <w:szCs w:val="20"/>
                <w:color w:val="auto"/>
              </w:rPr>
            </w:pPr>
            <w:r>
              <w:rPr>
                <w:rFonts w:ascii="Arial" w:cs="Arial" w:eastAsia="Arial" w:hAnsi="Arial"/>
                <w:sz w:val="16"/>
                <w:szCs w:val="16"/>
                <w:b w:val="1"/>
                <w:bCs w:val="1"/>
                <w:color w:val="auto"/>
              </w:rPr>
              <w:t>28,909</w:t>
            </w:r>
          </w:p>
        </w:tc>
        <w:tc>
          <w:tcPr>
            <w:tcW w:w="300" w:type="dxa"/>
            <w:vAlign w:val="bottom"/>
          </w:tcPr>
          <w:p>
            <w:pPr>
              <w:spacing w:after="0"/>
              <w:rPr>
                <w:sz w:val="20"/>
                <w:szCs w:val="20"/>
                <w:color w:val="auto"/>
              </w:rPr>
            </w:pP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26,664</w:t>
            </w:r>
          </w:p>
        </w:tc>
      </w:tr>
      <w:tr>
        <w:trPr>
          <w:trHeight w:val="218"/>
        </w:trPr>
        <w:tc>
          <w:tcPr>
            <w:tcW w:w="4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b w:val="1"/>
                <w:bCs w:val="1"/>
                <w:color w:val="auto"/>
              </w:rPr>
              <w:t>13,883</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13,787</w:t>
            </w: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38,405</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40,904</w:t>
            </w:r>
          </w:p>
        </w:tc>
      </w:tr>
      <w:tr>
        <w:trPr>
          <w:trHeight w:val="234"/>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47,369</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47,819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145,815</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144,471</w:t>
            </w:r>
          </w:p>
        </w:tc>
      </w:tr>
      <w:tr>
        <w:trPr>
          <w:trHeight w:val="212"/>
        </w:trPr>
        <w:tc>
          <w:tcPr>
            <w:tcW w:w="4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of Net sales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20.4 %</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22.6 %</w:t>
            </w: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21.2 %</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21.4 %</w:t>
            </w: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overall decrease in STG&amp;R expenses in the third quarter of 2021, compared to the same period in 2020, was primarily due to foreign currency revaluation gains as compared to a foreign currency revaluation losses in the same quarter of last year, offset by higher travel and R&amp;D expenses.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 comparison</w:t>
      </w:r>
    </w:p>
    <w:p>
      <w:pPr>
        <w:spacing w:after="0" w:line="13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overall increase in STG&amp;R expenses in the third quarter of 2021, compared to the same period in 2020, was due to the net effect of the following:</w:t>
      </w:r>
    </w:p>
    <w:p>
      <w:pPr>
        <w:spacing w:after="0" w:line="90" w:lineRule="exact"/>
        <w:rPr>
          <w:sz w:val="20"/>
          <w:szCs w:val="20"/>
          <w:color w:val="auto"/>
        </w:rPr>
      </w:pPr>
    </w:p>
    <w:p>
      <w:pPr>
        <w:ind w:left="980" w:hanging="324"/>
        <w:spacing w:after="0" w:line="261"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Revaluation of nonfunctional currency assets and liabilities in Machine Clothing resulted in a gain of $0.2 million in 2021, compared to a gain of $1.3 million in 2020.</w:t>
      </w:r>
    </w:p>
    <w:p>
      <w:pPr>
        <w:spacing w:after="0" w:line="8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Former CEO termination costs of $2.7 million were recorded in Corporate expenses during the first quarter of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7" w:name="page28"/>
    <w:bookmarkEnd w:id="2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Higher incentive compensation in all business segments in 2021.</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 net</w:t>
      </w:r>
    </w:p>
    <w:p>
      <w:pPr>
        <w:spacing w:after="0" w:line="13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 addition to the items discussed above affecting gross profit and STG&amp;R expenses, operating income was minimally affected by restructuring costs during the year-to-date period ended September 30, 2021, but totaled $4.2 million for the same period in 2020.</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Restructuring expenses, net by business segment: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320" w:type="dxa"/>
            <w:vAlign w:val="bottom"/>
            <w:tcBorders>
              <w:top w:val="single" w:sz="8" w:color="auto"/>
            </w:tcBorders>
            <w:gridSpan w:val="3"/>
          </w:tcPr>
          <w:p>
            <w:pPr>
              <w:jc w:val="right"/>
              <w:ind w:right="41"/>
              <w:spacing w:after="0"/>
              <w:rPr>
                <w:sz w:val="20"/>
                <w:szCs w:val="20"/>
                <w:color w:val="auto"/>
              </w:rPr>
            </w:pPr>
            <w:r>
              <w:rPr>
                <w:rFonts w:ascii="Arial" w:cs="Arial" w:eastAsia="Arial" w:hAnsi="Arial"/>
                <w:sz w:val="14"/>
                <w:szCs w:val="14"/>
                <w:b w:val="1"/>
                <w:bCs w:val="1"/>
                <w:color w:val="auto"/>
              </w:rPr>
              <w:t>Three months ended September</w:t>
            </w:r>
          </w:p>
        </w:tc>
        <w:tc>
          <w:tcPr>
            <w:tcW w:w="2460" w:type="dxa"/>
            <w:vAlign w:val="bottom"/>
            <w:tcBorders>
              <w:top w:val="single" w:sz="8" w:color="auto"/>
            </w:tcBorders>
            <w:gridSpan w:val="4"/>
            <w:vMerge w:val="restart"/>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76"/>
        </w:trPr>
        <w:tc>
          <w:tcPr>
            <w:tcW w:w="47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b w:val="1"/>
                <w:bCs w:val="1"/>
                <w:color w:val="auto"/>
              </w:rPr>
              <w:t>30,</w:t>
            </w:r>
          </w:p>
        </w:tc>
        <w:tc>
          <w:tcPr>
            <w:tcW w:w="94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251</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300" w:type="dxa"/>
            <w:vAlign w:val="bottom"/>
            <w:shd w:val="clear" w:color="auto" w:fill="CCEEFF"/>
          </w:tcPr>
          <w:p>
            <w:pPr>
              <w:jc w:val="right"/>
              <w:ind w:right="102"/>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193</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1,414</w:t>
            </w:r>
          </w:p>
        </w:tc>
        <w:tc>
          <w:tcPr>
            <w:tcW w:w="0" w:type="dxa"/>
            <w:vAlign w:val="bottom"/>
          </w:tcPr>
          <w:p>
            <w:pPr>
              <w:spacing w:after="0"/>
              <w:rPr>
                <w:sz w:val="1"/>
                <w:szCs w:val="1"/>
                <w:color w:val="auto"/>
              </w:rPr>
            </w:pPr>
          </w:p>
        </w:tc>
      </w:tr>
      <w:tr>
        <w:trPr>
          <w:trHeight w:val="215"/>
        </w:trPr>
        <w:tc>
          <w:tcPr>
            <w:tcW w:w="470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(81)</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358</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(40)</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2,606</w:t>
            </w:r>
          </w:p>
        </w:tc>
        <w:tc>
          <w:tcPr>
            <w:tcW w:w="0" w:type="dxa"/>
            <w:vAlign w:val="bottom"/>
          </w:tcPr>
          <w:p>
            <w:pPr>
              <w:spacing w:after="0"/>
              <w:rPr>
                <w:sz w:val="1"/>
                <w:szCs w:val="1"/>
                <w:color w:val="auto"/>
              </w:rPr>
            </w:pPr>
          </w:p>
        </w:tc>
      </w:tr>
      <w:tr>
        <w:trPr>
          <w:trHeight w:val="216"/>
        </w:trPr>
        <w:tc>
          <w:tcPr>
            <w:tcW w:w="4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17</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77</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09"/>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187</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710</w:t>
            </w:r>
          </w:p>
        </w:tc>
        <w:tc>
          <w:tcPr>
            <w:tcW w:w="3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230</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Machine Clothing restructuring charges in both years are mainly related to discontinued operations at its production facility in Sélestat, France, announced in 2017. The restructuring program was driven by the Company’s need to balance manufacturing capacity with demand. Since 2017, we have recorded $13.9 million of restructuring charges related to this action.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operating income/(loss) by business segment:</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340" w:type="dxa"/>
            <w:vAlign w:val="bottom"/>
            <w:tcBorders>
              <w:top w:val="single" w:sz="8" w:color="auto"/>
            </w:tcBorders>
            <w:gridSpan w:val="3"/>
          </w:tcPr>
          <w:p>
            <w:pPr>
              <w:jc w:val="right"/>
              <w:ind w:right="61"/>
              <w:spacing w:after="0"/>
              <w:rPr>
                <w:sz w:val="20"/>
                <w:szCs w:val="20"/>
                <w:color w:val="auto"/>
              </w:rPr>
            </w:pPr>
            <w:r>
              <w:rPr>
                <w:rFonts w:ascii="Arial" w:cs="Arial" w:eastAsia="Arial" w:hAnsi="Arial"/>
                <w:sz w:val="14"/>
                <w:szCs w:val="14"/>
                <w:b w:val="1"/>
                <w:bCs w:val="1"/>
                <w:color w:val="auto"/>
              </w:rPr>
              <w:t>Three months ended September</w:t>
            </w:r>
          </w:p>
        </w:tc>
        <w:tc>
          <w:tcPr>
            <w:tcW w:w="2460" w:type="dxa"/>
            <w:vAlign w:val="bottom"/>
            <w:tcBorders>
              <w:top w:val="single" w:sz="8" w:color="auto"/>
            </w:tcBorders>
            <w:gridSpan w:val="4"/>
            <w:vMerge w:val="restart"/>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10"/>
        </w:trPr>
        <w:tc>
          <w:tcPr>
            <w:tcW w:w="6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0" w:type="dxa"/>
            <w:vAlign w:val="bottom"/>
            <w:gridSpan w:val="2"/>
            <w:vMerge w:val="restart"/>
          </w:tcPr>
          <w:p>
            <w:pPr>
              <w:jc w:val="right"/>
              <w:ind w:right="99"/>
              <w:spacing w:after="0"/>
              <w:rPr>
                <w:sz w:val="20"/>
                <w:szCs w:val="20"/>
                <w:color w:val="auto"/>
              </w:rPr>
            </w:pPr>
            <w:r>
              <w:rPr>
                <w:rFonts w:ascii="Arial" w:cs="Arial" w:eastAsia="Arial" w:hAnsi="Arial"/>
                <w:sz w:val="14"/>
                <w:szCs w:val="14"/>
                <w:b w:val="1"/>
                <w:bCs w:val="1"/>
                <w:color w:val="auto"/>
              </w:rPr>
              <w:t>30,</w:t>
            </w:r>
          </w:p>
        </w:tc>
        <w:tc>
          <w:tcPr>
            <w:tcW w:w="940" w:type="dxa"/>
            <w:vAlign w:val="bottom"/>
          </w:tcPr>
          <w:p>
            <w:pPr>
              <w:spacing w:after="0"/>
              <w:rPr>
                <w:sz w:val="9"/>
                <w:szCs w:val="9"/>
                <w:color w:val="auto"/>
              </w:rPr>
            </w:pPr>
          </w:p>
        </w:tc>
        <w:tc>
          <w:tcPr>
            <w:tcW w:w="24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60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gridSpan w:val="2"/>
            <w:vMerge w:val="continue"/>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55,467</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45,699</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b w:val="1"/>
                <w:bCs w:val="1"/>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161,731</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149,418</w:t>
            </w:r>
          </w:p>
        </w:tc>
        <w:tc>
          <w:tcPr>
            <w:tcW w:w="0" w:type="dxa"/>
            <w:vAlign w:val="bottom"/>
          </w:tcPr>
          <w:p>
            <w:pPr>
              <w:spacing w:after="0"/>
              <w:rPr>
                <w:sz w:val="1"/>
                <w:szCs w:val="1"/>
                <w:color w:val="auto"/>
              </w:rPr>
            </w:pPr>
          </w:p>
        </w:tc>
      </w:tr>
      <w:tr>
        <w:trPr>
          <w:trHeight w:val="215"/>
        </w:trPr>
        <w:tc>
          <w:tcPr>
            <w:tcW w:w="600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2,917</w:t>
            </w:r>
          </w:p>
        </w:tc>
        <w:tc>
          <w:tcPr>
            <w:tcW w:w="30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6,828</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13,019</w:t>
            </w:r>
          </w:p>
        </w:tc>
        <w:tc>
          <w:tcPr>
            <w:tcW w:w="28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22,749</w:t>
            </w:r>
          </w:p>
        </w:tc>
        <w:tc>
          <w:tcPr>
            <w:tcW w:w="0" w:type="dxa"/>
            <w:vAlign w:val="bottom"/>
          </w:tcPr>
          <w:p>
            <w:pPr>
              <w:spacing w:after="0"/>
              <w:rPr>
                <w:sz w:val="1"/>
                <w:szCs w:val="1"/>
                <w:color w:val="auto"/>
              </w:rPr>
            </w:pPr>
          </w:p>
        </w:tc>
      </w:tr>
      <w:tr>
        <w:trPr>
          <w:trHeight w:val="216"/>
        </w:trPr>
        <w:tc>
          <w:tcPr>
            <w:tcW w:w="6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(13,898)</w:t>
            </w: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(13,754)</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(38,479)</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(41,073)</w:t>
            </w:r>
          </w:p>
        </w:tc>
        <w:tc>
          <w:tcPr>
            <w:tcW w:w="0" w:type="dxa"/>
            <w:vAlign w:val="bottom"/>
          </w:tcPr>
          <w:p>
            <w:pPr>
              <w:spacing w:after="0"/>
              <w:rPr>
                <w:sz w:val="1"/>
                <w:szCs w:val="1"/>
                <w:color w:val="auto"/>
              </w:rPr>
            </w:pPr>
          </w:p>
        </w:tc>
      </w:tr>
      <w:tr>
        <w:trPr>
          <w:trHeight w:val="210"/>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44,486</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38,773</w:t>
            </w:r>
          </w:p>
        </w:tc>
        <w:tc>
          <w:tcPr>
            <w:tcW w:w="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136,271</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131,094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Earnings Items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340" w:type="dxa"/>
            <w:vAlign w:val="bottom"/>
            <w:tcBorders>
              <w:top w:val="single" w:sz="8" w:color="auto"/>
            </w:tcBorders>
            <w:gridSpan w:val="3"/>
          </w:tcPr>
          <w:p>
            <w:pPr>
              <w:jc w:val="right"/>
              <w:ind w:right="61"/>
              <w:spacing w:after="0"/>
              <w:rPr>
                <w:sz w:val="20"/>
                <w:szCs w:val="20"/>
                <w:color w:val="auto"/>
              </w:rPr>
            </w:pPr>
            <w:r>
              <w:rPr>
                <w:rFonts w:ascii="Arial" w:cs="Arial" w:eastAsia="Arial" w:hAnsi="Arial"/>
                <w:sz w:val="14"/>
                <w:szCs w:val="14"/>
                <w:b w:val="1"/>
                <w:bCs w:val="1"/>
                <w:color w:val="auto"/>
              </w:rPr>
              <w:t>Three months ended September</w:t>
            </w:r>
          </w:p>
        </w:tc>
        <w:tc>
          <w:tcPr>
            <w:tcW w:w="2460" w:type="dxa"/>
            <w:vAlign w:val="bottom"/>
            <w:tcBorders>
              <w:top w:val="single" w:sz="8" w:color="auto"/>
            </w:tcBorders>
            <w:gridSpan w:val="4"/>
            <w:vMerge w:val="restart"/>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75"/>
        </w:trPr>
        <w:tc>
          <w:tcPr>
            <w:tcW w:w="5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b w:val="1"/>
                <w:bCs w:val="1"/>
                <w:color w:val="auto"/>
              </w:rPr>
              <w:t>30,</w:t>
            </w:r>
          </w:p>
        </w:tc>
        <w:tc>
          <w:tcPr>
            <w:tcW w:w="9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3,734</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2,242</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6"/>
                <w:szCs w:val="16"/>
                <w:b w:val="1"/>
                <w:bCs w:val="1"/>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11,521</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10,042</w:t>
            </w:r>
          </w:p>
        </w:tc>
        <w:tc>
          <w:tcPr>
            <w:tcW w:w="0" w:type="dxa"/>
            <w:vAlign w:val="bottom"/>
          </w:tcPr>
          <w:p>
            <w:pPr>
              <w:spacing w:after="0"/>
              <w:rPr>
                <w:sz w:val="1"/>
                <w:szCs w:val="1"/>
                <w:color w:val="auto"/>
              </w:rPr>
            </w:pPr>
          </w:p>
        </w:tc>
      </w:tr>
      <w:tr>
        <w:trPr>
          <w:trHeight w:val="211"/>
        </w:trPr>
        <w:tc>
          <w:tcPr>
            <w:tcW w:w="5260" w:type="dxa"/>
            <w:vAlign w:val="bottom"/>
          </w:tcPr>
          <w:p>
            <w:pPr>
              <w:ind w:left="20"/>
              <w:spacing w:after="0"/>
              <w:rPr>
                <w:sz w:val="20"/>
                <w:szCs w:val="20"/>
                <w:color w:val="auto"/>
              </w:rPr>
            </w:pPr>
            <w:r>
              <w:rPr>
                <w:rFonts w:ascii="Arial" w:cs="Arial" w:eastAsia="Arial" w:hAnsi="Arial"/>
                <w:sz w:val="16"/>
                <w:szCs w:val="16"/>
                <w:color w:val="auto"/>
              </w:rPr>
              <w:t>AMJP grant (see Note 1)</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(5,832)</w:t>
            </w:r>
          </w:p>
        </w:tc>
        <w:tc>
          <w:tcPr>
            <w:tcW w:w="28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(5,832)</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5260" w:type="dxa"/>
            <w:vAlign w:val="bottom"/>
          </w:tcPr>
          <w:p>
            <w:pPr>
              <w:ind w:left="20"/>
              <w:spacing w:after="0"/>
              <w:rPr>
                <w:sz w:val="20"/>
                <w:szCs w:val="20"/>
                <w:color w:val="auto"/>
              </w:rPr>
            </w:pPr>
            <w:r>
              <w:rPr>
                <w:rFonts w:ascii="Arial" w:cs="Arial" w:eastAsia="Arial" w:hAnsi="Arial"/>
                <w:sz w:val="16"/>
                <w:szCs w:val="16"/>
                <w:color w:val="auto"/>
              </w:rPr>
              <w:t>Other expense/(income), net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2,753</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(2,745)</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4,215</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13,915</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12,889</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9,686</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36,375</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37,504</w:t>
            </w:r>
          </w:p>
        </w:tc>
        <w:tc>
          <w:tcPr>
            <w:tcW w:w="0" w:type="dxa"/>
            <w:vAlign w:val="bottom"/>
          </w:tcPr>
          <w:p>
            <w:pPr>
              <w:spacing w:after="0"/>
              <w:rPr>
                <w:sz w:val="1"/>
                <w:szCs w:val="1"/>
                <w:color w:val="auto"/>
              </w:rPr>
            </w:pPr>
          </w:p>
        </w:tc>
      </w:tr>
      <w:tr>
        <w:trPr>
          <w:trHeight w:val="215"/>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income/(loss) attributable to the noncontrolling interest</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150</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Interest expense, net was higher during the quarter and year-to-date ended September 30, 2021, compared to the same periods in 2020, primarily as a result of the following. During 2020, the Company successfully resolved its claim for a rebate of foreign sales tax paid in previous years, reducing interest expense for the year-to-date ended September 30, 2020 by $0.9 million. In addition, the Company completed amortizing its swap buyouts during the first quarter of 2021, eliminating interest income amortization of $0.6 million.</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(income)/expense, net</w:t>
      </w:r>
    </w:p>
    <w:p>
      <w:pPr>
        <w:sectPr>
          <w:pgSz w:w="11900" w:h="16838" w:orient="portrait"/>
          <w:cols w:equalWidth="0" w:num="1">
            <w:col w:w="11240"/>
          </w:cols>
          <w:pgMar w:left="320" w:top="1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28" w:name="page29"/>
    <w:bookmarkEnd w:id="2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Other (income)/expense net included losses related to the revaluation of nonfunctional-currency balances of $0.8 million for the first nine months of 2021, compared to losses of $14.7 million for the first nine months of 2020, which principally resulted from an intercompany demand loan payable by a Mexican subsidiary. As a result of changes in business conditions that occurred in the first quarter of 2020, loan repayments on that intercompany loan are not expected in the foreseeable future and, beginning April 1, 2020, the revaluation effects are recorded in Other comprehensive income.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Company has operations, which constitute a taxable presence in 18 countries outside of the United States. The majority of these countries had income tax rates that are above the United States federal tax rate of 21 percent during the periods reported. The jurisdictional location of earnings is a significant component of our effective tax rate each year. The rate impact of this component is influenced by the specific location of non-U.S. earnings and the level of our total earnings. From period to period, the jurisdictional mix of earnings can vary as a result of operating fluctuations in the normal course of business, as well as the extent and location of other income and expense items, such as pension settlement and restructuring charges.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 comparison</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Company’s effective tax rates for the third quarter of 2021 and 2020 were 29.4% and 24.7%, respectively, and for the nine months ended September 30, 2021 and 2020, were 28.8% and 35.0%, respectively. The tax rate is affected by recurring items, such as the income tax rate in the U.S. and non-U.S. jurisdictions and the mix of income earned in those jurisdictions. The tax rate is also affected by U.S. tax costs on foreign earnings, and by discrete items that may occur in any given year but are not consistent from year to year. The increase in the Q3 2021 income tax rate from continuing operations, excluding discrete items, was driven by an increase in losses in a foreign jurisdiction that were excluded in calculating the quarterly income tax provision. The effective tax rate for the nine months ended September 30, 2020 was significantly affected by a non-recurring tax adjustment due to non-deductible foreign exchange losses, which occurred in the first quarter of 2020.</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more information on income tax, see Note 5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9" w:name="page30"/>
    <w:bookmarkEnd w:id="2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Machine Clothing Segment</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Machine Clothing accounted for approximately 67% of our consolidated revenues during the nine months of 2021. MC products are purchased primarily by manufacturers of paper and paperboard. We feel we are well-positioned in these markets, with high-quality, low-cost production in growth markets, substantially lower fixed costs in mature markets, and continued strength in new product development, technical product support, and manufacturing technology. Recent technological advances in paper machine clothing, while contributing to the papermaking efficiency of customers, have lengthened the useful life of many of our products and had an adverse impact on overall paper machine clothing demand. Additionally, we face pricing pressures in all of our markets.</w:t>
      </w:r>
    </w:p>
    <w:p>
      <w:pPr>
        <w:spacing w:after="0" w:line="10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Company’s manufacturing and product platforms position us well to meet these shifting demands across product grades and geographic regions. Our strategy for meeting these challenges continues to be to grow share in all markets, with new products and technology, and to maintain our manufacturing footprint to align with global demand, while we offset the effects of inflation through continuous productivity improvement.</w:t>
      </w:r>
    </w:p>
    <w:p>
      <w:pPr>
        <w:spacing w:after="0" w:line="9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have incurred significant restructuring charges in recent years as we reduced MC manufacturing capacity and administrative positions in various countries.</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Review of Operations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0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2660" w:type="dxa"/>
            <w:vAlign w:val="bottom"/>
            <w:tcBorders>
              <w:top w:val="single" w:sz="8" w:color="auto"/>
              <w:bottom w:val="single" w:sz="8" w:color="auto"/>
            </w:tcBorders>
            <w:gridSpan w:val="3"/>
          </w:tcPr>
          <w:p>
            <w:pPr>
              <w:jc w:val="right"/>
              <w:ind w:right="101"/>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Borders>
              <w:top w:val="single" w:sz="8" w:color="auto"/>
              <w:bottom w:val="single" w:sz="8" w:color="auto"/>
            </w:tcBorders>
          </w:tcPr>
          <w:p>
            <w:pPr>
              <w:spacing w:after="0"/>
              <w:rPr>
                <w:sz w:val="17"/>
                <w:szCs w:val="17"/>
                <w:color w:val="auto"/>
              </w:rPr>
            </w:pPr>
          </w:p>
        </w:tc>
        <w:tc>
          <w:tcPr>
            <w:tcW w:w="2620" w:type="dxa"/>
            <w:vAlign w:val="bottom"/>
            <w:tcBorders>
              <w:top w:val="single" w:sz="8" w:color="auto"/>
              <w:bottom w:val="single" w:sz="8" w:color="auto"/>
            </w:tcBorders>
            <w:gridSpan w:val="3"/>
          </w:tcPr>
          <w:p>
            <w:pPr>
              <w:jc w:val="right"/>
              <w:ind w:right="141"/>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2020</w:t>
            </w:r>
          </w:p>
        </w:tc>
      </w:tr>
      <w:tr>
        <w:trPr>
          <w:trHeight w:val="210"/>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154,171</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138,747</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462,298</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428,782</w:t>
            </w:r>
          </w:p>
        </w:tc>
      </w:tr>
      <w:tr>
        <w:trPr>
          <w:trHeight w:val="240"/>
        </w:trPr>
        <w:tc>
          <w:tcPr>
            <w:tcW w:w="39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40" w:type="dxa"/>
            <w:vAlign w:val="bottom"/>
          </w:tcPr>
          <w:p>
            <w:pPr>
              <w:spacing w:after="0"/>
              <w:rPr>
                <w:sz w:val="20"/>
                <w:szCs w:val="20"/>
                <w:color w:val="auto"/>
              </w:rPr>
            </w:pPr>
          </w:p>
        </w:tc>
        <w:tc>
          <w:tcPr>
            <w:tcW w:w="1260" w:type="dxa"/>
            <w:vAlign w:val="bottom"/>
          </w:tcPr>
          <w:p>
            <w:pPr>
              <w:jc w:val="right"/>
              <w:ind w:right="122"/>
              <w:spacing w:after="0"/>
              <w:rPr>
                <w:sz w:val="20"/>
                <w:szCs w:val="20"/>
                <w:color w:val="auto"/>
              </w:rPr>
            </w:pPr>
            <w:r>
              <w:rPr>
                <w:rFonts w:ascii="Arial" w:cs="Arial" w:eastAsia="Arial" w:hAnsi="Arial"/>
                <w:sz w:val="16"/>
                <w:szCs w:val="16"/>
                <w:b w:val="1"/>
                <w:bCs w:val="1"/>
                <w:color w:val="auto"/>
              </w:rPr>
              <w:t>79,437</w:t>
            </w:r>
          </w:p>
        </w:tc>
        <w:tc>
          <w:tcPr>
            <w:tcW w:w="320" w:type="dxa"/>
            <w:vAlign w:val="bottom"/>
          </w:tcPr>
          <w:p>
            <w:pPr>
              <w:spacing w:after="0"/>
              <w:rPr>
                <w:sz w:val="20"/>
                <w:szCs w:val="20"/>
                <w:color w:val="auto"/>
              </w:rPr>
            </w:pPr>
          </w:p>
        </w:tc>
        <w:tc>
          <w:tcPr>
            <w:tcW w:w="1080" w:type="dxa"/>
            <w:vAlign w:val="bottom"/>
          </w:tcPr>
          <w:p>
            <w:pPr>
              <w:jc w:val="right"/>
              <w:ind w:right="141"/>
              <w:spacing w:after="0"/>
              <w:rPr>
                <w:sz w:val="20"/>
                <w:szCs w:val="20"/>
                <w:color w:val="auto"/>
              </w:rPr>
            </w:pPr>
            <w:r>
              <w:rPr>
                <w:rFonts w:ascii="Arial" w:cs="Arial" w:eastAsia="Arial" w:hAnsi="Arial"/>
                <w:sz w:val="16"/>
                <w:szCs w:val="16"/>
                <w:color w:val="auto"/>
              </w:rPr>
              <w:t>71,471</w:t>
            </w:r>
          </w:p>
        </w:tc>
        <w:tc>
          <w:tcPr>
            <w:tcW w:w="160" w:type="dxa"/>
            <w:vAlign w:val="bottom"/>
          </w:tcPr>
          <w:p>
            <w:pPr>
              <w:spacing w:after="0"/>
              <w:rPr>
                <w:sz w:val="20"/>
                <w:szCs w:val="20"/>
                <w:color w:val="auto"/>
              </w:rPr>
            </w:pPr>
          </w:p>
        </w:tc>
        <w:tc>
          <w:tcPr>
            <w:tcW w:w="1220" w:type="dxa"/>
            <w:vAlign w:val="bottom"/>
          </w:tcPr>
          <w:p>
            <w:pPr>
              <w:jc w:val="right"/>
              <w:ind w:right="122"/>
              <w:spacing w:after="0"/>
              <w:rPr>
                <w:sz w:val="20"/>
                <w:szCs w:val="20"/>
                <w:color w:val="auto"/>
              </w:rPr>
            </w:pPr>
            <w:r>
              <w:rPr>
                <w:rFonts w:ascii="Arial" w:cs="Arial" w:eastAsia="Arial" w:hAnsi="Arial"/>
                <w:sz w:val="16"/>
                <w:szCs w:val="16"/>
                <w:b w:val="1"/>
                <w:bCs w:val="1"/>
                <w:color w:val="auto"/>
              </w:rPr>
              <w:t>240,427</w:t>
            </w:r>
          </w:p>
        </w:tc>
        <w:tc>
          <w:tcPr>
            <w:tcW w:w="320" w:type="dxa"/>
            <w:vAlign w:val="bottom"/>
          </w:tcPr>
          <w:p>
            <w:pPr>
              <w:spacing w:after="0"/>
              <w:rPr>
                <w:sz w:val="20"/>
                <w:szCs w:val="20"/>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227,734</w:t>
            </w:r>
          </w:p>
        </w:tc>
      </w:tr>
      <w:tr>
        <w:trPr>
          <w:trHeight w:val="219"/>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of Net sales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51.5 %</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51.5 %</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52.0 %</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53.1 %</w:t>
            </w:r>
          </w:p>
        </w:tc>
      </w:tr>
      <w:tr>
        <w:trPr>
          <w:trHeight w:val="240"/>
        </w:trPr>
        <w:tc>
          <w:tcPr>
            <w:tcW w:w="3900" w:type="dxa"/>
            <w:vAlign w:val="bottom"/>
          </w:tcPr>
          <w:p>
            <w:pPr>
              <w:ind w:left="20"/>
              <w:spacing w:after="0"/>
              <w:rPr>
                <w:sz w:val="20"/>
                <w:szCs w:val="20"/>
                <w:color w:val="auto"/>
              </w:rPr>
            </w:pPr>
            <w:r>
              <w:rPr>
                <w:rFonts w:ascii="Arial" w:cs="Arial" w:eastAsia="Arial" w:hAnsi="Arial"/>
                <w:sz w:val="16"/>
                <w:szCs w:val="16"/>
                <w:color w:val="auto"/>
              </w:rPr>
              <w:t>STG&amp;R expenses</w:t>
            </w:r>
          </w:p>
        </w:tc>
        <w:tc>
          <w:tcPr>
            <w:tcW w:w="140" w:type="dxa"/>
            <w:vAlign w:val="bottom"/>
          </w:tcPr>
          <w:p>
            <w:pPr>
              <w:spacing w:after="0"/>
              <w:rPr>
                <w:sz w:val="20"/>
                <w:szCs w:val="20"/>
                <w:color w:val="auto"/>
              </w:rPr>
            </w:pPr>
          </w:p>
        </w:tc>
        <w:tc>
          <w:tcPr>
            <w:tcW w:w="1260" w:type="dxa"/>
            <w:vAlign w:val="bottom"/>
          </w:tcPr>
          <w:p>
            <w:pPr>
              <w:jc w:val="right"/>
              <w:ind w:right="122"/>
              <w:spacing w:after="0"/>
              <w:rPr>
                <w:sz w:val="20"/>
                <w:szCs w:val="20"/>
                <w:color w:val="auto"/>
              </w:rPr>
            </w:pPr>
            <w:r>
              <w:rPr>
                <w:rFonts w:ascii="Arial" w:cs="Arial" w:eastAsia="Arial" w:hAnsi="Arial"/>
                <w:sz w:val="16"/>
                <w:szCs w:val="16"/>
                <w:b w:val="1"/>
                <w:bCs w:val="1"/>
                <w:color w:val="auto"/>
              </w:rPr>
              <w:t>23,717</w:t>
            </w:r>
          </w:p>
        </w:tc>
        <w:tc>
          <w:tcPr>
            <w:tcW w:w="320" w:type="dxa"/>
            <w:vAlign w:val="bottom"/>
          </w:tcPr>
          <w:p>
            <w:pPr>
              <w:spacing w:after="0"/>
              <w:rPr>
                <w:sz w:val="20"/>
                <w:szCs w:val="20"/>
                <w:color w:val="auto"/>
              </w:rPr>
            </w:pPr>
          </w:p>
        </w:tc>
        <w:tc>
          <w:tcPr>
            <w:tcW w:w="1080" w:type="dxa"/>
            <w:vAlign w:val="bottom"/>
          </w:tcPr>
          <w:p>
            <w:pPr>
              <w:jc w:val="right"/>
              <w:ind w:right="141"/>
              <w:spacing w:after="0"/>
              <w:rPr>
                <w:sz w:val="20"/>
                <w:szCs w:val="20"/>
                <w:color w:val="auto"/>
              </w:rPr>
            </w:pPr>
            <w:r>
              <w:rPr>
                <w:rFonts w:ascii="Arial" w:cs="Arial" w:eastAsia="Arial" w:hAnsi="Arial"/>
                <w:sz w:val="16"/>
                <w:szCs w:val="16"/>
                <w:color w:val="auto"/>
              </w:rPr>
              <w:t>25,386</w:t>
            </w:r>
          </w:p>
        </w:tc>
        <w:tc>
          <w:tcPr>
            <w:tcW w:w="160" w:type="dxa"/>
            <w:vAlign w:val="bottom"/>
          </w:tcPr>
          <w:p>
            <w:pPr>
              <w:spacing w:after="0"/>
              <w:rPr>
                <w:sz w:val="20"/>
                <w:szCs w:val="20"/>
                <w:color w:val="auto"/>
              </w:rPr>
            </w:pPr>
          </w:p>
        </w:tc>
        <w:tc>
          <w:tcPr>
            <w:tcW w:w="1220" w:type="dxa"/>
            <w:vAlign w:val="bottom"/>
          </w:tcPr>
          <w:p>
            <w:pPr>
              <w:jc w:val="right"/>
              <w:ind w:right="122"/>
              <w:spacing w:after="0"/>
              <w:rPr>
                <w:sz w:val="20"/>
                <w:szCs w:val="20"/>
                <w:color w:val="auto"/>
              </w:rPr>
            </w:pPr>
            <w:r>
              <w:rPr>
                <w:rFonts w:ascii="Arial" w:cs="Arial" w:eastAsia="Arial" w:hAnsi="Arial"/>
                <w:sz w:val="16"/>
                <w:szCs w:val="16"/>
                <w:b w:val="1"/>
                <w:bCs w:val="1"/>
                <w:color w:val="auto"/>
              </w:rPr>
              <w:t>78,501</w:t>
            </w:r>
          </w:p>
        </w:tc>
        <w:tc>
          <w:tcPr>
            <w:tcW w:w="320" w:type="dxa"/>
            <w:vAlign w:val="bottom"/>
          </w:tcPr>
          <w:p>
            <w:pPr>
              <w:spacing w:after="0"/>
              <w:rPr>
                <w:sz w:val="20"/>
                <w:szCs w:val="20"/>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76,903</w:t>
            </w:r>
          </w:p>
        </w:tc>
      </w:tr>
      <w:tr>
        <w:trPr>
          <w:trHeight w:val="218"/>
        </w:trPr>
        <w:tc>
          <w:tcPr>
            <w:tcW w:w="3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55,467</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45,699</w:t>
            </w: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161,731</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149,418</w:t>
            </w: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39"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sales increased by 11.1%.</w:t>
      </w:r>
    </w:p>
    <w:p>
      <w:pPr>
        <w:spacing w:after="0" w:line="117" w:lineRule="exact"/>
        <w:rPr>
          <w:rFonts w:ascii="Arial" w:cs="Arial" w:eastAsia="Arial" w:hAnsi="Arial"/>
          <w:sz w:val="18"/>
          <w:szCs w:val="18"/>
          <w:color w:val="auto"/>
        </w:rPr>
      </w:pPr>
    </w:p>
    <w:p>
      <w:pPr>
        <w:jc w:val="both"/>
        <w:ind w:left="980" w:hanging="324"/>
        <w:spacing w:after="0" w:line="256"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increasing third-quarter 2021 sales by $1.7 million compared to the same period in 2020. That currency translation effect was mainly due to stronger Euro and Chinese Yuan Renminbi in the third quarter of 2021, compared to 2020.</w:t>
      </w:r>
    </w:p>
    <w:p>
      <w:pPr>
        <w:spacing w:after="0" w:line="93" w:lineRule="exact"/>
        <w:rPr>
          <w:rFonts w:ascii="Arial" w:cs="Arial" w:eastAsia="Arial" w:hAnsi="Arial"/>
          <w:sz w:val="18"/>
          <w:szCs w:val="18"/>
          <w:color w:val="auto"/>
        </w:rPr>
      </w:pPr>
    </w:p>
    <w:p>
      <w:pPr>
        <w:ind w:left="980" w:hanging="324"/>
        <w:spacing w:after="0" w:line="261"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 Net sales in MC increased 9.9% compared to the third quarter of 2020, principally due to growth in sales for packaging grades and engineered fabrics, partially offset by declines in other grades.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 comparison</w:t>
      </w:r>
    </w:p>
    <w:p>
      <w:pPr>
        <w:spacing w:after="0" w:line="139"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sales increased by 7.8%.</w:t>
      </w:r>
    </w:p>
    <w:p>
      <w:pPr>
        <w:spacing w:after="0" w:line="117" w:lineRule="exact"/>
        <w:rPr>
          <w:rFonts w:ascii="Arial" w:cs="Arial" w:eastAsia="Arial" w:hAnsi="Arial"/>
          <w:sz w:val="18"/>
          <w:szCs w:val="18"/>
          <w:color w:val="auto"/>
        </w:rPr>
      </w:pPr>
    </w:p>
    <w:p>
      <w:pPr>
        <w:jc w:val="both"/>
        <w:ind w:left="980" w:hanging="324"/>
        <w:spacing w:after="0" w:line="256"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increasing 2021 sales by $11.8 million compared to the same period in 2020. That currency translation effect was principally due to stronger Euro and Chinese Yuan Renminbi in the first nine months of 2021, compared to 2020.</w:t>
      </w:r>
    </w:p>
    <w:p>
      <w:pPr>
        <w:spacing w:after="0" w:line="93" w:lineRule="exact"/>
        <w:rPr>
          <w:rFonts w:ascii="Arial" w:cs="Arial" w:eastAsia="Arial" w:hAnsi="Arial"/>
          <w:sz w:val="18"/>
          <w:szCs w:val="18"/>
          <w:color w:val="auto"/>
        </w:rPr>
      </w:pPr>
    </w:p>
    <w:p>
      <w:pPr>
        <w:ind w:left="980" w:hanging="324"/>
        <w:spacing w:after="0" w:line="261"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 Net sales in MC increased 5.1% compared to 2020, due to growth in all major grades of product, led by engineered fabric and packaging grades.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 comparison</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MC gross profit margin was flat at 51.5% in each of the third quarters in 2021 and 2020.</w:t>
      </w:r>
    </w:p>
    <w:p>
      <w:pPr>
        <w:sectPr>
          <w:pgSz w:w="11900" w:h="16838" w:orient="portrait"/>
          <w:cols w:equalWidth="0" w:num="1">
            <w:col w:w="11240"/>
          </w:cols>
          <w:pgMar w:left="320" w:top="1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30" w:name="page31"/>
    <w:bookmarkEnd w:id="3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40"/>
        <w:spacing w:after="0" w:line="261" w:lineRule="auto"/>
        <w:rPr>
          <w:sz w:val="20"/>
          <w:szCs w:val="20"/>
          <w:color w:val="auto"/>
        </w:rPr>
      </w:pPr>
      <w:r>
        <w:rPr>
          <w:rFonts w:ascii="Arial" w:cs="Arial" w:eastAsia="Arial" w:hAnsi="Arial"/>
          <w:sz w:val="18"/>
          <w:szCs w:val="18"/>
          <w:color w:val="auto"/>
        </w:rPr>
        <w:t>For the nine months ended September 31, 2021, gross profit margin was lower compared to the same period in 2020, due to higher input and fixed costs, partially offset by improved absorption.</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 comparison</w:t>
      </w:r>
    </w:p>
    <w:p>
      <w:pPr>
        <w:spacing w:after="0" w:line="139"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operating income improvement in the third quarter of 2021, compared to the same period in 2020, was primarily due to higher gross profit and lower STG&amp;R expenses.</w:t>
      </w:r>
    </w:p>
    <w:p>
      <w:pPr>
        <w:spacing w:after="0" w:line="90"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The increase in operating income in nine months ended September 30, 2021 was driven by higher gross profit, offset by higher STG&amp;R expenses, compared to the same period in 2020.</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Albany Engineered Composites Segment</w:t>
      </w:r>
    </w:p>
    <w:p>
      <w:pPr>
        <w:spacing w:after="0" w:line="139"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The Albany Engineered Composites (AEC) segment, including Albany Safran Composites, LLC (ASC), in which our customer SAFRAN Group owns a 10 percent noncontrolling interest, provides highly engineered advanced composite structures to customers, primarily in the aerospace (both commercial and defense) industry. AEC’s largest program relates to CFM International’s LEAP engine. AEC, through ASC, is the exclusive supplier of advanced composite fan blades and cases for this program under a long-term supply contract. The LEAP engine is used on the Boeing 737 MAX, Airbus A320neo and COMAC aircraft family of jets. Other significant AEC programs include components for the F-35, components for the CH-53K helicopter, fuselage frames for the Boeing 787, and the fan case for the GE9X engine.</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Review of Operations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2660" w:type="dxa"/>
            <w:vAlign w:val="bottom"/>
            <w:tcBorders>
              <w:top w:val="single" w:sz="8" w:color="auto"/>
              <w:bottom w:val="single" w:sz="8" w:color="auto"/>
            </w:tcBorders>
            <w:gridSpan w:val="3"/>
          </w:tcPr>
          <w:p>
            <w:pPr>
              <w:jc w:val="right"/>
              <w:ind w:right="101"/>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Borders>
              <w:top w:val="single" w:sz="8" w:color="auto"/>
              <w:bottom w:val="single" w:sz="8" w:color="auto"/>
            </w:tcBorders>
          </w:tcPr>
          <w:p>
            <w:pPr>
              <w:spacing w:after="0"/>
              <w:rPr>
                <w:sz w:val="17"/>
                <w:szCs w:val="17"/>
                <w:color w:val="auto"/>
              </w:rPr>
            </w:pPr>
          </w:p>
        </w:tc>
        <w:tc>
          <w:tcPr>
            <w:tcW w:w="2640" w:type="dxa"/>
            <w:vAlign w:val="bottom"/>
            <w:tcBorders>
              <w:top w:val="single" w:sz="8" w:color="auto"/>
              <w:bottom w:val="single" w:sz="8" w:color="auto"/>
            </w:tcBorders>
            <w:gridSpan w:val="3"/>
          </w:tcPr>
          <w:p>
            <w:pPr>
              <w:jc w:val="right"/>
              <w:ind w:right="141"/>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2020</w:t>
            </w:r>
          </w:p>
        </w:tc>
      </w:tr>
      <w:tr>
        <w:trPr>
          <w:trHeight w:val="20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78,271</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73,252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227,024</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244,971</w:t>
            </w:r>
          </w:p>
        </w:tc>
      </w:tr>
      <w:tr>
        <w:trPr>
          <w:trHeight w:val="240"/>
        </w:trPr>
        <w:tc>
          <w:tcPr>
            <w:tcW w:w="47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40" w:type="dxa"/>
            <w:vAlign w:val="bottom"/>
          </w:tcPr>
          <w:p>
            <w:pPr>
              <w:spacing w:after="0"/>
              <w:rPr>
                <w:sz w:val="20"/>
                <w:szCs w:val="20"/>
                <w:color w:val="auto"/>
              </w:rPr>
            </w:pPr>
          </w:p>
        </w:tc>
        <w:tc>
          <w:tcPr>
            <w:tcW w:w="1260" w:type="dxa"/>
            <w:vAlign w:val="bottom"/>
          </w:tcPr>
          <w:p>
            <w:pPr>
              <w:jc w:val="right"/>
              <w:ind w:right="142"/>
              <w:spacing w:after="0"/>
              <w:rPr>
                <w:sz w:val="20"/>
                <w:szCs w:val="20"/>
                <w:color w:val="auto"/>
              </w:rPr>
            </w:pPr>
            <w:r>
              <w:rPr>
                <w:rFonts w:ascii="Arial" w:cs="Arial" w:eastAsia="Arial" w:hAnsi="Arial"/>
                <w:sz w:val="16"/>
                <w:szCs w:val="16"/>
                <w:b w:val="1"/>
                <w:bCs w:val="1"/>
                <w:color w:val="auto"/>
              </w:rPr>
              <w:t>12,605</w:t>
            </w:r>
          </w:p>
        </w:tc>
        <w:tc>
          <w:tcPr>
            <w:tcW w:w="320" w:type="dxa"/>
            <w:vAlign w:val="bottom"/>
          </w:tcPr>
          <w:p>
            <w:pPr>
              <w:spacing w:after="0"/>
              <w:rPr>
                <w:sz w:val="20"/>
                <w:szCs w:val="20"/>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15,831</w:t>
            </w:r>
          </w:p>
        </w:tc>
        <w:tc>
          <w:tcPr>
            <w:tcW w:w="160" w:type="dxa"/>
            <w:vAlign w:val="bottom"/>
          </w:tcPr>
          <w:p>
            <w:pPr>
              <w:spacing w:after="0"/>
              <w:rPr>
                <w:sz w:val="20"/>
                <w:szCs w:val="20"/>
                <w:color w:val="auto"/>
              </w:rPr>
            </w:pPr>
          </w:p>
        </w:tc>
        <w:tc>
          <w:tcPr>
            <w:tcW w:w="1240" w:type="dxa"/>
            <w:vAlign w:val="bottom"/>
          </w:tcPr>
          <w:p>
            <w:pPr>
              <w:jc w:val="right"/>
              <w:ind w:right="122"/>
              <w:spacing w:after="0"/>
              <w:rPr>
                <w:sz w:val="20"/>
                <w:szCs w:val="20"/>
                <w:color w:val="auto"/>
              </w:rPr>
            </w:pPr>
            <w:r>
              <w:rPr>
                <w:rFonts w:ascii="Arial" w:cs="Arial" w:eastAsia="Arial" w:hAnsi="Arial"/>
                <w:sz w:val="16"/>
                <w:szCs w:val="16"/>
                <w:b w:val="1"/>
                <w:bCs w:val="1"/>
                <w:color w:val="auto"/>
              </w:rPr>
              <w:t>41,889</w:t>
            </w:r>
          </w:p>
        </w:tc>
        <w:tc>
          <w:tcPr>
            <w:tcW w:w="320" w:type="dxa"/>
            <w:vAlign w:val="bottom"/>
          </w:tcPr>
          <w:p>
            <w:pPr>
              <w:spacing w:after="0"/>
              <w:rPr>
                <w:sz w:val="20"/>
                <w:szCs w:val="20"/>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52,020</w:t>
            </w: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of Net sales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16.1 %</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21.6 %</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18.5 %</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21.2 %</w:t>
            </w:r>
          </w:p>
        </w:tc>
      </w:tr>
      <w:tr>
        <w:trPr>
          <w:trHeight w:val="240"/>
        </w:trPr>
        <w:tc>
          <w:tcPr>
            <w:tcW w:w="4700" w:type="dxa"/>
            <w:vAlign w:val="bottom"/>
          </w:tcPr>
          <w:p>
            <w:pPr>
              <w:ind w:left="20"/>
              <w:spacing w:after="0"/>
              <w:rPr>
                <w:sz w:val="20"/>
                <w:szCs w:val="20"/>
                <w:color w:val="auto"/>
              </w:rPr>
            </w:pPr>
            <w:r>
              <w:rPr>
                <w:rFonts w:ascii="Arial" w:cs="Arial" w:eastAsia="Arial" w:hAnsi="Arial"/>
                <w:sz w:val="16"/>
                <w:szCs w:val="16"/>
                <w:color w:val="auto"/>
              </w:rPr>
              <w:t>STG&amp;R expenses</w:t>
            </w:r>
          </w:p>
        </w:tc>
        <w:tc>
          <w:tcPr>
            <w:tcW w:w="140" w:type="dxa"/>
            <w:vAlign w:val="bottom"/>
          </w:tcPr>
          <w:p>
            <w:pPr>
              <w:spacing w:after="0"/>
              <w:rPr>
                <w:sz w:val="20"/>
                <w:szCs w:val="20"/>
                <w:color w:val="auto"/>
              </w:rPr>
            </w:pPr>
          </w:p>
        </w:tc>
        <w:tc>
          <w:tcPr>
            <w:tcW w:w="1260" w:type="dxa"/>
            <w:vAlign w:val="bottom"/>
          </w:tcPr>
          <w:p>
            <w:pPr>
              <w:jc w:val="right"/>
              <w:ind w:right="142"/>
              <w:spacing w:after="0"/>
              <w:rPr>
                <w:sz w:val="20"/>
                <w:szCs w:val="20"/>
                <w:color w:val="auto"/>
              </w:rPr>
            </w:pPr>
            <w:r>
              <w:rPr>
                <w:rFonts w:ascii="Arial" w:cs="Arial" w:eastAsia="Arial" w:hAnsi="Arial"/>
                <w:sz w:val="16"/>
                <w:szCs w:val="16"/>
                <w:b w:val="1"/>
                <w:bCs w:val="1"/>
                <w:color w:val="auto"/>
              </w:rPr>
              <w:t>9,769</w:t>
            </w:r>
          </w:p>
        </w:tc>
        <w:tc>
          <w:tcPr>
            <w:tcW w:w="320" w:type="dxa"/>
            <w:vAlign w:val="bottom"/>
          </w:tcPr>
          <w:p>
            <w:pPr>
              <w:spacing w:after="0"/>
              <w:rPr>
                <w:sz w:val="20"/>
                <w:szCs w:val="20"/>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8,646</w:t>
            </w:r>
          </w:p>
        </w:tc>
        <w:tc>
          <w:tcPr>
            <w:tcW w:w="160" w:type="dxa"/>
            <w:vAlign w:val="bottom"/>
          </w:tcPr>
          <w:p>
            <w:pPr>
              <w:spacing w:after="0"/>
              <w:rPr>
                <w:sz w:val="20"/>
                <w:szCs w:val="20"/>
                <w:color w:val="auto"/>
              </w:rPr>
            </w:pPr>
          </w:p>
        </w:tc>
        <w:tc>
          <w:tcPr>
            <w:tcW w:w="1240" w:type="dxa"/>
            <w:vAlign w:val="bottom"/>
          </w:tcPr>
          <w:p>
            <w:pPr>
              <w:jc w:val="right"/>
              <w:ind w:right="122"/>
              <w:spacing w:after="0"/>
              <w:rPr>
                <w:sz w:val="20"/>
                <w:szCs w:val="20"/>
                <w:color w:val="auto"/>
              </w:rPr>
            </w:pPr>
            <w:r>
              <w:rPr>
                <w:rFonts w:ascii="Arial" w:cs="Arial" w:eastAsia="Arial" w:hAnsi="Arial"/>
                <w:sz w:val="16"/>
                <w:szCs w:val="16"/>
                <w:b w:val="1"/>
                <w:bCs w:val="1"/>
                <w:color w:val="auto"/>
              </w:rPr>
              <w:t>28,909</w:t>
            </w:r>
          </w:p>
        </w:tc>
        <w:tc>
          <w:tcPr>
            <w:tcW w:w="320" w:type="dxa"/>
            <w:vAlign w:val="bottom"/>
          </w:tcPr>
          <w:p>
            <w:pPr>
              <w:spacing w:after="0"/>
              <w:rPr>
                <w:sz w:val="20"/>
                <w:szCs w:val="20"/>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26,664</w:t>
            </w:r>
          </w:p>
        </w:tc>
      </w:tr>
      <w:tr>
        <w:trPr>
          <w:trHeight w:val="218"/>
        </w:trPr>
        <w:tc>
          <w:tcPr>
            <w:tcW w:w="4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2,917</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6,828</w:t>
            </w: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13,019</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22,749</w:t>
            </w: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 comparison</w:t>
      </w:r>
    </w:p>
    <w:p>
      <w:pPr>
        <w:spacing w:after="0" w:line="139" w:lineRule="exact"/>
        <w:rPr>
          <w:sz w:val="20"/>
          <w:szCs w:val="20"/>
          <w:color w:val="auto"/>
        </w:rPr>
      </w:pPr>
    </w:p>
    <w:p>
      <w:pPr>
        <w:ind w:right="220" w:firstLine="324"/>
        <w:spacing w:after="0" w:line="261" w:lineRule="auto"/>
        <w:rPr>
          <w:sz w:val="20"/>
          <w:szCs w:val="20"/>
          <w:color w:val="auto"/>
        </w:rPr>
      </w:pPr>
      <w:r>
        <w:rPr>
          <w:rFonts w:ascii="Arial" w:cs="Arial" w:eastAsia="Arial" w:hAnsi="Arial"/>
          <w:sz w:val="18"/>
          <w:szCs w:val="18"/>
          <w:color w:val="auto"/>
        </w:rPr>
        <w:t>Third quarter 2021 net sales increased compared to third quarter 2020, mainly due to growth on LEAP and CH-53K programs, partially offset by a decline in sales for the Boeing 787 and F-35 platforms.</w:t>
      </w:r>
    </w:p>
    <w:p>
      <w:pPr>
        <w:spacing w:after="0" w:line="90" w:lineRule="exact"/>
        <w:rPr>
          <w:sz w:val="20"/>
          <w:szCs w:val="20"/>
          <w:color w:val="auto"/>
        </w:rPr>
      </w:pPr>
    </w:p>
    <w:p>
      <w:pPr>
        <w:ind w:right="400" w:firstLine="324"/>
        <w:spacing w:after="0" w:line="261" w:lineRule="auto"/>
        <w:rPr>
          <w:sz w:val="20"/>
          <w:szCs w:val="20"/>
          <w:color w:val="auto"/>
        </w:rPr>
      </w:pPr>
      <w:r>
        <w:rPr>
          <w:rFonts w:ascii="Arial" w:cs="Arial" w:eastAsia="Arial" w:hAnsi="Arial"/>
          <w:sz w:val="18"/>
          <w:szCs w:val="18"/>
          <w:color w:val="auto"/>
        </w:rPr>
        <w:t>Net sales for the nine months ended September 30, 2021 decreased compared to those in the same period in 2020, primarily due to declines in sales for the Boeing 787 program, partially offset by growth on the CH-53K programs.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 comparison</w:t>
      </w:r>
    </w:p>
    <w:p>
      <w:pPr>
        <w:spacing w:after="0" w:line="139"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The decrease in gross profit for the third quarter in 2021 compared to the same period in 2020 was driven by a smaller impact from changes in the estimated profitability of long-term contracts, lower fixed cost absorption, and the effect of sharing with our customer base a portion of the AMJP grant received during the quarter.</w:t>
      </w:r>
    </w:p>
    <w:p>
      <w:pPr>
        <w:spacing w:after="0" w:line="94" w:lineRule="exact"/>
        <w:rPr>
          <w:sz w:val="20"/>
          <w:szCs w:val="20"/>
          <w:color w:val="auto"/>
        </w:rPr>
      </w:pPr>
    </w:p>
    <w:p>
      <w:pPr>
        <w:ind w:right="780" w:firstLine="324"/>
        <w:spacing w:after="0" w:line="261" w:lineRule="auto"/>
        <w:rPr>
          <w:sz w:val="20"/>
          <w:szCs w:val="20"/>
          <w:color w:val="auto"/>
        </w:rPr>
      </w:pPr>
      <w:r>
        <w:rPr>
          <w:rFonts w:ascii="Arial" w:cs="Arial" w:eastAsia="Arial" w:hAnsi="Arial"/>
          <w:sz w:val="18"/>
          <w:szCs w:val="18"/>
          <w:color w:val="auto"/>
        </w:rPr>
        <w:t>For the year-to-date ended September 30, 2021, gross profit was lower compared to that for the same period in 2020, driven by unfavorable shift in program revenue mix.</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contracts</w:t>
      </w:r>
    </w:p>
    <w:p>
      <w:pPr>
        <w:sectPr>
          <w:pgSz w:w="11900" w:h="16838" w:orient="portrait"/>
          <w:cols w:equalWidth="0" w:num="1">
            <w:col w:w="11240"/>
          </w:cols>
          <w:pgMar w:left="320" w:top="1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31" w:name="page32"/>
    <w:bookmarkEnd w:id="3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right="40" w:firstLine="324"/>
        <w:spacing w:after="0" w:line="254" w:lineRule="auto"/>
        <w:rPr>
          <w:sz w:val="20"/>
          <w:szCs w:val="20"/>
          <w:color w:val="auto"/>
        </w:rPr>
      </w:pPr>
      <w:r>
        <w:rPr>
          <w:rFonts w:ascii="Arial" w:cs="Arial" w:eastAsia="Arial" w:hAnsi="Arial"/>
          <w:sz w:val="18"/>
          <w:szCs w:val="18"/>
          <w:color w:val="auto"/>
        </w:rPr>
        <w:t>AEC has contracts with certain customers, including its contract for the LEAP program, where revenue is determined by a cost-plus-fee agreement. Revenue earned under these arrangements accounted for approximately 34 percent of segment revenue for year-to-date ended September 30, 2021 and 29 percent for the same period of 2020. LEAP engines are currently used on the Boeing 737 MAX, Airbus A320neo and COMAC aircraft.</w:t>
      </w:r>
    </w:p>
    <w:p>
      <w:pPr>
        <w:spacing w:after="0" w:line="96"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In addition, AEC has long-term contracts in which the selling price is fixed. In accounting for those contracts, we estimate the profit margin expected at the completion of the contracts and recognize a pro-rata share of that profit during the course of the contracts using a cost-to-cost approach. Changes in estimated contract profitability will affect revenue and gross profit when the change occurs, which could have a significant favorable or unfavorable effect on revenue and gross profit in any reporting period. For contracts with anticipated losses, a provision for the entire amount of the estimated remaining loss is charged against income in the period in which the loss becomes known. Contract losses are determined considering all direct and indirect contract costs, exclusive of any selling, general or administrative cost allocations, which are treated as period expenses. Expected losses on projects include losses on contract options that are probable of exercise, excluding profitable options that often follow.</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 comparison</w:t>
      </w:r>
    </w:p>
    <w:p>
      <w:pPr>
        <w:spacing w:after="0" w:line="139"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Operating income was lower for the three and nine months ended September 30, 2021 compared to the same periods in 2020, primarily due to lower gross profit and higher STG&amp;R expenses.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86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r>
      <w:tr>
        <w:trPr>
          <w:trHeight w:val="203"/>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w w:val="96"/>
              </w:rPr>
              <w:t>2020</w:t>
            </w:r>
          </w:p>
        </w:tc>
      </w:tr>
      <w:tr>
        <w:trPr>
          <w:trHeight w:val="209"/>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89,992</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69,633</w:t>
            </w:r>
          </w:p>
        </w:tc>
      </w:tr>
      <w:tr>
        <w:trPr>
          <w:trHeight w:val="215"/>
        </w:trPr>
        <w:tc>
          <w:tcPr>
            <w:tcW w:w="862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55,347</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54,306</w:t>
            </w:r>
          </w:p>
        </w:tc>
      </w:tr>
      <w:tr>
        <w:trPr>
          <w:trHeight w:val="217"/>
        </w:trPr>
        <w:tc>
          <w:tcPr>
            <w:tcW w:w="8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Changes in working capital (a)</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(9,959)</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(65,460)</w:t>
            </w:r>
          </w:p>
        </w:tc>
      </w:tr>
      <w:tr>
        <w:trPr>
          <w:trHeight w:val="215"/>
        </w:trPr>
        <w:tc>
          <w:tcPr>
            <w:tcW w:w="8620" w:type="dxa"/>
            <w:vAlign w:val="bottom"/>
          </w:tcPr>
          <w:p>
            <w:pPr>
              <w:ind w:left="140"/>
              <w:spacing w:after="0"/>
              <w:rPr>
                <w:sz w:val="20"/>
                <w:szCs w:val="20"/>
                <w:color w:val="auto"/>
              </w:rPr>
            </w:pPr>
            <w:r>
              <w:rPr>
                <w:rFonts w:ascii="Arial" w:cs="Arial" w:eastAsia="Arial" w:hAnsi="Arial"/>
                <w:sz w:val="16"/>
                <w:szCs w:val="16"/>
                <w:color w:val="auto"/>
              </w:rPr>
              <w:t>Changes in other noncurrent liabilities and deferred taxes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1,440</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12,021</w:t>
            </w:r>
          </w:p>
        </w:tc>
      </w:tr>
      <w:tr>
        <w:trPr>
          <w:trHeight w:val="216"/>
        </w:trPr>
        <w:tc>
          <w:tcPr>
            <w:tcW w:w="86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Other operating items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11,679</w:t>
            </w:r>
          </w:p>
        </w:tc>
        <w:tc>
          <w:tcPr>
            <w:tcW w:w="5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13,193</w:t>
            </w:r>
          </w:p>
        </w:tc>
      </w:tr>
      <w:tr>
        <w:trPr>
          <w:trHeight w:val="234"/>
        </w:trPr>
        <w:tc>
          <w:tcPr>
            <w:tcW w:w="8620" w:type="dxa"/>
            <w:vAlign w:val="bottom"/>
          </w:tcPr>
          <w:p>
            <w:pPr>
              <w:ind w:left="20"/>
              <w:spacing w:after="0"/>
              <w:rPr>
                <w:sz w:val="20"/>
                <w:szCs w:val="20"/>
                <w:color w:val="auto"/>
              </w:rPr>
            </w:pPr>
            <w:r>
              <w:rPr>
                <w:rFonts w:ascii="Arial" w:cs="Arial" w:eastAsia="Arial" w:hAnsi="Arial"/>
                <w:sz w:val="16"/>
                <w:szCs w:val="16"/>
                <w:color w:val="auto"/>
              </w:rPr>
              <w:t>Net cash provided by/(used in) operating activities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148,499</w:t>
            </w:r>
          </w:p>
        </w:tc>
        <w:tc>
          <w:tcPr>
            <w:tcW w:w="5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83,693</w:t>
            </w:r>
          </w:p>
        </w:tc>
      </w:tr>
      <w:tr>
        <w:trPr>
          <w:trHeight w:val="219"/>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investing activities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(32,148)</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(31,475)</w:t>
            </w:r>
          </w:p>
        </w:tc>
      </w:tr>
      <w:tr>
        <w:trPr>
          <w:trHeight w:val="240"/>
        </w:trPr>
        <w:tc>
          <w:tcPr>
            <w:tcW w:w="8620" w:type="dxa"/>
            <w:vAlign w:val="bottom"/>
          </w:tcPr>
          <w:p>
            <w:pPr>
              <w:ind w:left="20"/>
              <w:spacing w:after="0"/>
              <w:rPr>
                <w:sz w:val="20"/>
                <w:szCs w:val="20"/>
                <w:color w:val="auto"/>
              </w:rPr>
            </w:pPr>
            <w:r>
              <w:rPr>
                <w:rFonts w:ascii="Arial" w:cs="Arial" w:eastAsia="Arial" w:hAnsi="Arial"/>
                <w:sz w:val="16"/>
                <w:szCs w:val="16"/>
                <w:color w:val="auto"/>
              </w:rPr>
              <w:t>Net cash (used in)/provided by financing activities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(69,339)</w:t>
            </w:r>
          </w:p>
        </w:tc>
        <w:tc>
          <w:tcPr>
            <w:tcW w:w="5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(31,703)</w:t>
            </w:r>
          </w:p>
        </w:tc>
      </w:tr>
      <w:tr>
        <w:trPr>
          <w:trHeight w:val="218"/>
        </w:trPr>
        <w:tc>
          <w:tcPr>
            <w:tcW w:w="8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(2,111)</w:t>
            </w:r>
          </w:p>
        </w:tc>
        <w:tc>
          <w:tcPr>
            <w:tcW w:w="5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w:t>
            </w:r>
          </w:p>
        </w:tc>
      </w:tr>
      <w:tr>
        <w:trPr>
          <w:trHeight w:val="234"/>
        </w:trPr>
        <w:tc>
          <w:tcPr>
            <w:tcW w:w="8620" w:type="dxa"/>
            <w:vAlign w:val="bottom"/>
          </w:tcPr>
          <w:p>
            <w:pPr>
              <w:ind w:left="20"/>
              <w:spacing w:after="0"/>
              <w:rPr>
                <w:sz w:val="20"/>
                <w:szCs w:val="20"/>
                <w:color w:val="auto"/>
              </w:rPr>
            </w:pPr>
            <w:r>
              <w:rPr>
                <w:rFonts w:ascii="Arial" w:cs="Arial" w:eastAsia="Arial" w:hAnsi="Arial"/>
                <w:sz w:val="16"/>
                <w:szCs w:val="16"/>
                <w:color w:val="auto"/>
              </w:rPr>
              <w:t>Increase/(decrease) in cash and cash equivalents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44,901</w:t>
            </w:r>
          </w:p>
        </w:tc>
        <w:tc>
          <w:tcPr>
            <w:tcW w:w="5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19,764</w:t>
            </w:r>
          </w:p>
        </w:tc>
      </w:tr>
      <w:tr>
        <w:trPr>
          <w:trHeight w:val="218"/>
        </w:trPr>
        <w:tc>
          <w:tcPr>
            <w:tcW w:w="8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241,316</w:t>
            </w:r>
          </w:p>
        </w:tc>
        <w:tc>
          <w:tcPr>
            <w:tcW w:w="5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195,540</w:t>
            </w:r>
          </w:p>
        </w:tc>
      </w:tr>
      <w:tr>
        <w:trPr>
          <w:trHeight w:val="234"/>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286,217</w:t>
            </w: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215,304</w:t>
            </w:r>
          </w:p>
        </w:tc>
      </w:tr>
    </w:tbl>
    <w:p>
      <w:pPr>
        <w:spacing w:after="0" w:line="83"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Accounts receivable, Contract assets, Inventories, Accounts payable, and Accrued liabilities.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Cash flow provided by operating activities was $148.5 million in the first nine months of 2021, compared to $83.7 million in the first nine months of 2020. This improvement was due to improved working capital cash flows in AEC, primarily due to higher income from the LEAP program, and an increase in consolidated net income.</w:t>
      </w:r>
    </w:p>
    <w:p>
      <w:pPr>
        <w:spacing w:after="0" w:line="9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Cash paid for income taxes was $27.8 million and $21.9 million for the first nine months of 2021 and 2020, respectively. The increase is primarily due to an increase in corporate income tax payments in Brazil, China and Switzerland related to prior year tax liabilities, partially offset by a decrease in corporate income tax payments in the United States due to an increase in prior year state overpayments.</w:t>
      </w:r>
    </w:p>
    <w:p>
      <w:pPr>
        <w:spacing w:after="0" w:line="9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At September 30, 2021, we had $286.2 million of cash and cash equivalents, of which $223.1 million was held by subsidiaries outside of the United States.</w:t>
      </w:r>
    </w:p>
    <w:p>
      <w:pPr>
        <w:sectPr>
          <w:pgSz w:w="11900" w:h="16838" w:orient="portrait"/>
          <w:cols w:equalWidth="0" w:num="1">
            <w:col w:w="11240"/>
          </w:cols>
          <w:pgMar w:left="320" w:top="1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32" w:name="page33"/>
    <w:bookmarkEnd w:id="3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and Financing Activities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Capital expenditures for the first nine months were $32.1 million in 2021 and $31.5 million in 2020.</w:t>
      </w:r>
    </w:p>
    <w:p>
      <w:pPr>
        <w:spacing w:after="0" w:line="117"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color w:val="auto"/>
        </w:rPr>
        <w:t>Net cash outflows from financing activities for the year-to-date ended September 30, 2021 were higher than those for the same period in 2020, primarily due to increased net principal payments on debt.</w:t>
      </w:r>
    </w:p>
    <w:p>
      <w:pPr>
        <w:spacing w:after="0" w:line="9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Dividends have been declared each quarter since the fourth quarter of 2001. Decisions with respect to whether a dividend will be paid, and the amount of the dividend, are made by the Board of Directors each quarter. Future cash dividends will also depend on debt covenants and on the Board’s assessment of our ability to generate sufficient cash flows.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finance our business activities primarily with cash generated from operations and borrowings, largely through our revolving credit agreement as discussed below. Our subsidiaries outside of the United States may also maintain working capital lines with local banks, but borrowings under such local facilities tend to be insignificant. The majority of our cash balance at September 30, 2021 was held by non-U.S. subsidiaries. Based on cash on hand and credit facilities, we anticipate that the Company has sufficient capital resources to operate for the foreseeable future. We were in compliance with all debt covenants as of September 30, 2021.</w:t>
      </w:r>
    </w:p>
    <w:p>
      <w:pPr>
        <w:spacing w:after="0" w:line="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October 27, 2020, we entered into a $700 million unsecured Four-Year Revolving Credit Facility Agreement (the “Credit Agreement”) which amended and restated the prior amended and restated $685 million Five-Year Revolving Credit Facility Agreement, which we had entered into on November 7, 2017 (the “Prior Agreement”). Under the Credit Agreement, $350 million of borrowings were outstanding as of September 30, 2021. The applicable interest rate for borrowings was LIBOR plus a spread, based on our leverage ratio at the time of borrowing. At the time of the last borrowing on September 16, 2021, the spread was 1.625%. The spread was based on a pricing grid, which ranged from 1.500% to 2.000%, based on our leverage ratio. Based on our maximum leverage ratio and our Consolidated EBITDA, and without modification to any other credit agreements, as of September 30, 2021, we would have been able to borrow an additional $350 million under the Agreement.</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more information, see Note 13 to the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3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As of September 30, 2021, we have no off-balance sheet arrangements required to be disclosed pursuant to Item 303(a)(4) of Regulation S-K.</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This Form 10-Q contains certain non-GAAP measures, including: Net sales, and percent change in Net sales, excluding the impact of currency translation effects (for each segment and on a consolidated basis); EBITDA and Adjusted EBITDA (for each segment and on a consolidated basis, represented in dollars or as a percentage of net sales); Net debt; and Adjusted earnings per share (or Adjusted EPS). Such items are provided because management believes that they provide additional useful information to investors regarding the Company’s operational performance.</w:t>
      </w:r>
    </w:p>
    <w:p>
      <w:pPr>
        <w:spacing w:after="0" w:line="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Presenting Net sales and increases or decreases in Net sales, after currency effects are excluded, can give management and investors insight into underlying sales trends. EBITDA, Adjusted EBITDA and Adjusted EPS are performance measures that relate to the Company’s continuing operations. EBITDA, or net income with interest, taxes, depreciation, and amortization added back, is a common indicator of financial performance used, among other things, to analyze and compare core profitability between companies and industries because it eliminates effects due to differences in financing, asset bases and taxes. An understanding of the impact in a particular quarter of specific restructuring costs, former CEO termination costs, acquisition/integrations costs, currency revaluation, government grants, pension settlement/curtailment charges, inventory write-offs associated with discontinued businesses, or other gains and losses, on net income (absolute as well as on a per-share basis), operating income or EBITDA can give management and investors additional insight into core financial performance, especially when compared to quarters in which such items had a greater or lesser effect, or no effect. Restructuring expenses, while frequent in recent years, are reflective of significant reductions in manufacturing capacity and associated headcount in response to shifting markets, and not of the profitability of the business going forward as restructured.</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3" w:name="page34"/>
    <w:bookmarkEnd w:id="3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Net sales, or percent changes in Net sales, excluding currency rate effects, are calculated by converting amounts reported in local currencies into U.S. dollars at the exchange rate of a prior period. These amounts are then compared to the U.S. dollar amount as reported in the current period. The Company calculates EBITDA by removing the following from Net income: Interest expense net, Income tax expense, and Depreciation and amortization expense. Adjusted EBITDA is calculated by: adding to EBITDA costs associated with restructuring, former CEO termination costs, and inventory write-offs associated with discontinued businesses; adding charges and credits related to pension plan settlements and curtailments; adding (or subtracting) revaluation losses (or gains); subtracting income (net of associated costs) recognized related to government grants; subtracting (or adding) gains (or losses) from the sale of buildings or investments; adding acquisition/integration costs and subtracting (or adding) Income (or loss) attributable to the non-controlling interest in Albany Safran Composites (ASC). Adjusted earnings per share (Adjusted EPS) is calculated by adding to (or subtracting from) net income attributable to the Company per share, on an after-tax basis: restructuring charges; former CEO severance costs; inventory write-offs associated with discontinued businesses; charges and credits related to pension settlements and curtailments; foreign currency revaluation losses (or gains); and acquisition-related expenses.</w:t>
      </w:r>
    </w:p>
    <w:p>
      <w:pPr>
        <w:spacing w:after="0" w:line="10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EBITDA, Adjusted EBITDA, and Adjusted earnings per share as defined by the Company may not be similar to similarly named measures of other companies. Such measures are not considered measurements under GAAP, and should be considered in addition to, but not as substitutes for, the information contained in the Company’s statements of income.</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show the calculation of EBITDA and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Three months ended September 30, 2021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48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vMerge w:val="restart"/>
          </w:tcPr>
          <w:p>
            <w:pPr>
              <w:jc w:val="right"/>
              <w:ind w:right="180"/>
              <w:spacing w:after="0"/>
              <w:rPr>
                <w:sz w:val="20"/>
                <w:szCs w:val="20"/>
                <w:color w:val="auto"/>
              </w:rPr>
            </w:pPr>
            <w:r>
              <w:rPr>
                <w:rFonts w:ascii="Arial" w:cs="Arial" w:eastAsia="Arial" w:hAnsi="Arial"/>
                <w:sz w:val="14"/>
                <w:szCs w:val="14"/>
                <w:b w:val="1"/>
                <w:bCs w:val="1"/>
                <w:color w:val="auto"/>
              </w:rPr>
              <w:t>Machine Clothing</w:t>
            </w:r>
          </w:p>
        </w:tc>
        <w:tc>
          <w:tcPr>
            <w:tcW w:w="18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Albany Engineered</w:t>
            </w:r>
          </w:p>
        </w:tc>
        <w:tc>
          <w:tcPr>
            <w:tcW w:w="32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tcPr>
          <w:p>
            <w:pPr>
              <w:jc w:val="right"/>
              <w:ind w:right="420"/>
              <w:spacing w:after="0" w:line="142" w:lineRule="exact"/>
              <w:rPr>
                <w:sz w:val="20"/>
                <w:szCs w:val="20"/>
                <w:color w:val="auto"/>
              </w:rPr>
            </w:pPr>
            <w:r>
              <w:rPr>
                <w:rFonts w:ascii="Arial" w:cs="Arial" w:eastAsia="Arial" w:hAnsi="Arial"/>
                <w:sz w:val="14"/>
                <w:szCs w:val="14"/>
                <w:b w:val="1"/>
                <w:bCs w:val="1"/>
                <w:color w:val="auto"/>
              </w:rPr>
              <w:t>Corporate expenses</w:t>
            </w:r>
          </w:p>
        </w:tc>
        <w:tc>
          <w:tcPr>
            <w:tcW w:w="24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vMerge w:val="restart"/>
          </w:tcPr>
          <w:p>
            <w:pPr>
              <w:jc w:val="right"/>
              <w:ind w:right="260"/>
              <w:spacing w:after="0"/>
              <w:rPr>
                <w:sz w:val="20"/>
                <w:szCs w:val="20"/>
                <w:color w:val="auto"/>
              </w:rPr>
            </w:pPr>
            <w:r>
              <w:rPr>
                <w:rFonts w:ascii="Arial" w:cs="Arial" w:eastAsia="Arial" w:hAnsi="Arial"/>
                <w:sz w:val="14"/>
                <w:szCs w:val="14"/>
                <w:b w:val="1"/>
                <w:bCs w:val="1"/>
                <w:color w:val="auto"/>
              </w:rPr>
              <w:t>Total Company</w:t>
            </w:r>
          </w:p>
        </w:tc>
        <w:tc>
          <w:tcPr>
            <w:tcW w:w="0" w:type="dxa"/>
            <w:vAlign w:val="bottom"/>
          </w:tcPr>
          <w:p>
            <w:pPr>
              <w:spacing w:after="0"/>
              <w:rPr>
                <w:sz w:val="1"/>
                <w:szCs w:val="1"/>
                <w:color w:val="auto"/>
              </w:rPr>
            </w:pPr>
          </w:p>
        </w:tc>
      </w:tr>
      <w:tr>
        <w:trPr>
          <w:trHeight w:val="175"/>
        </w:trPr>
        <w:tc>
          <w:tcPr>
            <w:tcW w:w="348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Composites</w:t>
            </w:r>
          </w:p>
        </w:tc>
        <w:tc>
          <w:tcPr>
            <w:tcW w:w="3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jc w:val="right"/>
              <w:ind w:right="780"/>
              <w:spacing w:after="0"/>
              <w:rPr>
                <w:sz w:val="20"/>
                <w:szCs w:val="20"/>
                <w:color w:val="auto"/>
              </w:rPr>
            </w:pPr>
            <w:r>
              <w:rPr>
                <w:rFonts w:ascii="Arial" w:cs="Arial" w:eastAsia="Arial" w:hAnsi="Arial"/>
                <w:sz w:val="14"/>
                <w:szCs w:val="14"/>
                <w:b w:val="1"/>
                <w:bCs w:val="1"/>
                <w:color w:val="auto"/>
              </w:rPr>
              <w:t>and other</w:t>
            </w: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income/(loss) (GAAP)</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55,467</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2,917</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(13,898)</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44,486</w:t>
            </w:r>
          </w:p>
        </w:tc>
        <w:tc>
          <w:tcPr>
            <w:tcW w:w="0" w:type="dxa"/>
            <w:vAlign w:val="bottom"/>
          </w:tcPr>
          <w:p>
            <w:pPr>
              <w:spacing w:after="0"/>
              <w:rPr>
                <w:sz w:val="1"/>
                <w:szCs w:val="1"/>
                <w:color w:val="auto"/>
              </w:rPr>
            </w:pPr>
          </w:p>
        </w:tc>
      </w:tr>
      <w:tr>
        <w:trPr>
          <w:trHeight w:val="215"/>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 taxes, other income/(expense)</w:t>
            </w: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(13,544)</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(13,544)</w:t>
            </w:r>
          </w:p>
        </w:tc>
        <w:tc>
          <w:tcPr>
            <w:tcW w:w="0" w:type="dxa"/>
            <w:vAlign w:val="bottom"/>
          </w:tcPr>
          <w:p>
            <w:pPr>
              <w:spacing w:after="0"/>
              <w:rPr>
                <w:sz w:val="1"/>
                <w:szCs w:val="1"/>
                <w:color w:val="auto"/>
              </w:rPr>
            </w:pPr>
          </w:p>
        </w:tc>
      </w:tr>
      <w:tr>
        <w:trPr>
          <w:trHeight w:val="210"/>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income/(loss) (GAAP)</w:t>
            </w:r>
          </w:p>
        </w:tc>
        <w:tc>
          <w:tcPr>
            <w:tcW w:w="3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55,467</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2,917</w:t>
            </w:r>
          </w:p>
        </w:tc>
        <w:tc>
          <w:tcPr>
            <w:tcW w:w="3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(27,442)</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30,942</w:t>
            </w:r>
          </w:p>
        </w:tc>
        <w:tc>
          <w:tcPr>
            <w:tcW w:w="0" w:type="dxa"/>
            <w:vAlign w:val="bottom"/>
          </w:tcPr>
          <w:p>
            <w:pPr>
              <w:spacing w:after="0"/>
              <w:rPr>
                <w:sz w:val="1"/>
                <w:szCs w:val="1"/>
                <w:color w:val="auto"/>
              </w:rPr>
            </w:pPr>
          </w:p>
        </w:tc>
      </w:tr>
      <w:tr>
        <w:trPr>
          <w:trHeight w:val="213"/>
        </w:trPr>
        <w:tc>
          <w:tcPr>
            <w:tcW w:w="34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3,734</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3,734</w:t>
            </w: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3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12,889</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12,889</w:t>
            </w:r>
          </w:p>
        </w:tc>
        <w:tc>
          <w:tcPr>
            <w:tcW w:w="0" w:type="dxa"/>
            <w:vAlign w:val="bottom"/>
          </w:tcPr>
          <w:p>
            <w:pPr>
              <w:spacing w:after="0"/>
              <w:rPr>
                <w:sz w:val="1"/>
                <w:szCs w:val="1"/>
                <w:color w:val="auto"/>
              </w:rPr>
            </w:pPr>
          </w:p>
        </w:tc>
      </w:tr>
      <w:tr>
        <w:trPr>
          <w:trHeight w:val="213"/>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Depreciation and amortization expense</w:t>
            </w: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5,014</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12,265</w:t>
            </w:r>
          </w:p>
        </w:tc>
        <w:tc>
          <w:tcPr>
            <w:tcW w:w="3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935</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18,214</w:t>
            </w:r>
          </w:p>
        </w:tc>
        <w:tc>
          <w:tcPr>
            <w:tcW w:w="0" w:type="dxa"/>
            <w:vAlign w:val="bottom"/>
          </w:tcPr>
          <w:p>
            <w:pPr>
              <w:spacing w:after="0"/>
              <w:rPr>
                <w:sz w:val="1"/>
                <w:szCs w:val="1"/>
                <w:color w:val="auto"/>
              </w:rPr>
            </w:pPr>
          </w:p>
        </w:tc>
      </w:tr>
      <w:tr>
        <w:trPr>
          <w:trHeight w:val="213"/>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EBITDA (non-GAAP)</w:t>
            </w:r>
          </w:p>
        </w:tc>
        <w:tc>
          <w:tcPr>
            <w:tcW w:w="3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60,481</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15,182</w:t>
            </w:r>
          </w:p>
        </w:tc>
        <w:tc>
          <w:tcPr>
            <w:tcW w:w="3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(9,884)</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65,779</w:t>
            </w:r>
          </w:p>
        </w:tc>
        <w:tc>
          <w:tcPr>
            <w:tcW w:w="0" w:type="dxa"/>
            <w:vAlign w:val="bottom"/>
          </w:tcPr>
          <w:p>
            <w:pPr>
              <w:spacing w:after="0"/>
              <w:rPr>
                <w:sz w:val="1"/>
                <w:szCs w:val="1"/>
                <w:color w:val="auto"/>
              </w:rPr>
            </w:pPr>
          </w:p>
        </w:tc>
      </w:tr>
      <w:tr>
        <w:trPr>
          <w:trHeight w:val="213"/>
        </w:trPr>
        <w:tc>
          <w:tcPr>
            <w:tcW w:w="3480" w:type="dxa"/>
            <w:vAlign w:val="bottom"/>
          </w:tcPr>
          <w:p>
            <w:pPr>
              <w:ind w:left="20"/>
              <w:spacing w:after="0"/>
              <w:rPr>
                <w:sz w:val="20"/>
                <w:szCs w:val="20"/>
                <w:color w:val="auto"/>
              </w:rPr>
            </w:pPr>
            <w:r>
              <w:rPr>
                <w:rFonts w:ascii="Arial" w:cs="Arial" w:eastAsia="Arial" w:hAnsi="Arial"/>
                <w:sz w:val="16"/>
                <w:szCs w:val="16"/>
                <w:color w:val="auto"/>
              </w:rPr>
              <w:t>Restructuring expenses, net</w:t>
            </w: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251</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(81)</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17</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revaluation (gains)/losses</w:t>
            </w:r>
          </w:p>
        </w:tc>
        <w:tc>
          <w:tcPr>
            <w:tcW w:w="3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(1,571)</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3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(1,068)</w:t>
            </w:r>
          </w:p>
        </w:tc>
        <w:tc>
          <w:tcPr>
            <w:tcW w:w="0" w:type="dxa"/>
            <w:vAlign w:val="bottom"/>
          </w:tcPr>
          <w:p>
            <w:pPr>
              <w:spacing w:after="0"/>
              <w:rPr>
                <w:sz w:val="1"/>
                <w:szCs w:val="1"/>
                <w:color w:val="auto"/>
              </w:rPr>
            </w:pPr>
          </w:p>
        </w:tc>
      </w:tr>
      <w:tr>
        <w:trPr>
          <w:trHeight w:val="240"/>
        </w:trPr>
        <w:tc>
          <w:tcPr>
            <w:tcW w:w="3480" w:type="dxa"/>
            <w:vAlign w:val="bottom"/>
          </w:tcPr>
          <w:p>
            <w:pPr>
              <w:ind w:left="20"/>
              <w:spacing w:after="0"/>
              <w:rPr>
                <w:sz w:val="20"/>
                <w:szCs w:val="20"/>
                <w:color w:val="auto"/>
              </w:rPr>
            </w:pPr>
            <w:r>
              <w:rPr>
                <w:rFonts w:ascii="Arial" w:cs="Arial" w:eastAsia="Arial" w:hAnsi="Arial"/>
                <w:sz w:val="16"/>
                <w:szCs w:val="16"/>
                <w:color w:val="auto"/>
              </w:rPr>
              <w:t>AMJP grant</w:t>
            </w:r>
          </w:p>
        </w:tc>
        <w:tc>
          <w:tcPr>
            <w:tcW w:w="3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963</w:t>
            </w:r>
          </w:p>
        </w:tc>
        <w:tc>
          <w:tcPr>
            <w:tcW w:w="32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(5,832)</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(4,869)</w:t>
            </w: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Acquisition/integration costs</w:t>
            </w:r>
          </w:p>
        </w:tc>
        <w:tc>
          <w:tcPr>
            <w:tcW w:w="3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3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0" w:type="dxa"/>
            <w:vAlign w:val="bottom"/>
          </w:tcPr>
          <w:p>
            <w:pPr>
              <w:spacing w:after="0"/>
              <w:rPr>
                <w:sz w:val="1"/>
                <w:szCs w:val="1"/>
                <w:color w:val="auto"/>
              </w:rPr>
            </w:pPr>
          </w:p>
        </w:tc>
      </w:tr>
      <w:tr>
        <w:trPr>
          <w:trHeight w:val="177"/>
        </w:trPr>
        <w:tc>
          <w:tcPr>
            <w:tcW w:w="3480" w:type="dxa"/>
            <w:vAlign w:val="bottom"/>
          </w:tcPr>
          <w:p>
            <w:pPr>
              <w:ind w:left="20"/>
              <w:spacing w:after="0" w:line="178" w:lineRule="exact"/>
              <w:rPr>
                <w:sz w:val="20"/>
                <w:szCs w:val="20"/>
                <w:color w:val="auto"/>
              </w:rPr>
            </w:pPr>
            <w:r>
              <w:rPr>
                <w:rFonts w:ascii="Arial" w:cs="Arial" w:eastAsia="Arial" w:hAnsi="Arial"/>
                <w:sz w:val="16"/>
                <w:szCs w:val="16"/>
                <w:color w:val="auto"/>
              </w:rPr>
              <w:t>Pre-tax (income) attributable to noncontrolling</w:t>
            </w:r>
          </w:p>
        </w:tc>
        <w:tc>
          <w:tcPr>
            <w:tcW w:w="3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w:t>
            </w:r>
          </w:p>
        </w:tc>
        <w:tc>
          <w:tcPr>
            <w:tcW w:w="3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3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2"/>
        </w:trPr>
        <w:tc>
          <w:tcPr>
            <w:tcW w:w="3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59,161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16,297</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(15,227)</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60,231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4" w:name="page35"/>
    <w:bookmarkEnd w:id="3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Three months ended September 30, 2020</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48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vMerge w:val="restart"/>
          </w:tcPr>
          <w:p>
            <w:pPr>
              <w:jc w:val="right"/>
              <w:ind w:right="180"/>
              <w:spacing w:after="0"/>
              <w:rPr>
                <w:sz w:val="20"/>
                <w:szCs w:val="20"/>
                <w:color w:val="auto"/>
              </w:rPr>
            </w:pPr>
            <w:r>
              <w:rPr>
                <w:rFonts w:ascii="Arial" w:cs="Arial" w:eastAsia="Arial" w:hAnsi="Arial"/>
                <w:sz w:val="14"/>
                <w:szCs w:val="14"/>
                <w:b w:val="1"/>
                <w:bCs w:val="1"/>
                <w:color w:val="auto"/>
              </w:rPr>
              <w:t>Machine Clothing</w:t>
            </w:r>
          </w:p>
        </w:tc>
        <w:tc>
          <w:tcPr>
            <w:tcW w:w="18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jc w:val="center"/>
              <w:ind w:right="100"/>
              <w:spacing w:after="0" w:line="154" w:lineRule="exact"/>
              <w:rPr>
                <w:sz w:val="20"/>
                <w:szCs w:val="20"/>
                <w:color w:val="auto"/>
              </w:rPr>
            </w:pPr>
            <w:r>
              <w:rPr>
                <w:rFonts w:ascii="Arial" w:cs="Arial" w:eastAsia="Arial" w:hAnsi="Arial"/>
                <w:sz w:val="14"/>
                <w:szCs w:val="14"/>
                <w:b w:val="1"/>
                <w:bCs w:val="1"/>
                <w:color w:val="auto"/>
              </w:rPr>
              <w:t>Albany Engineered</w:t>
            </w:r>
          </w:p>
        </w:tc>
        <w:tc>
          <w:tcPr>
            <w:tcW w:w="320" w:type="dxa"/>
            <w:vAlign w:val="bottom"/>
            <w:tcBorders>
              <w:top w:val="single" w:sz="8" w:color="auto"/>
            </w:tcBorders>
          </w:tcPr>
          <w:p>
            <w:pPr>
              <w:spacing w:after="0"/>
              <w:rPr>
                <w:sz w:val="13"/>
                <w:szCs w:val="13"/>
                <w:color w:val="auto"/>
              </w:rPr>
            </w:pPr>
          </w:p>
        </w:tc>
        <w:tc>
          <w:tcPr>
            <w:tcW w:w="2080" w:type="dxa"/>
            <w:vAlign w:val="bottom"/>
            <w:tcBorders>
              <w:top w:val="single" w:sz="8" w:color="auto"/>
            </w:tcBorders>
          </w:tcPr>
          <w:p>
            <w:pPr>
              <w:jc w:val="center"/>
              <w:ind w:right="220"/>
              <w:spacing w:after="0" w:line="154" w:lineRule="exact"/>
              <w:rPr>
                <w:sz w:val="20"/>
                <w:szCs w:val="20"/>
                <w:color w:val="auto"/>
              </w:rPr>
            </w:pPr>
            <w:r>
              <w:rPr>
                <w:rFonts w:ascii="Arial" w:cs="Arial" w:eastAsia="Arial" w:hAnsi="Arial"/>
                <w:sz w:val="14"/>
                <w:szCs w:val="14"/>
                <w:b w:val="1"/>
                <w:bCs w:val="1"/>
                <w:color w:val="auto"/>
              </w:rPr>
              <w:t>Corporate expenses</w:t>
            </w:r>
          </w:p>
        </w:tc>
        <w:tc>
          <w:tcPr>
            <w:tcW w:w="24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vMerge w:val="restart"/>
          </w:tcPr>
          <w:p>
            <w:pPr>
              <w:jc w:val="right"/>
              <w:ind w:right="260"/>
              <w:spacing w:after="0"/>
              <w:rPr>
                <w:sz w:val="20"/>
                <w:szCs w:val="20"/>
                <w:color w:val="auto"/>
              </w:rPr>
            </w:pPr>
            <w:r>
              <w:rPr>
                <w:rFonts w:ascii="Arial" w:cs="Arial" w:eastAsia="Arial" w:hAnsi="Arial"/>
                <w:sz w:val="14"/>
                <w:szCs w:val="14"/>
                <w:b w:val="1"/>
                <w:bCs w:val="1"/>
                <w:color w:val="auto"/>
              </w:rPr>
              <w:t>Total Company</w:t>
            </w:r>
          </w:p>
        </w:tc>
        <w:tc>
          <w:tcPr>
            <w:tcW w:w="0" w:type="dxa"/>
            <w:vAlign w:val="bottom"/>
          </w:tcPr>
          <w:p>
            <w:pPr>
              <w:spacing w:after="0"/>
              <w:rPr>
                <w:sz w:val="1"/>
                <w:szCs w:val="1"/>
                <w:color w:val="auto"/>
              </w:rPr>
            </w:pPr>
          </w:p>
        </w:tc>
      </w:tr>
      <w:tr>
        <w:trPr>
          <w:trHeight w:val="176"/>
        </w:trPr>
        <w:tc>
          <w:tcPr>
            <w:tcW w:w="348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Composites</w:t>
            </w:r>
          </w:p>
        </w:tc>
        <w:tc>
          <w:tcPr>
            <w:tcW w:w="3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rPr>
              <w:t>and other</w:t>
            </w: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income/(loss) (GAAP)</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45,699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6,828</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(13,754)</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38,773</w:t>
            </w:r>
          </w:p>
        </w:tc>
        <w:tc>
          <w:tcPr>
            <w:tcW w:w="0" w:type="dxa"/>
            <w:vAlign w:val="bottom"/>
          </w:tcPr>
          <w:p>
            <w:pPr>
              <w:spacing w:after="0"/>
              <w:rPr>
                <w:sz w:val="1"/>
                <w:szCs w:val="1"/>
                <w:color w:val="auto"/>
              </w:rPr>
            </w:pPr>
          </w:p>
        </w:tc>
      </w:tr>
      <w:tr>
        <w:trPr>
          <w:trHeight w:val="215"/>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 taxes, other income/(expense)</w:t>
            </w: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(9,183)</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(9,183)</w:t>
            </w:r>
          </w:p>
        </w:tc>
        <w:tc>
          <w:tcPr>
            <w:tcW w:w="0" w:type="dxa"/>
            <w:vAlign w:val="bottom"/>
          </w:tcPr>
          <w:p>
            <w:pPr>
              <w:spacing w:after="0"/>
              <w:rPr>
                <w:sz w:val="1"/>
                <w:szCs w:val="1"/>
                <w:color w:val="auto"/>
              </w:rPr>
            </w:pPr>
          </w:p>
        </w:tc>
      </w:tr>
      <w:tr>
        <w:trPr>
          <w:trHeight w:val="210"/>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income/(loss) (GAAP)</w:t>
            </w:r>
          </w:p>
        </w:tc>
        <w:tc>
          <w:tcPr>
            <w:tcW w:w="3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45,699</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6,828</w:t>
            </w:r>
          </w:p>
        </w:tc>
        <w:tc>
          <w:tcPr>
            <w:tcW w:w="3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(22,937)</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29,590</w:t>
            </w:r>
          </w:p>
        </w:tc>
        <w:tc>
          <w:tcPr>
            <w:tcW w:w="0" w:type="dxa"/>
            <w:vAlign w:val="bottom"/>
          </w:tcPr>
          <w:p>
            <w:pPr>
              <w:spacing w:after="0"/>
              <w:rPr>
                <w:sz w:val="1"/>
                <w:szCs w:val="1"/>
                <w:color w:val="auto"/>
              </w:rPr>
            </w:pPr>
          </w:p>
        </w:tc>
      </w:tr>
      <w:tr>
        <w:trPr>
          <w:trHeight w:val="213"/>
        </w:trPr>
        <w:tc>
          <w:tcPr>
            <w:tcW w:w="34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2,242</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2,242</w:t>
            </w: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3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9,686</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9,686</w:t>
            </w:r>
          </w:p>
        </w:tc>
        <w:tc>
          <w:tcPr>
            <w:tcW w:w="0" w:type="dxa"/>
            <w:vAlign w:val="bottom"/>
          </w:tcPr>
          <w:p>
            <w:pPr>
              <w:spacing w:after="0"/>
              <w:rPr>
                <w:sz w:val="1"/>
                <w:szCs w:val="1"/>
                <w:color w:val="auto"/>
              </w:rPr>
            </w:pPr>
          </w:p>
        </w:tc>
      </w:tr>
      <w:tr>
        <w:trPr>
          <w:trHeight w:val="213"/>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Depreciation and amortization expense</w:t>
            </w: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5,074</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12,236</w:t>
            </w:r>
          </w:p>
        </w:tc>
        <w:tc>
          <w:tcPr>
            <w:tcW w:w="3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972</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18,282</w:t>
            </w:r>
          </w:p>
        </w:tc>
        <w:tc>
          <w:tcPr>
            <w:tcW w:w="0" w:type="dxa"/>
            <w:vAlign w:val="bottom"/>
          </w:tcPr>
          <w:p>
            <w:pPr>
              <w:spacing w:after="0"/>
              <w:rPr>
                <w:sz w:val="1"/>
                <w:szCs w:val="1"/>
                <w:color w:val="auto"/>
              </w:rPr>
            </w:pPr>
          </w:p>
        </w:tc>
      </w:tr>
      <w:tr>
        <w:trPr>
          <w:trHeight w:val="213"/>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EBITDA (non-GAAP)</w:t>
            </w:r>
          </w:p>
        </w:tc>
        <w:tc>
          <w:tcPr>
            <w:tcW w:w="3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50,773</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19,064</w:t>
            </w:r>
          </w:p>
        </w:tc>
        <w:tc>
          <w:tcPr>
            <w:tcW w:w="3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(10,037)</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59,800</w:t>
            </w:r>
          </w:p>
        </w:tc>
        <w:tc>
          <w:tcPr>
            <w:tcW w:w="0" w:type="dxa"/>
            <w:vAlign w:val="bottom"/>
          </w:tcPr>
          <w:p>
            <w:pPr>
              <w:spacing w:after="0"/>
              <w:rPr>
                <w:sz w:val="1"/>
                <w:szCs w:val="1"/>
                <w:color w:val="auto"/>
              </w:rPr>
            </w:pPr>
          </w:p>
        </w:tc>
      </w:tr>
      <w:tr>
        <w:trPr>
          <w:trHeight w:val="213"/>
        </w:trPr>
        <w:tc>
          <w:tcPr>
            <w:tcW w:w="3480" w:type="dxa"/>
            <w:vAlign w:val="bottom"/>
          </w:tcPr>
          <w:p>
            <w:pPr>
              <w:ind w:left="20"/>
              <w:spacing w:after="0"/>
              <w:rPr>
                <w:sz w:val="20"/>
                <w:szCs w:val="20"/>
                <w:color w:val="auto"/>
              </w:rPr>
            </w:pPr>
            <w:r>
              <w:rPr>
                <w:rFonts w:ascii="Arial" w:cs="Arial" w:eastAsia="Arial" w:hAnsi="Arial"/>
                <w:sz w:val="16"/>
                <w:szCs w:val="16"/>
                <w:color w:val="auto"/>
              </w:rPr>
              <w:t>Restructuring expenses, net</w:t>
            </w: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384</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358</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(32)</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710</w:t>
            </w: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revaluation (gains)/losses</w:t>
            </w:r>
          </w:p>
        </w:tc>
        <w:tc>
          <w:tcPr>
            <w:tcW w:w="3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1,422</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3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w:t>
            </w:r>
          </w:p>
        </w:tc>
        <w:tc>
          <w:tcPr>
            <w:tcW w:w="0" w:type="dxa"/>
            <w:vAlign w:val="bottom"/>
          </w:tcPr>
          <w:p>
            <w:pPr>
              <w:spacing w:after="0"/>
              <w:rPr>
                <w:sz w:val="1"/>
                <w:szCs w:val="1"/>
                <w:color w:val="auto"/>
              </w:rPr>
            </w:pPr>
          </w:p>
        </w:tc>
      </w:tr>
      <w:tr>
        <w:trPr>
          <w:trHeight w:val="213"/>
        </w:trPr>
        <w:tc>
          <w:tcPr>
            <w:tcW w:w="3480" w:type="dxa"/>
            <w:vAlign w:val="bottom"/>
          </w:tcPr>
          <w:p>
            <w:pPr>
              <w:ind w:left="20"/>
              <w:spacing w:after="0"/>
              <w:rPr>
                <w:sz w:val="20"/>
                <w:szCs w:val="20"/>
                <w:color w:val="auto"/>
              </w:rPr>
            </w:pPr>
            <w:r>
              <w:rPr>
                <w:rFonts w:ascii="Arial" w:cs="Arial" w:eastAsia="Arial" w:hAnsi="Arial"/>
                <w:sz w:val="16"/>
                <w:szCs w:val="16"/>
                <w:color w:val="auto"/>
              </w:rPr>
              <w:t>Acquisition/integration costs</w:t>
            </w: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291</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291</w:t>
            </w:r>
          </w:p>
        </w:tc>
        <w:tc>
          <w:tcPr>
            <w:tcW w:w="0" w:type="dxa"/>
            <w:vAlign w:val="bottom"/>
          </w:tcPr>
          <w:p>
            <w:pPr>
              <w:spacing w:after="0"/>
              <w:rPr>
                <w:sz w:val="1"/>
                <w:szCs w:val="1"/>
                <w:color w:val="auto"/>
              </w:rPr>
            </w:pPr>
          </w:p>
        </w:tc>
      </w:tr>
      <w:tr>
        <w:trPr>
          <w:trHeight w:val="180"/>
        </w:trPr>
        <w:tc>
          <w:tcPr>
            <w:tcW w:w="34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Pre-tax (income) attributable to noncontrolling</w:t>
            </w:r>
          </w:p>
        </w:tc>
        <w:tc>
          <w:tcPr>
            <w:tcW w:w="3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interest</w:t>
            </w:r>
          </w:p>
        </w:tc>
        <w:tc>
          <w:tcPr>
            <w:tcW w:w="3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320" w:type="dxa"/>
            <w:vAlign w:val="bottom"/>
            <w:tcBorders>
              <w:bottom w:val="single" w:sz="8" w:color="auto"/>
            </w:tcBorders>
            <w:shd w:val="clear" w:color="auto" w:fill="CCEEFF"/>
          </w:tcPr>
          <w:p>
            <w:pPr>
              <w:spacing w:after="0"/>
              <w:rPr>
                <w:sz w:val="17"/>
                <w:szCs w:val="17"/>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2"/>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52,579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19,465</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(10,213)</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61,831</w:t>
            </w:r>
          </w:p>
        </w:tc>
        <w:tc>
          <w:tcPr>
            <w:tcW w:w="0" w:type="dxa"/>
            <w:vAlign w:val="bottom"/>
          </w:tcPr>
          <w:p>
            <w:pPr>
              <w:spacing w:after="0"/>
              <w:rPr>
                <w:sz w:val="1"/>
                <w:szCs w:val="1"/>
                <w:color w:val="auto"/>
              </w:rPr>
            </w:pPr>
          </w:p>
        </w:tc>
      </w:tr>
      <w:tr>
        <w:trPr>
          <w:trHeight w:val="386"/>
        </w:trPr>
        <w:tc>
          <w:tcPr>
            <w:tcW w:w="3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Nine months ended September 30, 2021</w:t>
            </w:r>
          </w:p>
        </w:tc>
        <w:tc>
          <w:tcPr>
            <w:tcW w:w="3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2"/>
                <w:szCs w:val="12"/>
                <w:color w:val="auto"/>
              </w:rPr>
            </w:pPr>
          </w:p>
        </w:tc>
        <w:tc>
          <w:tcPr>
            <w:tcW w:w="154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Machine Clothing</w:t>
            </w:r>
          </w:p>
        </w:tc>
        <w:tc>
          <w:tcPr>
            <w:tcW w:w="180" w:type="dxa"/>
            <w:vAlign w:val="bottom"/>
          </w:tcPr>
          <w:p>
            <w:pPr>
              <w:spacing w:after="0"/>
              <w:rPr>
                <w:sz w:val="12"/>
                <w:szCs w:val="12"/>
                <w:color w:val="auto"/>
              </w:rPr>
            </w:pPr>
          </w:p>
        </w:tc>
        <w:tc>
          <w:tcPr>
            <w:tcW w:w="1560" w:type="dxa"/>
            <w:vAlign w:val="bottom"/>
          </w:tcPr>
          <w:p>
            <w:pPr>
              <w:jc w:val="center"/>
              <w:ind w:right="100"/>
              <w:spacing w:after="0" w:line="148" w:lineRule="exact"/>
              <w:rPr>
                <w:sz w:val="20"/>
                <w:szCs w:val="20"/>
                <w:color w:val="auto"/>
              </w:rPr>
            </w:pPr>
            <w:r>
              <w:rPr>
                <w:rFonts w:ascii="Arial" w:cs="Arial" w:eastAsia="Arial" w:hAnsi="Arial"/>
                <w:sz w:val="14"/>
                <w:szCs w:val="14"/>
                <w:b w:val="1"/>
                <w:bCs w:val="1"/>
                <w:color w:val="auto"/>
              </w:rPr>
              <w:t>Albany Engineered</w:t>
            </w:r>
          </w:p>
        </w:tc>
        <w:tc>
          <w:tcPr>
            <w:tcW w:w="320" w:type="dxa"/>
            <w:vAlign w:val="bottom"/>
          </w:tcPr>
          <w:p>
            <w:pPr>
              <w:spacing w:after="0"/>
              <w:rPr>
                <w:sz w:val="12"/>
                <w:szCs w:val="12"/>
                <w:color w:val="auto"/>
              </w:rPr>
            </w:pPr>
          </w:p>
        </w:tc>
        <w:tc>
          <w:tcPr>
            <w:tcW w:w="2080" w:type="dxa"/>
            <w:vAlign w:val="bottom"/>
          </w:tcPr>
          <w:p>
            <w:pPr>
              <w:jc w:val="center"/>
              <w:ind w:right="220"/>
              <w:spacing w:after="0" w:line="148" w:lineRule="exact"/>
              <w:rPr>
                <w:sz w:val="20"/>
                <w:szCs w:val="20"/>
                <w:color w:val="auto"/>
              </w:rPr>
            </w:pPr>
            <w:r>
              <w:rPr>
                <w:rFonts w:ascii="Arial" w:cs="Arial" w:eastAsia="Arial" w:hAnsi="Arial"/>
                <w:sz w:val="14"/>
                <w:szCs w:val="14"/>
                <w:b w:val="1"/>
                <w:bCs w:val="1"/>
                <w:color w:val="auto"/>
              </w:rPr>
              <w:t>Corporate expenses</w:t>
            </w:r>
          </w:p>
        </w:tc>
        <w:tc>
          <w:tcPr>
            <w:tcW w:w="240" w:type="dxa"/>
            <w:vAlign w:val="bottom"/>
          </w:tcPr>
          <w:p>
            <w:pPr>
              <w:spacing w:after="0"/>
              <w:rPr>
                <w:sz w:val="12"/>
                <w:szCs w:val="12"/>
                <w:color w:val="auto"/>
              </w:rPr>
            </w:pPr>
          </w:p>
        </w:tc>
        <w:tc>
          <w:tcPr>
            <w:tcW w:w="150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Total Company</w:t>
            </w:r>
          </w:p>
        </w:tc>
        <w:tc>
          <w:tcPr>
            <w:tcW w:w="0" w:type="dxa"/>
            <w:vAlign w:val="bottom"/>
          </w:tcPr>
          <w:p>
            <w:pPr>
              <w:spacing w:after="0"/>
              <w:rPr>
                <w:sz w:val="1"/>
                <w:szCs w:val="1"/>
                <w:color w:val="auto"/>
              </w:rPr>
            </w:pPr>
          </w:p>
        </w:tc>
      </w:tr>
      <w:tr>
        <w:trPr>
          <w:trHeight w:val="176"/>
        </w:trPr>
        <w:tc>
          <w:tcPr>
            <w:tcW w:w="348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Composites</w:t>
            </w:r>
          </w:p>
        </w:tc>
        <w:tc>
          <w:tcPr>
            <w:tcW w:w="3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rPr>
              <w:t>and other</w:t>
            </w: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income/(loss) (GAAP)</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161,731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13,019</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(38,479)</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136,271</w:t>
            </w:r>
          </w:p>
        </w:tc>
        <w:tc>
          <w:tcPr>
            <w:tcW w:w="0" w:type="dxa"/>
            <w:vAlign w:val="bottom"/>
          </w:tcPr>
          <w:p>
            <w:pPr>
              <w:spacing w:after="0"/>
              <w:rPr>
                <w:sz w:val="1"/>
                <w:szCs w:val="1"/>
                <w:color w:val="auto"/>
              </w:rPr>
            </w:pPr>
          </w:p>
        </w:tc>
      </w:tr>
      <w:tr>
        <w:trPr>
          <w:trHeight w:val="215"/>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 taxes, other income/(expense)</w:t>
            </w: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(46,279)</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(46,279)</w:t>
            </w:r>
          </w:p>
        </w:tc>
        <w:tc>
          <w:tcPr>
            <w:tcW w:w="0" w:type="dxa"/>
            <w:vAlign w:val="bottom"/>
          </w:tcPr>
          <w:p>
            <w:pPr>
              <w:spacing w:after="0"/>
              <w:rPr>
                <w:sz w:val="1"/>
                <w:szCs w:val="1"/>
                <w:color w:val="auto"/>
              </w:rPr>
            </w:pPr>
          </w:p>
        </w:tc>
      </w:tr>
      <w:tr>
        <w:trPr>
          <w:trHeight w:val="210"/>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income/(loss) (GAAP)</w:t>
            </w:r>
          </w:p>
        </w:tc>
        <w:tc>
          <w:tcPr>
            <w:tcW w:w="3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161,731</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13,019</w:t>
            </w:r>
          </w:p>
        </w:tc>
        <w:tc>
          <w:tcPr>
            <w:tcW w:w="3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(84,758)</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89,992</w:t>
            </w:r>
          </w:p>
        </w:tc>
        <w:tc>
          <w:tcPr>
            <w:tcW w:w="0" w:type="dxa"/>
            <w:vAlign w:val="bottom"/>
          </w:tcPr>
          <w:p>
            <w:pPr>
              <w:spacing w:after="0"/>
              <w:rPr>
                <w:sz w:val="1"/>
                <w:szCs w:val="1"/>
                <w:color w:val="auto"/>
              </w:rPr>
            </w:pPr>
          </w:p>
        </w:tc>
      </w:tr>
      <w:tr>
        <w:trPr>
          <w:trHeight w:val="213"/>
        </w:trPr>
        <w:tc>
          <w:tcPr>
            <w:tcW w:w="34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11,521</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11,521</w:t>
            </w: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3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36,375</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36,375</w:t>
            </w:r>
          </w:p>
        </w:tc>
        <w:tc>
          <w:tcPr>
            <w:tcW w:w="0" w:type="dxa"/>
            <w:vAlign w:val="bottom"/>
          </w:tcPr>
          <w:p>
            <w:pPr>
              <w:spacing w:after="0"/>
              <w:rPr>
                <w:sz w:val="1"/>
                <w:szCs w:val="1"/>
                <w:color w:val="auto"/>
              </w:rPr>
            </w:pPr>
          </w:p>
        </w:tc>
      </w:tr>
      <w:tr>
        <w:trPr>
          <w:trHeight w:val="213"/>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Depreciation and amortization expense</w:t>
            </w: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15,272</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37,326</w:t>
            </w:r>
          </w:p>
        </w:tc>
        <w:tc>
          <w:tcPr>
            <w:tcW w:w="3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2,749</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55,347</w:t>
            </w:r>
          </w:p>
        </w:tc>
        <w:tc>
          <w:tcPr>
            <w:tcW w:w="0" w:type="dxa"/>
            <w:vAlign w:val="bottom"/>
          </w:tcPr>
          <w:p>
            <w:pPr>
              <w:spacing w:after="0"/>
              <w:rPr>
                <w:sz w:val="1"/>
                <w:szCs w:val="1"/>
                <w:color w:val="auto"/>
              </w:rPr>
            </w:pPr>
          </w:p>
        </w:tc>
      </w:tr>
      <w:tr>
        <w:trPr>
          <w:trHeight w:val="213"/>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EBITDA (non-GAAP)</w:t>
            </w:r>
          </w:p>
        </w:tc>
        <w:tc>
          <w:tcPr>
            <w:tcW w:w="3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177,003</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50,345</w:t>
            </w:r>
          </w:p>
        </w:tc>
        <w:tc>
          <w:tcPr>
            <w:tcW w:w="3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(34,113)</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193,235</w:t>
            </w:r>
          </w:p>
        </w:tc>
        <w:tc>
          <w:tcPr>
            <w:tcW w:w="0" w:type="dxa"/>
            <w:vAlign w:val="bottom"/>
          </w:tcPr>
          <w:p>
            <w:pPr>
              <w:spacing w:after="0"/>
              <w:rPr>
                <w:sz w:val="1"/>
                <w:szCs w:val="1"/>
                <w:color w:val="auto"/>
              </w:rPr>
            </w:pPr>
          </w:p>
        </w:tc>
      </w:tr>
      <w:tr>
        <w:trPr>
          <w:trHeight w:val="213"/>
        </w:trPr>
        <w:tc>
          <w:tcPr>
            <w:tcW w:w="3480" w:type="dxa"/>
            <w:vAlign w:val="bottom"/>
          </w:tcPr>
          <w:p>
            <w:pPr>
              <w:ind w:left="20"/>
              <w:spacing w:after="0"/>
              <w:rPr>
                <w:sz w:val="20"/>
                <w:szCs w:val="20"/>
                <w:color w:val="auto"/>
              </w:rPr>
            </w:pPr>
            <w:r>
              <w:rPr>
                <w:rFonts w:ascii="Arial" w:cs="Arial" w:eastAsia="Arial" w:hAnsi="Arial"/>
                <w:sz w:val="16"/>
                <w:szCs w:val="16"/>
                <w:color w:val="auto"/>
              </w:rPr>
              <w:t>Restructuring expenses, net</w:t>
            </w: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193</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(40)</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77</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revaluation (gains)/losses</w:t>
            </w:r>
          </w:p>
        </w:tc>
        <w:tc>
          <w:tcPr>
            <w:tcW w:w="3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3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w:t>
            </w:r>
          </w:p>
        </w:tc>
        <w:tc>
          <w:tcPr>
            <w:tcW w:w="0" w:type="dxa"/>
            <w:vAlign w:val="bottom"/>
          </w:tcPr>
          <w:p>
            <w:pPr>
              <w:spacing w:after="0"/>
              <w:rPr>
                <w:sz w:val="1"/>
                <w:szCs w:val="1"/>
                <w:color w:val="auto"/>
              </w:rPr>
            </w:pPr>
          </w:p>
        </w:tc>
      </w:tr>
      <w:tr>
        <w:trPr>
          <w:trHeight w:val="240"/>
        </w:trPr>
        <w:tc>
          <w:tcPr>
            <w:tcW w:w="3480" w:type="dxa"/>
            <w:vAlign w:val="bottom"/>
          </w:tcPr>
          <w:p>
            <w:pPr>
              <w:ind w:left="20"/>
              <w:spacing w:after="0"/>
              <w:rPr>
                <w:sz w:val="20"/>
                <w:szCs w:val="20"/>
                <w:color w:val="auto"/>
              </w:rPr>
            </w:pPr>
            <w:r>
              <w:rPr>
                <w:rFonts w:ascii="Arial" w:cs="Arial" w:eastAsia="Arial" w:hAnsi="Arial"/>
                <w:sz w:val="16"/>
                <w:szCs w:val="16"/>
                <w:color w:val="auto"/>
              </w:rPr>
              <w:t>AMJP grant</w:t>
            </w:r>
          </w:p>
        </w:tc>
        <w:tc>
          <w:tcPr>
            <w:tcW w:w="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963</w:t>
            </w:r>
          </w:p>
        </w:tc>
        <w:tc>
          <w:tcPr>
            <w:tcW w:w="32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(5,832)</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(4,869)</w:t>
            </w: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Acquisition/integration costs</w:t>
            </w:r>
          </w:p>
        </w:tc>
        <w:tc>
          <w:tcPr>
            <w:tcW w:w="3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w:t>
            </w:r>
          </w:p>
        </w:tc>
        <w:tc>
          <w:tcPr>
            <w:tcW w:w="3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w:t>
            </w:r>
          </w:p>
        </w:tc>
        <w:tc>
          <w:tcPr>
            <w:tcW w:w="0" w:type="dxa"/>
            <w:vAlign w:val="bottom"/>
          </w:tcPr>
          <w:p>
            <w:pPr>
              <w:spacing w:after="0"/>
              <w:rPr>
                <w:sz w:val="1"/>
                <w:szCs w:val="1"/>
                <w:color w:val="auto"/>
              </w:rPr>
            </w:pPr>
          </w:p>
        </w:tc>
      </w:tr>
      <w:tr>
        <w:trPr>
          <w:trHeight w:val="177"/>
        </w:trPr>
        <w:tc>
          <w:tcPr>
            <w:tcW w:w="3480" w:type="dxa"/>
            <w:vAlign w:val="bottom"/>
          </w:tcPr>
          <w:p>
            <w:pPr>
              <w:ind w:left="20"/>
              <w:spacing w:after="0" w:line="178" w:lineRule="exact"/>
              <w:rPr>
                <w:sz w:val="20"/>
                <w:szCs w:val="20"/>
                <w:color w:val="auto"/>
              </w:rPr>
            </w:pPr>
            <w:r>
              <w:rPr>
                <w:rFonts w:ascii="Arial" w:cs="Arial" w:eastAsia="Arial" w:hAnsi="Arial"/>
                <w:sz w:val="16"/>
                <w:szCs w:val="16"/>
                <w:color w:val="auto"/>
              </w:rPr>
              <w:t>Pre-tax (income) attributable to noncontrolling</w:t>
            </w:r>
          </w:p>
        </w:tc>
        <w:tc>
          <w:tcPr>
            <w:tcW w:w="3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w:t>
            </w:r>
          </w:p>
        </w:tc>
        <w:tc>
          <w:tcPr>
            <w:tcW w:w="3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3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12"/>
        </w:trPr>
        <w:tc>
          <w:tcPr>
            <w:tcW w:w="3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177,040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52,336</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(39,055)</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190,321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5" w:name="page36"/>
    <w:bookmarkEnd w:id="3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Nine months ended September 30, 2020</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60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vMerge w:val="restart"/>
          </w:tcPr>
          <w:p>
            <w:pPr>
              <w:jc w:val="right"/>
              <w:ind w:right="180"/>
              <w:spacing w:after="0"/>
              <w:rPr>
                <w:sz w:val="20"/>
                <w:szCs w:val="20"/>
                <w:color w:val="auto"/>
              </w:rPr>
            </w:pPr>
            <w:r>
              <w:rPr>
                <w:rFonts w:ascii="Arial" w:cs="Arial" w:eastAsia="Arial" w:hAnsi="Arial"/>
                <w:sz w:val="14"/>
                <w:szCs w:val="14"/>
                <w:b w:val="1"/>
                <w:bCs w:val="1"/>
                <w:color w:val="auto"/>
              </w:rPr>
              <w:t>Machine Clothing</w:t>
            </w:r>
          </w:p>
        </w:tc>
        <w:tc>
          <w:tcPr>
            <w:tcW w:w="18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tcPr>
          <w:p>
            <w:pPr>
              <w:jc w:val="right"/>
              <w:ind w:right="120"/>
              <w:spacing w:after="0" w:line="154" w:lineRule="exact"/>
              <w:rPr>
                <w:sz w:val="20"/>
                <w:szCs w:val="20"/>
                <w:color w:val="auto"/>
              </w:rPr>
            </w:pPr>
            <w:r>
              <w:rPr>
                <w:rFonts w:ascii="Arial" w:cs="Arial" w:eastAsia="Arial" w:hAnsi="Arial"/>
                <w:sz w:val="14"/>
                <w:szCs w:val="14"/>
                <w:b w:val="1"/>
                <w:bCs w:val="1"/>
                <w:color w:val="auto"/>
              </w:rPr>
              <w:t>Albany Engineered</w:t>
            </w:r>
          </w:p>
        </w:tc>
        <w:tc>
          <w:tcPr>
            <w:tcW w:w="340" w:type="dxa"/>
            <w:vAlign w:val="bottom"/>
            <w:tcBorders>
              <w:top w:val="single" w:sz="8" w:color="auto"/>
            </w:tcBorders>
          </w:tcPr>
          <w:p>
            <w:pPr>
              <w:spacing w:after="0"/>
              <w:rPr>
                <w:sz w:val="13"/>
                <w:szCs w:val="13"/>
                <w:color w:val="auto"/>
              </w:rPr>
            </w:pPr>
          </w:p>
        </w:tc>
        <w:tc>
          <w:tcPr>
            <w:tcW w:w="2080" w:type="dxa"/>
            <w:vAlign w:val="bottom"/>
            <w:tcBorders>
              <w:top w:val="single" w:sz="8" w:color="auto"/>
            </w:tcBorders>
          </w:tcPr>
          <w:p>
            <w:pPr>
              <w:jc w:val="right"/>
              <w:ind w:right="420"/>
              <w:spacing w:after="0" w:line="154" w:lineRule="exact"/>
              <w:rPr>
                <w:sz w:val="20"/>
                <w:szCs w:val="20"/>
                <w:color w:val="auto"/>
              </w:rPr>
            </w:pPr>
            <w:r>
              <w:rPr>
                <w:rFonts w:ascii="Arial" w:cs="Arial" w:eastAsia="Arial" w:hAnsi="Arial"/>
                <w:sz w:val="14"/>
                <w:szCs w:val="14"/>
                <w:b w:val="1"/>
                <w:bCs w:val="1"/>
                <w:color w:val="auto"/>
              </w:rPr>
              <w:t>Corporate expenses</w:t>
            </w:r>
          </w:p>
        </w:tc>
        <w:tc>
          <w:tcPr>
            <w:tcW w:w="24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vMerge w:val="restart"/>
          </w:tcPr>
          <w:p>
            <w:pPr>
              <w:jc w:val="right"/>
              <w:ind w:right="260"/>
              <w:spacing w:after="0"/>
              <w:rPr>
                <w:sz w:val="20"/>
                <w:szCs w:val="20"/>
                <w:color w:val="auto"/>
              </w:rPr>
            </w:pPr>
            <w:r>
              <w:rPr>
                <w:rFonts w:ascii="Arial" w:cs="Arial" w:eastAsia="Arial" w:hAnsi="Arial"/>
                <w:sz w:val="14"/>
                <w:szCs w:val="14"/>
                <w:b w:val="1"/>
                <w:bCs w:val="1"/>
                <w:color w:val="auto"/>
              </w:rPr>
              <w:t>Total Company</w:t>
            </w:r>
          </w:p>
        </w:tc>
        <w:tc>
          <w:tcPr>
            <w:tcW w:w="0" w:type="dxa"/>
            <w:vAlign w:val="bottom"/>
          </w:tcPr>
          <w:p>
            <w:pPr>
              <w:spacing w:after="0"/>
              <w:rPr>
                <w:sz w:val="1"/>
                <w:szCs w:val="1"/>
                <w:color w:val="auto"/>
              </w:rPr>
            </w:pPr>
          </w:p>
        </w:tc>
      </w:tr>
      <w:tr>
        <w:trPr>
          <w:trHeight w:val="176"/>
        </w:trPr>
        <w:tc>
          <w:tcPr>
            <w:tcW w:w="360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Composites</w:t>
            </w:r>
          </w:p>
        </w:tc>
        <w:tc>
          <w:tcPr>
            <w:tcW w:w="3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jc w:val="right"/>
              <w:ind w:right="780"/>
              <w:spacing w:after="0"/>
              <w:rPr>
                <w:sz w:val="20"/>
                <w:szCs w:val="20"/>
                <w:color w:val="auto"/>
              </w:rPr>
            </w:pPr>
            <w:r>
              <w:rPr>
                <w:rFonts w:ascii="Arial" w:cs="Arial" w:eastAsia="Arial" w:hAnsi="Arial"/>
                <w:sz w:val="14"/>
                <w:szCs w:val="14"/>
                <w:b w:val="1"/>
                <w:bCs w:val="1"/>
                <w:color w:val="auto"/>
              </w:rPr>
              <w:t>and other</w:t>
            </w: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income/(loss) (GAAP)</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149,418</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22,749</w:t>
            </w:r>
          </w:p>
        </w:tc>
        <w:tc>
          <w:tcPr>
            <w:tcW w:w="34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(41,073)</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131,094</w:t>
            </w:r>
          </w:p>
        </w:tc>
        <w:tc>
          <w:tcPr>
            <w:tcW w:w="0" w:type="dxa"/>
            <w:vAlign w:val="bottom"/>
          </w:tcPr>
          <w:p>
            <w:pPr>
              <w:spacing w:after="0"/>
              <w:rPr>
                <w:sz w:val="1"/>
                <w:szCs w:val="1"/>
                <w:color w:val="auto"/>
              </w:rPr>
            </w:pPr>
          </w:p>
        </w:tc>
      </w:tr>
      <w:tr>
        <w:trPr>
          <w:trHeight w:val="215"/>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 taxes, other income/(expense)</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(61,461)</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(61,461)</w:t>
            </w:r>
          </w:p>
        </w:tc>
        <w:tc>
          <w:tcPr>
            <w:tcW w:w="0" w:type="dxa"/>
            <w:vAlign w:val="bottom"/>
          </w:tcPr>
          <w:p>
            <w:pPr>
              <w:spacing w:after="0"/>
              <w:rPr>
                <w:sz w:val="1"/>
                <w:szCs w:val="1"/>
                <w:color w:val="auto"/>
              </w:rPr>
            </w:pPr>
          </w:p>
        </w:tc>
      </w:tr>
      <w:tr>
        <w:trPr>
          <w:trHeight w:val="210"/>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income/(loss) (GAAP)</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149,418</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22,749</w:t>
            </w:r>
          </w:p>
        </w:tc>
        <w:tc>
          <w:tcPr>
            <w:tcW w:w="34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(102,534)</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69,633</w:t>
            </w:r>
          </w:p>
        </w:tc>
        <w:tc>
          <w:tcPr>
            <w:tcW w:w="0" w:type="dxa"/>
            <w:vAlign w:val="bottom"/>
          </w:tcPr>
          <w:p>
            <w:pPr>
              <w:spacing w:after="0"/>
              <w:rPr>
                <w:sz w:val="1"/>
                <w:szCs w:val="1"/>
                <w:color w:val="auto"/>
              </w:rPr>
            </w:pPr>
          </w:p>
        </w:tc>
      </w:tr>
      <w:tr>
        <w:trPr>
          <w:trHeight w:val="213"/>
        </w:trPr>
        <w:tc>
          <w:tcPr>
            <w:tcW w:w="360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10,042</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10,042</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37,504</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37,504</w:t>
            </w:r>
          </w:p>
        </w:tc>
        <w:tc>
          <w:tcPr>
            <w:tcW w:w="0" w:type="dxa"/>
            <w:vAlign w:val="bottom"/>
          </w:tcPr>
          <w:p>
            <w:pPr>
              <w:spacing w:after="0"/>
              <w:rPr>
                <w:sz w:val="1"/>
                <w:szCs w:val="1"/>
                <w:color w:val="auto"/>
              </w:rPr>
            </w:pPr>
          </w:p>
        </w:tc>
      </w:tr>
      <w:tr>
        <w:trPr>
          <w:trHeight w:val="213"/>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Depreciation and amortization expense</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15,142</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36,192</w:t>
            </w:r>
          </w:p>
        </w:tc>
        <w:tc>
          <w:tcPr>
            <w:tcW w:w="3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2,972</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54,306</w:t>
            </w:r>
          </w:p>
        </w:tc>
        <w:tc>
          <w:tcPr>
            <w:tcW w:w="0" w:type="dxa"/>
            <w:vAlign w:val="bottom"/>
          </w:tcPr>
          <w:p>
            <w:pPr>
              <w:spacing w:after="0"/>
              <w:rPr>
                <w:sz w:val="1"/>
                <w:szCs w:val="1"/>
                <w:color w:val="auto"/>
              </w:rPr>
            </w:pPr>
          </w:p>
        </w:tc>
      </w:tr>
      <w:tr>
        <w:trPr>
          <w:trHeight w:val="213"/>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EBITDA (non-GAAP)</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164,560</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58,941</w:t>
            </w:r>
          </w:p>
        </w:tc>
        <w:tc>
          <w:tcPr>
            <w:tcW w:w="34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(52,016)</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171,485</w:t>
            </w:r>
          </w:p>
        </w:tc>
        <w:tc>
          <w:tcPr>
            <w:tcW w:w="0" w:type="dxa"/>
            <w:vAlign w:val="bottom"/>
          </w:tcPr>
          <w:p>
            <w:pPr>
              <w:spacing w:after="0"/>
              <w:rPr>
                <w:sz w:val="1"/>
                <w:szCs w:val="1"/>
                <w:color w:val="auto"/>
              </w:rPr>
            </w:pPr>
          </w:p>
        </w:tc>
      </w:tr>
      <w:tr>
        <w:trPr>
          <w:trHeight w:val="213"/>
        </w:trPr>
        <w:tc>
          <w:tcPr>
            <w:tcW w:w="3600" w:type="dxa"/>
            <w:vAlign w:val="bottom"/>
          </w:tcPr>
          <w:p>
            <w:pPr>
              <w:ind w:left="20"/>
              <w:spacing w:after="0"/>
              <w:rPr>
                <w:sz w:val="20"/>
                <w:szCs w:val="20"/>
                <w:color w:val="auto"/>
              </w:rPr>
            </w:pPr>
            <w:r>
              <w:rPr>
                <w:rFonts w:ascii="Arial" w:cs="Arial" w:eastAsia="Arial" w:hAnsi="Arial"/>
                <w:sz w:val="16"/>
                <w:szCs w:val="16"/>
                <w:color w:val="auto"/>
              </w:rPr>
              <w:t>Restructuring expenses, net</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1,414</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2,606</w:t>
            </w:r>
          </w:p>
        </w:tc>
        <w:tc>
          <w:tcPr>
            <w:tcW w:w="34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169</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4,189</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revaluation (gains)/losses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(1,265)</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w:t>
            </w:r>
          </w:p>
        </w:tc>
        <w:tc>
          <w:tcPr>
            <w:tcW w:w="3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14,705</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13,941</w:t>
            </w:r>
          </w:p>
        </w:tc>
        <w:tc>
          <w:tcPr>
            <w:tcW w:w="0" w:type="dxa"/>
            <w:vAlign w:val="bottom"/>
          </w:tcPr>
          <w:p>
            <w:pPr>
              <w:spacing w:after="0"/>
              <w:rPr>
                <w:sz w:val="1"/>
                <w:szCs w:val="1"/>
                <w:color w:val="auto"/>
              </w:rPr>
            </w:pPr>
          </w:p>
        </w:tc>
      </w:tr>
      <w:tr>
        <w:trPr>
          <w:trHeight w:val="213"/>
        </w:trPr>
        <w:tc>
          <w:tcPr>
            <w:tcW w:w="3600" w:type="dxa"/>
            <w:vAlign w:val="bottom"/>
          </w:tcPr>
          <w:p>
            <w:pPr>
              <w:ind w:left="20"/>
              <w:spacing w:after="0"/>
              <w:rPr>
                <w:sz w:val="20"/>
                <w:szCs w:val="20"/>
                <w:color w:val="auto"/>
              </w:rPr>
            </w:pPr>
            <w:r>
              <w:rPr>
                <w:rFonts w:ascii="Arial" w:cs="Arial" w:eastAsia="Arial" w:hAnsi="Arial"/>
                <w:sz w:val="16"/>
                <w:szCs w:val="16"/>
                <w:color w:val="auto"/>
              </w:rPr>
              <w:t>Former CEO termination costs</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2,742</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2,742</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Acquisition/integration costs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w:t>
            </w:r>
          </w:p>
        </w:tc>
        <w:tc>
          <w:tcPr>
            <w:tcW w:w="3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w:t>
            </w:r>
          </w:p>
        </w:tc>
        <w:tc>
          <w:tcPr>
            <w:tcW w:w="0" w:type="dxa"/>
            <w:vAlign w:val="bottom"/>
          </w:tcPr>
          <w:p>
            <w:pPr>
              <w:spacing w:after="0"/>
              <w:rPr>
                <w:sz w:val="1"/>
                <w:szCs w:val="1"/>
                <w:color w:val="auto"/>
              </w:rPr>
            </w:pPr>
          </w:p>
        </w:tc>
      </w:tr>
      <w:tr>
        <w:trPr>
          <w:trHeight w:val="213"/>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Pre-tax loss attributable to noncontrolling interest</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1,412</w:t>
            </w:r>
          </w:p>
        </w:tc>
        <w:tc>
          <w:tcPr>
            <w:tcW w:w="3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1,412</w:t>
            </w:r>
          </w:p>
        </w:tc>
        <w:tc>
          <w:tcPr>
            <w:tcW w:w="0" w:type="dxa"/>
            <w:vAlign w:val="bottom"/>
          </w:tcPr>
          <w:p>
            <w:pPr>
              <w:spacing w:after="0"/>
              <w:rPr>
                <w:sz w:val="1"/>
                <w:szCs w:val="1"/>
                <w:color w:val="auto"/>
              </w:rPr>
            </w:pPr>
          </w:p>
        </w:tc>
      </w:tr>
      <w:tr>
        <w:trPr>
          <w:trHeight w:val="212"/>
        </w:trPr>
        <w:tc>
          <w:tcPr>
            <w:tcW w:w="3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164,709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64,327</w:t>
            </w:r>
          </w:p>
        </w:tc>
        <w:tc>
          <w:tcPr>
            <w:tcW w:w="3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(34,400)</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194,636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Company discloses certain income and expense items on a per-share basis. The Company believes that such disclosures provide important insight into the underlying quarterly earnings and are financial performance metrics commonly used by investors. The Company calculates the quarterly per-share amount for items included in continuing operations by using the income tax rate based on either the tax rates in specific countries or the estimated tax rate applied to total company results. The after-tax amount is then divided by the weighted-average number of shares outstanding for each period. Year-to-date earnings per-share effects are determined by adding the amounts calculated at each reporting period.</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show the earnings per share effect of certain income and expense items: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Three months ended September 30, 2021</w:t>
            </w:r>
          </w:p>
        </w:tc>
        <w:tc>
          <w:tcPr>
            <w:tcW w:w="2740" w:type="dxa"/>
            <w:vAlign w:val="bottom"/>
            <w:tcBorders>
              <w:top w:val="single" w:sz="8" w:color="auto"/>
            </w:tcBorders>
          </w:tcPr>
          <w:p>
            <w:pPr>
              <w:jc w:val="center"/>
              <w:ind w:left="1268"/>
              <w:spacing w:after="0"/>
              <w:rPr>
                <w:sz w:val="20"/>
                <w:szCs w:val="20"/>
                <w:color w:val="auto"/>
              </w:rPr>
            </w:pPr>
            <w:r>
              <w:rPr>
                <w:rFonts w:ascii="Arial" w:cs="Arial" w:eastAsia="Arial" w:hAnsi="Arial"/>
                <w:sz w:val="14"/>
                <w:szCs w:val="14"/>
                <w:b w:val="1"/>
                <w:bCs w:val="1"/>
                <w:color w:val="auto"/>
              </w:rPr>
              <w:t>Pre tax</w:t>
            </w: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Tax</w:t>
            </w: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After tax</w:t>
            </w: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Per share</w:t>
            </w:r>
          </w:p>
        </w:tc>
      </w:tr>
      <w:tr>
        <w:trPr>
          <w:trHeight w:val="176"/>
        </w:trPr>
        <w:tc>
          <w:tcPr>
            <w:tcW w:w="462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2740" w:type="dxa"/>
            <w:vAlign w:val="bottom"/>
          </w:tcPr>
          <w:p>
            <w:pPr>
              <w:jc w:val="center"/>
              <w:ind w:left="1248"/>
              <w:spacing w:after="0"/>
              <w:rPr>
                <w:sz w:val="20"/>
                <w:szCs w:val="20"/>
                <w:color w:val="auto"/>
              </w:rPr>
            </w:pPr>
            <w:r>
              <w:rPr>
                <w:rFonts w:ascii="Arial" w:cs="Arial" w:eastAsia="Arial" w:hAnsi="Arial"/>
                <w:sz w:val="14"/>
                <w:szCs w:val="14"/>
                <w:b w:val="1"/>
                <w:bCs w:val="1"/>
                <w:color w:val="auto"/>
              </w:rPr>
              <w:t>Amounts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Effect</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Effect</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Effect</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Restructuring expenses, net</w:t>
            </w:r>
          </w:p>
        </w:tc>
        <w:tc>
          <w:tcPr>
            <w:tcW w:w="16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55</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center"/>
              <w:ind w:left="561"/>
              <w:spacing w:after="0"/>
              <w:rPr>
                <w:sz w:val="20"/>
                <w:szCs w:val="20"/>
                <w:color w:val="auto"/>
              </w:rPr>
            </w:pPr>
            <w:r>
              <w:rPr>
                <w:rFonts w:ascii="Arial" w:cs="Arial" w:eastAsia="Arial" w:hAnsi="Arial"/>
                <w:sz w:val="16"/>
                <w:szCs w:val="16"/>
                <w:color w:val="auto"/>
                <w:w w:val="96"/>
              </w:rPr>
              <w:t>0.00</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Foreign currency revaluation (gains)/losses</w:t>
            </w:r>
          </w:p>
        </w:tc>
        <w:tc>
          <w:tcPr>
            <w:tcW w:w="16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(1,068)</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(314)</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(754)</w:t>
            </w:r>
          </w:p>
        </w:tc>
        <w:tc>
          <w:tcPr>
            <w:tcW w:w="220" w:type="dxa"/>
            <w:vAlign w:val="bottom"/>
          </w:tcPr>
          <w:p>
            <w:pPr>
              <w:spacing w:after="0"/>
              <w:rPr>
                <w:sz w:val="18"/>
                <w:szCs w:val="18"/>
                <w:color w:val="auto"/>
              </w:rPr>
            </w:pPr>
          </w:p>
        </w:tc>
        <w:tc>
          <w:tcPr>
            <w:tcW w:w="1100" w:type="dxa"/>
            <w:vAlign w:val="bottom"/>
          </w:tcPr>
          <w:p>
            <w:pPr>
              <w:jc w:val="center"/>
              <w:ind w:left="541"/>
              <w:spacing w:after="0"/>
              <w:rPr>
                <w:sz w:val="20"/>
                <w:szCs w:val="20"/>
                <w:color w:val="auto"/>
              </w:rPr>
            </w:pPr>
            <w:r>
              <w:rPr>
                <w:rFonts w:ascii="Arial" w:cs="Arial" w:eastAsia="Arial" w:hAnsi="Arial"/>
                <w:sz w:val="16"/>
                <w:szCs w:val="16"/>
                <w:color w:val="auto"/>
              </w:rPr>
              <w:t>(0.02)</w:t>
            </w: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AMJP grant</w:t>
            </w:r>
          </w:p>
        </w:tc>
        <w:tc>
          <w:tcPr>
            <w:tcW w:w="16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(4,869)</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(3,423)</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541"/>
              <w:spacing w:after="0"/>
              <w:rPr>
                <w:sz w:val="20"/>
                <w:szCs w:val="20"/>
                <w:color w:val="auto"/>
              </w:rPr>
            </w:pPr>
            <w:r>
              <w:rPr>
                <w:rFonts w:ascii="Arial" w:cs="Arial" w:eastAsia="Arial" w:hAnsi="Arial"/>
                <w:sz w:val="16"/>
                <w:szCs w:val="16"/>
                <w:color w:val="auto"/>
              </w:rPr>
              <w:t>(0.11)</w:t>
            </w:r>
          </w:p>
        </w:tc>
      </w:tr>
      <w:tr>
        <w:trPr>
          <w:trHeight w:val="213"/>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Acquisition/integration costs</w:t>
            </w:r>
          </w:p>
        </w:tc>
        <w:tc>
          <w:tcPr>
            <w:tcW w:w="16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89</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left="561"/>
              <w:spacing w:after="0"/>
              <w:rPr>
                <w:sz w:val="20"/>
                <w:szCs w:val="20"/>
                <w:color w:val="auto"/>
              </w:rPr>
            </w:pPr>
            <w:r>
              <w:rPr>
                <w:rFonts w:ascii="Arial" w:cs="Arial" w:eastAsia="Arial" w:hAnsi="Arial"/>
                <w:sz w:val="16"/>
                <w:szCs w:val="16"/>
                <w:color w:val="auto"/>
                <w:w w:val="96"/>
              </w:rPr>
              <w:t>0.01</w:t>
            </w:r>
          </w:p>
        </w:tc>
      </w:tr>
      <w:tr>
        <w:trPr>
          <w:trHeight w:val="469"/>
        </w:trPr>
        <w:tc>
          <w:tcPr>
            <w:tcW w:w="45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42"/>
        </w:trPr>
        <w:tc>
          <w:tcPr>
            <w:tcW w:w="458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Three months ended September 30, 2020</w:t>
            </w:r>
          </w:p>
        </w:tc>
        <w:tc>
          <w:tcPr>
            <w:tcW w:w="1640" w:type="dxa"/>
            <w:vAlign w:val="bottom"/>
          </w:tcPr>
          <w:p>
            <w:pPr>
              <w:spacing w:after="0"/>
              <w:rPr>
                <w:sz w:val="12"/>
                <w:szCs w:val="12"/>
                <w:color w:val="auto"/>
              </w:rPr>
            </w:pPr>
          </w:p>
        </w:tc>
        <w:tc>
          <w:tcPr>
            <w:tcW w:w="1080" w:type="dxa"/>
            <w:vAlign w:val="bottom"/>
          </w:tcPr>
          <w:p>
            <w:pPr>
              <w:jc w:val="right"/>
              <w:ind w:right="321"/>
              <w:spacing w:after="0" w:line="142" w:lineRule="exact"/>
              <w:rPr>
                <w:sz w:val="20"/>
                <w:szCs w:val="20"/>
                <w:color w:val="auto"/>
              </w:rPr>
            </w:pPr>
            <w:r>
              <w:rPr>
                <w:rFonts w:ascii="Arial" w:cs="Arial" w:eastAsia="Arial" w:hAnsi="Arial"/>
                <w:sz w:val="14"/>
                <w:szCs w:val="14"/>
                <w:b w:val="1"/>
                <w:bCs w:val="1"/>
                <w:color w:val="auto"/>
              </w:rPr>
              <w:t>Pre tax</w:t>
            </w:r>
          </w:p>
        </w:tc>
        <w:tc>
          <w:tcPr>
            <w:tcW w:w="300" w:type="dxa"/>
            <w:vAlign w:val="bottom"/>
          </w:tcPr>
          <w:p>
            <w:pPr>
              <w:spacing w:after="0"/>
              <w:rPr>
                <w:sz w:val="12"/>
                <w:szCs w:val="12"/>
                <w:color w:val="auto"/>
              </w:rPr>
            </w:pPr>
          </w:p>
        </w:tc>
        <w:tc>
          <w:tcPr>
            <w:tcW w:w="1020" w:type="dxa"/>
            <w:vAlign w:val="bottom"/>
          </w:tcPr>
          <w:p>
            <w:pPr>
              <w:jc w:val="right"/>
              <w:ind w:right="461"/>
              <w:spacing w:after="0" w:line="142" w:lineRule="exact"/>
              <w:rPr>
                <w:sz w:val="20"/>
                <w:szCs w:val="20"/>
                <w:color w:val="auto"/>
              </w:rPr>
            </w:pPr>
            <w:r>
              <w:rPr>
                <w:rFonts w:ascii="Arial" w:cs="Arial" w:eastAsia="Arial" w:hAnsi="Arial"/>
                <w:sz w:val="14"/>
                <w:szCs w:val="14"/>
                <w:b w:val="1"/>
                <w:bCs w:val="1"/>
                <w:color w:val="auto"/>
              </w:rPr>
              <w:t>Tax</w:t>
            </w:r>
          </w:p>
        </w:tc>
        <w:tc>
          <w:tcPr>
            <w:tcW w:w="240" w:type="dxa"/>
            <w:vAlign w:val="bottom"/>
          </w:tcPr>
          <w:p>
            <w:pPr>
              <w:spacing w:after="0"/>
              <w:rPr>
                <w:sz w:val="12"/>
                <w:szCs w:val="12"/>
                <w:color w:val="auto"/>
              </w:rPr>
            </w:pPr>
          </w:p>
        </w:tc>
        <w:tc>
          <w:tcPr>
            <w:tcW w:w="1060" w:type="dxa"/>
            <w:vAlign w:val="bottom"/>
          </w:tcPr>
          <w:p>
            <w:pPr>
              <w:jc w:val="right"/>
              <w:ind w:right="281"/>
              <w:spacing w:after="0" w:line="142" w:lineRule="exact"/>
              <w:rPr>
                <w:sz w:val="20"/>
                <w:szCs w:val="20"/>
                <w:color w:val="auto"/>
              </w:rPr>
            </w:pPr>
            <w:r>
              <w:rPr>
                <w:rFonts w:ascii="Arial" w:cs="Arial" w:eastAsia="Arial" w:hAnsi="Arial"/>
                <w:sz w:val="14"/>
                <w:szCs w:val="14"/>
                <w:b w:val="1"/>
                <w:bCs w:val="1"/>
                <w:color w:val="auto"/>
              </w:rPr>
              <w:t>After tax</w:t>
            </w:r>
          </w:p>
        </w:tc>
        <w:tc>
          <w:tcPr>
            <w:tcW w:w="220" w:type="dxa"/>
            <w:vAlign w:val="bottom"/>
          </w:tcPr>
          <w:p>
            <w:pPr>
              <w:spacing w:after="0"/>
              <w:rPr>
                <w:sz w:val="12"/>
                <w:szCs w:val="12"/>
                <w:color w:val="auto"/>
              </w:rPr>
            </w:pPr>
          </w:p>
        </w:tc>
        <w:tc>
          <w:tcPr>
            <w:tcW w:w="1100" w:type="dxa"/>
            <w:vAlign w:val="bottom"/>
          </w:tcPr>
          <w:p>
            <w:pPr>
              <w:jc w:val="center"/>
              <w:ind w:right="121"/>
              <w:spacing w:after="0" w:line="142" w:lineRule="exact"/>
              <w:rPr>
                <w:sz w:val="20"/>
                <w:szCs w:val="20"/>
                <w:color w:val="auto"/>
              </w:rPr>
            </w:pPr>
            <w:r>
              <w:rPr>
                <w:rFonts w:ascii="Arial" w:cs="Arial" w:eastAsia="Arial" w:hAnsi="Arial"/>
                <w:sz w:val="14"/>
                <w:szCs w:val="14"/>
                <w:b w:val="1"/>
                <w:bCs w:val="1"/>
                <w:color w:val="auto"/>
              </w:rPr>
              <w:t>Per share</w:t>
            </w:r>
          </w:p>
        </w:tc>
      </w:tr>
      <w:tr>
        <w:trPr>
          <w:trHeight w:val="176"/>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16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Amounts</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Effect</w:t>
            </w: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Effect</w:t>
            </w: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Effect</w:t>
            </w:r>
          </w:p>
        </w:tc>
      </w:tr>
      <w:tr>
        <w:trPr>
          <w:trHeight w:val="20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 net</w:t>
            </w: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232</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center"/>
              <w:ind w:left="561"/>
              <w:spacing w:after="0"/>
              <w:rPr>
                <w:sz w:val="20"/>
                <w:szCs w:val="20"/>
                <w:color w:val="auto"/>
              </w:rPr>
            </w:pPr>
            <w:r>
              <w:rPr>
                <w:rFonts w:ascii="Arial" w:cs="Arial" w:eastAsia="Arial" w:hAnsi="Arial"/>
                <w:sz w:val="16"/>
                <w:szCs w:val="16"/>
                <w:color w:val="auto"/>
                <w:w w:val="96"/>
              </w:rPr>
              <w:t>0.01</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Foreign currency revaluation (gains)/losses</w:t>
            </w:r>
          </w:p>
        </w:tc>
        <w:tc>
          <w:tcPr>
            <w:tcW w:w="16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1,052</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526</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526</w:t>
            </w:r>
          </w:p>
        </w:tc>
        <w:tc>
          <w:tcPr>
            <w:tcW w:w="220" w:type="dxa"/>
            <w:vAlign w:val="bottom"/>
          </w:tcPr>
          <w:p>
            <w:pPr>
              <w:spacing w:after="0"/>
              <w:rPr>
                <w:sz w:val="18"/>
                <w:szCs w:val="18"/>
                <w:color w:val="auto"/>
              </w:rPr>
            </w:pPr>
          </w:p>
        </w:tc>
        <w:tc>
          <w:tcPr>
            <w:tcW w:w="1100" w:type="dxa"/>
            <w:vAlign w:val="bottom"/>
          </w:tcPr>
          <w:p>
            <w:pPr>
              <w:jc w:val="center"/>
              <w:ind w:left="561"/>
              <w:spacing w:after="0"/>
              <w:rPr>
                <w:sz w:val="20"/>
                <w:szCs w:val="20"/>
                <w:color w:val="auto"/>
              </w:rPr>
            </w:pPr>
            <w:r>
              <w:rPr>
                <w:rFonts w:ascii="Arial" w:cs="Arial" w:eastAsia="Arial" w:hAnsi="Arial"/>
                <w:sz w:val="16"/>
                <w:szCs w:val="16"/>
                <w:color w:val="auto"/>
                <w:w w:val="96"/>
              </w:rPr>
              <w:t>0.02</w:t>
            </w:r>
          </w:p>
        </w:tc>
      </w:tr>
      <w:tr>
        <w:trPr>
          <w:trHeight w:val="216"/>
        </w:trPr>
        <w:tc>
          <w:tcPr>
            <w:tcW w:w="4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Acquisition/integration costs</w:t>
            </w:r>
          </w:p>
        </w:tc>
        <w:tc>
          <w:tcPr>
            <w:tcW w:w="16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87</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ind w:left="561"/>
              <w:spacing w:after="0"/>
              <w:rPr>
                <w:sz w:val="20"/>
                <w:szCs w:val="20"/>
                <w:color w:val="auto"/>
              </w:rPr>
            </w:pPr>
            <w:r>
              <w:rPr>
                <w:rFonts w:ascii="Arial" w:cs="Arial" w:eastAsia="Arial" w:hAnsi="Arial"/>
                <w:sz w:val="16"/>
                <w:szCs w:val="16"/>
                <w:color w:val="auto"/>
                <w:w w:val="96"/>
              </w:rPr>
              <w:t>0.01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6" w:name="page37"/>
    <w:bookmarkEnd w:id="3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Nine months ended September 30, 2021</w:t>
            </w:r>
          </w:p>
        </w:tc>
        <w:tc>
          <w:tcPr>
            <w:tcW w:w="15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Pre tax</w:t>
            </w: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9"/>
              </w:rPr>
              <w:t>Tax</w:t>
            </w:r>
          </w:p>
        </w:tc>
        <w:tc>
          <w:tcPr>
            <w:tcW w:w="2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After tax</w:t>
            </w:r>
          </w:p>
        </w:tc>
        <w:tc>
          <w:tcPr>
            <w:tcW w:w="2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Per share</w:t>
            </w:r>
          </w:p>
        </w:tc>
      </w:tr>
      <w:tr>
        <w:trPr>
          <w:trHeight w:val="175"/>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15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Amounts</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rPr>
              <w:t>Effect</w:t>
            </w: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Effect</w:t>
            </w: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Effect</w:t>
            </w:r>
          </w:p>
        </w:tc>
      </w:tr>
      <w:tr>
        <w:trPr>
          <w:trHeight w:val="210"/>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 net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67</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center"/>
              <w:ind w:left="562"/>
              <w:spacing w:after="0"/>
              <w:rPr>
                <w:sz w:val="20"/>
                <w:szCs w:val="20"/>
                <w:color w:val="auto"/>
              </w:rPr>
            </w:pPr>
            <w:r>
              <w:rPr>
                <w:rFonts w:ascii="Arial" w:cs="Arial" w:eastAsia="Arial" w:hAnsi="Arial"/>
                <w:sz w:val="16"/>
                <w:szCs w:val="16"/>
                <w:color w:val="auto"/>
                <w:w w:val="96"/>
              </w:rPr>
              <w:t>0.00</w:t>
            </w:r>
          </w:p>
        </w:tc>
      </w:tr>
      <w:tr>
        <w:trPr>
          <w:trHeight w:val="213"/>
        </w:trPr>
        <w:tc>
          <w:tcPr>
            <w:tcW w:w="4700" w:type="dxa"/>
            <w:vAlign w:val="bottom"/>
          </w:tcPr>
          <w:p>
            <w:pPr>
              <w:ind w:left="20"/>
              <w:spacing w:after="0"/>
              <w:rPr>
                <w:sz w:val="20"/>
                <w:szCs w:val="20"/>
                <w:color w:val="auto"/>
              </w:rPr>
            </w:pPr>
            <w:r>
              <w:rPr>
                <w:rFonts w:ascii="Arial" w:cs="Arial" w:eastAsia="Arial" w:hAnsi="Arial"/>
                <w:sz w:val="16"/>
                <w:szCs w:val="16"/>
                <w:color w:val="auto"/>
              </w:rPr>
              <w:t>Foreign currency revaluation (gains)/losses</w:t>
            </w:r>
          </w:p>
        </w:tc>
        <w:tc>
          <w:tcPr>
            <w:tcW w:w="1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1,020</w:t>
            </w:r>
          </w:p>
        </w:tc>
        <w:tc>
          <w:tcPr>
            <w:tcW w:w="30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332</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688</w:t>
            </w:r>
          </w:p>
        </w:tc>
        <w:tc>
          <w:tcPr>
            <w:tcW w:w="220" w:type="dxa"/>
            <w:vAlign w:val="bottom"/>
          </w:tcPr>
          <w:p>
            <w:pPr>
              <w:spacing w:after="0"/>
              <w:rPr>
                <w:sz w:val="18"/>
                <w:szCs w:val="18"/>
                <w:color w:val="auto"/>
              </w:rPr>
            </w:pPr>
          </w:p>
        </w:tc>
        <w:tc>
          <w:tcPr>
            <w:tcW w:w="1100" w:type="dxa"/>
            <w:vAlign w:val="bottom"/>
          </w:tcPr>
          <w:p>
            <w:pPr>
              <w:jc w:val="center"/>
              <w:ind w:left="562"/>
              <w:spacing w:after="0"/>
              <w:rPr>
                <w:sz w:val="20"/>
                <w:szCs w:val="20"/>
                <w:color w:val="auto"/>
              </w:rPr>
            </w:pPr>
            <w:r>
              <w:rPr>
                <w:rFonts w:ascii="Arial" w:cs="Arial" w:eastAsia="Arial" w:hAnsi="Arial"/>
                <w:sz w:val="16"/>
                <w:szCs w:val="16"/>
                <w:color w:val="auto"/>
                <w:w w:val="96"/>
              </w:rPr>
              <w:t>0.02</w:t>
            </w: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AMJP grant</w:t>
            </w:r>
          </w:p>
        </w:tc>
        <w:tc>
          <w:tcPr>
            <w:tcW w:w="1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(4,869)</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(3,423)</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542"/>
              <w:spacing w:after="0"/>
              <w:rPr>
                <w:sz w:val="20"/>
                <w:szCs w:val="20"/>
                <w:color w:val="auto"/>
              </w:rPr>
            </w:pPr>
            <w:r>
              <w:rPr>
                <w:rFonts w:ascii="Arial" w:cs="Arial" w:eastAsia="Arial" w:hAnsi="Arial"/>
                <w:sz w:val="16"/>
                <w:szCs w:val="16"/>
                <w:color w:val="auto"/>
              </w:rPr>
              <w:t>(0.11)</w:t>
            </w:r>
          </w:p>
        </w:tc>
      </w:tr>
      <w:tr>
        <w:trPr>
          <w:trHeight w:val="213"/>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Acquisition/integration costs</w:t>
            </w:r>
          </w:p>
        </w:tc>
        <w:tc>
          <w:tcPr>
            <w:tcW w:w="1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273</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638</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left="562"/>
              <w:spacing w:after="0"/>
              <w:rPr>
                <w:sz w:val="20"/>
                <w:szCs w:val="20"/>
                <w:color w:val="auto"/>
              </w:rPr>
            </w:pPr>
            <w:r>
              <w:rPr>
                <w:rFonts w:ascii="Arial" w:cs="Arial" w:eastAsia="Arial" w:hAnsi="Arial"/>
                <w:sz w:val="16"/>
                <w:szCs w:val="16"/>
                <w:color w:val="auto"/>
                <w:w w:val="96"/>
              </w:rPr>
              <w:t>0.03</w:t>
            </w:r>
          </w:p>
        </w:tc>
      </w:tr>
      <w:tr>
        <w:trPr>
          <w:trHeight w:val="577"/>
        </w:trPr>
        <w:tc>
          <w:tcPr>
            <w:tcW w:w="47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42"/>
        </w:trPr>
        <w:tc>
          <w:tcPr>
            <w:tcW w:w="470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Nine months ended September 30, 2020</w:t>
            </w:r>
          </w:p>
        </w:tc>
        <w:tc>
          <w:tcPr>
            <w:tcW w:w="1520" w:type="dxa"/>
            <w:vAlign w:val="bottom"/>
          </w:tcPr>
          <w:p>
            <w:pPr>
              <w:spacing w:after="0"/>
              <w:rPr>
                <w:sz w:val="12"/>
                <w:szCs w:val="12"/>
                <w:color w:val="auto"/>
              </w:rPr>
            </w:pPr>
          </w:p>
        </w:tc>
        <w:tc>
          <w:tcPr>
            <w:tcW w:w="1080" w:type="dxa"/>
            <w:vAlign w:val="bottom"/>
          </w:tcPr>
          <w:p>
            <w:pPr>
              <w:jc w:val="center"/>
              <w:ind w:right="122"/>
              <w:spacing w:after="0" w:line="142" w:lineRule="exact"/>
              <w:rPr>
                <w:sz w:val="20"/>
                <w:szCs w:val="20"/>
                <w:color w:val="auto"/>
              </w:rPr>
            </w:pPr>
            <w:r>
              <w:rPr>
                <w:rFonts w:ascii="Arial" w:cs="Arial" w:eastAsia="Arial" w:hAnsi="Arial"/>
                <w:sz w:val="14"/>
                <w:szCs w:val="14"/>
                <w:b w:val="1"/>
                <w:bCs w:val="1"/>
                <w:color w:val="auto"/>
              </w:rPr>
              <w:t>Pre tax</w:t>
            </w:r>
          </w:p>
        </w:tc>
        <w:tc>
          <w:tcPr>
            <w:tcW w:w="300" w:type="dxa"/>
            <w:vAlign w:val="bottom"/>
          </w:tcPr>
          <w:p>
            <w:pPr>
              <w:spacing w:after="0"/>
              <w:rPr>
                <w:sz w:val="12"/>
                <w:szCs w:val="12"/>
                <w:color w:val="auto"/>
              </w:rPr>
            </w:pPr>
          </w:p>
        </w:tc>
        <w:tc>
          <w:tcPr>
            <w:tcW w:w="1020" w:type="dxa"/>
            <w:vAlign w:val="bottom"/>
          </w:tcPr>
          <w:p>
            <w:pPr>
              <w:jc w:val="center"/>
              <w:ind w:right="222"/>
              <w:spacing w:after="0" w:line="142" w:lineRule="exact"/>
              <w:rPr>
                <w:sz w:val="20"/>
                <w:szCs w:val="20"/>
                <w:color w:val="auto"/>
              </w:rPr>
            </w:pPr>
            <w:r>
              <w:rPr>
                <w:rFonts w:ascii="Arial" w:cs="Arial" w:eastAsia="Arial" w:hAnsi="Arial"/>
                <w:sz w:val="14"/>
                <w:szCs w:val="14"/>
                <w:b w:val="1"/>
                <w:bCs w:val="1"/>
                <w:color w:val="auto"/>
                <w:w w:val="99"/>
              </w:rPr>
              <w:t>Tax</w:t>
            </w:r>
          </w:p>
        </w:tc>
        <w:tc>
          <w:tcPr>
            <w:tcW w:w="240" w:type="dxa"/>
            <w:vAlign w:val="bottom"/>
          </w:tcPr>
          <w:p>
            <w:pPr>
              <w:spacing w:after="0"/>
              <w:rPr>
                <w:sz w:val="12"/>
                <w:szCs w:val="12"/>
                <w:color w:val="auto"/>
              </w:rPr>
            </w:pPr>
          </w:p>
        </w:tc>
        <w:tc>
          <w:tcPr>
            <w:tcW w:w="1060" w:type="dxa"/>
            <w:vAlign w:val="bottom"/>
          </w:tcPr>
          <w:p>
            <w:pPr>
              <w:jc w:val="center"/>
              <w:ind w:right="162"/>
              <w:spacing w:after="0" w:line="142" w:lineRule="exact"/>
              <w:rPr>
                <w:sz w:val="20"/>
                <w:szCs w:val="20"/>
                <w:color w:val="auto"/>
              </w:rPr>
            </w:pPr>
            <w:r>
              <w:rPr>
                <w:rFonts w:ascii="Arial" w:cs="Arial" w:eastAsia="Arial" w:hAnsi="Arial"/>
                <w:sz w:val="14"/>
                <w:szCs w:val="14"/>
                <w:b w:val="1"/>
                <w:bCs w:val="1"/>
                <w:color w:val="auto"/>
              </w:rPr>
              <w:t>After tax</w:t>
            </w:r>
          </w:p>
        </w:tc>
        <w:tc>
          <w:tcPr>
            <w:tcW w:w="220" w:type="dxa"/>
            <w:vAlign w:val="bottom"/>
          </w:tcPr>
          <w:p>
            <w:pPr>
              <w:spacing w:after="0"/>
              <w:rPr>
                <w:sz w:val="12"/>
                <w:szCs w:val="12"/>
                <w:color w:val="auto"/>
              </w:rPr>
            </w:pPr>
          </w:p>
        </w:tc>
        <w:tc>
          <w:tcPr>
            <w:tcW w:w="1100" w:type="dxa"/>
            <w:vAlign w:val="bottom"/>
          </w:tcPr>
          <w:p>
            <w:pPr>
              <w:jc w:val="center"/>
              <w:ind w:right="122"/>
              <w:spacing w:after="0" w:line="142" w:lineRule="exact"/>
              <w:rPr>
                <w:sz w:val="20"/>
                <w:szCs w:val="20"/>
                <w:color w:val="auto"/>
              </w:rPr>
            </w:pPr>
            <w:r>
              <w:rPr>
                <w:rFonts w:ascii="Arial" w:cs="Arial" w:eastAsia="Arial" w:hAnsi="Arial"/>
                <w:sz w:val="14"/>
                <w:szCs w:val="14"/>
                <w:b w:val="1"/>
                <w:bCs w:val="1"/>
                <w:color w:val="auto"/>
              </w:rPr>
              <w:t>Per share</w:t>
            </w:r>
          </w:p>
        </w:tc>
      </w:tr>
      <w:tr>
        <w:trPr>
          <w:trHeight w:val="176"/>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15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Amounts</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rPr>
              <w:t>Effect</w:t>
            </w: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Effect</w:t>
            </w: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Effect</w:t>
            </w:r>
          </w:p>
        </w:tc>
      </w:tr>
      <w:tr>
        <w:trPr>
          <w:trHeight w:val="20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 net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4,189</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1,377</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2,812</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center"/>
              <w:ind w:left="562"/>
              <w:spacing w:after="0"/>
              <w:rPr>
                <w:sz w:val="20"/>
                <w:szCs w:val="20"/>
                <w:color w:val="auto"/>
              </w:rPr>
            </w:pPr>
            <w:r>
              <w:rPr>
                <w:rFonts w:ascii="Arial" w:cs="Arial" w:eastAsia="Arial" w:hAnsi="Arial"/>
                <w:sz w:val="16"/>
                <w:szCs w:val="16"/>
                <w:color w:val="auto"/>
                <w:w w:val="96"/>
              </w:rPr>
              <w:t>0.08</w:t>
            </w:r>
          </w:p>
        </w:tc>
      </w:tr>
      <w:tr>
        <w:trPr>
          <w:trHeight w:val="213"/>
        </w:trPr>
        <w:tc>
          <w:tcPr>
            <w:tcW w:w="4700" w:type="dxa"/>
            <w:vAlign w:val="bottom"/>
          </w:tcPr>
          <w:p>
            <w:pPr>
              <w:ind w:left="20"/>
              <w:spacing w:after="0"/>
              <w:rPr>
                <w:sz w:val="20"/>
                <w:szCs w:val="20"/>
                <w:color w:val="auto"/>
              </w:rPr>
            </w:pPr>
            <w:r>
              <w:rPr>
                <w:rFonts w:ascii="Arial" w:cs="Arial" w:eastAsia="Arial" w:hAnsi="Arial"/>
                <w:sz w:val="16"/>
                <w:szCs w:val="16"/>
                <w:color w:val="auto"/>
              </w:rPr>
              <w:t>Foreign currency revaluation (gains)/losses (a)</w:t>
            </w:r>
          </w:p>
        </w:tc>
        <w:tc>
          <w:tcPr>
            <w:tcW w:w="1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13,941</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(483)</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14,424</w:t>
            </w:r>
          </w:p>
        </w:tc>
        <w:tc>
          <w:tcPr>
            <w:tcW w:w="220" w:type="dxa"/>
            <w:vAlign w:val="bottom"/>
          </w:tcPr>
          <w:p>
            <w:pPr>
              <w:spacing w:after="0"/>
              <w:rPr>
                <w:sz w:val="18"/>
                <w:szCs w:val="18"/>
                <w:color w:val="auto"/>
              </w:rPr>
            </w:pPr>
          </w:p>
        </w:tc>
        <w:tc>
          <w:tcPr>
            <w:tcW w:w="1100" w:type="dxa"/>
            <w:vAlign w:val="bottom"/>
          </w:tcPr>
          <w:p>
            <w:pPr>
              <w:jc w:val="center"/>
              <w:ind w:left="562"/>
              <w:spacing w:after="0"/>
              <w:rPr>
                <w:sz w:val="20"/>
                <w:szCs w:val="20"/>
                <w:color w:val="auto"/>
              </w:rPr>
            </w:pPr>
            <w:r>
              <w:rPr>
                <w:rFonts w:ascii="Arial" w:cs="Arial" w:eastAsia="Arial" w:hAnsi="Arial"/>
                <w:sz w:val="16"/>
                <w:szCs w:val="16"/>
                <w:color w:val="auto"/>
                <w:w w:val="96"/>
              </w:rPr>
              <w:t>0.46</w:t>
            </w: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Former CEO termination costs</w:t>
            </w:r>
          </w:p>
        </w:tc>
        <w:tc>
          <w:tcPr>
            <w:tcW w:w="1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2,742</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713</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2,029</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562"/>
              <w:spacing w:after="0"/>
              <w:rPr>
                <w:sz w:val="20"/>
                <w:szCs w:val="20"/>
                <w:color w:val="auto"/>
              </w:rPr>
            </w:pPr>
            <w:r>
              <w:rPr>
                <w:rFonts w:ascii="Arial" w:cs="Arial" w:eastAsia="Arial" w:hAnsi="Arial"/>
                <w:sz w:val="16"/>
                <w:szCs w:val="16"/>
                <w:color w:val="auto"/>
                <w:w w:val="96"/>
              </w:rPr>
              <w:t>0.06</w:t>
            </w:r>
          </w:p>
        </w:tc>
      </w:tr>
      <w:tr>
        <w:trPr>
          <w:trHeight w:val="213"/>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Acquisition/integration costs</w:t>
            </w:r>
          </w:p>
        </w:tc>
        <w:tc>
          <w:tcPr>
            <w:tcW w:w="1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867</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259</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left="562"/>
              <w:spacing w:after="0"/>
              <w:rPr>
                <w:sz w:val="20"/>
                <w:szCs w:val="20"/>
                <w:color w:val="auto"/>
              </w:rPr>
            </w:pPr>
            <w:r>
              <w:rPr>
                <w:rFonts w:ascii="Arial" w:cs="Arial" w:eastAsia="Arial" w:hAnsi="Arial"/>
                <w:sz w:val="16"/>
                <w:szCs w:val="16"/>
                <w:color w:val="auto"/>
                <w:w w:val="96"/>
              </w:rPr>
              <w:t>0.03</w:t>
            </w:r>
          </w:p>
        </w:tc>
      </w:tr>
    </w:tbl>
    <w:p>
      <w:pPr>
        <w:spacing w:after="0" w:line="200" w:lineRule="exact"/>
        <w:rPr>
          <w:sz w:val="20"/>
          <w:szCs w:val="20"/>
          <w:color w:val="auto"/>
        </w:rPr>
      </w:pPr>
    </w:p>
    <w:p>
      <w:pPr>
        <w:spacing w:after="0" w:line="247" w:lineRule="exact"/>
        <w:rPr>
          <w:sz w:val="20"/>
          <w:szCs w:val="20"/>
          <w:color w:val="auto"/>
        </w:rPr>
      </w:pPr>
    </w:p>
    <w:p>
      <w:pPr>
        <w:ind w:left="660" w:right="260" w:hanging="652"/>
        <w:spacing w:after="0" w:line="260" w:lineRule="auto"/>
        <w:tabs>
          <w:tab w:leader="none" w:pos="655"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Q1 2020, the Company incurred losses of approximately $17 million in jurisdictions where it cannot record a tax benefit from the losses, which results in an unusual relationship between the pre-tax and after-tax amounts.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Earnings per share to Adjusted Earnings per share:</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20" w:type="dxa"/>
            <w:vAlign w:val="bottom"/>
            <w:tcBorders>
              <w:top w:val="single" w:sz="8" w:color="auto"/>
            </w:tcBorders>
          </w:tcPr>
          <w:p>
            <w:pPr>
              <w:spacing w:after="0"/>
              <w:rPr>
                <w:sz w:val="17"/>
                <w:szCs w:val="17"/>
                <w:color w:val="auto"/>
              </w:rPr>
            </w:pPr>
          </w:p>
        </w:tc>
        <w:tc>
          <w:tcPr>
            <w:tcW w:w="26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Borders>
              <w:top w:val="single" w:sz="8" w:color="auto"/>
              <w:bottom w:val="single" w:sz="8" w:color="auto"/>
            </w:tcBorders>
          </w:tcPr>
          <w:p>
            <w:pPr>
              <w:spacing w:after="0"/>
              <w:rPr>
                <w:sz w:val="17"/>
                <w:szCs w:val="17"/>
                <w:color w:val="auto"/>
              </w:rPr>
            </w:pPr>
          </w:p>
        </w:tc>
        <w:tc>
          <w:tcPr>
            <w:tcW w:w="250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 share amounts (Basic)</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r>
      <w:tr>
        <w:trPr>
          <w:trHeight w:val="210"/>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share (GAAP)</w:t>
            </w: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0.95</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2.78</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r>
      <w:tr>
        <w:trPr>
          <w:trHeight w:val="233"/>
        </w:trPr>
        <w:tc>
          <w:tcPr>
            <w:tcW w:w="5920" w:type="dxa"/>
            <w:vAlign w:val="bottom"/>
          </w:tcPr>
          <w:p>
            <w:pPr>
              <w:ind w:left="20"/>
              <w:spacing w:after="0"/>
              <w:rPr>
                <w:sz w:val="20"/>
                <w:szCs w:val="20"/>
                <w:color w:val="auto"/>
              </w:rPr>
            </w:pPr>
            <w:r>
              <w:rPr>
                <w:rFonts w:ascii="Arial" w:cs="Arial" w:eastAsia="Arial" w:hAnsi="Arial"/>
                <w:sz w:val="16"/>
                <w:szCs w:val="16"/>
                <w:color w:val="auto"/>
              </w:rPr>
              <w:t>Adjustments, after tax:</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26"/>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 net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r>
      <w:tr>
        <w:trPr>
          <w:trHeight w:val="240"/>
        </w:trPr>
        <w:tc>
          <w:tcPr>
            <w:tcW w:w="5920" w:type="dxa"/>
            <w:vAlign w:val="bottom"/>
          </w:tcPr>
          <w:p>
            <w:pPr>
              <w:ind w:left="20"/>
              <w:spacing w:after="0"/>
              <w:rPr>
                <w:sz w:val="20"/>
                <w:szCs w:val="20"/>
                <w:color w:val="auto"/>
              </w:rPr>
            </w:pPr>
            <w:r>
              <w:rPr>
                <w:rFonts w:ascii="Arial" w:cs="Arial" w:eastAsia="Arial" w:hAnsi="Arial"/>
                <w:sz w:val="16"/>
                <w:szCs w:val="16"/>
                <w:color w:val="auto"/>
              </w:rPr>
              <w:t>Foreign currency revaluation (gains)/losses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(0.02)</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0.02</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0.02</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0.46</w:t>
            </w:r>
          </w:p>
        </w:tc>
      </w:tr>
      <w:tr>
        <w:trPr>
          <w:trHeight w:val="219"/>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AMJP grant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(0.11)</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(0.11)</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920" w:type="dxa"/>
            <w:vAlign w:val="bottom"/>
          </w:tcPr>
          <w:p>
            <w:pPr>
              <w:ind w:left="20"/>
              <w:spacing w:after="0"/>
              <w:rPr>
                <w:sz w:val="20"/>
                <w:szCs w:val="20"/>
                <w:color w:val="auto"/>
              </w:rPr>
            </w:pPr>
            <w:r>
              <w:rPr>
                <w:rFonts w:ascii="Arial" w:cs="Arial" w:eastAsia="Arial" w:hAnsi="Arial"/>
                <w:sz w:val="16"/>
                <w:szCs w:val="16"/>
                <w:color w:val="auto"/>
              </w:rPr>
              <w:t>Former CEO termination costs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0.06</w:t>
            </w:r>
          </w:p>
        </w:tc>
      </w:tr>
      <w:tr>
        <w:trPr>
          <w:trHeight w:val="241"/>
        </w:trPr>
        <w:tc>
          <w:tcPr>
            <w:tcW w:w="5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Acquisition/integration costs</w:t>
            </w: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0.01</w:t>
            </w:r>
          </w:p>
        </w:tc>
        <w:tc>
          <w:tcPr>
            <w:tcW w:w="3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0.03</w:t>
            </w: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0.03</w:t>
            </w:r>
          </w:p>
        </w:tc>
      </w:tr>
      <w:tr>
        <w:trPr>
          <w:trHeight w:val="212"/>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Adjusted Earnings per share (non-GAAP)</w:t>
            </w:r>
          </w:p>
        </w:tc>
        <w:tc>
          <w:tcPr>
            <w:tcW w:w="3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0.83</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2.72</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w:t>
            </w:r>
          </w:p>
        </w:tc>
      </w:tr>
    </w:tbl>
    <w:p>
      <w:pPr>
        <w:spacing w:after="0" w:line="200" w:lineRule="exact"/>
        <w:rPr>
          <w:sz w:val="20"/>
          <w:szCs w:val="20"/>
          <w:color w:val="auto"/>
        </w:rPr>
      </w:pPr>
    </w:p>
    <w:p>
      <w:pPr>
        <w:spacing w:after="0" w:line="25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Net debt is, in the opinion of the Company, helpful to investors wishing to understand what the Company’s debt position would be if all available cash were applied to pay down indebtedness. The Company calculates Net debt by subtracting Cash and cash equivalents from Total debt. Total debt is calculated by adding Long-term debt, Current maturities of long-term debt, and Notes and loans payable, if any.</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contains the calculation of net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67722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2700" w:type="dxa"/>
            <w:vAlign w:val="bottom"/>
            <w:gridSpan w:val="2"/>
          </w:tcPr>
          <w:p>
            <w:pPr>
              <w:jc w:val="right"/>
              <w:ind w:right="1"/>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122"/>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June 30, 2021</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2020</w:t>
            </w:r>
          </w:p>
        </w:tc>
      </w:tr>
      <w:tr>
        <w:trPr>
          <w:trHeight w:val="215"/>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maturities of long-term debt</w:t>
            </w:r>
          </w:p>
        </w:tc>
        <w:tc>
          <w:tcPr>
            <w:tcW w:w="18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w:t>
            </w:r>
          </w:p>
        </w:tc>
      </w:tr>
      <w:tr>
        <w:trPr>
          <w:trHeight w:val="240"/>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Long-term debt</w:t>
            </w:r>
          </w:p>
        </w:tc>
        <w:tc>
          <w:tcPr>
            <w:tcW w:w="18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350,000</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350,000</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384,000</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398,000</w:t>
            </w:r>
          </w:p>
        </w:tc>
      </w:tr>
      <w:tr>
        <w:trPr>
          <w:trHeight w:val="212"/>
        </w:trPr>
        <w:tc>
          <w:tcPr>
            <w:tcW w:w="4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debt</w:t>
            </w:r>
          </w:p>
        </w:tc>
        <w:tc>
          <w:tcPr>
            <w:tcW w:w="18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350,000</w:t>
            </w: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350,000</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384,002</w:t>
            </w: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398,009</w:t>
            </w:r>
          </w:p>
        </w:tc>
      </w:tr>
      <w:tr>
        <w:trPr>
          <w:trHeight w:val="234"/>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and cash equivalents</w:t>
            </w:r>
          </w:p>
        </w:tc>
        <w:tc>
          <w:tcPr>
            <w:tcW w:w="18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286,217</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253,330</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237,871</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241,316</w:t>
            </w:r>
          </w:p>
        </w:tc>
      </w:tr>
      <w:tr>
        <w:trPr>
          <w:trHeight w:val="212"/>
        </w:trPr>
        <w:tc>
          <w:tcPr>
            <w:tcW w:w="4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debt (non GAAP)</w:t>
            </w:r>
          </w:p>
        </w:tc>
        <w:tc>
          <w:tcPr>
            <w:tcW w:w="182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63,783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96,670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146,131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156,693</w:t>
            </w: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9"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For discussion of our exposure to market risk, refer to “Quantitative and Qualitative Disclosures about Market Risk”, which is included as an exhibit to this Form 10-Q.</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a) Disclosure controls and procedures.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7" w:name="page38"/>
    <w:bookmarkEnd w:id="3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principal executive officer and principal financial officer, based on their evaluation of disclosure controls and procedures (as defined in Exchange Act Rules 13a-15(e) and 15d-15(e)) as of the end of the period covered by this Quarterly Report on Form 10-Q, have concluded that the Company’s disclosure controls and procedures are effective for ensuring that information required to be disclosed in the reports that it files or submits under the Securities Exchange Act of 1934 is recorded, processed, summarized and reported within the time periods specified in the Commission’s rules and forms. Disclosure controls and procedures include, without limitation, controls and procedures designed to ensure that information required to be disclosed in filed or submitted reports is accumulated and communicated to the Company’s management, including its principal executive officer and principal financial officer as appropriate, to allow timely decisions regarding required disclosure.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 over financial reporting.</w:t>
      </w:r>
    </w:p>
    <w:p>
      <w:pPr>
        <w:spacing w:after="0" w:line="11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There was no change in the Company’s internal control over financial reporting (as defined in Rule 13a-15(f) and 15d-15(f) under the Securities Exchange Act of 1934, as amended) during the last fiscal quarter that has materially affected, or is reasonably likely to materially affect, the Company’s internal control over financial reporting.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 to the information set forth above under Note 15 in Item 1, “Notes to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For discussion of risk factors, refer to Item 1A of our Annual Report on Form 10-K for the year ended December 31, 2020. Other than the following update, there have been no material changes in risks since December 31, 2020.</w:t>
      </w:r>
    </w:p>
    <w:p>
      <w:pPr>
        <w:spacing w:after="0" w:line="225" w:lineRule="exact"/>
        <w:rPr>
          <w:sz w:val="20"/>
          <w:szCs w:val="20"/>
          <w:color w:val="auto"/>
        </w:rPr>
      </w:pPr>
    </w:p>
    <w:p>
      <w:pPr>
        <w:ind w:right="40" w:firstLine="324"/>
        <w:spacing w:after="0" w:line="238" w:lineRule="auto"/>
        <w:rPr>
          <w:sz w:val="20"/>
          <w:szCs w:val="20"/>
          <w:color w:val="auto"/>
        </w:rPr>
      </w:pPr>
      <w:r>
        <w:rPr>
          <w:rFonts w:ascii="Arial" w:cs="Arial" w:eastAsia="Arial" w:hAnsi="Arial"/>
          <w:sz w:val="18"/>
          <w:szCs w:val="18"/>
          <w:color w:val="auto"/>
        </w:rPr>
        <w:t>Prior to August 5, 2021, Standish Family Holdings, LLC, J.S. Standish Company, Christine L. Standish, John C. Standish and J. Spencer Standish Discretionary Trust for Christine L. Standish U/A/D 6/21/83 (the “Standish Trust” and collectively, the “Standish Family”) held in the aggregate shares of the Company’s common stock entitling them to cast approximately 34.5 percent of the combined votes entitled to be cast by all stockholders of the Company. As of August 10, 2021, all shares of the Company’s Class B common stock held by the Standish Family had been converted into an equal number of shares of the Company’s Class A common stock (the “Conversion”), and the Standish</w:t>
      </w:r>
    </w:p>
    <w:p>
      <w:pPr>
        <w:spacing w:after="0" w:line="27"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Family then sold 1,566,644 shares of our Class A Common Stock through a secondary offering. The Standish Family now holds only 58,179 shares of our Class A Common Stock, representing less than 1% of the combined votes entitled to be cast by all stockholders of the Company, effectively eliminating the risk outlined in our Annual Report on Form 10-K for the year ended December 31, 2020.</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As of October 15, 2021, we had 32,379,723 shares of Class A Common stock outstanding and 1,154 shares of Class B Common stock</w:t>
      </w:r>
    </w:p>
    <w:p>
      <w:pPr>
        <w:spacing w:after="0" w:line="36"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outstanding, each of which is convertible at any time into an equal number of Class A Common stock. In addition, Class A Common Stock is issuable on exercise of upon exercise of outstanding stock options or the vesting of outstanding equity awards, and certain shares are reserved for future issuance under our equity compensation plans.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made no share purchases during the third quarter of 2021.</w:t>
      </w:r>
    </w:p>
    <w:p>
      <w:pPr>
        <w:spacing w:after="0" w:line="36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October 2021, our Board of Directors authorized a $200 million stock repurchase program. This authorization supersedes any prior authorization. The program does not obligate the Company to acquire any particular amount of common stock, and it may be suspended or terminated at any time at the company’s discretion. The share repurchase program does not have an expiration date. The timing and amount of any share repurchases will be based on the company’s liquidity, general business and market conditions, debt covenant restrictions and other factors, including alternative investment opportunities and capital structure. No share purchases have yet been made pursuant to such authorization.</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8" w:name="page39"/>
    <w:bookmarkEnd w:id="3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260" w:type="dxa"/>
            <w:vAlign w:val="bottom"/>
          </w:tcPr>
          <w:p>
            <w:pPr>
              <w:ind w:left="20"/>
              <w:spacing w:after="0"/>
              <w:rPr>
                <w:sz w:val="20"/>
                <w:szCs w:val="20"/>
                <w:color w:val="auto"/>
              </w:rPr>
            </w:pPr>
            <w:r>
              <w:rPr>
                <w:rFonts w:ascii="Arial" w:cs="Arial" w:eastAsia="Arial" w:hAnsi="Arial"/>
                <w:sz w:val="16"/>
                <w:szCs w:val="16"/>
                <w:color w:val="auto"/>
              </w:rPr>
              <w:t>Exhibit No.</w:t>
            </w:r>
          </w:p>
        </w:tc>
        <w:tc>
          <w:tcPr>
            <w:tcW w:w="9980" w:type="dxa"/>
            <w:vAlign w:val="bottom"/>
            <w:gridSpan w:val="6"/>
          </w:tcPr>
          <w:p>
            <w:pPr>
              <w:spacing w:after="0"/>
              <w:rPr>
                <w:sz w:val="20"/>
                <w:szCs w:val="20"/>
                <w:color w:val="auto"/>
              </w:rPr>
            </w:pPr>
            <w:r>
              <w:rPr>
                <w:rFonts w:ascii="Arial" w:cs="Arial" w:eastAsia="Arial" w:hAnsi="Arial"/>
                <w:sz w:val="16"/>
                <w:szCs w:val="16"/>
                <w:color w:val="auto"/>
              </w:rPr>
              <w:t>Description</w:t>
            </w:r>
          </w:p>
        </w:tc>
      </w:tr>
      <w:tr>
        <w:trPr>
          <w:trHeight w:val="199"/>
        </w:trPr>
        <w:tc>
          <w:tcPr>
            <w:tcW w:w="1260" w:type="dxa"/>
            <w:vAlign w:val="bottom"/>
            <w:tcBorders>
              <w:bottom w:val="single" w:sz="8" w:color="CCEEFF"/>
            </w:tcBorders>
            <w:shd w:val="clear" w:color="auto" w:fill="CCEEFF"/>
          </w:tcPr>
          <w:p>
            <w:pPr>
              <w:ind w:left="20"/>
              <w:spacing w:after="0" w:line="178" w:lineRule="exact"/>
              <w:rPr>
                <w:sz w:val="20"/>
                <w:szCs w:val="20"/>
                <w:color w:val="auto"/>
              </w:rPr>
            </w:pPr>
            <w:r>
              <w:rPr>
                <w:rFonts w:ascii="Arial" w:cs="Arial" w:eastAsia="Arial" w:hAnsi="Arial"/>
                <w:sz w:val="16"/>
                <w:szCs w:val="16"/>
                <w:color w:val="auto"/>
              </w:rPr>
              <w:t>31.1</w:t>
            </w:r>
          </w:p>
        </w:tc>
        <w:tc>
          <w:tcPr>
            <w:tcW w:w="7280" w:type="dxa"/>
            <w:vAlign w:val="bottom"/>
            <w:tcBorders>
              <w:bottom w:val="single" w:sz="8" w:color="0000FF"/>
            </w:tcBorders>
            <w:gridSpan w:val="4"/>
            <w:shd w:val="clear" w:color="auto" w:fill="CCEEFF"/>
          </w:tcPr>
          <w:p>
            <w:pPr>
              <w:spacing w:after="0" w:line="178" w:lineRule="exact"/>
              <w:rPr>
                <w:rFonts w:ascii="Arial" w:cs="Arial" w:eastAsia="Arial" w:hAnsi="Arial"/>
                <w:sz w:val="16"/>
                <w:szCs w:val="16"/>
                <w:color w:val="0000FF"/>
              </w:rPr>
            </w:pPr>
            <w:hyperlink w:anchor="page41">
              <w:r>
                <w:rPr>
                  <w:rFonts w:ascii="Arial" w:cs="Arial" w:eastAsia="Arial" w:hAnsi="Arial"/>
                  <w:sz w:val="16"/>
                  <w:szCs w:val="16"/>
                  <w:color w:val="0000FF"/>
                </w:rPr>
                <w:t>Certification of the Chief Executive Officer pursuant to Rule 13a-14(a)/15d-14(a) of the Exchange Act.</w:t>
              </w:r>
            </w:hyperlink>
          </w:p>
        </w:tc>
        <w:tc>
          <w:tcPr>
            <w:tcW w:w="2700" w:type="dxa"/>
            <w:vAlign w:val="bottom"/>
            <w:tcBorders>
              <w:bottom w:val="single" w:sz="8" w:color="CCEEFF"/>
            </w:tcBorders>
            <w:gridSpan w:val="2"/>
            <w:shd w:val="clear" w:color="auto" w:fill="CCEEFF"/>
          </w:tcPr>
          <w:p>
            <w:pPr>
              <w:spacing w:after="0"/>
              <w:rPr>
                <w:sz w:val="17"/>
                <w:szCs w:val="17"/>
                <w:color w:val="auto"/>
              </w:rPr>
            </w:pPr>
          </w:p>
        </w:tc>
      </w:tr>
      <w:tr>
        <w:trPr>
          <w:trHeight w:val="175"/>
        </w:trPr>
        <w:tc>
          <w:tcPr>
            <w:tcW w:w="1260" w:type="dxa"/>
            <w:vAlign w:val="bottom"/>
          </w:tcPr>
          <w:p>
            <w:pPr>
              <w:ind w:left="20"/>
              <w:spacing w:after="0" w:line="175" w:lineRule="exact"/>
              <w:rPr>
                <w:sz w:val="20"/>
                <w:szCs w:val="20"/>
                <w:color w:val="auto"/>
              </w:rPr>
            </w:pPr>
            <w:r>
              <w:rPr>
                <w:rFonts w:ascii="Arial" w:cs="Arial" w:eastAsia="Arial" w:hAnsi="Arial"/>
                <w:sz w:val="16"/>
                <w:szCs w:val="16"/>
                <w:color w:val="auto"/>
              </w:rPr>
              <w:t>31.2</w:t>
            </w:r>
          </w:p>
        </w:tc>
        <w:tc>
          <w:tcPr>
            <w:tcW w:w="9980" w:type="dxa"/>
            <w:vAlign w:val="bottom"/>
            <w:gridSpan w:val="6"/>
          </w:tcPr>
          <w:p>
            <w:pPr>
              <w:spacing w:after="0" w:line="175" w:lineRule="exact"/>
              <w:rPr>
                <w:rFonts w:ascii="Arial" w:cs="Arial" w:eastAsia="Arial" w:hAnsi="Arial"/>
                <w:sz w:val="16"/>
                <w:szCs w:val="16"/>
                <w:color w:val="0000FF"/>
              </w:rPr>
            </w:pPr>
            <w:hyperlink w:anchor="page42">
              <w:r>
                <w:rPr>
                  <w:rFonts w:ascii="Arial" w:cs="Arial" w:eastAsia="Arial" w:hAnsi="Arial"/>
                  <w:sz w:val="16"/>
                  <w:szCs w:val="16"/>
                  <w:color w:val="0000FF"/>
                </w:rPr>
                <w:t>Certification of the Chief Financial Officer pursuant to Rule 13a-14(a)/15d-14(a) of the Exchange Act.</w:t>
              </w:r>
            </w:hyperlink>
          </w:p>
        </w:tc>
      </w:tr>
      <w:tr>
        <w:trPr>
          <w:trHeight w:val="21"/>
        </w:trPr>
        <w:tc>
          <w:tcPr>
            <w:tcW w:w="1260" w:type="dxa"/>
            <w:vAlign w:val="bottom"/>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52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5"/>
        </w:trPr>
        <w:tc>
          <w:tcPr>
            <w:tcW w:w="12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32.1</w:t>
            </w:r>
          </w:p>
        </w:tc>
        <w:tc>
          <w:tcPr>
            <w:tcW w:w="9980" w:type="dxa"/>
            <w:vAlign w:val="bottom"/>
            <w:gridSpan w:val="6"/>
            <w:shd w:val="clear" w:color="auto" w:fill="CCEEFF"/>
          </w:tcPr>
          <w:p>
            <w:pPr>
              <w:spacing w:after="0" w:line="175" w:lineRule="exact"/>
              <w:rPr>
                <w:rFonts w:ascii="Arial" w:cs="Arial" w:eastAsia="Arial" w:hAnsi="Arial"/>
                <w:sz w:val="16"/>
                <w:szCs w:val="16"/>
                <w:color w:val="0000FF"/>
              </w:rPr>
            </w:pPr>
            <w:hyperlink w:anchor="page43">
              <w:r>
                <w:rPr>
                  <w:rFonts w:ascii="Arial" w:cs="Arial" w:eastAsia="Arial" w:hAnsi="Arial"/>
                  <w:sz w:val="16"/>
                  <w:szCs w:val="16"/>
                  <w:color w:val="0000FF"/>
                </w:rPr>
                <w:t>Certification pursuant to Section 906 of the Sarbanes-Oxley Act of 2002 (Subsections (a) and (b) of Section 1350, Chapter 63 of Title 18,</w:t>
              </w:r>
            </w:hyperlink>
          </w:p>
        </w:tc>
      </w:tr>
      <w:tr>
        <w:trPr>
          <w:trHeight w:val="163"/>
        </w:trPr>
        <w:tc>
          <w:tcPr>
            <w:tcW w:w="1260" w:type="dxa"/>
            <w:vAlign w:val="bottom"/>
            <w:tcBorders>
              <w:top w:val="single" w:sz="8" w:color="CCEEFF"/>
              <w:bottom w:val="single" w:sz="8" w:color="CCEEFF"/>
            </w:tcBorders>
            <w:shd w:val="clear" w:color="auto" w:fill="CCEEFF"/>
          </w:tcPr>
          <w:p>
            <w:pPr>
              <w:spacing w:after="0"/>
              <w:rPr>
                <w:sz w:val="14"/>
                <w:szCs w:val="14"/>
                <w:color w:val="auto"/>
              </w:rPr>
            </w:pPr>
          </w:p>
        </w:tc>
        <w:tc>
          <w:tcPr>
            <w:tcW w:w="1520" w:type="dxa"/>
            <w:vAlign w:val="bottom"/>
            <w:tcBorders>
              <w:top w:val="single" w:sz="8" w:color="0000FF"/>
              <w:bottom w:val="single" w:sz="8" w:color="0000FF"/>
            </w:tcBorders>
            <w:shd w:val="clear" w:color="auto" w:fill="CCEEFF"/>
          </w:tcPr>
          <w:p>
            <w:pPr>
              <w:spacing w:after="0" w:line="142" w:lineRule="exact"/>
              <w:rPr>
                <w:rFonts w:ascii="Arial" w:cs="Arial" w:eastAsia="Arial" w:hAnsi="Arial"/>
                <w:sz w:val="16"/>
                <w:szCs w:val="16"/>
                <w:color w:val="0000FF"/>
              </w:rPr>
            </w:pPr>
            <w:hyperlink w:anchor="page43">
              <w:r>
                <w:rPr>
                  <w:rFonts w:ascii="Arial" w:cs="Arial" w:eastAsia="Arial" w:hAnsi="Arial"/>
                  <w:sz w:val="16"/>
                  <w:szCs w:val="16"/>
                  <w:color w:val="0000FF"/>
                </w:rPr>
                <w:t>United States Code).</w:t>
              </w:r>
            </w:hyperlink>
          </w:p>
        </w:tc>
        <w:tc>
          <w:tcPr>
            <w:tcW w:w="8260" w:type="dxa"/>
            <w:vAlign w:val="bottom"/>
            <w:tcBorders>
              <w:top w:val="single" w:sz="8" w:color="0000FF"/>
              <w:bottom w:val="single" w:sz="8" w:color="CCEEFF"/>
            </w:tcBorders>
            <w:gridSpan w:val="4"/>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6"/>
        </w:trPr>
        <w:tc>
          <w:tcPr>
            <w:tcW w:w="1260" w:type="dxa"/>
            <w:vAlign w:val="bottom"/>
          </w:tcPr>
          <w:p>
            <w:pPr>
              <w:ind w:left="20"/>
              <w:spacing w:after="0" w:line="175" w:lineRule="exact"/>
              <w:rPr>
                <w:sz w:val="20"/>
                <w:szCs w:val="20"/>
                <w:color w:val="auto"/>
              </w:rPr>
            </w:pPr>
            <w:r>
              <w:rPr>
                <w:rFonts w:ascii="Arial" w:cs="Arial" w:eastAsia="Arial" w:hAnsi="Arial"/>
                <w:sz w:val="16"/>
                <w:szCs w:val="16"/>
                <w:color w:val="auto"/>
              </w:rPr>
              <w:t>99.1</w:t>
            </w:r>
          </w:p>
        </w:tc>
        <w:tc>
          <w:tcPr>
            <w:tcW w:w="9980" w:type="dxa"/>
            <w:vAlign w:val="bottom"/>
            <w:gridSpan w:val="6"/>
          </w:tcPr>
          <w:p>
            <w:pPr>
              <w:spacing w:after="0" w:line="175" w:lineRule="exact"/>
              <w:rPr>
                <w:rFonts w:ascii="Arial" w:cs="Arial" w:eastAsia="Arial" w:hAnsi="Arial"/>
                <w:sz w:val="16"/>
                <w:szCs w:val="16"/>
                <w:color w:val="0000FF"/>
              </w:rPr>
            </w:pPr>
            <w:hyperlink w:anchor="page44">
              <w:r>
                <w:rPr>
                  <w:rFonts w:ascii="Arial" w:cs="Arial" w:eastAsia="Arial" w:hAnsi="Arial"/>
                  <w:sz w:val="16"/>
                  <w:szCs w:val="16"/>
                  <w:color w:val="0000FF"/>
                </w:rPr>
                <w:t>Quantitative and qualitative disclosures about market risks as reported at September 30, 2021.</w:t>
              </w:r>
            </w:hyperlink>
          </w:p>
        </w:tc>
      </w:tr>
      <w:tr>
        <w:trPr>
          <w:trHeight w:val="20"/>
        </w:trPr>
        <w:tc>
          <w:tcPr>
            <w:tcW w:w="1260" w:type="dxa"/>
            <w:vAlign w:val="bottom"/>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526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7"/>
        </w:trPr>
        <w:tc>
          <w:tcPr>
            <w:tcW w:w="126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101.INS</w:t>
            </w:r>
          </w:p>
        </w:tc>
        <w:tc>
          <w:tcPr>
            <w:tcW w:w="9980" w:type="dxa"/>
            <w:vAlign w:val="bottom"/>
            <w:gridSpan w:val="6"/>
            <w:shd w:val="clear" w:color="auto" w:fill="CCEEFF"/>
          </w:tcPr>
          <w:p>
            <w:pPr>
              <w:spacing w:after="0" w:line="178" w:lineRule="exact"/>
              <w:rPr>
                <w:sz w:val="20"/>
                <w:szCs w:val="20"/>
                <w:color w:val="auto"/>
              </w:rPr>
            </w:pPr>
            <w:r>
              <w:rPr>
                <w:rFonts w:ascii="Arial" w:cs="Arial" w:eastAsia="Arial" w:hAnsi="Arial"/>
                <w:sz w:val="16"/>
                <w:szCs w:val="16"/>
                <w:color w:val="auto"/>
              </w:rPr>
              <w:t>XBRL Instance Document- the instance document does not appear in the Interactive Data File because its XBRL tags are embedded</w:t>
            </w:r>
          </w:p>
        </w:tc>
      </w:tr>
      <w:tr>
        <w:trPr>
          <w:trHeight w:val="201"/>
        </w:trPr>
        <w:tc>
          <w:tcPr>
            <w:tcW w:w="1260" w:type="dxa"/>
            <w:vAlign w:val="bottom"/>
            <w:shd w:val="clear" w:color="auto" w:fill="CCEEFF"/>
          </w:tcPr>
          <w:p>
            <w:pPr>
              <w:spacing w:after="0"/>
              <w:rPr>
                <w:sz w:val="17"/>
                <w:szCs w:val="17"/>
                <w:color w:val="auto"/>
              </w:rPr>
            </w:pPr>
          </w:p>
        </w:tc>
        <w:tc>
          <w:tcPr>
            <w:tcW w:w="998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within the Inline XBRL document.</w:t>
            </w:r>
          </w:p>
        </w:tc>
      </w:tr>
      <w:tr>
        <w:trPr>
          <w:trHeight w:val="213"/>
        </w:trPr>
        <w:tc>
          <w:tcPr>
            <w:tcW w:w="1260" w:type="dxa"/>
            <w:vAlign w:val="bottom"/>
          </w:tcPr>
          <w:p>
            <w:pPr>
              <w:ind w:left="20"/>
              <w:spacing w:after="0"/>
              <w:rPr>
                <w:sz w:val="20"/>
                <w:szCs w:val="20"/>
                <w:color w:val="auto"/>
              </w:rPr>
            </w:pPr>
            <w:r>
              <w:rPr>
                <w:rFonts w:ascii="Arial" w:cs="Arial" w:eastAsia="Arial" w:hAnsi="Arial"/>
                <w:sz w:val="16"/>
                <w:szCs w:val="16"/>
                <w:color w:val="auto"/>
              </w:rPr>
              <w:t>101.SCH</w:t>
            </w:r>
          </w:p>
        </w:tc>
        <w:tc>
          <w:tcPr>
            <w:tcW w:w="9980" w:type="dxa"/>
            <w:vAlign w:val="bottom"/>
            <w:gridSpan w:val="6"/>
          </w:tcPr>
          <w:p>
            <w:pPr>
              <w:spacing w:after="0"/>
              <w:rPr>
                <w:sz w:val="20"/>
                <w:szCs w:val="20"/>
                <w:color w:val="auto"/>
              </w:rPr>
            </w:pPr>
            <w:r>
              <w:rPr>
                <w:rFonts w:ascii="Arial" w:cs="Arial" w:eastAsia="Arial" w:hAnsi="Arial"/>
                <w:sz w:val="16"/>
                <w:szCs w:val="16"/>
                <w:color w:val="auto"/>
              </w:rPr>
              <w:t>XBRL Taxonomy Extension Schema Document.</w:t>
            </w:r>
          </w:p>
        </w:tc>
      </w:tr>
      <w:tr>
        <w:trPr>
          <w:trHeight w:val="219"/>
        </w:trPr>
        <w:tc>
          <w:tcPr>
            <w:tcW w:w="1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101.CAL</w:t>
            </w:r>
          </w:p>
        </w:tc>
        <w:tc>
          <w:tcPr>
            <w:tcW w:w="998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213"/>
        </w:trPr>
        <w:tc>
          <w:tcPr>
            <w:tcW w:w="1260" w:type="dxa"/>
            <w:vAlign w:val="bottom"/>
          </w:tcPr>
          <w:p>
            <w:pPr>
              <w:ind w:left="20"/>
              <w:spacing w:after="0"/>
              <w:rPr>
                <w:sz w:val="20"/>
                <w:szCs w:val="20"/>
                <w:color w:val="auto"/>
              </w:rPr>
            </w:pPr>
            <w:r>
              <w:rPr>
                <w:rFonts w:ascii="Arial" w:cs="Arial" w:eastAsia="Arial" w:hAnsi="Arial"/>
                <w:sz w:val="16"/>
                <w:szCs w:val="16"/>
                <w:color w:val="auto"/>
              </w:rPr>
              <w:t>101.DEF</w:t>
            </w:r>
          </w:p>
        </w:tc>
        <w:tc>
          <w:tcPr>
            <w:tcW w:w="9980" w:type="dxa"/>
            <w:vAlign w:val="bottom"/>
            <w:gridSpan w:val="6"/>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219"/>
        </w:trPr>
        <w:tc>
          <w:tcPr>
            <w:tcW w:w="1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101.LAB</w:t>
            </w:r>
          </w:p>
        </w:tc>
        <w:tc>
          <w:tcPr>
            <w:tcW w:w="998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210"/>
        </w:trPr>
        <w:tc>
          <w:tcPr>
            <w:tcW w:w="1260" w:type="dxa"/>
            <w:vAlign w:val="bottom"/>
          </w:tcPr>
          <w:p>
            <w:pPr>
              <w:ind w:left="20"/>
              <w:spacing w:after="0"/>
              <w:rPr>
                <w:sz w:val="20"/>
                <w:szCs w:val="20"/>
                <w:color w:val="auto"/>
              </w:rPr>
            </w:pPr>
            <w:r>
              <w:rPr>
                <w:rFonts w:ascii="Arial" w:cs="Arial" w:eastAsia="Arial" w:hAnsi="Arial"/>
                <w:sz w:val="16"/>
                <w:szCs w:val="16"/>
                <w:color w:val="auto"/>
              </w:rPr>
              <w:t>101.PRE</w:t>
            </w:r>
          </w:p>
        </w:tc>
        <w:tc>
          <w:tcPr>
            <w:tcW w:w="9980" w:type="dxa"/>
            <w:vAlign w:val="bottom"/>
            <w:gridSpan w:val="6"/>
          </w:tcPr>
          <w:p>
            <w:pPr>
              <w:spacing w:after="0"/>
              <w:rPr>
                <w:sz w:val="20"/>
                <w:szCs w:val="20"/>
                <w:color w:val="auto"/>
              </w:rPr>
            </w:pPr>
            <w:r>
              <w:rPr>
                <w:rFonts w:ascii="Arial" w:cs="Arial" w:eastAsia="Arial" w:hAnsi="Arial"/>
                <w:sz w:val="16"/>
                <w:szCs w:val="16"/>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ind w:left="1260" w:hanging="1234"/>
        <w:spacing w:after="0"/>
        <w:tabs>
          <w:tab w:leader="none" w:pos="12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Cover page formatted as Inline XBRL and contained in Exhibit 101</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90" w:lineRule="exact"/>
        <w:rPr>
          <w:rFonts w:ascii="Arial" w:cs="Arial" w:eastAsia="Arial" w:hAnsi="Arial"/>
          <w:sz w:val="16"/>
          <w:szCs w:val="16"/>
          <w:color w:val="auto"/>
        </w:rPr>
      </w:pPr>
    </w:p>
    <w:p>
      <w:pPr>
        <w:ind w:left="5520"/>
        <w:spacing w:after="0"/>
        <w:rPr>
          <w:rFonts w:ascii="Arial" w:cs="Arial" w:eastAsia="Arial" w:hAnsi="Arial"/>
          <w:sz w:val="16"/>
          <w:szCs w:val="16"/>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9" w:name="page40"/>
    <w:bookmarkEnd w:id="3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3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0"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ALBANY INTERNATIONAL CORP.</w:t>
      </w:r>
    </w:p>
    <w:p>
      <w:pPr>
        <w:spacing w:after="0" w:line="32"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(Registrant)</w:t>
      </w:r>
    </w:p>
    <w:p>
      <w:pPr>
        <w:spacing w:after="0" w:line="309" w:lineRule="exact"/>
        <w:rPr>
          <w:sz w:val="20"/>
          <w:szCs w:val="20"/>
          <w:color w:val="auto"/>
        </w:rPr>
      </w:pPr>
    </w:p>
    <w:p>
      <w:pPr>
        <w:ind w:left="20"/>
        <w:spacing w:after="0"/>
        <w:tabs>
          <w:tab w:leader="none" w:pos="4080" w:val="left"/>
          <w:tab w:leader="none" w:pos="4540" w:val="left"/>
        </w:tabs>
        <w:rPr>
          <w:sz w:val="20"/>
          <w:szCs w:val="20"/>
          <w:color w:val="auto"/>
        </w:rPr>
      </w:pPr>
      <w:r>
        <w:rPr>
          <w:rFonts w:ascii="Arial" w:cs="Arial" w:eastAsia="Arial" w:hAnsi="Arial"/>
          <w:sz w:val="16"/>
          <w:szCs w:val="16"/>
          <w:color w:val="auto"/>
        </w:rPr>
        <w:t>Date: October 26, 2021</w:t>
      </w:r>
      <w:r>
        <w:rPr>
          <w:sz w:val="20"/>
          <w:szCs w:val="20"/>
          <w:color w:val="auto"/>
        </w:rPr>
        <w:tab/>
      </w:r>
      <w:r>
        <w:rPr>
          <w:rFonts w:ascii="Arial" w:cs="Arial" w:eastAsia="Arial" w:hAnsi="Arial"/>
          <w:sz w:val="16"/>
          <w:szCs w:val="16"/>
          <w:color w:val="auto"/>
        </w:rPr>
        <w:t>By</w:t>
        <w:tab/>
        <w:t>/s/ Stephen M.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10795</wp:posOffset>
            </wp:positionV>
            <wp:extent cx="41065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106545" cy="8255"/>
                    </a:xfrm>
                    <a:prstGeom prst="rect">
                      <a:avLst/>
                    </a:prstGeom>
                    <a:noFill/>
                  </pic:spPr>
                </pic:pic>
              </a:graphicData>
            </a:graphic>
          </wp:anchor>
        </w:drawing>
      </w:r>
    </w:p>
    <w:p>
      <w:pPr>
        <w:spacing w:after="0" w:line="4"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Stephen M. Nolan</w:t>
      </w:r>
    </w:p>
    <w:p>
      <w:pPr>
        <w:ind w:left="4560"/>
        <w:spacing w:after="0" w:line="211" w:lineRule="auto"/>
        <w:rPr>
          <w:sz w:val="20"/>
          <w:szCs w:val="20"/>
          <w:color w:val="auto"/>
        </w:rPr>
      </w:pPr>
      <w:r>
        <w:rPr>
          <w:rFonts w:ascii="Arial" w:cs="Arial" w:eastAsia="Arial" w:hAnsi="Arial"/>
          <w:sz w:val="16"/>
          <w:szCs w:val="16"/>
          <w:color w:val="auto"/>
        </w:rPr>
        <w:t>Chief Financial Officer and Treasurer</w:t>
      </w:r>
    </w:p>
    <w:p>
      <w:pPr>
        <w:ind w:left="4560"/>
        <w:spacing w:after="0"/>
        <w:rPr>
          <w:sz w:val="20"/>
          <w:szCs w:val="20"/>
          <w:color w:val="auto"/>
        </w:rPr>
      </w:pPr>
      <w:r>
        <w:rPr>
          <w:rFonts w:ascii="Arial" w:cs="Arial" w:eastAsia="Arial" w:hAnsi="Arial"/>
          <w:sz w:val="16"/>
          <w:szCs w:val="16"/>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120" w:right="35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 William Higgins, certify that:</w:t>
      </w:r>
    </w:p>
    <w:p>
      <w:pPr>
        <w:spacing w:after="0" w:line="117"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report on Form 10-Q of Albany International Corp.;</w:t>
      </w:r>
    </w:p>
    <w:p>
      <w:pPr>
        <w:spacing w:after="0" w:line="117" w:lineRule="exact"/>
        <w:rPr>
          <w:rFonts w:ascii="Arial" w:cs="Arial" w:eastAsia="Arial" w:hAnsi="Arial"/>
          <w:sz w:val="18"/>
          <w:szCs w:val="18"/>
          <w:color w:val="auto"/>
        </w:rPr>
      </w:pPr>
    </w:p>
    <w:p>
      <w:pPr>
        <w:jc w:val="both"/>
        <w:ind w:left="340" w:hanging="332"/>
        <w:spacing w:after="0" w:line="256" w:lineRule="auto"/>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340" w:right="20" w:hanging="332"/>
        <w:spacing w:after="0" w:line="261" w:lineRule="auto"/>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8"/>
          <w:szCs w:val="18"/>
          <w:color w:val="auto"/>
        </w:rPr>
      </w:pPr>
    </w:p>
    <w:p>
      <w:pPr>
        <w:jc w:val="both"/>
        <w:ind w:left="340" w:hanging="332"/>
        <w:spacing w:after="0" w:line="256" w:lineRule="auto"/>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5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5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54"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jc w:val="both"/>
        <w:ind w:left="660" w:right="20" w:hanging="328"/>
        <w:spacing w:after="0" w:line="256" w:lineRule="auto"/>
        <w:tabs>
          <w:tab w:leader="none" w:pos="65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jc w:val="both"/>
        <w:ind w:left="340" w:hanging="332"/>
        <w:spacing w:after="0" w:line="256" w:lineRule="auto"/>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ind w:left="660" w:hanging="328"/>
        <w:spacing w:after="0" w:line="261" w:lineRule="auto"/>
        <w:tabs>
          <w:tab w:leader="none" w:pos="65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660" w:hanging="328"/>
        <w:spacing w:after="0" w:line="261" w:lineRule="auto"/>
        <w:tabs>
          <w:tab w:leader="none" w:pos="65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7" w:lineRule="exact"/>
        <w:rPr>
          <w:sz w:val="20"/>
          <w:szCs w:val="20"/>
          <w:color w:val="auto"/>
        </w:rPr>
      </w:pPr>
    </w:p>
    <w:p>
      <w:pPr>
        <w:ind w:left="20"/>
        <w:spacing w:after="0"/>
        <w:tabs>
          <w:tab w:leader="none" w:pos="4160" w:val="left"/>
          <w:tab w:leader="none" w:pos="4600" w:val="left"/>
        </w:tabs>
        <w:rPr>
          <w:sz w:val="20"/>
          <w:szCs w:val="20"/>
          <w:color w:val="auto"/>
        </w:rPr>
      </w:pPr>
      <w:r>
        <w:rPr>
          <w:rFonts w:ascii="Arial" w:cs="Arial" w:eastAsia="Arial" w:hAnsi="Arial"/>
          <w:sz w:val="18"/>
          <w:szCs w:val="18"/>
          <w:color w:val="auto"/>
        </w:rPr>
        <w:t>Date: October 26, 2021</w:t>
      </w:r>
      <w:r>
        <w:rPr>
          <w:sz w:val="20"/>
          <w:szCs w:val="20"/>
          <w:color w:val="auto"/>
        </w:rPr>
        <w:tab/>
      </w:r>
      <w:r>
        <w:rPr>
          <w:rFonts w:ascii="Arial" w:cs="Arial" w:eastAsia="Arial" w:hAnsi="Arial"/>
          <w:sz w:val="18"/>
          <w:szCs w:val="18"/>
          <w:color w:val="auto"/>
        </w:rPr>
        <w:t>By</w:t>
        <w:tab/>
        <w:t>/s/ A. William Higgins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6350</wp:posOffset>
            </wp:positionV>
            <wp:extent cx="41833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183380" cy="8890"/>
                    </a:xfrm>
                    <a:prstGeom prst="rect">
                      <a:avLst/>
                    </a:prstGeom>
                    <a:noFill/>
                  </pic:spPr>
                </pic:pic>
              </a:graphicData>
            </a:graphic>
          </wp:anchor>
        </w:drawing>
      </w:r>
    </w:p>
    <w:p>
      <w:pPr>
        <w:ind w:left="4620"/>
        <w:spacing w:after="0"/>
        <w:rPr>
          <w:sz w:val="20"/>
          <w:szCs w:val="20"/>
          <w:color w:val="auto"/>
        </w:rPr>
      </w:pPr>
      <w:r>
        <w:rPr>
          <w:rFonts w:ascii="Arial" w:cs="Arial" w:eastAsia="Arial" w:hAnsi="Arial"/>
          <w:sz w:val="18"/>
          <w:szCs w:val="18"/>
          <w:color w:val="auto"/>
        </w:rPr>
        <w:t>A. William Higgins</w:t>
      </w:r>
    </w:p>
    <w:p>
      <w:pPr>
        <w:ind w:left="4620"/>
        <w:spacing w:after="0" w:line="203" w:lineRule="auto"/>
        <w:rPr>
          <w:sz w:val="20"/>
          <w:szCs w:val="20"/>
          <w:color w:val="auto"/>
        </w:rPr>
      </w:pPr>
      <w:r>
        <w:rPr>
          <w:rFonts w:ascii="Arial" w:cs="Arial" w:eastAsia="Arial" w:hAnsi="Arial"/>
          <w:sz w:val="18"/>
          <w:szCs w:val="18"/>
          <w:color w:val="auto"/>
        </w:rPr>
        <w:t>President and Chief Executive Officer</w:t>
      </w:r>
    </w:p>
    <w:p>
      <w:pPr>
        <w:ind w:left="46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86"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Stephen M. Nolan, certify that:</w:t>
      </w:r>
    </w:p>
    <w:p>
      <w:pPr>
        <w:spacing w:after="0" w:line="117"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report on Form 10-Q of Albany International Corp.;</w:t>
      </w:r>
    </w:p>
    <w:p>
      <w:pPr>
        <w:spacing w:after="0" w:line="117" w:lineRule="exact"/>
        <w:rPr>
          <w:rFonts w:ascii="Arial" w:cs="Arial" w:eastAsia="Arial" w:hAnsi="Arial"/>
          <w:sz w:val="18"/>
          <w:szCs w:val="18"/>
          <w:color w:val="auto"/>
        </w:rPr>
      </w:pPr>
    </w:p>
    <w:p>
      <w:pPr>
        <w:jc w:val="both"/>
        <w:ind w:left="340" w:hanging="332"/>
        <w:spacing w:after="0" w:line="256" w:lineRule="auto"/>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340" w:right="20" w:hanging="332"/>
        <w:spacing w:after="0" w:line="261" w:lineRule="auto"/>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8"/>
          <w:szCs w:val="18"/>
          <w:color w:val="auto"/>
        </w:rPr>
      </w:pPr>
    </w:p>
    <w:p>
      <w:pPr>
        <w:jc w:val="both"/>
        <w:ind w:left="340" w:hanging="332"/>
        <w:spacing w:after="0" w:line="256" w:lineRule="auto"/>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5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5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54"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jc w:val="both"/>
        <w:ind w:left="660" w:right="20" w:hanging="328"/>
        <w:spacing w:after="0" w:line="256" w:lineRule="auto"/>
        <w:tabs>
          <w:tab w:leader="none" w:pos="65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jc w:val="both"/>
        <w:ind w:left="340" w:hanging="332"/>
        <w:spacing w:after="0" w:line="256" w:lineRule="auto"/>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ind w:left="660" w:hanging="328"/>
        <w:spacing w:after="0" w:line="261" w:lineRule="auto"/>
        <w:tabs>
          <w:tab w:leader="none" w:pos="65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660" w:hanging="328"/>
        <w:spacing w:after="0" w:line="261" w:lineRule="auto"/>
        <w:tabs>
          <w:tab w:leader="none" w:pos="65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7" w:lineRule="exact"/>
        <w:rPr>
          <w:sz w:val="20"/>
          <w:szCs w:val="20"/>
          <w:color w:val="auto"/>
        </w:rPr>
      </w:pPr>
    </w:p>
    <w:p>
      <w:pPr>
        <w:ind w:left="20"/>
        <w:spacing w:after="0"/>
        <w:tabs>
          <w:tab w:leader="none" w:pos="4160" w:val="left"/>
          <w:tab w:leader="none" w:pos="4600" w:val="left"/>
        </w:tabs>
        <w:rPr>
          <w:sz w:val="20"/>
          <w:szCs w:val="20"/>
          <w:color w:val="auto"/>
        </w:rPr>
      </w:pPr>
      <w:r>
        <w:rPr>
          <w:rFonts w:ascii="Arial" w:cs="Arial" w:eastAsia="Arial" w:hAnsi="Arial"/>
          <w:sz w:val="18"/>
          <w:szCs w:val="18"/>
          <w:color w:val="auto"/>
        </w:rPr>
        <w:t>Date: October 26,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Stephen M.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6350</wp:posOffset>
            </wp:positionV>
            <wp:extent cx="41833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183380" cy="8890"/>
                    </a:xfrm>
                    <a:prstGeom prst="rect">
                      <a:avLst/>
                    </a:prstGeom>
                    <a:noFill/>
                  </pic:spPr>
                </pic:pic>
              </a:graphicData>
            </a:graphic>
          </wp:anchor>
        </w:drawing>
      </w:r>
    </w:p>
    <w:p>
      <w:pPr>
        <w:ind w:left="4620"/>
        <w:spacing w:after="0"/>
        <w:rPr>
          <w:sz w:val="20"/>
          <w:szCs w:val="20"/>
          <w:color w:val="auto"/>
        </w:rPr>
      </w:pPr>
      <w:r>
        <w:rPr>
          <w:rFonts w:ascii="Arial" w:cs="Arial" w:eastAsia="Arial" w:hAnsi="Arial"/>
          <w:sz w:val="18"/>
          <w:szCs w:val="18"/>
          <w:color w:val="auto"/>
        </w:rPr>
        <w:t>Stephen M. Nolan</w:t>
      </w:r>
    </w:p>
    <w:p>
      <w:pPr>
        <w:ind w:left="4620"/>
        <w:spacing w:after="0" w:line="203" w:lineRule="auto"/>
        <w:rPr>
          <w:sz w:val="20"/>
          <w:szCs w:val="20"/>
          <w:color w:val="auto"/>
        </w:rPr>
      </w:pPr>
      <w:r>
        <w:rPr>
          <w:rFonts w:ascii="Arial" w:cs="Arial" w:eastAsia="Arial" w:hAnsi="Arial"/>
          <w:sz w:val="18"/>
          <w:szCs w:val="18"/>
          <w:color w:val="auto"/>
        </w:rPr>
        <w:t>Chief Financial Officer and Treasurer</w:t>
      </w:r>
    </w:p>
    <w:p>
      <w:pPr>
        <w:ind w:left="46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86" w:right="33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EXHIBIT (32.1)</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connection with the Quarterly Report of Albany International Corp. (the Company) on Form 10-Q for the period ending September 30, 2021, as filed with the Securities and Exchange Commission on the date hereof (the Report), A. William Higgins, President and Chief Executive Officer, and Stephen M. Nolan, Chief Financial Officer and Treasurer of the Company, certify, pursuant to 18 U.S.C. § 1350, as adopted pursuant to § 906 of the Sarbanes-Oxley Act of 2002, that:</w:t>
      </w:r>
    </w:p>
    <w:p>
      <w:pPr>
        <w:spacing w:after="0" w:line="96"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and Exchange Act of 1934; and</w:t>
      </w:r>
    </w:p>
    <w:p>
      <w:pPr>
        <w:spacing w:after="0" w:line="117" w:lineRule="exact"/>
        <w:rPr>
          <w:rFonts w:ascii="Arial" w:cs="Arial" w:eastAsia="Arial" w:hAnsi="Arial"/>
          <w:sz w:val="18"/>
          <w:szCs w:val="18"/>
          <w:color w:val="auto"/>
        </w:rPr>
      </w:pPr>
    </w:p>
    <w:p>
      <w:pPr>
        <w:ind w:left="340" w:hanging="332"/>
        <w:spacing w:after="0" w:line="261" w:lineRule="auto"/>
        <w:tabs>
          <w:tab w:leader="none" w:pos="33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p>
      <w:pPr>
        <w:ind w:left="1040"/>
        <w:spacing w:after="0"/>
        <w:tabs>
          <w:tab w:leader="none" w:pos="4860" w:val="left"/>
        </w:tabs>
        <w:rPr>
          <w:sz w:val="20"/>
          <w:szCs w:val="20"/>
          <w:color w:val="auto"/>
        </w:rPr>
      </w:pPr>
      <w:r>
        <w:rPr>
          <w:rFonts w:ascii="Arial" w:cs="Arial" w:eastAsia="Arial" w:hAnsi="Arial"/>
          <w:sz w:val="18"/>
          <w:szCs w:val="18"/>
          <w:color w:val="auto"/>
        </w:rPr>
        <w:t>Date: October 26, 2021</w:t>
      </w:r>
      <w:r>
        <w:rPr>
          <w:sz w:val="20"/>
          <w:szCs w:val="20"/>
          <w:color w:val="auto"/>
        </w:rPr>
        <w:tab/>
      </w:r>
      <w:r>
        <w:rPr>
          <w:rFonts w:ascii="Arial" w:cs="Arial" w:eastAsia="Arial" w:hAnsi="Arial"/>
          <w:sz w:val="17"/>
          <w:szCs w:val="17"/>
          <w:color w:val="auto"/>
        </w:rPr>
        <w:t>/s/ A. William Higgins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6350</wp:posOffset>
            </wp:positionV>
            <wp:extent cx="34118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2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A. William Higgins</w:t>
      </w:r>
    </w:p>
    <w:p>
      <w:pPr>
        <w:ind w:left="4880"/>
        <w:spacing w:after="0" w:line="203" w:lineRule="auto"/>
        <w:rPr>
          <w:sz w:val="20"/>
          <w:szCs w:val="20"/>
          <w:color w:val="auto"/>
        </w:rPr>
      </w:pPr>
      <w:r>
        <w:rPr>
          <w:rFonts w:ascii="Arial" w:cs="Arial" w:eastAsia="Arial" w:hAnsi="Arial"/>
          <w:sz w:val="18"/>
          <w:szCs w:val="18"/>
          <w:color w:val="auto"/>
        </w:rPr>
        <w:t>President and Chief Executive Officer</w:t>
      </w:r>
    </w:p>
    <w:p>
      <w:pPr>
        <w:ind w:left="4880"/>
        <w:spacing w:after="0"/>
        <w:rPr>
          <w:sz w:val="20"/>
          <w:szCs w:val="20"/>
          <w:color w:val="auto"/>
        </w:rPr>
      </w:pPr>
      <w:r>
        <w:rPr>
          <w:rFonts w:ascii="Arial" w:cs="Arial" w:eastAsia="Arial" w:hAnsi="Arial"/>
          <w:sz w:val="18"/>
          <w:szCs w:val="18"/>
          <w:color w:val="auto"/>
        </w:rPr>
        <w:t>(Principal Executive Officer)</w:t>
      </w:r>
    </w:p>
    <w:p>
      <w:pPr>
        <w:spacing w:after="0" w:line="11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 Stephen M.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6350</wp:posOffset>
            </wp:positionV>
            <wp:extent cx="34118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Stephen M. Nolan</w:t>
      </w:r>
    </w:p>
    <w:p>
      <w:pPr>
        <w:ind w:left="4880"/>
        <w:spacing w:after="0" w:line="203" w:lineRule="auto"/>
        <w:rPr>
          <w:sz w:val="20"/>
          <w:szCs w:val="20"/>
          <w:color w:val="auto"/>
        </w:rPr>
      </w:pPr>
      <w:r>
        <w:rPr>
          <w:rFonts w:ascii="Arial" w:cs="Arial" w:eastAsia="Arial" w:hAnsi="Arial"/>
          <w:sz w:val="18"/>
          <w:szCs w:val="18"/>
          <w:color w:val="auto"/>
        </w:rPr>
        <w:t>Chief Financial Officer and Treasurer</w:t>
      </w:r>
    </w:p>
    <w:p>
      <w:pPr>
        <w:ind w:left="48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86" w:right="33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EXHIBIT (99.1)</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RISK SENSITIVITY – As of September 30, 2021</w:t>
      </w:r>
    </w:p>
    <w:p>
      <w:pPr>
        <w:spacing w:after="0" w:line="252"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color w:val="auto"/>
        </w:rPr>
        <w:t>We have market risk with respect to foreign currency exchange rates and interest rates. The market risk is the potential loss arising from adverse changes in these rates as discussed below.</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74"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have manufacturing plants and sales transactions worldwide and therefore are subject to foreign currency risk. This risk is composed of both potential losses from the translation of foreign currency financial statements and the remeasurement of foreign currency transactions. To manage this risk, we periodically enter into forward exchange contracts either to hedge the net assets of a foreign investment or to provide an economic hedge against future cash flows. The total net assets of non-U.S. operations and long-term intercompany loans denominated in nonfunctional currencies subject to potential loss amount to approximately $656.9 million. The potential loss in fair value resulting from a hypothetical 10% adverse change in quoted foreign currency exchange rates amounts to $65.7 million. Furthermore, related to foreign currency transactions, we have exposure to various nonfunctional currency balances totaling $84.7 million. This amount includes, on an absolute basis, exposures to assets and liabilities held in currencies other than our local entity’s functional currency. On a net basis, we had $54.5 million of foreign currency assets as of September 30, 2021. As currency rates change, these nonfunctional currency balances are revalued, and the corresponding adjustment is recorded in the income statement. A hypothetical change of 10% in currency rates could result in an adjustment to the income statement of approximately $5.5 million. Actual results may differ.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exposed to interest rate fluctuations with respect to our variable rate debt, depending on general economic conditions.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September 30, 2021, we had no variable rate debt.</w:t>
      </w:r>
    </w:p>
    <w:p>
      <w:pPr>
        <w:spacing w:after="0" w:line="252" w:lineRule="exact"/>
        <w:rPr>
          <w:sz w:val="20"/>
          <w:szCs w:val="20"/>
          <w:color w:val="auto"/>
        </w:rPr>
      </w:pPr>
    </w:p>
    <w:p>
      <w:pPr>
        <w:ind w:right="280" w:firstLine="648"/>
        <w:spacing w:after="0" w:line="256" w:lineRule="auto"/>
        <w:rPr>
          <w:sz w:val="20"/>
          <w:szCs w:val="20"/>
          <w:color w:val="auto"/>
        </w:rPr>
      </w:pPr>
      <w:r>
        <w:rPr>
          <w:rFonts w:ascii="Arial" w:cs="Arial" w:eastAsia="Arial" w:hAnsi="Arial"/>
          <w:sz w:val="18"/>
          <w:szCs w:val="18"/>
          <w:color w:val="auto"/>
        </w:rPr>
        <w:t>To manage interest rate risk, we may periodically enter into interest rate swap agreements to effectively fix the interest rates on variable debt to a specific rate for a period of time. (See Note 14 to the Consolidated Financial Statements in Item 1, which is incorporated herein by reference).</w:t>
      </w: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lowerLetter"/>
      <w:start w:val="1"/>
    </w:lvl>
  </w:abstractNum>
  <w:abstractNum w:abstractNumId="4">
    <w:nsid w:val="109CF92E"/>
    <w:multiLevelType w:val="hybridMultilevel"/>
    <w:lvl w:ilvl="0">
      <w:lvlJc w:val="left"/>
      <w:lvlText w:val="(%1)"/>
      <w:numFmt w:val="lowerLetter"/>
      <w:start w:val="1"/>
    </w:lvl>
  </w:abstractNum>
  <w:abstractNum w:abstractNumId="5">
    <w:nsid w:val="DED7263"/>
    <w:multiLevelType w:val="hybridMultilevel"/>
    <w:lvl w:ilvl="0">
      <w:lvlJc w:val="left"/>
      <w:lvlText w:val="%1."/>
      <w:numFmt w:val="decimal"/>
      <w:start w:val="15"/>
    </w:lvl>
  </w:abstractNum>
  <w:abstractNum w:abstractNumId="6">
    <w:nsid w:val="7FDCC233"/>
    <w:multiLevelType w:val="hybridMultilevel"/>
    <w:lvl w:ilvl="0">
      <w:lvlJc w:val="left"/>
      <w:lvlText w:val="(%1)"/>
      <w:numFmt w:val="lowerLetter"/>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lvl w:ilvl="1">
      <w:lvlJc w:val="left"/>
      <w:lvlText w:val="•"/>
      <w:numFmt w:val="bullet"/>
      <w:start w:val="1"/>
    </w:lvl>
  </w:abstractNum>
  <w:abstractNum w:abstractNumId="9">
    <w:nsid w:val="6B68079A"/>
    <w:multiLevelType w:val="hybridMultilevel"/>
    <w:lvl w:ilvl="0">
      <w:lvlJc w:val="left"/>
      <w:lvlText w:val="•"/>
      <w:numFmt w:val="bullet"/>
      <w:start w:val="1"/>
    </w:lvl>
    <w:lvl w:ilvl="1">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lowerLetter"/>
      <w:start w:val="1"/>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decimal"/>
      <w:start w:val="104"/>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2021-10-26T09:54:38Z</dcterms:created>
  <dcterms:modified xsi:type="dcterms:W3CDTF">2021-10-26T09:54:38Z</dcterms:modified>
</cp:coreProperties>
</file>