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UNITED STATES SECURITIES AND EXCHANGE COMMISSION</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Washington, D.C. 20549</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 xml:space="preserve">Form 10-Q </w:t>
      </w:r>
    </w:p>
    <w:tbl>
      <w:tblPr>
        <w:tblW w:w="8996" w:type="dxa"/>
        <w:jc w:val="left"/>
        <w:tblInd w:w="0" w:type="dxa"/>
        <w:tblLayout w:type="fixed"/>
        <w:tblCellMar>
          <w:top w:w="28" w:type="dxa"/>
          <w:left w:w="28" w:type="dxa"/>
          <w:bottom w:w="28" w:type="dxa"/>
          <w:right w:w="28" w:type="dxa"/>
        </w:tblCellMar>
      </w:tblPr>
      <w:tblGrid>
        <w:gridCol w:w="124"/>
        <w:gridCol w:w="109"/>
        <w:gridCol w:w="109"/>
        <w:gridCol w:w="1347"/>
        <w:gridCol w:w="1347"/>
        <w:gridCol w:w="1347"/>
        <w:gridCol w:w="1347"/>
        <w:gridCol w:w="1347"/>
        <w:gridCol w:w="1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5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quarterly period ended:</w:t>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September 30, 2024</w:t>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OR</w:t>
      </w:r>
    </w:p>
    <w:tbl>
      <w:tblPr>
        <w:tblW w:w="8982" w:type="dxa"/>
        <w:jc w:val="left"/>
        <w:tblInd w:w="0" w:type="dxa"/>
        <w:tblLayout w:type="fixed"/>
        <w:tblCellMar>
          <w:top w:w="28" w:type="dxa"/>
          <w:left w:w="28" w:type="dxa"/>
          <w:bottom w:w="28" w:type="dxa"/>
          <w:right w:w="28" w:type="dxa"/>
        </w:tblCellMar>
      </w:tblPr>
      <w:tblGrid>
        <w:gridCol w:w="124"/>
        <w:gridCol w:w="109"/>
        <w:gridCol w:w="109"/>
        <w:gridCol w:w="2529"/>
        <w:gridCol w:w="2529"/>
        <w:gridCol w:w="35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transition period from __________ to __________</w:t>
            </w:r>
          </w:p>
        </w:tc>
      </w:tr>
    </w:tbl>
    <w:p>
      <w:pPr>
        <w:pStyle w:val="TextBody"/>
        <w:bidi w:val="0"/>
        <w:spacing w:lineRule="auto" w:line="288" w:before="0" w:after="0"/>
        <w:jc w:val="center"/>
        <w:rPr/>
      </w:pPr>
      <w:r>
        <w:rPr>
          <w:rFonts w:ascii="Arial;sans-serif" w:hAnsi="Arial;sans-serif"/>
          <w:b/>
          <w:color w:val="000000"/>
          <w:sz w:val="20"/>
        </w:rPr>
        <w:t>Commission file number: </w:t>
      </w:r>
      <w:r>
        <w:rPr>
          <w:rFonts w:ascii="Arial;sans-serif" w:hAnsi="Arial;sans-serif"/>
          <w:b/>
          <w:color w:val="000000"/>
          <w:sz w:val="20"/>
          <w:u w:val="single"/>
        </w:rPr>
        <w:t>1-10026</w:t>
      </w:r>
      <w:r>
        <w:rPr>
          <w:color w:val="000000"/>
        </w:rPr>
        <w:t xml:space="preserve"> </w:t>
      </w:r>
    </w:p>
    <w:tbl>
      <w:tblPr>
        <w:tblW w:w="6584" w:type="dxa"/>
        <w:jc w:val="center"/>
        <w:tblInd w:w="0" w:type="dxa"/>
        <w:tblLayout w:type="fixed"/>
        <w:tblCellMar>
          <w:top w:w="28" w:type="dxa"/>
          <w:left w:w="28" w:type="dxa"/>
          <w:bottom w:w="28" w:type="dxa"/>
          <w:right w:w="28" w:type="dxa"/>
        </w:tblCellMar>
      </w:tblPr>
      <w:tblGrid>
        <w:gridCol w:w="2109"/>
        <w:gridCol w:w="1853"/>
        <w:gridCol w:w="2622"/>
      </w:tblGrid>
      <w:tr>
        <w:trPr/>
        <w:tc>
          <w:tcPr>
            <w:tcW w:w="21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lineRule="auto" w:line="240" w:before="300" w:after="283"/>
              <w:jc w:val="center"/>
              <w:rPr>
                <w:rFonts w:ascii="Arial;sans-serif" w:hAnsi="Arial;sans-serif"/>
                <w:b/>
                <w:color w:val="000000"/>
                <w:sz w:val="40"/>
              </w:rPr>
            </w:pPr>
            <w:r>
              <w:rPr>
                <w:rFonts w:ascii="Arial;sans-serif" w:hAnsi="Arial;sans-serif"/>
                <w:b/>
                <w:color w:val="000000"/>
                <w:sz w:val="40"/>
              </w:rPr>
              <w:t>ALBANY INTERNATIONAL CORP.</w:t>
            </w:r>
          </w:p>
        </w:tc>
      </w:tr>
      <w:tr>
        <w:trPr/>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Delaware </w:t>
      </w:r>
    </w:p>
    <w:tbl>
      <w:tblPr>
        <w:tblW w:w="5189" w:type="dxa"/>
        <w:jc w:val="center"/>
        <w:tblInd w:w="0" w:type="dxa"/>
        <w:tblLayout w:type="fixed"/>
        <w:tblCellMar>
          <w:top w:w="28" w:type="dxa"/>
          <w:left w:w="28" w:type="dxa"/>
          <w:bottom w:w="28" w:type="dxa"/>
          <w:right w:w="28" w:type="dxa"/>
        </w:tblCellMar>
      </w:tblPr>
      <w:tblGrid>
        <w:gridCol w:w="1659"/>
        <w:gridCol w:w="1460"/>
        <w:gridCol w:w="2070"/>
      </w:tblGrid>
      <w:tr>
        <w:trPr/>
        <w:tc>
          <w:tcPr>
            <w:tcW w:w="165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216 Airport Drive, Rochester, New Hampshire </w:t>
      </w:r>
    </w:p>
    <w:tbl>
      <w:tblPr>
        <w:tblW w:w="3555" w:type="dxa"/>
        <w:jc w:val="center"/>
        <w:tblInd w:w="0" w:type="dxa"/>
        <w:tblLayout w:type="fixed"/>
        <w:tblCellMar>
          <w:top w:w="28" w:type="dxa"/>
          <w:left w:w="28" w:type="dxa"/>
          <w:bottom w:w="28" w:type="dxa"/>
          <w:right w:w="28" w:type="dxa"/>
        </w:tblCellMar>
      </w:tblPr>
      <w:tblGrid>
        <w:gridCol w:w="1138"/>
        <w:gridCol w:w="1000"/>
        <w:gridCol w:w="1417"/>
      </w:tblGrid>
      <w:tr>
        <w:trPr/>
        <w:tc>
          <w:tcPr>
            <w:tcW w:w="11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14-0462060 </w:t>
      </w:r>
    </w:p>
    <w:tbl>
      <w:tblPr>
        <w:tblW w:w="3030" w:type="dxa"/>
        <w:jc w:val="center"/>
        <w:tblInd w:w="0" w:type="dxa"/>
        <w:tblLayout w:type="fixed"/>
        <w:tblCellMar>
          <w:top w:w="28" w:type="dxa"/>
          <w:left w:w="28" w:type="dxa"/>
          <w:bottom w:w="28" w:type="dxa"/>
          <w:right w:w="28" w:type="dxa"/>
        </w:tblCellMar>
      </w:tblPr>
      <w:tblGrid>
        <w:gridCol w:w="969"/>
        <w:gridCol w:w="852"/>
        <w:gridCol w:w="1209"/>
      </w:tblGrid>
      <w:tr>
        <w:trPr/>
        <w:tc>
          <w:tcPr>
            <w:tcW w:w="96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03867 </w:t>
      </w:r>
    </w:p>
    <w:tbl>
      <w:tblPr>
        <w:tblW w:w="1064" w:type="dxa"/>
        <w:jc w:val="center"/>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603-330-5850 </w:t>
      </w:r>
    </w:p>
    <w:tbl>
      <w:tblPr>
        <w:tblW w:w="4725" w:type="dxa"/>
        <w:jc w:val="center"/>
        <w:tblInd w:w="0" w:type="dxa"/>
        <w:tblLayout w:type="fixed"/>
        <w:tblCellMar>
          <w:top w:w="28" w:type="dxa"/>
          <w:left w:w="28" w:type="dxa"/>
          <w:bottom w:w="28" w:type="dxa"/>
          <w:right w:w="28" w:type="dxa"/>
        </w:tblCellMar>
      </w:tblPr>
      <w:tblGrid>
        <w:gridCol w:w="1514"/>
        <w:gridCol w:w="1330"/>
        <w:gridCol w:w="1881"/>
      </w:tblGrid>
      <w:tr>
        <w:trPr/>
        <w:tc>
          <w:tcPr>
            <w:tcW w:w="151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r>
    </w:tbl>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Securities registered pursuant to Section 12(b) of the Act:</w:t>
      </w:r>
    </w:p>
    <w:tbl>
      <w:tblPr>
        <w:tblW w:w="9734" w:type="dxa"/>
        <w:jc w:val="left"/>
        <w:tblInd w:w="0" w:type="dxa"/>
        <w:tblLayout w:type="fixed"/>
        <w:tblCellMar>
          <w:top w:w="28" w:type="dxa"/>
          <w:left w:w="28" w:type="dxa"/>
          <w:bottom w:w="28" w:type="dxa"/>
          <w:right w:w="28" w:type="dxa"/>
        </w:tblCellMar>
      </w:tblPr>
      <w:tblGrid>
        <w:gridCol w:w="1570"/>
        <w:gridCol w:w="1380"/>
        <w:gridCol w:w="1385"/>
        <w:gridCol w:w="534"/>
        <w:gridCol w:w="534"/>
        <w:gridCol w:w="536"/>
        <w:gridCol w:w="1108"/>
        <w:gridCol w:w="1108"/>
        <w:gridCol w:w="1579"/>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3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AIN</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New York Stock Exchange (NYSE)</w:t>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75" w:type="dxa"/>
        <w:jc w:val="left"/>
        <w:tblInd w:w="0" w:type="dxa"/>
        <w:tblLayout w:type="fixed"/>
        <w:tblCellMar>
          <w:top w:w="28" w:type="dxa"/>
          <w:left w:w="28" w:type="dxa"/>
          <w:bottom w:w="28" w:type="dxa"/>
          <w:right w:w="28" w:type="dxa"/>
        </w:tblCellMar>
      </w:tblPr>
      <w:tblGrid>
        <w:gridCol w:w="721"/>
        <w:gridCol w:w="635"/>
        <w:gridCol w:w="638"/>
        <w:gridCol w:w="109"/>
        <w:gridCol w:w="109"/>
        <w:gridCol w:w="109"/>
        <w:gridCol w:w="109"/>
        <w:gridCol w:w="109"/>
        <w:gridCol w:w="109"/>
        <w:gridCol w:w="784"/>
        <w:gridCol w:w="784"/>
        <w:gridCol w:w="787"/>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bl>
    <w:p>
      <w:pPr>
        <w:pStyle w:val="TextBody"/>
        <w:bidi w:val="0"/>
        <w:spacing w:lineRule="auto" w:line="288" w:before="20" w:after="283"/>
        <w:jc w:val="both"/>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sans-serif" w:hAnsi="Arial;sans-serif"/>
          <w:b w:val="false"/>
          <w:color w:val="000000"/>
          <w:sz w:val="20"/>
        </w:rPr>
        <w:t xml:space="preserve">. </w:t>
      </w:r>
      <w:r>
        <w:rPr>
          <w:color w:val="000000"/>
        </w:rPr>
        <w:t>☐</w:t>
      </w:r>
    </w:p>
    <w:p>
      <w:pPr>
        <w:pStyle w:val="TextBody"/>
        <w:bidi w:val="0"/>
        <w:spacing w:lineRule="auto" w:line="288" w:before="60" w:after="283"/>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The registrant had 31.3 million shares of Class A Common Stock outstanding as of October 15,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96"/>
        <w:gridCol w:w="347"/>
        <w:gridCol w:w="347"/>
        <w:gridCol w:w="2787"/>
        <w:gridCol w:w="2734"/>
        <w:gridCol w:w="2740"/>
        <w:gridCol w:w="248"/>
        <w:gridCol w:w="248"/>
        <w:gridCol w:w="358"/>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Page No.</w:t>
            </w:r>
          </w:p>
        </w:tc>
      </w:tr>
      <w:tr>
        <w:trPr/>
        <w:tc>
          <w:tcPr>
            <w:tcW w:w="9351" w:type="dxa"/>
            <w:gridSpan w:val="6"/>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0">
              <w:r>
                <w:rPr>
                  <w:rStyle w:val="InternetLink"/>
                  <w:rFonts w:ascii="Arial;sans-serif" w:hAnsi="Arial;sans-serif"/>
                  <w:b/>
                  <w:strike w:val="false"/>
                  <w:dstrike w:val="false"/>
                  <w:color w:val="0000FF"/>
                  <w:sz w:val="18"/>
                  <w:u w:val="none"/>
                  <w:effect w:val="none"/>
                </w:rPr>
                <w:t>Part I Financial information</w:t>
              </w:r>
            </w:hyperlink>
          </w:p>
        </w:tc>
        <w:tc>
          <w:tcPr>
            <w:tcW w:w="854" w:type="dxa"/>
            <w:gridSpan w:val="3"/>
            <w:tcBorders>
              <w:top w:val="single" w:sz="8" w:space="0" w:color="000000"/>
            </w:tcBorders>
            <w:shd w:fill="B2B2B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3">
              <w:r>
                <w:rPr>
                  <w:rStyle w:val="InternetLink"/>
                  <w:rFonts w:ascii="Arial;sans-serif" w:hAnsi="Arial;sans-serif"/>
                  <w:b w:val="false"/>
                  <w:color w:val="0000FF"/>
                  <w:sz w:val="18"/>
                  <w:u w:val="single"/>
                </w:rPr>
                <w:t>Item 1.</w:t>
              </w:r>
            </w:hyperlink>
          </w:p>
        </w:tc>
        <w:tc>
          <w:tcPr>
            <w:tcW w:w="8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3">
              <w:r>
                <w:rPr>
                  <w:rStyle w:val="InternetLink"/>
                  <w:rFonts w:ascii="Arial;sans-serif" w:hAnsi="Arial;sans-serif"/>
                  <w:b w:val="false"/>
                  <w:color w:val="0000FF"/>
                  <w:sz w:val="18"/>
                  <w:u w:val="single"/>
                </w:rPr>
                <w:t>Financial Statements</w:t>
              </w:r>
            </w:hyperlink>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6">
              <w:r>
                <w:rPr>
                  <w:rStyle w:val="InternetLink"/>
                  <w:rFonts w:ascii="Arial;sans-serif" w:hAnsi="Arial;sans-serif"/>
                  <w:b w:val="false"/>
                  <w:color w:val="000080"/>
                  <w:sz w:val="18"/>
                  <w:u w:val="single"/>
                </w:rPr>
                <w:t xml:space="preserve">Consolidated statements of income – three and </w:t>
              </w:r>
            </w:hyperlink>
            <w:hyperlink w:anchor="ic88544e5021846a39d197907dda90e76_16">
              <w:r>
                <w:rPr>
                  <w:rStyle w:val="InternetLink"/>
                  <w:rFonts w:ascii="Arial;sans-serif" w:hAnsi="Arial;sans-serif"/>
                  <w:b w:val="false"/>
                  <w:color w:val="000080"/>
                  <w:sz w:val="18"/>
                  <w:u w:val="single"/>
                </w:rPr>
                <w:t>nine</w:t>
              </w:r>
            </w:hyperlink>
            <w:hyperlink w:anchor="ic88544e5021846a39d197907dda90e76_16">
              <w:r>
                <w:rPr>
                  <w:rStyle w:val="InternetLink"/>
                  <w:rFonts w:ascii="Arial;sans-serif" w:hAnsi="Arial;sans-serif"/>
                  <w:b w:val="false"/>
                  <w:color w:val="000080"/>
                  <w:sz w:val="18"/>
                  <w:u w:val="single"/>
                </w:rPr>
                <w:t xml:space="preserve"> months ended </w:t>
              </w:r>
            </w:hyperlink>
            <w:r>
              <w:rPr>
                <w:rFonts w:ascii="Arial;sans-serif" w:hAnsi="Arial;sans-serif"/>
                <w:b w:val="false"/>
                <w:color w:val="000000"/>
                <w:sz w:val="18"/>
              </w:rPr>
              <w:t>September 30, 2024</w:t>
            </w:r>
            <w:hyperlink w:anchor="ic88544e5021846a39d197907dda90e76_16">
              <w:r>
                <w:rPr>
                  <w:rStyle w:val="InternetLink"/>
                  <w:color w:val="0000FF"/>
                  <w:u w:val="single"/>
                </w:rPr>
                <w:t xml:space="preserve"> </w:t>
              </w:r>
            </w:hyperlink>
            <w:hyperlink w:anchor="ic88544e5021846a39d197907dda90e76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2023</w:t>
            </w:r>
          </w:p>
        </w:tc>
        <w:tc>
          <w:tcPr>
            <w:tcW w:w="8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16">
              <w:r>
                <w:rPr>
                  <w:rStyle w:val="InternetLink"/>
                  <w:rFonts w:ascii="Arial;sans-serif" w:hAnsi="Arial;sans-serif"/>
                  <w:b w:val="false"/>
                  <w:color w:val="0000FF"/>
                  <w:sz w:val="18"/>
                  <w:u w:val="single"/>
                </w:rPr>
                <w:t>1</w:t>
              </w:r>
            </w:hyperlink>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9">
              <w:r>
                <w:rPr>
                  <w:rStyle w:val="InternetLink"/>
                  <w:rFonts w:ascii="Arial;sans-serif" w:hAnsi="Arial;sans-serif"/>
                  <w:b w:val="false"/>
                  <w:color w:val="0000FF"/>
                  <w:sz w:val="18"/>
                  <w:u w:val="single"/>
                </w:rPr>
                <w:t xml:space="preserve">Consolidated statements of comprehensive income/(loss) – </w:t>
              </w:r>
            </w:hyperlink>
            <w:r>
              <w:rPr>
                <w:rFonts w:ascii="Arial;sans-serif" w:hAnsi="Arial;sans-serif"/>
                <w:b w:val="false"/>
                <w:color w:val="000000"/>
                <w:sz w:val="18"/>
              </w:rPr>
              <w:t>three and nine</w:t>
            </w:r>
            <w:hyperlink w:anchor="ic88544e5021846a39d197907dda90e76_19">
              <w:r>
                <w:rPr>
                  <w:rStyle w:val="InternetLink"/>
                  <w:color w:val="0000FF"/>
                  <w:u w:val="single"/>
                </w:rPr>
                <w:t xml:space="preserve"> </w:t>
              </w:r>
            </w:hyperlink>
            <w:hyperlink w:anchor="ic88544e5021846a39d197907dda90e76_19">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September 30, 2024</w:t>
            </w:r>
            <w:hyperlink w:anchor="ic88544e5021846a39d197907dda90e76_16">
              <w:r>
                <w:rPr>
                  <w:rStyle w:val="InternetLink"/>
                  <w:color w:val="0000FF"/>
                  <w:u w:val="single"/>
                </w:rPr>
                <w:t xml:space="preserve"> </w:t>
              </w:r>
            </w:hyperlink>
            <w:hyperlink w:anchor="ic88544e5021846a39d197907dda90e76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2023</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19">
              <w:r>
                <w:rPr>
                  <w:rStyle w:val="InternetLink"/>
                  <w:rFonts w:ascii="Arial;sans-serif" w:hAnsi="Arial;sans-serif"/>
                  <w:b w:val="false"/>
                  <w:color w:val="0000FF"/>
                  <w:sz w:val="18"/>
                  <w:u w:val="single"/>
                </w:rPr>
                <w:t>2</w:t>
              </w:r>
            </w:hyperlink>
          </w:p>
        </w:tc>
      </w:tr>
      <w:tr>
        <w:trPr/>
        <w:tc>
          <w:tcPr>
            <w:tcW w:w="1090"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22">
              <w:r>
                <w:rPr>
                  <w:rStyle w:val="InternetLink"/>
                  <w:rFonts w:ascii="Arial;sans-serif" w:hAnsi="Arial;sans-serif"/>
                  <w:b w:val="false"/>
                  <w:color w:val="0000FF"/>
                  <w:sz w:val="18"/>
                  <w:u w:val="single"/>
                </w:rPr>
                <w:t xml:space="preserve">Consolidated balance sheets as of </w:t>
              </w:r>
            </w:hyperlink>
            <w:r>
              <w:rPr>
                <w:rFonts w:ascii="Arial;sans-serif" w:hAnsi="Arial;sans-serif"/>
                <w:b w:val="false"/>
                <w:color w:val="000000"/>
                <w:sz w:val="18"/>
              </w:rPr>
              <w:t>September 30, 2024</w:t>
            </w:r>
            <w:hyperlink w:anchor="ic88544e5021846a39d197907dda90e76_22">
              <w:r>
                <w:rPr>
                  <w:rStyle w:val="InternetLink"/>
                  <w:color w:val="0000FF"/>
                  <w:u w:val="single"/>
                </w:rPr>
                <w:t xml:space="preserve"> </w:t>
              </w:r>
            </w:hyperlink>
            <w:hyperlink w:anchor="ic88544e5021846a39d197907dda90e76_22">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December 31, 2023</w:t>
            </w:r>
          </w:p>
        </w:tc>
        <w:tc>
          <w:tcPr>
            <w:tcW w:w="8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22">
              <w:r>
                <w:rPr>
                  <w:rStyle w:val="InternetLink"/>
                  <w:rFonts w:ascii="Arial;sans-serif" w:hAnsi="Arial;sans-serif"/>
                  <w:b w:val="false"/>
                  <w:color w:val="0000FF"/>
                  <w:sz w:val="18"/>
                  <w:u w:val="single"/>
                </w:rPr>
                <w:t>3</w:t>
              </w:r>
            </w:hyperlink>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25">
              <w:r>
                <w:rPr>
                  <w:rStyle w:val="InternetLink"/>
                  <w:rFonts w:ascii="Arial;sans-serif" w:hAnsi="Arial;sans-serif"/>
                  <w:b w:val="false"/>
                  <w:color w:val="0000FF"/>
                  <w:sz w:val="18"/>
                  <w:u w:val="single"/>
                </w:rPr>
                <w:t xml:space="preserve">Consolidated statements of cash flows – </w:t>
              </w:r>
            </w:hyperlink>
            <w:r>
              <w:rPr>
                <w:rFonts w:ascii="Arial;sans-serif" w:hAnsi="Arial;sans-serif"/>
                <w:b w:val="false"/>
                <w:color w:val="000000"/>
                <w:sz w:val="18"/>
              </w:rPr>
              <w:t>nine</w:t>
            </w:r>
            <w:hyperlink w:anchor="ic88544e5021846a39d197907dda90e76_25">
              <w:r>
                <w:rPr>
                  <w:rStyle w:val="InternetLink"/>
                  <w:color w:val="0000FF"/>
                  <w:u w:val="single"/>
                </w:rPr>
                <w:t xml:space="preserve"> </w:t>
              </w:r>
            </w:hyperlink>
            <w:hyperlink w:anchor="ic88544e5021846a39d197907dda90e76_25">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September 30, 2024</w:t>
            </w:r>
            <w:hyperlink w:anchor="ic88544e5021846a39d197907dda90e76_16">
              <w:r>
                <w:rPr>
                  <w:rStyle w:val="InternetLink"/>
                  <w:color w:val="0000FF"/>
                  <w:u w:val="single"/>
                </w:rPr>
                <w:t xml:space="preserve"> </w:t>
              </w:r>
            </w:hyperlink>
            <w:hyperlink w:anchor="ic88544e5021846a39d197907dda90e76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2023</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25">
              <w:r>
                <w:rPr>
                  <w:rStyle w:val="InternetLink"/>
                  <w:rFonts w:ascii="Arial;sans-serif" w:hAnsi="Arial;sans-serif"/>
                  <w:b w:val="false"/>
                  <w:color w:val="0000FF"/>
                  <w:sz w:val="18"/>
                  <w:u w:val="single"/>
                </w:rPr>
                <w:t>4</w:t>
              </w:r>
            </w:hyperlink>
          </w:p>
        </w:tc>
      </w:tr>
      <w:tr>
        <w:trPr/>
        <w:tc>
          <w:tcPr>
            <w:tcW w:w="1090"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28">
              <w:r>
                <w:rPr>
                  <w:rStyle w:val="InternetLink"/>
                  <w:rFonts w:ascii="Arial;sans-serif" w:hAnsi="Arial;sans-serif"/>
                  <w:b w:val="false"/>
                  <w:color w:val="0000FF"/>
                  <w:sz w:val="18"/>
                  <w:u w:val="single"/>
                </w:rPr>
                <w:t>Notes to consolidated financial statements</w:t>
              </w:r>
            </w:hyperlink>
          </w:p>
        </w:tc>
        <w:tc>
          <w:tcPr>
            <w:tcW w:w="8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28">
              <w:r>
                <w:rPr>
                  <w:rStyle w:val="InternetLink"/>
                  <w:rFonts w:ascii="Arial;sans-serif" w:hAnsi="Arial;sans-serif"/>
                  <w:b w:val="false"/>
                  <w:color w:val="0000FF"/>
                  <w:sz w:val="18"/>
                  <w:u w:val="single"/>
                </w:rPr>
                <w:t>5</w:t>
              </w:r>
            </w:hyperlink>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91">
              <w:r>
                <w:rPr>
                  <w:rStyle w:val="InternetLink"/>
                  <w:rFonts w:ascii="Arial;sans-serif" w:hAnsi="Arial;sans-serif"/>
                  <w:b w:val="false"/>
                  <w:color w:val="0000FF"/>
                  <w:sz w:val="18"/>
                  <w:u w:val="single"/>
                </w:rPr>
                <w:t>Item 2.</w:t>
              </w:r>
            </w:hyperlink>
          </w:p>
        </w:tc>
        <w:tc>
          <w:tcPr>
            <w:tcW w:w="8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91">
              <w:r>
                <w:rPr>
                  <w:rStyle w:val="InternetLink"/>
                  <w:rFonts w:ascii="Arial;sans-serif" w:hAnsi="Arial;sans-serif"/>
                  <w:b w:val="false"/>
                  <w:color w:val="0000FF"/>
                  <w:sz w:val="18"/>
                  <w:u w:val="single"/>
                </w:rPr>
                <w:t>Management’s Discussion and Analysis of Financial Condition and Results of Operations</w:t>
              </w:r>
            </w:hyperlink>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91">
              <w:r>
                <w:rPr>
                  <w:rStyle w:val="InternetLink"/>
                  <w:rFonts w:ascii="Arial;sans-serif" w:hAnsi="Arial;sans-serif"/>
                  <w:b w:val="false"/>
                  <w:color w:val="0000FF"/>
                  <w:sz w:val="18"/>
                  <w:u w:val="single"/>
                </w:rPr>
                <w:t>24</w:t>
              </w:r>
            </w:hyperlink>
          </w:p>
        </w:tc>
      </w:tr>
      <w:tr>
        <w:trPr/>
        <w:tc>
          <w:tcPr>
            <w:tcW w:w="1090"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94">
              <w:r>
                <w:rPr>
                  <w:rStyle w:val="InternetLink"/>
                  <w:rFonts w:ascii="Arial;sans-serif" w:hAnsi="Arial;sans-serif"/>
                  <w:b w:val="false"/>
                  <w:color w:val="0000FF"/>
                  <w:sz w:val="18"/>
                  <w:u w:val="single"/>
                </w:rPr>
                <w:t>Forward-looking statements</w:t>
              </w:r>
            </w:hyperlink>
          </w:p>
        </w:tc>
        <w:tc>
          <w:tcPr>
            <w:tcW w:w="8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94">
              <w:r>
                <w:rPr>
                  <w:rStyle w:val="InternetLink"/>
                  <w:rFonts w:ascii="Arial;sans-serif" w:hAnsi="Arial;sans-serif"/>
                  <w:b w:val="false"/>
                  <w:color w:val="0000FF"/>
                  <w:sz w:val="18"/>
                  <w:u w:val="single"/>
                </w:rPr>
                <w:t>24</w:t>
              </w:r>
            </w:hyperlink>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12">
              <w:r>
                <w:rPr>
                  <w:rStyle w:val="InternetLink"/>
                  <w:rFonts w:ascii="Arial;sans-serif" w:hAnsi="Arial;sans-serif"/>
                  <w:b w:val="false"/>
                  <w:color w:val="0000FF"/>
                  <w:sz w:val="18"/>
                  <w:u w:val="single"/>
                </w:rPr>
                <w:t>Item 3.</w:t>
              </w:r>
            </w:hyperlink>
          </w:p>
        </w:tc>
        <w:tc>
          <w:tcPr>
            <w:tcW w:w="8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12">
              <w:r>
                <w:rPr>
                  <w:rStyle w:val="InternetLink"/>
                  <w:rFonts w:ascii="Arial;sans-serif" w:hAnsi="Arial;sans-serif"/>
                  <w:b w:val="false"/>
                  <w:color w:val="0000FF"/>
                  <w:sz w:val="18"/>
                  <w:u w:val="single"/>
                </w:rPr>
                <w:t>Quantitative and Qualitative Disclosures about Market Risk</w:t>
              </w:r>
            </w:hyperlink>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112">
              <w:r>
                <w:rPr>
                  <w:rStyle w:val="InternetLink"/>
                  <w:rFonts w:ascii="Arial;sans-serif" w:hAnsi="Arial;sans-serif"/>
                  <w:b w:val="false"/>
                  <w:color w:val="0000FF"/>
                  <w:sz w:val="18"/>
                  <w:u w:val="single"/>
                </w:rPr>
                <w:t>35</w:t>
              </w:r>
            </w:hyperlink>
          </w:p>
        </w:tc>
      </w:tr>
      <w:tr>
        <w:trPr/>
        <w:tc>
          <w:tcPr>
            <w:tcW w:w="1090"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15">
              <w:r>
                <w:rPr>
                  <w:rStyle w:val="InternetLink"/>
                  <w:rFonts w:ascii="Arial;sans-serif" w:hAnsi="Arial;sans-serif"/>
                  <w:b w:val="false"/>
                  <w:color w:val="0000FF"/>
                  <w:sz w:val="18"/>
                  <w:u w:val="single"/>
                </w:rPr>
                <w:t>Item 4.</w:t>
              </w:r>
            </w:hyperlink>
          </w:p>
        </w:tc>
        <w:tc>
          <w:tcPr>
            <w:tcW w:w="826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15">
              <w:r>
                <w:rPr>
                  <w:rStyle w:val="InternetLink"/>
                  <w:rFonts w:ascii="Arial;sans-serif" w:hAnsi="Arial;sans-serif"/>
                  <w:b w:val="false"/>
                  <w:color w:val="0000FF"/>
                  <w:sz w:val="18"/>
                  <w:u w:val="single"/>
                </w:rPr>
                <w:t>Controls and Procedures</w:t>
              </w:r>
            </w:hyperlink>
          </w:p>
        </w:tc>
        <w:tc>
          <w:tcPr>
            <w:tcW w:w="8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115">
              <w:r>
                <w:rPr>
                  <w:rStyle w:val="InternetLink"/>
                  <w:rFonts w:ascii="Arial;sans-serif" w:hAnsi="Arial;sans-serif"/>
                  <w:b w:val="false"/>
                  <w:color w:val="0000FF"/>
                  <w:sz w:val="18"/>
                  <w:u w:val="single"/>
                </w:rPr>
                <w:t>35</w:t>
              </w:r>
            </w:hyperlink>
          </w:p>
        </w:tc>
      </w:tr>
      <w:tr>
        <w:trPr/>
        <w:tc>
          <w:tcPr>
            <w:tcW w:w="935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18">
              <w:r>
                <w:rPr>
                  <w:rStyle w:val="InternetLink"/>
                  <w:rFonts w:ascii="Arial;sans-serif" w:hAnsi="Arial;sans-serif"/>
                  <w:b/>
                  <w:strike w:val="false"/>
                  <w:dstrike w:val="false"/>
                  <w:color w:val="0000FF"/>
                  <w:sz w:val="18"/>
                  <w:u w:val="none"/>
                  <w:effect w:val="none"/>
                </w:rPr>
                <w:t>Part II Other Information</w:t>
              </w:r>
            </w:hyperlink>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21">
              <w:r>
                <w:rPr>
                  <w:rStyle w:val="InternetLink"/>
                  <w:rFonts w:ascii="Arial;sans-serif" w:hAnsi="Arial;sans-serif"/>
                  <w:b w:val="false"/>
                  <w:color w:val="0000FF"/>
                  <w:sz w:val="18"/>
                  <w:u w:val="single"/>
                </w:rPr>
                <w:t>Item 1.</w:t>
              </w:r>
            </w:hyperlink>
          </w:p>
        </w:tc>
        <w:tc>
          <w:tcPr>
            <w:tcW w:w="826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21">
              <w:r>
                <w:rPr>
                  <w:rStyle w:val="InternetLink"/>
                  <w:rFonts w:ascii="Arial;sans-serif" w:hAnsi="Arial;sans-serif"/>
                  <w:b w:val="false"/>
                  <w:color w:val="0000FF"/>
                  <w:sz w:val="18"/>
                  <w:u w:val="single"/>
                </w:rPr>
                <w:t>Legal Proceedings</w:t>
              </w:r>
            </w:hyperlink>
          </w:p>
        </w:tc>
        <w:tc>
          <w:tcPr>
            <w:tcW w:w="8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121">
              <w:r>
                <w:rPr>
                  <w:rStyle w:val="InternetLink"/>
                  <w:rFonts w:ascii="Arial;sans-serif" w:hAnsi="Arial;sans-serif"/>
                  <w:b w:val="false"/>
                  <w:color w:val="0000FF"/>
                  <w:sz w:val="18"/>
                  <w:u w:val="single"/>
                </w:rPr>
                <w:t>36</w:t>
              </w:r>
            </w:hyperlink>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24">
              <w:r>
                <w:rPr>
                  <w:rStyle w:val="InternetLink"/>
                  <w:rFonts w:ascii="Arial;sans-serif" w:hAnsi="Arial;sans-serif"/>
                  <w:b w:val="false"/>
                  <w:color w:val="0000FF"/>
                  <w:sz w:val="18"/>
                  <w:u w:val="single"/>
                </w:rPr>
                <w:t>Item 1A.</w:t>
              </w:r>
            </w:hyperlink>
          </w:p>
        </w:tc>
        <w:tc>
          <w:tcPr>
            <w:tcW w:w="8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24">
              <w:r>
                <w:rPr>
                  <w:rStyle w:val="InternetLink"/>
                  <w:rFonts w:ascii="Arial;sans-serif" w:hAnsi="Arial;sans-serif"/>
                  <w:b w:val="false"/>
                  <w:color w:val="0000FF"/>
                  <w:sz w:val="18"/>
                  <w:u w:val="single"/>
                </w:rPr>
                <w:t>Risk Factors</w:t>
              </w:r>
            </w:hyperlink>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124">
              <w:r>
                <w:rPr>
                  <w:rStyle w:val="InternetLink"/>
                  <w:rFonts w:ascii="Arial;sans-serif" w:hAnsi="Arial;sans-serif"/>
                  <w:b w:val="false"/>
                  <w:color w:val="0000FF"/>
                  <w:sz w:val="18"/>
                  <w:u w:val="single"/>
                </w:rPr>
                <w:t>36</w:t>
              </w:r>
            </w:hyperlink>
          </w:p>
        </w:tc>
      </w:tr>
      <w:tr>
        <w:trPr/>
        <w:tc>
          <w:tcPr>
            <w:tcW w:w="1090"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27">
              <w:r>
                <w:rPr>
                  <w:rStyle w:val="InternetLink"/>
                  <w:rFonts w:ascii="Arial;sans-serif" w:hAnsi="Arial;sans-serif"/>
                  <w:b w:val="false"/>
                  <w:color w:val="0000FF"/>
                  <w:sz w:val="18"/>
                  <w:u w:val="single"/>
                </w:rPr>
                <w:t>Item 2.</w:t>
              </w:r>
            </w:hyperlink>
          </w:p>
        </w:tc>
        <w:tc>
          <w:tcPr>
            <w:tcW w:w="826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27">
              <w:r>
                <w:rPr>
                  <w:rStyle w:val="InternetLink"/>
                  <w:rFonts w:ascii="Arial;sans-serif" w:hAnsi="Arial;sans-serif"/>
                  <w:b w:val="false"/>
                  <w:color w:val="0000FF"/>
                  <w:sz w:val="18"/>
                  <w:u w:val="single"/>
                </w:rPr>
                <w:t>Unregistered Sales of Equity Securities and Use of Proceeds</w:t>
              </w:r>
            </w:hyperlink>
          </w:p>
        </w:tc>
        <w:tc>
          <w:tcPr>
            <w:tcW w:w="8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127">
              <w:r>
                <w:rPr>
                  <w:rStyle w:val="InternetLink"/>
                  <w:rFonts w:ascii="Arial;sans-serif" w:hAnsi="Arial;sans-serif"/>
                  <w:b w:val="false"/>
                  <w:color w:val="0000FF"/>
                  <w:sz w:val="18"/>
                  <w:u w:val="single"/>
                </w:rPr>
                <w:t>36</w:t>
              </w:r>
            </w:hyperlink>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30">
              <w:r>
                <w:rPr>
                  <w:rStyle w:val="InternetLink"/>
                  <w:rFonts w:ascii="Arial;sans-serif" w:hAnsi="Arial;sans-serif"/>
                  <w:b w:val="false"/>
                  <w:color w:val="0000FF"/>
                  <w:sz w:val="18"/>
                  <w:u w:val="single"/>
                </w:rPr>
                <w:t>Item 3.</w:t>
              </w:r>
            </w:hyperlink>
          </w:p>
        </w:tc>
        <w:tc>
          <w:tcPr>
            <w:tcW w:w="8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30">
              <w:r>
                <w:rPr>
                  <w:rStyle w:val="InternetLink"/>
                  <w:rFonts w:ascii="Arial;sans-serif" w:hAnsi="Arial;sans-serif"/>
                  <w:b w:val="false"/>
                  <w:color w:val="0000FF"/>
                  <w:sz w:val="18"/>
                  <w:u w:val="single"/>
                </w:rPr>
                <w:t>Defaults upon Senior Securities</w:t>
              </w:r>
            </w:hyperlink>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130">
              <w:r>
                <w:rPr>
                  <w:rStyle w:val="InternetLink"/>
                  <w:rFonts w:ascii="Arial;sans-serif" w:hAnsi="Arial;sans-serif"/>
                  <w:b w:val="false"/>
                  <w:color w:val="0000FF"/>
                  <w:sz w:val="18"/>
                  <w:u w:val="single"/>
                </w:rPr>
                <w:t>36</w:t>
              </w:r>
            </w:hyperlink>
          </w:p>
        </w:tc>
      </w:tr>
      <w:tr>
        <w:trPr/>
        <w:tc>
          <w:tcPr>
            <w:tcW w:w="1090"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33">
              <w:r>
                <w:rPr>
                  <w:rStyle w:val="InternetLink"/>
                  <w:rFonts w:ascii="Arial;sans-serif" w:hAnsi="Arial;sans-serif"/>
                  <w:b w:val="false"/>
                  <w:color w:val="0000FF"/>
                  <w:sz w:val="18"/>
                  <w:u w:val="single"/>
                </w:rPr>
                <w:t>Item 4.</w:t>
              </w:r>
            </w:hyperlink>
          </w:p>
        </w:tc>
        <w:tc>
          <w:tcPr>
            <w:tcW w:w="826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33">
              <w:r>
                <w:rPr>
                  <w:rStyle w:val="InternetLink"/>
                  <w:rFonts w:ascii="Arial;sans-serif" w:hAnsi="Arial;sans-serif"/>
                  <w:b w:val="false"/>
                  <w:color w:val="0000FF"/>
                  <w:sz w:val="18"/>
                  <w:u w:val="single"/>
                </w:rPr>
                <w:t>Mine Safety Disclosures</w:t>
              </w:r>
            </w:hyperlink>
          </w:p>
        </w:tc>
        <w:tc>
          <w:tcPr>
            <w:tcW w:w="8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133">
              <w:r>
                <w:rPr>
                  <w:rStyle w:val="InternetLink"/>
                  <w:rFonts w:ascii="Arial;sans-serif" w:hAnsi="Arial;sans-serif"/>
                  <w:b w:val="false"/>
                  <w:color w:val="0000FF"/>
                  <w:sz w:val="18"/>
                  <w:u w:val="single"/>
                </w:rPr>
                <w:t>36</w:t>
              </w:r>
            </w:hyperlink>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36">
              <w:r>
                <w:rPr>
                  <w:rStyle w:val="InternetLink"/>
                  <w:rFonts w:ascii="Arial;sans-serif" w:hAnsi="Arial;sans-serif"/>
                  <w:b w:val="false"/>
                  <w:color w:val="0000FF"/>
                  <w:sz w:val="18"/>
                  <w:u w:val="single"/>
                </w:rPr>
                <w:t>Item 5.</w:t>
              </w:r>
            </w:hyperlink>
          </w:p>
        </w:tc>
        <w:tc>
          <w:tcPr>
            <w:tcW w:w="8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36">
              <w:r>
                <w:rPr>
                  <w:rStyle w:val="InternetLink"/>
                  <w:rFonts w:ascii="Arial;sans-serif" w:hAnsi="Arial;sans-serif"/>
                  <w:b w:val="false"/>
                  <w:color w:val="0000FF"/>
                  <w:sz w:val="18"/>
                  <w:u w:val="single"/>
                </w:rPr>
                <w:t>Other Information</w:t>
              </w:r>
            </w:hyperlink>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136">
              <w:r>
                <w:rPr>
                  <w:rStyle w:val="InternetLink"/>
                  <w:rFonts w:ascii="Arial;sans-serif" w:hAnsi="Arial;sans-serif"/>
                  <w:b w:val="false"/>
                  <w:color w:val="0000FF"/>
                  <w:sz w:val="18"/>
                  <w:u w:val="single"/>
                </w:rPr>
                <w:t>36</w:t>
              </w:r>
            </w:hyperlink>
          </w:p>
        </w:tc>
      </w:tr>
      <w:tr>
        <w:trPr/>
        <w:tc>
          <w:tcPr>
            <w:tcW w:w="1090"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39">
              <w:r>
                <w:rPr>
                  <w:rStyle w:val="InternetLink"/>
                  <w:rFonts w:ascii="Arial;sans-serif" w:hAnsi="Arial;sans-serif"/>
                  <w:b w:val="false"/>
                  <w:color w:val="0000FF"/>
                  <w:sz w:val="18"/>
                  <w:u w:val="single"/>
                </w:rPr>
                <w:t>Item 6.</w:t>
              </w:r>
            </w:hyperlink>
          </w:p>
        </w:tc>
        <w:tc>
          <w:tcPr>
            <w:tcW w:w="826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88544e5021846a39d197907dda90e76_139">
              <w:r>
                <w:rPr>
                  <w:rStyle w:val="InternetLink"/>
                  <w:rFonts w:ascii="Arial;sans-serif" w:hAnsi="Arial;sans-serif"/>
                  <w:b w:val="false"/>
                  <w:color w:val="0000FF"/>
                  <w:sz w:val="18"/>
                  <w:u w:val="single"/>
                </w:rPr>
                <w:t>Exhibits</w:t>
              </w:r>
            </w:hyperlink>
          </w:p>
        </w:tc>
        <w:tc>
          <w:tcPr>
            <w:tcW w:w="8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88544e5021846a39d197907dda90e76_139">
              <w:r>
                <w:rPr>
                  <w:rStyle w:val="InternetLink"/>
                  <w:rFonts w:ascii="Arial;sans-serif" w:hAnsi="Arial;sans-serif"/>
                  <w:b w:val="false"/>
                  <w:color w:val="0000FF"/>
                  <w:sz w:val="18"/>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97"/>
        <w:gridCol w:w="1458"/>
        <w:gridCol w:w="14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9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824,325 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303,857 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of the Company used in computing earnings per share: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per Class A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20"/>
        <w:gridCol w:w="1586"/>
        <w:gridCol w:w="16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2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 before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pension liability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credit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actuarial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related to items of other comprehensive income/(loss):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Company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69,715 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39"/>
        <w:gridCol w:w="2199"/>
        <w:gridCol w:w="1955"/>
        <w:gridCol w:w="239"/>
        <w:gridCol w:w="1063"/>
        <w:gridCol w:w="132"/>
        <w:gridCol w:w="109"/>
        <w:gridCol w:w="109"/>
        <w:gridCol w:w="109"/>
        <w:gridCol w:w="232"/>
        <w:gridCol w:w="1032"/>
        <w:gridCol w:w="187"/>
      </w:tblGrid>
      <w:tr>
        <w:trPr/>
        <w:tc>
          <w:tcPr>
            <w:tcW w:w="2839"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127,222 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173,420 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271,975 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287,781 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net</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195,782 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182,281 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160,617 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53,872 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804,311 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877,964 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583,455 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601,989 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Intangibles, net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180,912 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180,181 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receivables, net</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102,901 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1,753,201 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1,835,014 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Shareholders' Equity</w:t>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142,988 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218,721 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248,679 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361,639 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452,667 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154,634 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139,385 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 and other liabilities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26,963 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756,525 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867,694 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16)</w:t>
            </w:r>
          </w:p>
        </w:tc>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Shareholders' Equity:</w:t>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par value $5.00 per share; authorized 2,000,000 shares; none issued</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par value $0.001 per share; authorized 100,000,000 shares; 40,916,568 issued in 2024 and 40,856,910 in 2023</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452,656 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448,218 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1,056,514 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1,010,942 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items of other comprehensive income:</w:t>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Translation adjustments</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(137,373)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(124,901)</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postretirement liability adjustments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valuation adjustment</w:t>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(Class A), at cost; 9,661,845 shares in 2024 and 2023</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(364,665)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(364,665)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990,997 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961,368 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996,676 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967,320 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1,753,201 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1,835,014 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60"/>
        <w:gridCol w:w="2192"/>
        <w:gridCol w:w="2210"/>
        <w:gridCol w:w="109"/>
        <w:gridCol w:w="109"/>
        <w:gridCol w:w="139"/>
        <w:gridCol w:w="139"/>
        <w:gridCol w:w="250"/>
        <w:gridCol w:w="941"/>
        <w:gridCol w:w="139"/>
        <w:gridCol w:w="109"/>
        <w:gridCol w:w="109"/>
        <w:gridCol w:w="109"/>
        <w:gridCol w:w="196"/>
        <w:gridCol w:w="736"/>
        <w:gridCol w:w="158"/>
      </w:tblGrid>
      <w:tr>
        <w:trPr/>
        <w:tc>
          <w:tcPr>
            <w:tcW w:w="256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1417" w:type="dxa"/>
            <w:gridSpan w:val="6"/>
            <w:tcBorders/>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taxes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paid or payable in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Provision/(recovery) for credit losses from uncollected receivables and 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remeasurement loss/(gain) on intercompany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on foreign 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that provided/(used) cash, net of impact of business acquisition: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(15,194)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139,985 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business,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(133,470)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(61,985)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received from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(61,053)</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(182,596)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(142,691)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in lieu of share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(121,773)</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(Decrease)/increase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(46,198)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127,222 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171,506 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1. Significant Accounting Policies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the opinion of management, the accompanying consolidated financial information reflects all adjustments necessary for a fair presentation of Albany International Corp.'s ("Albany", the "Registrant", the "Company", "we", "us", or "our") financial position, results of operations and cash flows for the interim periods presented, but does not include all disclosures required by the accounting principles generally accepted in the United States ("GAAP"). All such adjustments are of a normal recurring nature, unless otherwise disclosed in this report. Certain amounts in prior year financial statements and notes thereto have been reclassified to conform to current year presentation. The information included in this Quarterly Report on Form 10-Q should be read in conjunction with the Company’s Annual Report on Form 10-K for the year ended December 31, 2023.</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Estimates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preparation of the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doubtful accounts, rebates and sales allowances, inventory allowances, financial instruments, including derivatives, pension and other postretirement benefits,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November 2023, the FASB issued Accounting Standards Update No. 2023-07, “Segment Reporting (Topic 280): Improvements to Reportable Segment Disclosures” (“ASU 2023-07”),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Early adoption is permitted. The guidance is to be applied retrospectively to all prior periods presented in the financial statements. Upon transition, the segment expense categories and amounts disclosed in the prior periods should be based on the significant segment expense categories identified and disclosed in the period of adoption. We are currently evaluating the potential impact of adopting this new guidance on our consolidated financial statements and related disclosures.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December 2023, the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We are currently evaluating the potential impact of adopting this new guidance on our consolidated financial statements and related disclosures.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March 2024, the FASB issued Accounting Standards Update No. 2024-01, "Compensation - Stock Compensation (Topic 718): Scope Application of Profits Interest and Similar Awards" (ASU 2024-01), which clarifies how an entity determines whether profits interest or similar awards should be considered within the scope of ASC 718 as a share-based payment arrangement or under ASC 710 or other ASC topics in a manner similar to a cash bonus or profit-sharing arrangement. The guidance is effective for annual periods beginning after December 15, 2024, and interim periods beginning within those annual periods. Early adoption is permitted for both interim and annual financial statements that have not yet been issued or made available for issuance. ASU 2024-01 should be applied either (1) retrospectively to all prior periods presented in the financial statements or (2) prospectively to profits interest and similar awards granted or modified on or after the date at which the entity first applies the amendments.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currently evaluating the potential impact of adopting this new guidance on our consolidated financial statements and related disclosures.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March 2024, the U.S. Securities and Exchange Commission ("SEC") adopted the final rule under SEC Release No. 33-11275, The Enhancement and Standardization of Climate-Related Disclosures for Investors. This rule would require registrants to disclose certain climate-related information in registration statements and annual reports. In April 2024, the SEC voluntarily stayed the final rule as a result of legal challenges that are pending judicial review. The disclosure requirements would apply to the Company's fiscal year beginning January 1, 2025, pending resolution of the stay. The Company is currently evaluating the final rule to determine its impact on the Company's disclosures.</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2. Reportable Segments and Revenue Recognition</w:t>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is organized based on the nature of its products and is composed of two reportable segments, Machine Clothing ("MC") and Albany Engineered Composites ("AEC"), each overseen by a Segment President. These segments are reflective of how the Company's Chief Executive Officer, who is its Chief Operating Decision Maker ("CODM"), reviews operating results for the purpose of allocating resources and assessing performance. The Company has not aggregated operating segments for purposes of identifying reportable segments. </w:t>
      </w:r>
    </w:p>
    <w:p>
      <w:pPr>
        <w:pStyle w:val="TextBody"/>
        <w:bidi w:val="0"/>
        <w:spacing w:lineRule="auto" w:line="288" w:before="60" w:after="283"/>
        <w:jc w:val="both"/>
        <w:rPr>
          <w:rFonts w:ascii="Arial;sans-serif" w:hAnsi="Arial;sans-serif"/>
          <w:b/>
          <w:i/>
          <w:color w:val="000000"/>
          <w:sz w:val="20"/>
        </w:rPr>
      </w:pPr>
      <w:r>
        <w:rPr>
          <w:rFonts w:ascii="Arial;sans-serif" w:hAnsi="Arial;sans-serif"/>
          <w:b/>
          <w:i/>
          <w:color w:val="000000"/>
          <w:sz w:val="20"/>
        </w:rPr>
        <w:t>Machine Clothing:</w:t>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The Machine Clothing segment supplies permeable and impermeable belts used in the manufacture of paper, paperboard, tissue and towel products, nonwovens, fiber cement and for several other industrial applications. Paper machine clothing products are customized, consumable products of technologically sophisticated design that utilize polymeric materials in a complex structure. We manufacture belts for each section of the paper machine and for every grade of paper. We sell our MC products directly to customer end-users in countries across the globe. MC's products, manufacturing processes, and distribution channels are substantially the same in each region of the world in which we operate.</w:t>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August 31, 2023, the Company completed the acquisition of Heimbach GmbH (“Heimbach”), a privately-held manufacturer of paper machine clothing and technical textiles. The financial results of the acquired company are included in the Machine Clothing reportable segment. </w:t>
      </w:r>
    </w:p>
    <w:p>
      <w:pPr>
        <w:pStyle w:val="TextBody"/>
        <w:bidi w:val="0"/>
        <w:spacing w:lineRule="auto" w:line="288" w:before="60" w:after="283"/>
        <w:jc w:val="both"/>
        <w:rPr>
          <w:rFonts w:ascii="Arial;sans-serif" w:hAnsi="Arial;sans-serif"/>
          <w:b/>
          <w:i/>
          <w:color w:val="000000"/>
          <w:sz w:val="20"/>
        </w:rPr>
      </w:pPr>
      <w:r>
        <w:rPr>
          <w:rFonts w:ascii="Arial;sans-serif" w:hAnsi="Arial;sans-serif"/>
          <w:b/>
          <w:i/>
          <w:color w:val="000000"/>
          <w:sz w:val="20"/>
        </w:rPr>
        <w:t>Albany Engineered Composites: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Albany Engineered Composites segment provides highly engineered, advanced composite structures to customers in the commercial and defense aerospace industries. The segment includes Albany Safran Composites, LLC (“ASC”), in which our customer, the SAFRAN Group (“SAFRAN”) owns a 10 percent noncontrolling interest. AEC, through ASC, is the exclusive supplier to the LEAP program of advanced composite fan blades and fan cases under a long-term supply contract, where revenue is determined by a cost-plus-fee agreement. The LEAP engine is used on the Airbus A320neo, Boeing 737 MAX, and COMAC 919 aircraft. AEC's largest aerospace customer is the SAFRAN Group and sales to SAFRAN (consisting primarily of fan blades and cases for CFM International's LEAP engine) accounted for approximately 16 percent of the Company's consolidated Net revenues in 2023.</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AEC net sales to SAFRAN were $142.2 million and $140.8 million in the first nine months of 2024 and 2023, respectively. The total of Accounts receivable, Contract assets and Noncurrent receivables due from SAFRAN amounted to $89.9 million and $93.8 million as of September 30, 2024 and December 31, 2023, respectively.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Other significant programs for AEC include the Sikorsky CH-53K, F-35, JASSM, and Boeing 787 programs. AEC also supplies vacuum waste tanks for the Boeing commercial programs, and specialty components for the Rolls Royce lift fan on the F-35, as well as the fan case for the GE9X engine. For the year ended December 31, 2023, approximately 39 percent of AEC revenues were related to U.S. government contracts or programs.</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show data by reportable segment, reconciled to consolidated totals included in the financial statements:</w:t>
      </w:r>
    </w:p>
    <w:tbl>
      <w:tblPr>
        <w:tblW w:w="8515" w:type="dxa"/>
        <w:jc w:val="left"/>
        <w:tblInd w:w="0" w:type="dxa"/>
        <w:tblLayout w:type="fixed"/>
        <w:tblCellMar>
          <w:top w:w="28" w:type="dxa"/>
          <w:left w:w="28" w:type="dxa"/>
          <w:bottom w:w="28" w:type="dxa"/>
          <w:right w:w="28" w:type="dxa"/>
        </w:tblCellMar>
      </w:tblPr>
      <w:tblGrid>
        <w:gridCol w:w="982"/>
        <w:gridCol w:w="865"/>
        <w:gridCol w:w="867"/>
        <w:gridCol w:w="267"/>
        <w:gridCol w:w="1066"/>
        <w:gridCol w:w="138"/>
        <w:gridCol w:w="267"/>
        <w:gridCol w:w="1047"/>
        <w:gridCol w:w="138"/>
        <w:gridCol w:w="258"/>
        <w:gridCol w:w="1030"/>
        <w:gridCol w:w="133"/>
        <w:gridCol w:w="258"/>
        <w:gridCol w:w="1011"/>
        <w:gridCol w:w="188"/>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Machine Clothing</w:t>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183,033</w:t>
            </w: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166,588 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561,828</w:t>
            </w: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479,027 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115,353</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381,882</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345,298 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Consolidated revenues</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298,386</w:t>
            </w:r>
            <w:r>
              <w:rPr>
                <w:color w:val="000000"/>
              </w:rPr>
              <w:t>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281,106 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943,710</w:t>
            </w: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824,325 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income/(loss)</w:t>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Machine Clothing</w:t>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51,481</w:t>
            </w: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50,710 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153,276</w:t>
            </w: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153,400 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(10,293)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8,329</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(16,017)</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(20,014)</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(54,552)</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(54,747)</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Operating income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25,171</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40,070 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107,053</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126,113 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Reconciling items:</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(3,101)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3,430</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11,781</w:t>
            </w: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3,257</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5,932</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19,503</w:t>
            </w:r>
            <w:r>
              <w:rPr>
                <w:color w:val="000000"/>
              </w:rPr>
              <w:t> </w:t>
            </w:r>
          </w:p>
        </w:tc>
        <w:tc>
          <w:tcPr>
            <w:tcW w:w="1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36,361 </w:t>
            </w:r>
          </w:p>
        </w:tc>
        <w:tc>
          <w:tcPr>
            <w:tcW w:w="1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92,441</w:t>
            </w:r>
            <w:r>
              <w:rPr>
                <w:color w:val="000000"/>
              </w:rPr>
              <w:t>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120,974 </w:t>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Results for 2024 include Heimbach, which was acquired August 31, 2023. Heimbach contributed $27.8 million and $105.5 million of net revenues and $(4.3) million and $(6.7) million of operating loss for the three and nine months ended September 30, 2024, respectively. Heimbach contributed $15.6 million of Net revenues and an operating loss of $(0.5) million for the three and nine months ended September 30, 2023, respectively.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Corporate expenses include global information system costs of $7.8 million and $6.3 million for the three months ended September 30, 2024 and 2023, respectively, and $24.2 million and $19.3 million for the nine months ended September 30, 2024 and 2023, respectively.</w:t>
      </w:r>
    </w:p>
    <w:p>
      <w:pPr>
        <w:pStyle w:val="TextBody"/>
        <w:bidi w:val="0"/>
        <w:spacing w:before="120" w:after="283"/>
        <w:ind w:left="0" w:right="0" w:firstLine="360"/>
        <w:jc w:val="both"/>
        <w:rPr/>
      </w:pPr>
      <w:r>
        <w:rPr/>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Products and services provided under long-term contracts represent a significant portion of revenues in the Albany Engineered Composites segment and we account for these contracts over time, primarily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factors affecting the supply chain, changes in the evaluation of contract risks and opportunities, or other factors. The cumulative changes in the estimated profitability of long-term contracts decreased operating income by $22.4 million for the third quarter of 2024 and decreased operating income by $28.3 million for the first nine months of 2024. The negative change in the estimated profitability in the third quarter of 2024 was driven by a few large complex programs, including approximately $13.3 million for various CH-53K programs, approximately $6.5 million on our Gulfstream program, approximately $2.2 million on our F-35 program, and $0.4 million, net, on all other programs. Adjustments in the estimated profitability of long-term contracts increased operating incomes by $0.9 million and decreased operating income by $4.1 million for the third quarter and first nine months of 2023, respectively.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disaggregate revenue earned from contracts with customers for each of our business segments and product groups based on the timing of revenue recognition, and groupings used for internal review purposes.</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before="120" w:after="283"/>
        <w:ind w:left="0" w:right="0" w:firstLine="360"/>
        <w:jc w:val="both"/>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three months ended September 30, 2024:</w:t>
      </w:r>
    </w:p>
    <w:p>
      <w:pPr>
        <w:pStyle w:val="TextBody"/>
        <w:bidi w:val="0"/>
        <w:spacing w:before="0" w:after="0"/>
        <w:ind w:left="0" w:right="0" w:firstLine="360"/>
        <w:jc w:val="both"/>
        <w:rPr/>
      </w:pPr>
      <w:r>
        <w:rPr/>
      </w:r>
    </w:p>
    <w:tbl>
      <w:tblPr>
        <w:tblW w:w="7909" w:type="dxa"/>
        <w:jc w:val="left"/>
        <w:tblInd w:w="0" w:type="dxa"/>
        <w:tblLayout w:type="fixed"/>
        <w:tblCellMar>
          <w:top w:w="28" w:type="dxa"/>
          <w:left w:w="28" w:type="dxa"/>
          <w:bottom w:w="28" w:type="dxa"/>
          <w:right w:w="28" w:type="dxa"/>
        </w:tblCellMar>
      </w:tblPr>
      <w:tblGrid>
        <w:gridCol w:w="1145"/>
        <w:gridCol w:w="1009"/>
        <w:gridCol w:w="1010"/>
        <w:gridCol w:w="342"/>
        <w:gridCol w:w="1368"/>
        <w:gridCol w:w="179"/>
        <w:gridCol w:w="300"/>
        <w:gridCol w:w="1195"/>
        <w:gridCol w:w="155"/>
        <w:gridCol w:w="211"/>
        <w:gridCol w:w="84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2024</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182,050</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183,033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ASC</w:t>
            </w:r>
          </w:p>
        </w:tc>
        <w:tc>
          <w:tcPr>
            <w:tcW w:w="17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cMar>
              <w:top w:w="0" w:type="dxa"/>
              <w:left w:w="0" w:type="dxa"/>
              <w:bottom w:w="0" w:type="dxa"/>
              <w:right w:w="0" w:type="dxa"/>
            </w:tcMar>
            <w:vAlign w:val="center"/>
          </w:tcPr>
          <w:p>
            <w:pPr>
              <w:pStyle w:val="TableContents"/>
              <w:bidi w:val="0"/>
              <w:spacing w:lineRule="auto" w:line="240" w:before="0" w:after="283"/>
              <w:jc w:val="right"/>
              <w:rPr/>
            </w:pPr>
            <w:bookmarkStart w:id="0" w:name="i6de1a8ce0d1a4c9da5fec90fd33f28f0_5-2-1-"/>
            <w:bookmarkEnd w:id="0"/>
            <w:r>
              <w:rPr>
                <w:rFonts w:ascii="Arial;sans-serif" w:hAnsi="Arial;sans-serif"/>
                <w:b/>
                <w:color w:val="000000"/>
                <w:sz w:val="18"/>
              </w:rPr>
              <w:t>40,115</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40,115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AEC</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4,142</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71,096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75,238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4,142</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111,211</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115,353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186,192</w:t>
            </w:r>
            <w:r>
              <w:rPr>
                <w:color w:val="000000"/>
              </w:rPr>
              <w:t> </w:t>
            </w:r>
          </w:p>
        </w:tc>
        <w:tc>
          <w:tcPr>
            <w:tcW w:w="1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112,194</w:t>
            </w:r>
            <w:r>
              <w:rPr>
                <w:color w:val="000000"/>
              </w:rPr>
              <w:t>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298,386</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three months ended September 30, 2023:</w:t>
      </w:r>
    </w:p>
    <w:tbl>
      <w:tblPr>
        <w:tblW w:w="7894" w:type="dxa"/>
        <w:jc w:val="left"/>
        <w:tblInd w:w="0" w:type="dxa"/>
        <w:tblLayout w:type="fixed"/>
        <w:tblCellMar>
          <w:top w:w="28" w:type="dxa"/>
          <w:left w:w="28" w:type="dxa"/>
          <w:bottom w:w="28" w:type="dxa"/>
          <w:right w:w="28" w:type="dxa"/>
        </w:tblCellMar>
      </w:tblPr>
      <w:tblGrid>
        <w:gridCol w:w="1145"/>
        <w:gridCol w:w="1009"/>
        <w:gridCol w:w="1010"/>
        <w:gridCol w:w="347"/>
        <w:gridCol w:w="1362"/>
        <w:gridCol w:w="181"/>
        <w:gridCol w:w="303"/>
        <w:gridCol w:w="1189"/>
        <w:gridCol w:w="157"/>
        <w:gridCol w:w="211"/>
        <w:gridCol w:w="82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165,643 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ASC</w:t>
            </w:r>
          </w:p>
        </w:tc>
        <w:tc>
          <w:tcPr>
            <w:tcW w:w="17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46,654 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AEC</w:t>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109,563 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114,518 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170,598 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110,508 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nine months ended September 30, 2024:</w:t>
      </w:r>
    </w:p>
    <w:tbl>
      <w:tblPr>
        <w:tblW w:w="7909" w:type="dxa"/>
        <w:jc w:val="left"/>
        <w:tblInd w:w="0" w:type="dxa"/>
        <w:tblLayout w:type="fixed"/>
        <w:tblCellMar>
          <w:top w:w="28" w:type="dxa"/>
          <w:left w:w="28" w:type="dxa"/>
          <w:bottom w:w="28" w:type="dxa"/>
          <w:right w:w="28" w:type="dxa"/>
        </w:tblCellMar>
      </w:tblPr>
      <w:tblGrid>
        <w:gridCol w:w="1145"/>
        <w:gridCol w:w="1009"/>
        <w:gridCol w:w="1010"/>
        <w:gridCol w:w="342"/>
        <w:gridCol w:w="1368"/>
        <w:gridCol w:w="179"/>
        <w:gridCol w:w="300"/>
        <w:gridCol w:w="1195"/>
        <w:gridCol w:w="155"/>
        <w:gridCol w:w="211"/>
        <w:gridCol w:w="84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2024</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Point in Time Revenue</w:t>
              <w:br/>
              <w:t>Recognition</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 Time Revenue</w:t>
              <w:br/>
              <w:t>Recognition</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558,881</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2,947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561,828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ASC</w:t>
            </w:r>
          </w:p>
        </w:tc>
        <w:tc>
          <w:tcPr>
            <w:tcW w:w="17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140,146</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140,146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AEC</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15,908</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225,828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241,736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15,908</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365,974</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381,882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574,789</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368,921</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943,710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nine months ended September 30, 2023:</w:t>
      </w:r>
    </w:p>
    <w:p>
      <w:pPr>
        <w:pStyle w:val="TextBody"/>
        <w:bidi w:val="0"/>
        <w:spacing w:before="0" w:after="0"/>
        <w:ind w:left="0" w:right="0" w:firstLine="360"/>
        <w:jc w:val="left"/>
        <w:rPr/>
      </w:pPr>
      <w:r>
        <w:rPr/>
      </w:r>
    </w:p>
    <w:tbl>
      <w:tblPr>
        <w:tblW w:w="7894" w:type="dxa"/>
        <w:jc w:val="left"/>
        <w:tblInd w:w="0" w:type="dxa"/>
        <w:tblLayout w:type="fixed"/>
        <w:tblCellMar>
          <w:top w:w="28" w:type="dxa"/>
          <w:left w:w="28" w:type="dxa"/>
          <w:bottom w:w="28" w:type="dxa"/>
          <w:right w:w="28" w:type="dxa"/>
        </w:tblCellMar>
      </w:tblPr>
      <w:tblGrid>
        <w:gridCol w:w="1145"/>
        <w:gridCol w:w="1009"/>
        <w:gridCol w:w="1010"/>
        <w:gridCol w:w="347"/>
        <w:gridCol w:w="1362"/>
        <w:gridCol w:w="181"/>
        <w:gridCol w:w="303"/>
        <w:gridCol w:w="1189"/>
        <w:gridCol w:w="157"/>
        <w:gridCol w:w="211"/>
        <w:gridCol w:w="82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2023</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Point in Time Revenue</w:t>
              <w:br/>
              <w:t>Recognition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 Time Revenue</w:t>
              <w:br/>
              <w:t>Recognition</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476,194 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ASC</w:t>
            </w:r>
          </w:p>
        </w:tc>
        <w:tc>
          <w:tcPr>
            <w:tcW w:w="17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138,603 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AEC</w:t>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14,259 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331,039 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345,298 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490,453 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333,872 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824,325 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disaggregates MC segment revenue by significant product groupings (paper machine clothing ("PMC") and engineered fabrics); and for PMC, the geographical region to which the paper machine clothing was sold:</w:t>
      </w:r>
    </w:p>
    <w:tbl>
      <w:tblPr>
        <w:tblW w:w="8950" w:type="dxa"/>
        <w:jc w:val="left"/>
        <w:tblInd w:w="0" w:type="dxa"/>
        <w:tblLayout w:type="fixed"/>
        <w:tblCellMar>
          <w:top w:w="28" w:type="dxa"/>
          <w:left w:w="28" w:type="dxa"/>
          <w:bottom w:w="28" w:type="dxa"/>
          <w:right w:w="28" w:type="dxa"/>
        </w:tblCellMar>
      </w:tblPr>
      <w:tblGrid>
        <w:gridCol w:w="1138"/>
        <w:gridCol w:w="1003"/>
        <w:gridCol w:w="1008"/>
        <w:gridCol w:w="267"/>
        <w:gridCol w:w="1066"/>
        <w:gridCol w:w="138"/>
        <w:gridCol w:w="267"/>
        <w:gridCol w:w="1047"/>
        <w:gridCol w:w="138"/>
        <w:gridCol w:w="258"/>
        <w:gridCol w:w="1030"/>
        <w:gridCol w:w="133"/>
        <w:gridCol w:w="258"/>
        <w:gridCol w:w="1011"/>
        <w:gridCol w:w="188"/>
      </w:tblGrid>
      <w:tr>
        <w:trPr/>
        <w:tc>
          <w:tcPr>
            <w:tcW w:w="113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 PMC</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86,408</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258,442</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261,937 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Eurasia PMC</w:t>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70,083</w:t>
            </w: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64,493 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224,792</w:t>
            </w: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164,771 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Fabrics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26,542</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78,594</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52,319 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Machine Clothing Net revenues</w:t>
            </w:r>
          </w:p>
        </w:tc>
        <w:tc>
          <w:tcPr>
            <w:tcW w:w="2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183,033</w:t>
            </w:r>
            <w:r>
              <w:rPr>
                <w:color w:val="000000"/>
              </w:rPr>
              <w:t> </w:t>
            </w:r>
          </w:p>
        </w:tc>
        <w:tc>
          <w:tcPr>
            <w:tcW w:w="1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166,588 </w:t>
            </w:r>
          </w:p>
        </w:tc>
        <w:tc>
          <w:tcPr>
            <w:tcW w:w="1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561,828</w:t>
            </w:r>
            <w:r>
              <w:rPr>
                <w:color w:val="000000"/>
              </w:rPr>
              <w:t> </w:t>
            </w:r>
          </w:p>
        </w:tc>
        <w:tc>
          <w:tcPr>
            <w:tcW w:w="1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479,027 </w:t>
            </w:r>
          </w:p>
        </w:tc>
        <w:tc>
          <w:tcPr>
            <w:tcW w:w="1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do not disclose the value of unsatisfied performance obligations for contracts with an original expected duration of one year or less. Contracts in the MC segment are generally for periods of less than a year and certain contracts in the AEC segment are relatively short duration firm-fixed-price orders. Remaining performance obligations on contracts that had an original duration of greater than one year totaled $1.1 billion and $759 million as of September 30, 2024 and 2023, respectively, and related primarily to firm fixed price contracts in the AEC segment. Of the remaining performance obligations as of September 30, 2024, we expect to recognize as revenue approximately $40 million during 2024, $167 million during 2025, $147 million during 2026, and the remainder thereafter.</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3</w:t>
      </w:r>
      <w:bookmarkStart w:id="1" w:name="i3bb75111ae114ba7bd7a38ccaa511015_1112"/>
      <w:bookmarkEnd w:id="1"/>
      <w:r>
        <w:rPr>
          <w:rFonts w:ascii="Arial;sans-serif" w:hAnsi="Arial;sans-serif"/>
          <w:b/>
          <w:i/>
          <w:color w:val="000000"/>
          <w:sz w:val="20"/>
        </w:rPr>
        <w:t>. Pensions and Other Postretirement Benefit Plans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composition of the net periodic benefit cost/(income) for the nine months ended September 30, 2024 and 2023, was as follows:</w:t>
      </w:r>
    </w:p>
    <w:tbl>
      <w:tblPr>
        <w:tblW w:w="8546" w:type="dxa"/>
        <w:jc w:val="left"/>
        <w:tblInd w:w="0" w:type="dxa"/>
        <w:tblLayout w:type="fixed"/>
        <w:tblCellMar>
          <w:top w:w="28" w:type="dxa"/>
          <w:left w:w="28" w:type="dxa"/>
          <w:bottom w:w="28" w:type="dxa"/>
          <w:right w:w="28" w:type="dxa"/>
        </w:tblCellMar>
      </w:tblPr>
      <w:tblGrid>
        <w:gridCol w:w="1502"/>
        <w:gridCol w:w="1325"/>
        <w:gridCol w:w="1328"/>
        <w:gridCol w:w="211"/>
        <w:gridCol w:w="631"/>
        <w:gridCol w:w="109"/>
        <w:gridCol w:w="211"/>
        <w:gridCol w:w="616"/>
        <w:gridCol w:w="109"/>
        <w:gridCol w:w="309"/>
        <w:gridCol w:w="706"/>
        <w:gridCol w:w="160"/>
        <w:gridCol w:w="309"/>
        <w:gridCol w:w="794"/>
        <w:gridCol w:w="226"/>
      </w:tblGrid>
      <w:tr>
        <w:trPr/>
        <w:tc>
          <w:tcPr>
            <w:tcW w:w="150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plans</w:t>
            </w:r>
          </w:p>
        </w:tc>
        <w:tc>
          <w:tcPr>
            <w:tcW w:w="250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 postretirement benefits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benefit cost/(income):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w:t>
            </w: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1,063</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periodic benefit cost/(credit)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2,524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979</w:t>
            </w:r>
            <w:r>
              <w:rPr>
                <w:color w:val="000000"/>
              </w:rPr>
              <w:t>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amount of net benefit cost/(credit) is determined at the beginning of each year and generally only varies from quarter to quarter when a significant event occurs, such as a curtailment or a settlement. There were no material curtailments or settlements during the first nine months of 2024 or 2023.</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4. Restructuring</w:t>
      </w:r>
    </w:p>
    <w:p>
      <w:pPr>
        <w:pStyle w:val="TextBody"/>
        <w:bidi w:val="0"/>
        <w:spacing w:before="0" w:after="0"/>
        <w:ind w:left="0" w:right="0" w:firstLine="360"/>
        <w:jc w:val="left"/>
        <w:rPr/>
      </w:pPr>
      <w:r>
        <w:rPr/>
      </w:r>
    </w:p>
    <w:p>
      <w:pPr>
        <w:pStyle w:val="TextBody"/>
        <w:bidi w:val="0"/>
        <w:spacing w:lineRule="auto" w:line="276"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At MC, restructuring actions were taken in the second and third quarters of 2024 to cease operations at the Company's MC forming fabric manufacturing facility in Chungju, South Korea, and at the Company's Heimbach engineered fabric manufacturing facility in Rochdale, UK. The principal driver of $3.3 million in Restructuring expenses, net for the first nine months of 2024 related to workforce reductions, fixed asset impairments and related costs, as well as charges of $1.3 million in Costs of goods sold for the write-off of inventory. We expect to incur additional restructuring expenses related to these actions throughout the remainder of the year. Restructuring expenses incurred at MC during 2023 were not significant. </w:t>
      </w:r>
    </w:p>
    <w:p>
      <w:pPr>
        <w:pStyle w:val="TextBody"/>
        <w:bidi w:val="0"/>
        <w:spacing w:lineRule="auto" w:line="276"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At AEC, restructuring activities were related to reductions in the workforce at various AEC locations, which resulted in restructuring expenses of $3.1 million for the first nine months of 2024. Restructuring expenses incurred at AEC during 2023 were not significant. </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charges reported in the Consolidated Statements of Income under "Restructuring expenses, net":</w:t>
      </w:r>
    </w:p>
    <w:tbl>
      <w:tblPr>
        <w:tblW w:w="8517" w:type="dxa"/>
        <w:jc w:val="left"/>
        <w:tblInd w:w="0" w:type="dxa"/>
        <w:tblLayout w:type="fixed"/>
        <w:tblCellMar>
          <w:top w:w="28" w:type="dxa"/>
          <w:left w:w="28" w:type="dxa"/>
          <w:bottom w:w="28" w:type="dxa"/>
          <w:right w:w="28" w:type="dxa"/>
        </w:tblCellMar>
      </w:tblPr>
      <w:tblGrid>
        <w:gridCol w:w="982"/>
        <w:gridCol w:w="865"/>
        <w:gridCol w:w="867"/>
        <w:gridCol w:w="378"/>
        <w:gridCol w:w="1131"/>
        <w:gridCol w:w="195"/>
        <w:gridCol w:w="378"/>
        <w:gridCol w:w="647"/>
        <w:gridCol w:w="195"/>
        <w:gridCol w:w="341"/>
        <w:gridCol w:w="1020"/>
        <w:gridCol w:w="176"/>
        <w:gridCol w:w="341"/>
        <w:gridCol w:w="753"/>
        <w:gridCol w:w="248"/>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September 30,</w:t>
            </w:r>
          </w:p>
        </w:tc>
        <w:tc>
          <w:tcPr>
            <w:tcW w:w="28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2,207</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3,294</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50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w:t>
            </w: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2,272</w:t>
            </w:r>
            <w:r>
              <w:rPr>
                <w:color w:val="000000"/>
              </w:rPr>
              <w:t> </w:t>
            </w:r>
          </w:p>
        </w:tc>
        <w:tc>
          <w:tcPr>
            <w:tcW w:w="1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6,584</w:t>
            </w:r>
            <w:r>
              <w:rPr>
                <w:color w:val="000000"/>
              </w:rPr>
              <w:t> </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summarizes charges by type of expense reported in the Consolidated Statements of Income under "Restructuring expenses, net" and "Cost of goods sold":</w:t>
      </w:r>
    </w:p>
    <w:tbl>
      <w:tblPr>
        <w:tblW w:w="7380" w:type="dxa"/>
        <w:jc w:val="left"/>
        <w:tblInd w:w="0" w:type="dxa"/>
        <w:tblLayout w:type="fixed"/>
        <w:tblCellMar>
          <w:top w:w="28" w:type="dxa"/>
          <w:left w:w="28" w:type="dxa"/>
          <w:bottom w:w="28" w:type="dxa"/>
          <w:right w:w="28" w:type="dxa"/>
        </w:tblCellMar>
      </w:tblPr>
      <w:tblGrid>
        <w:gridCol w:w="1177"/>
        <w:gridCol w:w="1037"/>
        <w:gridCol w:w="1040"/>
        <w:gridCol w:w="276"/>
        <w:gridCol w:w="826"/>
        <w:gridCol w:w="143"/>
        <w:gridCol w:w="236"/>
        <w:gridCol w:w="707"/>
        <w:gridCol w:w="123"/>
        <w:gridCol w:w="383"/>
        <w:gridCol w:w="1149"/>
        <w:gridCol w:w="283"/>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Nine months ended September 30, 2024</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restructuring</w:t>
              <w:br/>
              <w:t>costs incurred</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Termination</w:t>
              <w:br/>
              <w:t>and other</w:t>
              <w:br/>
              <w:t>costs</w:t>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Impairment of assets</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4,581</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1,287</w:t>
            </w: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3,144</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3,144</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7,871</w:t>
            </w:r>
            <w:r>
              <w:rPr>
                <w:color w:val="000000"/>
              </w:rPr>
              <w:t> </w:t>
            </w:r>
          </w:p>
        </w:tc>
        <w:tc>
          <w:tcPr>
            <w:tcW w:w="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6,584</w:t>
            </w:r>
            <w:r>
              <w:rPr>
                <w:color w:val="000000"/>
              </w:rPr>
              <w:t> </w:t>
            </w:r>
          </w:p>
        </w:tc>
        <w:tc>
          <w:tcPr>
            <w:tcW w:w="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1,287</w:t>
            </w:r>
            <w:r>
              <w:rPr>
                <w:color w:val="000000"/>
              </w:rPr>
              <w:t> </w:t>
            </w:r>
          </w:p>
        </w:tc>
        <w:tc>
          <w:tcPr>
            <w:tcW w:w="2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79" w:type="dxa"/>
        <w:jc w:val="left"/>
        <w:tblInd w:w="0" w:type="dxa"/>
        <w:tblLayout w:type="fixed"/>
        <w:tblCellMar>
          <w:top w:w="28" w:type="dxa"/>
          <w:left w:w="28" w:type="dxa"/>
          <w:bottom w:w="28" w:type="dxa"/>
          <w:right w:w="28" w:type="dxa"/>
        </w:tblCellMar>
      </w:tblPr>
      <w:tblGrid>
        <w:gridCol w:w="1177"/>
        <w:gridCol w:w="1037"/>
        <w:gridCol w:w="1040"/>
        <w:gridCol w:w="334"/>
        <w:gridCol w:w="738"/>
        <w:gridCol w:w="173"/>
        <w:gridCol w:w="286"/>
        <w:gridCol w:w="632"/>
        <w:gridCol w:w="148"/>
        <w:gridCol w:w="495"/>
        <w:gridCol w:w="955"/>
        <w:gridCol w:w="364"/>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Nine months ended September 30, 2023</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restructuring</w:t>
              <w:br/>
              <w:t>costs incurred</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Termination</w:t>
              <w:br/>
              <w:t>and other</w:t>
              <w:br/>
              <w:t>costs</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Impairment of assets</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table below presents the year-to-date changes in restructuring liabilities for 2024 and 2023:</w:t>
      </w:r>
    </w:p>
    <w:tbl>
      <w:tblPr>
        <w:tblW w:w="9921" w:type="dxa"/>
        <w:jc w:val="left"/>
        <w:tblInd w:w="0" w:type="dxa"/>
        <w:tblLayout w:type="fixed"/>
        <w:tblCellMar>
          <w:top w:w="28" w:type="dxa"/>
          <w:left w:w="28" w:type="dxa"/>
          <w:bottom w:w="28" w:type="dxa"/>
          <w:right w:w="28" w:type="dxa"/>
        </w:tblCellMar>
      </w:tblPr>
      <w:tblGrid>
        <w:gridCol w:w="1003"/>
        <w:gridCol w:w="885"/>
        <w:gridCol w:w="887"/>
        <w:gridCol w:w="456"/>
        <w:gridCol w:w="879"/>
        <w:gridCol w:w="239"/>
        <w:gridCol w:w="313"/>
        <w:gridCol w:w="936"/>
        <w:gridCol w:w="162"/>
        <w:gridCol w:w="211"/>
        <w:gridCol w:w="691"/>
        <w:gridCol w:w="109"/>
        <w:gridCol w:w="445"/>
        <w:gridCol w:w="794"/>
        <w:gridCol w:w="232"/>
        <w:gridCol w:w="355"/>
        <w:gridCol w:w="1064"/>
        <w:gridCol w:w="260"/>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w:t>
              <w:br/>
              <w:t>charges accrued</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 /other</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r>
      <w:tr>
        <w:trPr/>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termination and other costs</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6,584</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2,610</w:t>
            </w: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05" w:type="dxa"/>
        <w:jc w:val="left"/>
        <w:tblInd w:w="0" w:type="dxa"/>
        <w:tblLayout w:type="fixed"/>
        <w:tblCellMar>
          <w:top w:w="28" w:type="dxa"/>
          <w:left w:w="28" w:type="dxa"/>
          <w:bottom w:w="28" w:type="dxa"/>
          <w:right w:w="28" w:type="dxa"/>
        </w:tblCellMar>
      </w:tblPr>
      <w:tblGrid>
        <w:gridCol w:w="1003"/>
        <w:gridCol w:w="885"/>
        <w:gridCol w:w="887"/>
        <w:gridCol w:w="456"/>
        <w:gridCol w:w="879"/>
        <w:gridCol w:w="239"/>
        <w:gridCol w:w="378"/>
        <w:gridCol w:w="836"/>
        <w:gridCol w:w="197"/>
        <w:gridCol w:w="233"/>
        <w:gridCol w:w="541"/>
        <w:gridCol w:w="121"/>
        <w:gridCol w:w="427"/>
        <w:gridCol w:w="822"/>
        <w:gridCol w:w="222"/>
        <w:gridCol w:w="459"/>
        <w:gridCol w:w="883"/>
        <w:gridCol w:w="337"/>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w:t>
              <w:br/>
              <w:t>charges accrued</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 /other</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r>
      <w:tr>
        <w:trPr/>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termination and other costs</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5. Other (Income)/Expense, net</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components of Other (income)/expense, net are:</w:t>
      </w:r>
    </w:p>
    <w:tbl>
      <w:tblPr>
        <w:tblW w:w="10205" w:type="dxa"/>
        <w:jc w:val="left"/>
        <w:tblInd w:w="0" w:type="dxa"/>
        <w:tblLayout w:type="fixed"/>
        <w:tblCellMar>
          <w:top w:w="28" w:type="dxa"/>
          <w:left w:w="28" w:type="dxa"/>
          <w:bottom w:w="28" w:type="dxa"/>
          <w:right w:w="28" w:type="dxa"/>
        </w:tblCellMar>
      </w:tblPr>
      <w:tblGrid>
        <w:gridCol w:w="1905"/>
        <w:gridCol w:w="1588"/>
        <w:gridCol w:w="1594"/>
        <w:gridCol w:w="308"/>
        <w:gridCol w:w="922"/>
        <w:gridCol w:w="159"/>
        <w:gridCol w:w="308"/>
        <w:gridCol w:w="681"/>
        <w:gridCol w:w="159"/>
        <w:gridCol w:w="272"/>
        <w:gridCol w:w="816"/>
        <w:gridCol w:w="140"/>
        <w:gridCol w:w="272"/>
        <w:gridCol w:w="874"/>
        <w:gridCol w:w="207"/>
      </w:tblGrid>
      <w:tr>
        <w:trPr/>
        <w:tc>
          <w:tcPr>
            <w:tcW w:w="190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58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50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transaction (gains)/losses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1,834</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692</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(3,622)</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 losses/(gains)</w:t>
            </w:r>
          </w:p>
        </w:tc>
        <w:tc>
          <w:tcPr>
            <w:tcW w:w="12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3,788</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Bank fees and amortization of debt issuance costs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169</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pension and postretirement cost other than service cost</w:t>
            </w:r>
          </w:p>
        </w:tc>
        <w:tc>
          <w:tcPr>
            <w:tcW w:w="12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663</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1,995</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1,197</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(712)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(income)/expense, net</w:t>
            </w:r>
          </w:p>
        </w:tc>
        <w:tc>
          <w:tcPr>
            <w:tcW w:w="3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3,257</w:t>
            </w:r>
            <w:r>
              <w:rPr>
                <w:color w:val="000000"/>
              </w:rPr>
              <w:t> </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5,932</w:t>
            </w:r>
            <w:r>
              <w:rPr>
                <w:color w:val="000000"/>
              </w:rPr>
              <w:t> </w:t>
            </w:r>
          </w:p>
        </w:tc>
        <w:tc>
          <w:tcPr>
            <w:tcW w:w="1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w:t>
            </w:r>
          </w:p>
        </w:tc>
        <w:tc>
          <w:tcPr>
            <w:tcW w:w="2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Other (income)/expense, net, included foreign currency related transactions which resulted in losses of $1.8 million and $0.7 million in the three and nine months ended September 30, 2024, respectively, as compared to losses of $0.5 million and gains of $3.6 million in the same periods last year. In addition, changes in the fair value of derivative instruments included gains of $0.5 million and losses of $3.8 million in the three and nine months ended September 30, 2024, as compared to losses of $0.7 million and $0.6 million in the same period last year, driven by currency rate movements, most notably the Brazilian Real and Mexican Peso. Other (income)/expense, net, also included net losses of $0.7 million from the divestiture of assets related to Heimbach during the nine months ended September 30, 2024, as well as bank fees, amortization of debt issuance costs, and rental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6. Income Taxes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Company's effective income tax rate for the three and nine months ended September 30, 2024 and 2023, is as follows:</w:t>
      </w:r>
    </w:p>
    <w:tbl>
      <w:tblPr>
        <w:tblW w:w="7899" w:type="dxa"/>
        <w:jc w:val="left"/>
        <w:tblInd w:w="0" w:type="dxa"/>
        <w:tblLayout w:type="fixed"/>
        <w:tblCellMar>
          <w:top w:w="28" w:type="dxa"/>
          <w:left w:w="28" w:type="dxa"/>
          <w:bottom w:w="28" w:type="dxa"/>
          <w:right w:w="28" w:type="dxa"/>
        </w:tblCellMar>
      </w:tblPr>
      <w:tblGrid>
        <w:gridCol w:w="761"/>
        <w:gridCol w:w="668"/>
        <w:gridCol w:w="670"/>
        <w:gridCol w:w="326"/>
        <w:gridCol w:w="326"/>
        <w:gridCol w:w="810"/>
        <w:gridCol w:w="326"/>
        <w:gridCol w:w="326"/>
        <w:gridCol w:w="810"/>
        <w:gridCol w:w="306"/>
        <w:gridCol w:w="306"/>
        <w:gridCol w:w="763"/>
        <w:gridCol w:w="306"/>
        <w:gridCol w:w="306"/>
        <w:gridCol w:w="889"/>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w:t>
            </w:r>
            <w:r>
              <w:rPr>
                <w:color w:val="000000"/>
              </w:rPr>
              <w:t> </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w:t>
            </w:r>
            <w:r>
              <w:rPr>
                <w:color w:val="000000"/>
              </w:rPr>
              <w:t>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Income tax expense for the quarter was computed in accordance with ASC 740-270, Income Taxes – Interim Reporting. Under this method, loss jurisdictions which cannot recognize a tax benefit with regard to their generated losses are excluded from the annual effective tax rate calculation and their taxes will be recorded discretely in each quarter.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2024 estimated annual effective tax rate primarily reflects the 21% federal tax rate, the impact of state and local taxation, the impact of taxation upon foreign operations, and forecasted permanent differences. Our actual effective tax rates were 6.6% and 25.3% for the three months ended September 30, 2024 and 2023, respectively. Our actual effective tax rates were 23.9% and 33.0% for the nine months ended September 30, 2024 and 2023, respectively. </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The effective tax rate for the three months ended September 30, 2024 included a net discrete tax benefit of $8.5 million. This discrete tax benefit is mostly attributable to the true-up of prior year estimated taxes and the release of a valuation allowance in a non-U.S. jurisdiction due to positive evidence indicating that a full valuation allowance was no longer required. </w:t>
      </w:r>
      <w:r>
        <w:rPr>
          <w:rFonts w:ascii="Arial;sans-serif" w:hAnsi="Arial;sans-serif"/>
          <w:b w:val="false"/>
          <w:color w:val="000000"/>
          <w:sz w:val="20"/>
          <w:shd w:fill="FFFFFF" w:val="clear"/>
        </w:rPr>
        <w:t>The rate for the third quarter of 2024 was lower than the third quarter of 2023 mainly due to favorable discrete tax adjustments in the current period compared to unfavorable discrete tax adjustments in the prior period, partially offset by an unfavorable change in the jurisdictional mix of earnings compared to the prior period.</w:t>
      </w:r>
    </w:p>
    <w:p>
      <w:pPr>
        <w:pStyle w:val="TextBody"/>
        <w:bidi w:val="0"/>
        <w:spacing w:lineRule="auto" w:line="288" w:before="120" w:after="283"/>
        <w:ind w:left="0" w:right="0" w:firstLine="360"/>
        <w:jc w:val="both"/>
        <w:rPr/>
      </w:pPr>
      <w:r>
        <w:rPr>
          <w:rFonts w:ascii="Arial;sans-serif" w:hAnsi="Arial;sans-serif"/>
          <w:b w:val="false"/>
          <w:color w:val="000000"/>
          <w:sz w:val="20"/>
        </w:rPr>
        <w:t>The effective tax rate for the nine months ended September 30, 2024 included a net discrete tax benefit of $11.0 million. This discrete tax benefit is mostly attributable to the true-up for prior year estimated taxes, a net decrease in valuation allowances and a net decrease in uncertain tax positions.</w:t>
      </w:r>
      <w:r>
        <w:rPr>
          <w:color w:val="000000"/>
          <w:shd w:fill="FFFFFF" w:val="clear"/>
        </w:rPr>
        <w:t xml:space="preserve"> </w:t>
      </w:r>
      <w:r>
        <w:rPr>
          <w:rFonts w:ascii="Arial;sans-serif" w:hAnsi="Arial;sans-serif"/>
          <w:b w:val="false"/>
          <w:color w:val="000000"/>
          <w:sz w:val="20"/>
          <w:shd w:fill="FFFFFF" w:val="clear"/>
        </w:rPr>
        <w:t>The rate for the nine months ended September 30, 2024 was lower than the nine months ended September 30, 2023 mainly due to favorable discrete tax adjustments in the current period compared to unfavorable discrete tax adjustments in the prior period, partially offset by an unfavorable change in the jurisdictional mix of earnings compared to the prior period.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is subject to audit in the U.S. and various foreign jurisdictions. Our open tax years for major jurisdictions generally range from 2013-2024. We believe appropriate provisions for all outstanding tax issues have been made for all jurisdictions and all open years. Audit outcomes and the timing of audit settlements are subject to significant uncertainty. It is reasonably possible that within the next 12 months, unrecognized tax benefits could decrease by up to $1.8 million based on current estimates. </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7. Earnings Per Share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amounts used in computing earnings per share and the weighted average number of shares of potentially dilutive securities are as follows:</w:t>
      </w:r>
    </w:p>
    <w:tbl>
      <w:tblPr>
        <w:tblW w:w="10205" w:type="dxa"/>
        <w:jc w:val="left"/>
        <w:tblInd w:w="0" w:type="dxa"/>
        <w:tblLayout w:type="fixed"/>
        <w:tblCellMar>
          <w:top w:w="28" w:type="dxa"/>
          <w:left w:w="28" w:type="dxa"/>
          <w:bottom w:w="28" w:type="dxa"/>
          <w:right w:w="28" w:type="dxa"/>
        </w:tblCellMar>
      </w:tblPr>
      <w:tblGrid>
        <w:gridCol w:w="1874"/>
        <w:gridCol w:w="1544"/>
        <w:gridCol w:w="1550"/>
        <w:gridCol w:w="263"/>
        <w:gridCol w:w="920"/>
        <w:gridCol w:w="136"/>
        <w:gridCol w:w="263"/>
        <w:gridCol w:w="902"/>
        <w:gridCol w:w="136"/>
        <w:gridCol w:w="256"/>
        <w:gridCol w:w="897"/>
        <w:gridCol w:w="132"/>
        <w:gridCol w:w="256"/>
        <w:gridCol w:w="879"/>
        <w:gridCol w:w="197"/>
      </w:tblGrid>
      <w:tr>
        <w:trPr/>
        <w:tc>
          <w:tcPr>
            <w:tcW w:w="187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61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9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 except earnings per share)</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18,029</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27,109 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69,944</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80,670 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number of shares:</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basic net income per share</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31,251</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31,185 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31,234</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of dilutive stock-based compensation plans:</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49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stock units and multi-year awards</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diluted net income per share</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31,367</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31,333</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496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the Company per share:</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0.58</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0.57</w:t>
            </w:r>
            <w:r>
              <w:rPr>
                <w:color w:val="000000"/>
              </w:rPr>
              <w:t> </w:t>
            </w:r>
          </w:p>
        </w:tc>
        <w:tc>
          <w:tcPr>
            <w:tcW w:w="1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2.23</w:t>
            </w:r>
            <w:r>
              <w:rPr>
                <w:color w:val="000000"/>
              </w:rPr>
              <w:t> </w:t>
            </w:r>
          </w:p>
        </w:tc>
        <w:tc>
          <w:tcPr>
            <w:tcW w:w="13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8. Accumulated Other Comprehensive Income ("AOCI")</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from December 31, 2023 to September 30, 2024:</w:t>
      </w:r>
    </w:p>
    <w:tbl>
      <w:tblPr>
        <w:tblW w:w="10205" w:type="dxa"/>
        <w:jc w:val="left"/>
        <w:tblInd w:w="0" w:type="dxa"/>
        <w:tblLayout w:type="fixed"/>
        <w:tblCellMar>
          <w:top w:w="28" w:type="dxa"/>
          <w:left w:w="28" w:type="dxa"/>
          <w:bottom w:w="28" w:type="dxa"/>
          <w:right w:w="28" w:type="dxa"/>
        </w:tblCellMar>
      </w:tblPr>
      <w:tblGrid>
        <w:gridCol w:w="1983"/>
        <w:gridCol w:w="1723"/>
        <w:gridCol w:w="1628"/>
        <w:gridCol w:w="211"/>
        <w:gridCol w:w="871"/>
        <w:gridCol w:w="109"/>
        <w:gridCol w:w="254"/>
        <w:gridCol w:w="889"/>
        <w:gridCol w:w="133"/>
        <w:gridCol w:w="223"/>
        <w:gridCol w:w="667"/>
        <w:gridCol w:w="116"/>
        <w:gridCol w:w="244"/>
        <w:gridCol w:w="973"/>
        <w:gridCol w:w="181"/>
      </w:tblGrid>
      <w:tr>
        <w:trPr/>
        <w:tc>
          <w:tcPr>
            <w:tcW w:w="198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 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r>
      <w:tr>
        <w:trPr/>
        <w:tc>
          <w:tcPr>
            <w:tcW w:w="5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(124,901)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(17,346)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9,079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(133,168)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comprehensive income/(loss) before reclassifications, net of tax</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(12,459)</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related to swaps reclassified to the Consolidated Statements of Income, net of tax</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 net of tax</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September 30, 2024</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(137,373)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(17,341)</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1,165</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(153,549)</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from December 31, 2022 to September 30, 2023:</w:t>
      </w:r>
    </w:p>
    <w:tbl>
      <w:tblPr>
        <w:tblW w:w="10205" w:type="dxa"/>
        <w:jc w:val="left"/>
        <w:tblInd w:w="0" w:type="dxa"/>
        <w:tblLayout w:type="fixed"/>
        <w:tblCellMar>
          <w:top w:w="28" w:type="dxa"/>
          <w:left w:w="28" w:type="dxa"/>
          <w:bottom w:w="28" w:type="dxa"/>
          <w:right w:w="28" w:type="dxa"/>
        </w:tblCellMar>
      </w:tblPr>
      <w:tblGrid>
        <w:gridCol w:w="1966"/>
        <w:gridCol w:w="1708"/>
        <w:gridCol w:w="1611"/>
        <w:gridCol w:w="211"/>
        <w:gridCol w:w="871"/>
        <w:gridCol w:w="109"/>
        <w:gridCol w:w="254"/>
        <w:gridCol w:w="889"/>
        <w:gridCol w:w="133"/>
        <w:gridCol w:w="211"/>
        <w:gridCol w:w="736"/>
        <w:gridCol w:w="109"/>
        <w:gridCol w:w="244"/>
        <w:gridCol w:w="973"/>
        <w:gridCol w:w="180"/>
      </w:tblGrid>
      <w:tr>
        <w:trPr/>
        <w:tc>
          <w:tcPr>
            <w:tcW w:w="196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3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 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r>
      <w:tr>
        <w:trPr/>
        <w:tc>
          <w:tcPr>
            <w:tcW w:w="5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(146,851)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(15,783)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(144,927)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 before reclassifications, net of tax</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5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related to swaps reclassified to the Consolidated Statements of Income, net of tax</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 net of tax</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September 30, 2023</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(151,177)</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(17,389)</w:t>
            </w:r>
          </w:p>
        </w:tc>
        <w:tc>
          <w:tcPr>
            <w:tcW w:w="1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12,957</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(155,609)</w:t>
            </w:r>
          </w:p>
        </w:tc>
        <w:tc>
          <w:tcPr>
            <w:tcW w:w="1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components of AOCI that are reclassified to the Consolidated Statements of Income relate to our pension and postretirement plans and interest rate swaps.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the expense/(income) amounts reclassified from AOCI, and the line items of the Consolidated Statements of Income that were affected for the three and nine ended September 30, 2024 and 2023:</w:t>
      </w:r>
    </w:p>
    <w:tbl>
      <w:tblPr>
        <w:tblW w:w="10205" w:type="dxa"/>
        <w:jc w:val="left"/>
        <w:tblInd w:w="0" w:type="dxa"/>
        <w:tblLayout w:type="fixed"/>
        <w:tblCellMar>
          <w:top w:w="28" w:type="dxa"/>
          <w:left w:w="28" w:type="dxa"/>
          <w:bottom w:w="28" w:type="dxa"/>
          <w:right w:w="28" w:type="dxa"/>
        </w:tblCellMar>
      </w:tblPr>
      <w:tblGrid>
        <w:gridCol w:w="1933"/>
        <w:gridCol w:w="1702"/>
        <w:gridCol w:w="1713"/>
        <w:gridCol w:w="254"/>
        <w:gridCol w:w="799"/>
        <w:gridCol w:w="130"/>
        <w:gridCol w:w="254"/>
        <w:gridCol w:w="799"/>
        <w:gridCol w:w="130"/>
        <w:gridCol w:w="236"/>
        <w:gridCol w:w="860"/>
        <w:gridCol w:w="121"/>
        <w:gridCol w:w="236"/>
        <w:gridCol w:w="860"/>
        <w:gridCol w:w="178"/>
      </w:tblGrid>
      <w:tr>
        <w:trPr/>
        <w:tc>
          <w:tcPr>
            <w:tcW w:w="193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49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53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Pre-tax Derivative valuation reclassified from Accumulated Other Comprehensive Income:</w:t>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expense/(income), net related to interest rate swaps included in Income before taxes</w:t>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(2,675)</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(3,990)</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(10,893)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658</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2,681</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(2,017)</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(2,981)</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(8,212)</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(8,136)</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Pre-tax pension and postretirement liabilities reclassified from Accumulated Other Comprehensive Income:</w:t>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176</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530</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pre-tax amount reclassified (a)</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417</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w:t>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w:t>
            </w:r>
            <w:r>
              <w:rPr>
                <w:color w:val="000000"/>
              </w:rPr>
              <w:t>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290</w:t>
            </w:r>
            <w:r>
              <w:rPr>
                <w:color w:val="000000"/>
              </w:rPr>
              <w:t>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ind w:left="0" w:right="0" w:hanging="720"/>
        <w:jc w:val="both"/>
        <w:rPr/>
      </w:pPr>
      <w:r>
        <w:rPr>
          <w:rFonts w:ascii="Arial;sans-serif" w:hAnsi="Arial;sans-serif"/>
          <w:b w:val="false"/>
          <w:color w:val="000000"/>
          <w:sz w:val="18"/>
        </w:rPr>
        <w:t xml:space="preserve">(a)These accumulated other comprehensive income components are included in the computation of net periodic pension cost (see </w:t>
      </w:r>
      <w:r>
        <w:rPr>
          <w:rFonts w:ascii="Arial;sans-serif" w:hAnsi="Arial;sans-serif"/>
          <w:b w:val="false"/>
          <w:i/>
          <w:color w:val="000000"/>
          <w:sz w:val="18"/>
        </w:rPr>
        <w:t>Note 3. Pensions and Other Postretirement Benefit Plans</w:t>
      </w:r>
      <w:r>
        <w:rPr>
          <w:rFonts w:ascii="Arial;sans-serif" w:hAnsi="Arial;sans-serif"/>
          <w:b w:val="false"/>
          <w:color w:val="000000"/>
          <w:sz w:val="18"/>
        </w:rPr>
        <w:t>).</w:t>
      </w:r>
    </w:p>
    <w:p>
      <w:pPr>
        <w:pStyle w:val="TextBody"/>
        <w:bidi w:val="0"/>
        <w:spacing w:before="200" w:after="283"/>
        <w:ind w:left="0" w:right="0" w:hanging="360"/>
        <w:jc w:val="both"/>
        <w:rPr/>
      </w:pPr>
      <w:r>
        <w:rPr/>
      </w:r>
    </w:p>
    <w:p>
      <w:pPr>
        <w:pStyle w:val="TextBody"/>
        <w:bidi w:val="0"/>
        <w:spacing w:before="20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9. Noncontrolling Interests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Effective October 31, 2013, Safran S.A. (Safran) acquired a 10 percent equity interest in Albany Safran Composites, LLC ("ASC").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August 31, 2023, the Company acquired all the outstanding shares of Heimbach, a privately held manufacturer of paper machine clothing with headquarters in Düren, Germany. In July 2021, Heimbach acquired 85% of Arcari, SRL (“Arcari”). Arcari is a manufacturer of textile and plastic industrial technical products and conveyor belts. For the nine months ended September 30, 2024, the net income/(loss) attributable to Arcari’s noncontrolling interest was less than $0.1 million and the noncontrolling interest balance at September 30, 2024 was $0.4 million.</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a reconciliation of income attributable to the noncontrolling interest and noncontrolling equity in the Company’s subsidiaries:</w:t>
      </w:r>
    </w:p>
    <w:tbl>
      <w:tblPr>
        <w:tblW w:w="9673" w:type="dxa"/>
        <w:jc w:val="left"/>
        <w:tblInd w:w="0" w:type="dxa"/>
        <w:tblLayout w:type="fixed"/>
        <w:tblCellMar>
          <w:top w:w="28" w:type="dxa"/>
          <w:left w:w="28" w:type="dxa"/>
          <w:bottom w:w="28" w:type="dxa"/>
          <w:right w:w="28" w:type="dxa"/>
        </w:tblCellMar>
      </w:tblPr>
      <w:tblGrid>
        <w:gridCol w:w="2463"/>
        <w:gridCol w:w="2165"/>
        <w:gridCol w:w="2167"/>
        <w:gridCol w:w="269"/>
        <w:gridCol w:w="805"/>
        <w:gridCol w:w="346"/>
        <w:gridCol w:w="269"/>
        <w:gridCol w:w="786"/>
        <w:gridCol w:w="403"/>
      </w:tblGrid>
      <w:tr>
        <w:trPr/>
        <w:tc>
          <w:tcPr>
            <w:tcW w:w="2463"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ASC Noncontrolling Interest</w:t>
            </w:r>
          </w:p>
        </w:tc>
        <w:tc>
          <w:tcPr>
            <w:tcW w:w="287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Albany Safran Composites (ASC)</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3,754</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4,929 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Return attributable to the Company's preferred holding</w:t>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850</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ASC available for common ownership</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2,904</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3,955 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Ownership percentage of noncontrolling shareholder</w:t>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3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4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290</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 beginning of year</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5,423</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4,494 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w:t>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290</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comprehensive income attributable to the noncontrolling interest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ASC Noncontrolling interest, end of interim period</w:t>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5,232</w:t>
            </w:r>
            <w:r>
              <w:rPr>
                <w:color w:val="000000"/>
              </w:rPr>
              <w:t> </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5,207 </w:t>
            </w:r>
          </w:p>
        </w:tc>
        <w:tc>
          <w:tcPr>
            <w:tcW w:w="4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Arcari Noncontrolling interest, end of interim period</w:t>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447</w:t>
            </w:r>
            <w:r>
              <w:rPr>
                <w:color w:val="000000"/>
              </w:rPr>
              <w:t> </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1,587 </w:t>
            </w:r>
          </w:p>
        </w:tc>
        <w:tc>
          <w:tcPr>
            <w:tcW w:w="4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Noncontrolling interest, end of interim period</w:t>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5,679</w:t>
            </w:r>
            <w:r>
              <w:rPr>
                <w:color w:val="000000"/>
              </w:rPr>
              <w:t> </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6,794 </w:t>
            </w:r>
          </w:p>
        </w:tc>
        <w:tc>
          <w:tcPr>
            <w:tcW w:w="4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10. Accounts Receivable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Accounts receivable, net includes Trade and other accounts receivable and Bank promissory notes, net of Allowance for expected credit losses. In connection with certain revenues in Asia, the Company accepts a bank promissory note as customer payment. The notes may be presented for payment at maturity, which is less than one year. As of September 30, 2024 and December 31, 2023, Accounts receivable consisted of the following:</w:t>
      </w:r>
    </w:p>
    <w:tbl>
      <w:tblPr>
        <w:tblW w:w="6359" w:type="dxa"/>
        <w:jc w:val="left"/>
        <w:tblInd w:w="0" w:type="dxa"/>
        <w:tblLayout w:type="fixed"/>
        <w:tblCellMar>
          <w:top w:w="28" w:type="dxa"/>
          <w:left w:w="28" w:type="dxa"/>
          <w:bottom w:w="28" w:type="dxa"/>
          <w:right w:w="28" w:type="dxa"/>
        </w:tblCellMar>
      </w:tblPr>
      <w:tblGrid>
        <w:gridCol w:w="1122"/>
        <w:gridCol w:w="990"/>
        <w:gridCol w:w="992"/>
        <w:gridCol w:w="297"/>
        <w:gridCol w:w="1185"/>
        <w:gridCol w:w="153"/>
        <w:gridCol w:w="287"/>
        <w:gridCol w:w="1124"/>
        <w:gridCol w:w="209"/>
      </w:tblGrid>
      <w:tr>
        <w:trPr/>
        <w:tc>
          <w:tcPr>
            <w:tcW w:w="112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other accounts receivable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254,194</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272,351 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promissory notes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21,535</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(3,754)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2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271,975</w:t>
            </w:r>
            <w:r>
              <w:rPr>
                <w:color w:val="000000"/>
              </w:rPr>
              <w:t> </w:t>
            </w:r>
          </w:p>
        </w:tc>
        <w:tc>
          <w:tcPr>
            <w:tcW w:w="1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287,781 </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had Noncurrent receivables in the AEC segment that represent revenue earned, which had extended payment terms. In 2023, the payment terms were amended and the Noncurrent receivables are now included in Trade and other accounts receivable. As of September 30, 2024 and December 31, 2023, Noncurrent receivables consisted of the following:</w:t>
      </w:r>
    </w:p>
    <w:tbl>
      <w:tblPr>
        <w:tblW w:w="6343" w:type="dxa"/>
        <w:jc w:val="left"/>
        <w:tblInd w:w="0" w:type="dxa"/>
        <w:tblLayout w:type="fixed"/>
        <w:tblCellMar>
          <w:top w:w="28" w:type="dxa"/>
          <w:left w:w="28" w:type="dxa"/>
          <w:bottom w:w="28" w:type="dxa"/>
          <w:right w:w="28" w:type="dxa"/>
        </w:tblCellMar>
      </w:tblPr>
      <w:tblGrid>
        <w:gridCol w:w="1117"/>
        <w:gridCol w:w="985"/>
        <w:gridCol w:w="988"/>
        <w:gridCol w:w="474"/>
        <w:gridCol w:w="914"/>
        <w:gridCol w:w="246"/>
        <w:gridCol w:w="348"/>
        <w:gridCol w:w="1017"/>
        <w:gridCol w:w="254"/>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receivables</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4,414 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receivables, net</w:t>
            </w:r>
          </w:p>
        </w:tc>
        <w:tc>
          <w:tcPr>
            <w:tcW w:w="4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4,392 </w:t>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11. Contract Assets and Liabilities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include unbilled amounts typically resulting from revenues under contracts when the over time method of revenue recognition is utilized, and revenue recognized exceeds the amount billed to the customer. Contract assets are transferred to Accounts receivable, net when the entitlement to pay becomes unconditional and the customer is invoiced. Contract liabilities include advance payments and billings in excess of revenue recognized. Contract liabilities are included in Accrued liabilities in the Consolidated Balance Sheets.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and Contract liabilities are reported on the Consolidated Balance Sheets in a net position on a contract-by-contract basis at the end of each reporting period.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2024 and December 31, 2023, Contract assets and Contract liabilities consisted of the following:</w:t>
      </w:r>
    </w:p>
    <w:tbl>
      <w:tblPr>
        <w:tblW w:w="6344" w:type="dxa"/>
        <w:jc w:val="left"/>
        <w:tblInd w:w="0" w:type="dxa"/>
        <w:tblLayout w:type="fixed"/>
        <w:tblCellMar>
          <w:top w:w="28" w:type="dxa"/>
          <w:left w:w="28" w:type="dxa"/>
          <w:bottom w:w="28" w:type="dxa"/>
          <w:right w:w="28" w:type="dxa"/>
        </w:tblCellMar>
      </w:tblPr>
      <w:tblGrid>
        <w:gridCol w:w="1117"/>
        <w:gridCol w:w="985"/>
        <w:gridCol w:w="987"/>
        <w:gridCol w:w="297"/>
        <w:gridCol w:w="1185"/>
        <w:gridCol w:w="153"/>
        <w:gridCol w:w="287"/>
        <w:gridCol w:w="1124"/>
        <w:gridCol w:w="209"/>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196,765</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183,189 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net</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195,782</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182,281 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7,122</w:t>
            </w:r>
            <w:r>
              <w:rPr>
                <w:color w:val="000000"/>
              </w:rPr>
              <w:t>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7,127 </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net increased $13.5 million during the nine months ended September 30, 2024. The increase was primarily due to an increase in unbilled revenue, primarily related to commercial and space programs. There were no impairment losses related to our Contract assets during the nine months ended September 30, 2024 and September 30, 2023.</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liabilities are essentially flat for the period ended September 30, 2024 compared to December 31, 2023, primarily due to revenue recognized from satisfied performance obligations were essentially offset by customer advance payments for commercial and defense programs. Revenue recognized for the nine months ended September 30, 2024 and 2023 that was included in the Contract liability balance at the beginning of the year was $3.7 million and $14.4 million, respectively.</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12. Inventories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As of September 30, 2024 and December 31, 2023, Inventories consisted of the following:</w:t>
      </w:r>
    </w:p>
    <w:tbl>
      <w:tblPr>
        <w:tblW w:w="4724" w:type="dxa"/>
        <w:jc w:val="left"/>
        <w:tblInd w:w="0" w:type="dxa"/>
        <w:tblLayout w:type="fixed"/>
        <w:tblCellMar>
          <w:top w:w="28" w:type="dxa"/>
          <w:left w:w="28" w:type="dxa"/>
          <w:bottom w:w="28" w:type="dxa"/>
          <w:right w:w="28" w:type="dxa"/>
        </w:tblCellMar>
      </w:tblPr>
      <w:tblGrid>
        <w:gridCol w:w="531"/>
        <w:gridCol w:w="468"/>
        <w:gridCol w:w="470"/>
        <w:gridCol w:w="297"/>
        <w:gridCol w:w="1185"/>
        <w:gridCol w:w="153"/>
        <w:gridCol w:w="287"/>
        <w:gridCol w:w="1124"/>
        <w:gridCol w:w="209"/>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84,257</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79,611 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Work in process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54,772</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67,743 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21,588</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inventories</w:t>
            </w:r>
          </w:p>
        </w:tc>
        <w:tc>
          <w:tcPr>
            <w:tcW w:w="2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160,617</w:t>
            </w:r>
            <w:r>
              <w:rPr>
                <w:color w:val="000000"/>
              </w:rPr>
              <w:t> </w:t>
            </w:r>
          </w:p>
        </w:tc>
        <w:tc>
          <w:tcPr>
            <w:tcW w:w="1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169,567 </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13. Goodwill and Other Intangible Assets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the gross carrying value, accumulated amortization and net values of intangible assets and goodwill as of September 30, 2024 and December 31, 2023:</w:t>
      </w:r>
    </w:p>
    <w:tbl>
      <w:tblPr>
        <w:tblW w:w="10205" w:type="dxa"/>
        <w:jc w:val="left"/>
        <w:tblInd w:w="0" w:type="dxa"/>
        <w:tblLayout w:type="fixed"/>
        <w:tblCellMar>
          <w:top w:w="28" w:type="dxa"/>
          <w:left w:w="28" w:type="dxa"/>
          <w:bottom w:w="28" w:type="dxa"/>
          <w:right w:w="28" w:type="dxa"/>
        </w:tblCellMar>
      </w:tblPr>
      <w:tblGrid>
        <w:gridCol w:w="1150"/>
        <w:gridCol w:w="999"/>
        <w:gridCol w:w="1000"/>
        <w:gridCol w:w="395"/>
        <w:gridCol w:w="395"/>
        <w:gridCol w:w="396"/>
        <w:gridCol w:w="346"/>
        <w:gridCol w:w="1383"/>
        <w:gridCol w:w="179"/>
        <w:gridCol w:w="440"/>
        <w:gridCol w:w="1537"/>
        <w:gridCol w:w="229"/>
        <w:gridCol w:w="305"/>
        <w:gridCol w:w="1223"/>
        <w:gridCol w:w="228"/>
      </w:tblGrid>
      <w:tr>
        <w:trPr/>
        <w:tc>
          <w:tcPr>
            <w:tcW w:w="115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w:t>
              <w:br/>
              <w:t>life in years</w:t>
            </w:r>
          </w:p>
        </w:tc>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2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1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6-15</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(194)</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10-15</w:t>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6,226</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(3,201)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3,025</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1,250</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(402)</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848</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8-15</w:t>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69,395</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(46,500)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22,895</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9,166</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(1,090)</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8,076</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86,245</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(51,387)</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34,858</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6,138</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6,138</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67,407</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67,407</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113,505</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113,505</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187,050</w:t>
            </w:r>
            <w:r>
              <w:rPr>
                <w:color w:val="000000"/>
              </w:rPr>
              <w:t>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187,050</w:t>
            </w:r>
            <w:r>
              <w:rPr>
                <w:color w:val="000000"/>
              </w:rPr>
              <w:t> </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0"/>
        <w:gridCol w:w="998"/>
        <w:gridCol w:w="999"/>
        <w:gridCol w:w="395"/>
        <w:gridCol w:w="395"/>
        <w:gridCol w:w="396"/>
        <w:gridCol w:w="350"/>
        <w:gridCol w:w="1376"/>
        <w:gridCol w:w="182"/>
        <w:gridCol w:w="440"/>
        <w:gridCol w:w="1537"/>
        <w:gridCol w:w="229"/>
        <w:gridCol w:w="309"/>
        <w:gridCol w:w="1216"/>
        <w:gridCol w:w="233"/>
      </w:tblGrid>
      <w:tr>
        <w:trPr/>
        <w:tc>
          <w:tcPr>
            <w:tcW w:w="115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w:t>
              <w:br/>
              <w:t>life in years</w:t>
            </w:r>
          </w:p>
        </w:tc>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2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1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6-15</w:t>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10-15</w:t>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w:t>
            </w:r>
          </w:p>
        </w:tc>
        <w:tc>
          <w:tcPr>
            <w:tcW w:w="17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8-15</w:t>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25,485 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c>
        <w:tc>
          <w:tcPr>
            <w:tcW w:w="17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(47,445)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38,576 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66,873 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113,308 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113,308 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186,251 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186,251 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before="120" w:after="283"/>
        <w:ind w:left="0" w:right="0" w:firstLine="360"/>
        <w:jc w:val="both"/>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changes in intangible assets, net and goodwill from December 31, 2023 to September 30, 2024, were as follows:</w:t>
      </w:r>
    </w:p>
    <w:tbl>
      <w:tblPr>
        <w:tblW w:w="9151" w:type="dxa"/>
        <w:jc w:val="left"/>
        <w:tblInd w:w="0" w:type="dxa"/>
        <w:tblLayout w:type="fixed"/>
        <w:tblCellMar>
          <w:top w:w="28" w:type="dxa"/>
          <w:left w:w="28" w:type="dxa"/>
          <w:bottom w:w="28" w:type="dxa"/>
          <w:right w:w="28" w:type="dxa"/>
        </w:tblCellMar>
      </w:tblPr>
      <w:tblGrid>
        <w:gridCol w:w="1062"/>
        <w:gridCol w:w="937"/>
        <w:gridCol w:w="940"/>
        <w:gridCol w:w="286"/>
        <w:gridCol w:w="1141"/>
        <w:gridCol w:w="147"/>
        <w:gridCol w:w="235"/>
        <w:gridCol w:w="453"/>
        <w:gridCol w:w="123"/>
        <w:gridCol w:w="253"/>
        <w:gridCol w:w="757"/>
        <w:gridCol w:w="131"/>
        <w:gridCol w:w="265"/>
        <w:gridCol w:w="604"/>
        <w:gridCol w:w="137"/>
        <w:gridCol w:w="294"/>
        <w:gridCol w:w="1172"/>
        <w:gridCol w:w="214"/>
      </w:tblGrid>
      <w:tr>
        <w:trPr/>
        <w:tc>
          <w:tcPr>
            <w:tcW w:w="106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Changes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w:t>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intangible assets:</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3,426</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3,025</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911</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848</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25,485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22,895</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8,732</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(767)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w:t>
            </w: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8,076</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intangible assets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38,576</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(3,877)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34,858</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6,070</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w:t>
            </w: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6,138</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66,873</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534</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67,407</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113,308</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197</w:t>
            </w: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113,505</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assets:</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186,251</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w:t>
            </w:r>
            <w:r>
              <w:rPr>
                <w:color w:val="000000"/>
              </w:rPr>
              <w:t>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187,050</w:t>
            </w:r>
            <w:r>
              <w:rPr>
                <w:color w:val="000000"/>
              </w:rPr>
              <w:t> </w:t>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360"/>
        <w:jc w:val="both"/>
        <w:rPr/>
      </w:pPr>
      <w:r>
        <w:rPr>
          <w:rFonts w:ascii="Arial;sans-serif" w:hAnsi="Arial;sans-serif"/>
          <w:b w:val="false"/>
          <w:color w:val="000000"/>
          <w:sz w:val="20"/>
          <w:shd w:fill="FFFFFF" w:val="clear"/>
        </w:rPr>
        <w:t xml:space="preserve">In the second quarter of 2024, management performed the quantitative assessment approach in conducting its annual evaluation of goodwill and indefinite-lived trademark intangibles and concluded that no impairment provision was required. </w:t>
      </w:r>
      <w:r>
        <w:rPr>
          <w:rFonts w:ascii="Arial;sans-serif" w:hAnsi="Arial;sans-serif"/>
          <w:b w:val="false"/>
          <w:color w:val="292627"/>
          <w:sz w:val="20"/>
        </w:rPr>
        <w:t>Our goodwill has been allocated to and is tested for impairment at a level referred to as the reporting unit, which management determined to be the business segment level.</w:t>
      </w:r>
      <w:r>
        <w:rPr>
          <w:color w:val="000000"/>
          <w:shd w:fill="FFFFFF" w:val="clear"/>
        </w:rPr>
        <w:t xml:space="preserve"> </w:t>
      </w:r>
      <w:r>
        <w:rPr>
          <w:rFonts w:ascii="Arial;sans-serif" w:hAnsi="Arial;sans-serif"/>
          <w:b w:val="false"/>
          <w:color w:val="000000"/>
          <w:sz w:val="20"/>
          <w:shd w:fill="FFFFFF" w:val="clear"/>
        </w:rPr>
        <w:t>As part of the quantitative assessment, management used the income and market approach to determine fair value by considering projected cash flows and market multiples for the Machine Clothing reporting unit and the AEC reporting unit. Management performed the quantitative assessments and concluded that each reporting unit’s fair value continued to significantly exceed its carrying value.</w:t>
      </w:r>
      <w:r>
        <w:rPr>
          <w:color w:val="000000"/>
        </w:rPr>
        <w:t xml:space="preserve"> </w:t>
      </w:r>
      <w:r>
        <w:rPr>
          <w:rFonts w:ascii="Arial;sans-serif" w:hAnsi="Arial;sans-serif"/>
          <w:b w:val="false"/>
          <w:color w:val="000000"/>
          <w:sz w:val="20"/>
          <w:shd w:fill="FFFFFF" w:val="clear"/>
        </w:rPr>
        <w:t xml:space="preserve">In addition, there were no amounts at risk due to the estimated spread between the fair and carrying values. Accordingly, no impairment charges were recorded.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the third quarter, the Company revised its estimates and assumptions used in certain program estimates at completion of its AEC reporting unit. As a result, on October 3, 2024, the Company reported a preliminary update to its full year outlook to reflect revised revenue and profitability expectations for the AEC segment. As a result of the change in estimates of certain program revenues and profits, we performed a qualitative assessment of the AEC reporting unit’s goodwill for impairment and concluded that goodwill was not impaired. The excess of the fair value of the AEC reporting unit over its carrying value reduced approximately 26% from previous quarters; and fair value continues to exceed the carrying value by more than 20%.</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14. Financial Instruments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Debt principally consists of a revolving credit agreement and foreign bank debt assumed in the 2023 acquisition of Heimbach. The following table represents the Company's outstanding debt:</w:t>
      </w:r>
    </w:p>
    <w:tbl>
      <w:tblPr>
        <w:tblW w:w="10205" w:type="dxa"/>
        <w:jc w:val="left"/>
        <w:tblInd w:w="0" w:type="dxa"/>
        <w:tblLayout w:type="fixed"/>
        <w:tblCellMar>
          <w:top w:w="28" w:type="dxa"/>
          <w:left w:w="28" w:type="dxa"/>
          <w:bottom w:w="28" w:type="dxa"/>
          <w:right w:w="28" w:type="dxa"/>
        </w:tblCellMar>
      </w:tblPr>
      <w:tblGrid>
        <w:gridCol w:w="124"/>
        <w:gridCol w:w="1758"/>
        <w:gridCol w:w="1739"/>
        <w:gridCol w:w="1745"/>
        <w:gridCol w:w="438"/>
        <w:gridCol w:w="1751"/>
        <w:gridCol w:w="226"/>
        <w:gridCol w:w="428"/>
        <w:gridCol w:w="1679"/>
        <w:gridCol w:w="317"/>
      </w:tblGrid>
      <w:tr>
        <w:trPr/>
        <w:tc>
          <w:tcPr>
            <w:tcW w:w="12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interest rates)</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2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under the Amended Credit Agreement (1)</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360,000</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446,000 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bank debt</w:t>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2,194</w:t>
            </w: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10,885 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bank debt</w:t>
            </w:r>
          </w:p>
        </w:tc>
        <w:tc>
          <w:tcPr>
            <w:tcW w:w="2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362,194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456,885 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maturities of long-term debt</w:t>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555</w:t>
            </w: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4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361,639</w:t>
            </w:r>
            <w:r>
              <w:rPr>
                <w:color w:val="000000"/>
              </w:rPr>
              <w:t> </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452,667 </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(1) the credit facility matures in August 2028. At the end of September 30, 2024 and December 31, 2023, the interest rate in effect was 2.50% and 3.49%, respectively, including the effect of interest rate hedging transactions, as described below.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Amended Credit Agreement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August 16, 2023, we entered into a $800 million unsecured committed Five-Year Revolving Credit Facility Agreement (the “Amended Credit Agreement”), which matures in August of 2028. The applicable interest rate for borrowings under the Amended Credit Agreement is based on Term SOFR plus a spread, which is based on our leverage ratio (as defined in the Amended Credit Agreement) at the time of a borrowing as follows:</w:t>
      </w:r>
    </w:p>
    <w:tbl>
      <w:tblPr>
        <w:tblW w:w="7063" w:type="dxa"/>
        <w:jc w:val="left"/>
        <w:tblInd w:w="0" w:type="dxa"/>
        <w:tblLayout w:type="fixed"/>
        <w:tblCellMar>
          <w:top w:w="28" w:type="dxa"/>
          <w:left w:w="28" w:type="dxa"/>
          <w:bottom w:w="28" w:type="dxa"/>
          <w:right w:w="28" w:type="dxa"/>
        </w:tblCellMar>
      </w:tblPr>
      <w:tblGrid>
        <w:gridCol w:w="922"/>
        <w:gridCol w:w="813"/>
        <w:gridCol w:w="815"/>
        <w:gridCol w:w="489"/>
        <w:gridCol w:w="489"/>
        <w:gridCol w:w="491"/>
        <w:gridCol w:w="354"/>
        <w:gridCol w:w="354"/>
        <w:gridCol w:w="356"/>
        <w:gridCol w:w="580"/>
        <w:gridCol w:w="580"/>
        <w:gridCol w:w="820"/>
      </w:tblGrid>
      <w:tr>
        <w:trPr/>
        <w:tc>
          <w:tcPr>
            <w:tcW w:w="9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Leverage Ratio</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Commitment Fee</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ABR Spread</w:t>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Benchmark/ Daily</w:t>
              <w:br/>
              <w:t>Simple SOFR Spread</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&lt;1.00:1.00</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0.275%</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0.500%</w:t>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1.00:1.00 and &lt; 2.00:1.00</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0.300%</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0.625%</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2.00:1.00 and &lt; 3.00:1.00</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0.325%</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0.750%</w:t>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1.750%</w:t>
            </w:r>
          </w:p>
        </w:tc>
      </w:tr>
      <w:tr>
        <w:trPr/>
        <w:tc>
          <w:tcPr>
            <w:tcW w:w="2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3.00:1.00</w:t>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0.350%</w:t>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w:t>
            </w:r>
          </w:p>
        </w:tc>
        <w:tc>
          <w:tcPr>
            <w:tcW w:w="1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2.000%</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September 30, 2024, the applicable interest rate for borrowings under the Amended Credit Agreement was based on one-month term SOFR plus the spread, which was 1.50%.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2024, there was $360 million of borrowings outstanding under the Amended Credit Agreement and we had borrowings available of $440 million, based on our maximum leverage ratio and our Consolidated EBITDA (as defined in the Amended Credit Agreement).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the Amended Credit Agreement, we are required to maintain a leverage ratio (as defined in the Credit Agreement) of not greater than 3.75 to 1.00, or 4.25 to 1.00 after a significant acquisition. We are also required to maintain a minimum interest coverage ratio (as defined in the Credit Agreement) of greater than 3.00 to 1.00. If our leverage ratio exceeds 3.50 to 1.00, we will be restricted in paying dividends to a maximum amount of $40 million in a calendar year.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2024, our leverage ratio was 0.99 to 1.00 and our interest coverage ratio was 15.39 to 1.00. As of September 30, 2024, we were in compliance with all applicable covenants. We anticipate continued compliance in each of the next four quarters while continuing to monitor future compliance based on current and future economic conditions.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borrowings are guaranteed by certain of the Company’s subsidiaries, including all significant U.S. subsidiaries (subject to certain exceptions), as defined in the Amended Credit Agreement. Our ability to borrow additional amounts under the Amended Credit Agreement is conditional upon the absence of any defaults, as well as the absence of any material adverse change (as defined in the Amended Credit Agreement).</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Interest Rate Swaps</w:t>
      </w:r>
    </w:p>
    <w:p>
      <w:pPr>
        <w:pStyle w:val="TextBody"/>
        <w:bidi w:val="0"/>
        <w:spacing w:lineRule="auto" w:line="288" w:before="120" w:after="283"/>
        <w:ind w:left="0" w:right="0" w:firstLine="360"/>
        <w:jc w:val="both"/>
        <w:rPr/>
      </w:pPr>
      <w:r>
        <w:rPr>
          <w:rFonts w:ascii="Arial;sans-serif" w:hAnsi="Arial;sans-serif"/>
          <w:b w:val="false"/>
          <w:color w:val="000000"/>
          <w:sz w:val="20"/>
        </w:rPr>
        <w:t>From time to time, the Company enters into interest rate swap contracts to manage the interest rate risk associated with its outstanding variable-interest rate borrowings. Such contracts are intended to economically hedge the reference rate component of future interest payments associated with outstanding borrowings under the Company’s Amended Credit Agreement. In 2021, we entered into interest rate swap agreements for the period of October 17, 2022 through October 27, 2024, to hedge $350 million of variable-interest rate indebtedness. The interest rate swaps are accounted for as a hedge of future cash flows, as further described in Note 15,</w:t>
      </w:r>
      <w:r>
        <w:rPr>
          <w:color w:val="000000"/>
        </w:rPr>
        <w:t xml:space="preserve"> </w:t>
      </w:r>
      <w:r>
        <w:rPr>
          <w:rFonts w:ascii="Arial;sans-serif" w:hAnsi="Arial;sans-serif"/>
          <w:b w:val="false"/>
          <w:i/>
          <w:color w:val="000000"/>
          <w:sz w:val="20"/>
        </w:rPr>
        <w:t>Fair-Value Measurements</w:t>
      </w:r>
      <w:r>
        <w:rPr>
          <w:rFonts w:ascii="Arial;sans-serif" w:hAnsi="Arial;sans-serif"/>
          <w:b w:val="false"/>
          <w:color w:val="000000"/>
          <w:sz w:val="20"/>
        </w:rPr>
        <w:t>. No cash collateral was received or pledged in relation to the swap agreements.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2024, the all-in rate on the $350 million of debt was 2.38%. Upon the expiration of the interest rate swap on October 28, 2024, our interest cost will increase significantly. Beginning in October 2024, our interest cost will be calculated using a floating rate based on the one-month term SOFR.</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15. Fair-Value Measurements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 Observable inputs other than quoted prices included in Level 1, such as quoted prices in markets that are not active or other inputs that are observable or can be corroborated by observable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Level 3 - Unobservable inputs that are supported by little or no market activity and are significant to the fair value of the assets or liabilities. This includes certain pricing models, discounted cash flow methodologies and similar techniques that use significant unobservable inputs.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had no Level 3 financial assets or liabilities at September 30, 2024 or at December 31, 2023, other than certain pension assets as indicated in our December 31, 2023 Annual Report on Form 10-K.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fair-value hierarchy for our Level 1 and Level 2 financial and non-financial assets and liabilities, which are measured at fair value on a recurring basis:</w:t>
      </w:r>
    </w:p>
    <w:tbl>
      <w:tblPr>
        <w:tblW w:w="9769" w:type="dxa"/>
        <w:jc w:val="left"/>
        <w:tblInd w:w="0" w:type="dxa"/>
        <w:tblLayout w:type="fixed"/>
        <w:tblCellMar>
          <w:top w:w="28" w:type="dxa"/>
          <w:left w:w="28" w:type="dxa"/>
          <w:bottom w:w="28" w:type="dxa"/>
          <w:right w:w="28" w:type="dxa"/>
        </w:tblCellMar>
      </w:tblPr>
      <w:tblGrid>
        <w:gridCol w:w="1697"/>
        <w:gridCol w:w="1496"/>
        <w:gridCol w:w="1501"/>
        <w:gridCol w:w="211"/>
        <w:gridCol w:w="736"/>
        <w:gridCol w:w="109"/>
        <w:gridCol w:w="109"/>
        <w:gridCol w:w="109"/>
        <w:gridCol w:w="109"/>
        <w:gridCol w:w="283"/>
        <w:gridCol w:w="545"/>
        <w:gridCol w:w="148"/>
        <w:gridCol w:w="109"/>
        <w:gridCol w:w="109"/>
        <w:gridCol w:w="109"/>
        <w:gridCol w:w="211"/>
        <w:gridCol w:w="721"/>
        <w:gridCol w:w="109"/>
        <w:gridCol w:w="109"/>
        <w:gridCol w:w="109"/>
        <w:gridCol w:w="109"/>
        <w:gridCol w:w="279"/>
        <w:gridCol w:w="537"/>
        <w:gridCol w:w="205"/>
      </w:tblGrid>
      <w:tr>
        <w:trPr/>
        <w:tc>
          <w:tcPr>
            <w:tcW w:w="169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Quoted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prices in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Quoted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prices in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inputs</w:t>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r>
      <w:tr>
        <w:trPr/>
        <w:tc>
          <w:tcPr>
            <w:tcW w:w="4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Foreign currency option contracts </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Other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of unaffiliated foreign public company (a)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1,722</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(1,105)</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(a)Original cost basis $0.5 million.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Cash equivalents include short-term securities that are considered to be highly liquid and easily tradable. These securities are valued using inputs observable in active markets for identical securities.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interest rate swaps are accounted for as hedges of future cash flows. The fair value of our interest rate swaps is derived from a discounted cash flow analysis based on the terms of the contract and the interest rate curve, and is included in Other assets and/or Other noncurrent liabilities in the Consolidated Balance Sheets. Amounts determined to be due within one year are reclassified to Other current assets and/or Accrued liabilities in the Consolidated Balance Sheets. Unrealized gains and losses on the interest rate swaps flow through the caption Derivative valuation adjustment in the Shareholders’ equity section of the Consolidated Balance Sheets. Amounts accumulated in Other comprehensive income are reclassified as interest expense/(income), net when the related interest payments (that is, the hedged forecasted transactions), affect earnings. Interest expense/(income) related to payments under the active swap agreements totaled $(10.9) million for the nine months ended September 30, 2024, and $(10.9) million for the nine months ended September 30, 2023.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Accrued liabilities, as applicable. Changes in fair value of these instruments are recorded as gains or losses within Other (income)/expense,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When exercised, the foreign currency instruments are net-settled with the same financial institution that bought or sold them. For all positions, whether options or forward contracts, there is a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88544e5021846a39d197907dda90e76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(Gains)/losses related to changes in fair value of derivative instruments that were recognized in Other (income)/expense, net in the Consolidated Statements of Income were as follows: </w:t>
      </w:r>
    </w:p>
    <w:tbl>
      <w:tblPr>
        <w:tblW w:w="10091" w:type="dxa"/>
        <w:jc w:val="left"/>
        <w:tblInd w:w="0" w:type="dxa"/>
        <w:tblLayout w:type="fixed"/>
        <w:tblCellMar>
          <w:top w:w="28" w:type="dxa"/>
          <w:left w:w="28" w:type="dxa"/>
          <w:bottom w:w="28" w:type="dxa"/>
          <w:right w:w="28" w:type="dxa"/>
        </w:tblCellMar>
      </w:tblPr>
      <w:tblGrid>
        <w:gridCol w:w="1551"/>
        <w:gridCol w:w="1368"/>
        <w:gridCol w:w="1371"/>
        <w:gridCol w:w="374"/>
        <w:gridCol w:w="961"/>
        <w:gridCol w:w="193"/>
        <w:gridCol w:w="374"/>
        <w:gridCol w:w="827"/>
        <w:gridCol w:w="193"/>
        <w:gridCol w:w="341"/>
        <w:gridCol w:w="1020"/>
        <w:gridCol w:w="176"/>
        <w:gridCol w:w="341"/>
        <w:gridCol w:w="753"/>
        <w:gridCol w:w="248"/>
      </w:tblGrid>
      <w:tr>
        <w:trPr/>
        <w:tc>
          <w:tcPr>
            <w:tcW w:w="155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options (gains)/losses</w:t>
            </w:r>
          </w:p>
        </w:tc>
        <w:tc>
          <w:tcPr>
            <w:tcW w:w="37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(485)</w:t>
            </w:r>
          </w:p>
        </w:tc>
        <w:tc>
          <w:tcPr>
            <w:tcW w:w="19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9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3,788</w:t>
            </w:r>
            <w:r>
              <w:rPr>
                <w:color w:val="000000"/>
              </w:rPr>
              <w:t> </w:t>
            </w:r>
          </w:p>
        </w:tc>
        <w:tc>
          <w:tcPr>
            <w:tcW w:w="17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2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left"/>
        <w:rPr/>
      </w:pPr>
      <w:r>
        <w:rPr/>
      </w:r>
    </w:p>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16. Commitments and Contingencies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Asbestos Litigation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 We were defending 3,642 claims as of September 30, 2024.</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the number of claims filed, the number of claims settled, dismissed or otherwise resolved, and the aggregate settlement amount during the periods presented:</w:t>
      </w:r>
    </w:p>
    <w:tbl>
      <w:tblPr>
        <w:tblW w:w="9024" w:type="dxa"/>
        <w:jc w:val="left"/>
        <w:tblInd w:w="0" w:type="dxa"/>
        <w:tblLayout w:type="fixed"/>
        <w:tblCellMar>
          <w:top w:w="28" w:type="dxa"/>
          <w:left w:w="28" w:type="dxa"/>
          <w:bottom w:w="28" w:type="dxa"/>
          <w:right w:w="28" w:type="dxa"/>
        </w:tblCellMar>
      </w:tblPr>
      <w:tblGrid>
        <w:gridCol w:w="1316"/>
        <w:gridCol w:w="1155"/>
        <w:gridCol w:w="1158"/>
        <w:gridCol w:w="321"/>
        <w:gridCol w:w="314"/>
        <w:gridCol w:w="316"/>
        <w:gridCol w:w="324"/>
        <w:gridCol w:w="324"/>
        <w:gridCol w:w="326"/>
        <w:gridCol w:w="344"/>
        <w:gridCol w:w="344"/>
        <w:gridCol w:w="346"/>
        <w:gridCol w:w="321"/>
        <w:gridCol w:w="314"/>
        <w:gridCol w:w="316"/>
        <w:gridCol w:w="422"/>
        <w:gridCol w:w="753"/>
        <w:gridCol w:w="310"/>
      </w:tblGrid>
      <w:tr>
        <w:trPr/>
        <w:tc>
          <w:tcPr>
            <w:tcW w:w="13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number of claims)</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Opening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Dismissed,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Settled, or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Resolved</w:t>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New Claims</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Closing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14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Paid to</w:t>
              <w:br/>
              <w:t>Settle or</w:t>
              <w:br/>
              <w:t>Resolve</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period ended December 31, 2023</w:t>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period ended September 30, 2024</w:t>
            </w:r>
          </w:p>
        </w:tc>
        <w:tc>
          <w:tcPr>
            <w:tcW w:w="63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3,606</w:t>
            </w:r>
            <w:r>
              <w:rPr>
                <w:color w:val="000000"/>
              </w:rPr>
              <w:t>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3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w:t>
            </w:r>
            <w:r>
              <w:rPr>
                <w:color w:val="000000"/>
              </w:rPr>
              <w:t> </w:t>
            </w:r>
          </w:p>
        </w:tc>
        <w:tc>
          <w:tcPr>
            <w:tcW w:w="34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3,642</w:t>
            </w:r>
            <w:r>
              <w:rPr>
                <w:color w:val="000000"/>
              </w:rPr>
              <w:t>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31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September 30, 2024, we had resolved, by means of settlement or dismissal, 38,050 claims at a total cost of $10.7 million. Of this amount, almost 100% was paid by our insurance carrier, who has confirmed that we have approximately $140 million of remaining coverage under primary and excess policies that should be available with respect to current and future asbestos claims.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Company’s subsidiary, Brandon Drying Fabrics, Inc. (“Brandon”), is also a separate defendant in many of the asbestos cases in which Albany is named as a defendant, despite never having manufactured any fabrics containing asbestos. While Brandon was defending against 7,676 claims as of September 30, 2024,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currently do not anticipate, based on currently available information, that the ultimate resolution of the aforementioned proceedings will have a material adverse effect on the financial position, results of operations, or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pStyle w:val="TextBody"/>
        <w:bidi w:val="0"/>
        <w:spacing w:before="120" w:after="283"/>
        <w:ind w:left="0" w:right="0" w:firstLine="360"/>
        <w:jc w:val="both"/>
        <w:rPr/>
      </w:pPr>
      <w:r>
        <w:rPr/>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17. Changes in Shareholders’ Equity</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changes in Shareholders’ Equity for the period December 31, 2023 to September 30, 2024:</w:t>
      </w:r>
    </w:p>
    <w:tbl>
      <w:tblPr>
        <w:tblW w:w="10762" w:type="dxa"/>
        <w:jc w:val="left"/>
        <w:tblInd w:w="0" w:type="dxa"/>
        <w:tblLayout w:type="fixed"/>
        <w:tblCellMar>
          <w:top w:w="28" w:type="dxa"/>
          <w:left w:w="28" w:type="dxa"/>
          <w:bottom w:w="28" w:type="dxa"/>
          <w:right w:w="28" w:type="dxa"/>
        </w:tblCellMar>
      </w:tblPr>
      <w:tblGrid>
        <w:gridCol w:w="408"/>
        <w:gridCol w:w="232"/>
        <w:gridCol w:w="216"/>
        <w:gridCol w:w="248"/>
        <w:gridCol w:w="248"/>
        <w:gridCol w:w="161"/>
        <w:gridCol w:w="176"/>
        <w:gridCol w:w="286"/>
        <w:gridCol w:w="109"/>
        <w:gridCol w:w="109"/>
        <w:gridCol w:w="1501"/>
        <w:gridCol w:w="166"/>
        <w:gridCol w:w="556"/>
        <w:gridCol w:w="109"/>
        <w:gridCol w:w="229"/>
        <w:gridCol w:w="895"/>
        <w:gridCol w:w="152"/>
        <w:gridCol w:w="166"/>
        <w:gridCol w:w="541"/>
        <w:gridCol w:w="109"/>
        <w:gridCol w:w="218"/>
        <w:gridCol w:w="218"/>
        <w:gridCol w:w="161"/>
        <w:gridCol w:w="287"/>
        <w:gridCol w:w="935"/>
        <w:gridCol w:w="189"/>
        <w:gridCol w:w="294"/>
        <w:gridCol w:w="773"/>
        <w:gridCol w:w="194"/>
        <w:gridCol w:w="166"/>
        <w:gridCol w:w="556"/>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Retained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earnings</w:t>
            </w:r>
          </w:p>
        </w:tc>
        <w:tc>
          <w:tcPr>
            <w:tcW w:w="12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1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Shareholders' Equity</w:t>
            </w:r>
          </w:p>
        </w:tc>
        <w:tc>
          <w:tcPr>
            <w:tcW w:w="876"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2023</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40,856</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448,218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1,010,942</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(133,168)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5,952</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967,320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27,291 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$0.26 per share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(8,122)</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March 31, 2024</w:t>
            </w:r>
          </w:p>
        </w:tc>
        <w:tc>
          <w:tcPr>
            <w:tcW w:w="4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40,898</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449,028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1,030,111</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(147,026)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6,076</w:t>
            </w:r>
            <w:r>
              <w:rPr>
                <w:color w:val="000000"/>
              </w:rPr>
              <w:t>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973,565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24,624 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Shares issued to Directors'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$0.26 per share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(8,123)</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2024</w:t>
            </w:r>
          </w:p>
        </w:tc>
        <w:tc>
          <w:tcPr>
            <w:tcW w:w="4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40,908</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452,461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1,046,612</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(166,907)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5,806</w:t>
            </w:r>
            <w:r>
              <w:rPr>
                <w:color w:val="000000"/>
              </w:rPr>
              <w:t>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973,348</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18,029 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$0.26 per share</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paid to noncontrolling interests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September 30, 2024</w:t>
            </w:r>
          </w:p>
        </w:tc>
        <w:tc>
          <w:tcPr>
            <w:tcW w:w="49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40,917</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452,656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1,056,514</w:t>
            </w:r>
            <w:r>
              <w:rPr>
                <w:color w:val="000000"/>
              </w:rPr>
              <w:t> </w:t>
            </w:r>
          </w:p>
        </w:tc>
        <w:tc>
          <w:tcPr>
            <w:tcW w:w="1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(153,549)</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5,679</w:t>
            </w:r>
            <w:r>
              <w:rPr>
                <w:color w:val="000000"/>
              </w:rPr>
              <w:t> </w:t>
            </w:r>
          </w:p>
        </w:tc>
        <w:tc>
          <w:tcPr>
            <w:tcW w:w="1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996,676</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changes in Shareholders’ Equity for the period December 31, 2022 to September 30, 2023:</w:t>
      </w:r>
    </w:p>
    <w:tbl>
      <w:tblPr>
        <w:tblW w:w="10807" w:type="dxa"/>
        <w:jc w:val="left"/>
        <w:tblInd w:w="0" w:type="dxa"/>
        <w:tblLayout w:type="fixed"/>
        <w:tblCellMar>
          <w:top w:w="28" w:type="dxa"/>
          <w:left w:w="28" w:type="dxa"/>
          <w:bottom w:w="28" w:type="dxa"/>
          <w:right w:w="28" w:type="dxa"/>
        </w:tblCellMar>
      </w:tblPr>
      <w:tblGrid>
        <w:gridCol w:w="396"/>
        <w:gridCol w:w="229"/>
        <w:gridCol w:w="231"/>
        <w:gridCol w:w="248"/>
        <w:gridCol w:w="248"/>
        <w:gridCol w:w="161"/>
        <w:gridCol w:w="176"/>
        <w:gridCol w:w="286"/>
        <w:gridCol w:w="109"/>
        <w:gridCol w:w="109"/>
        <w:gridCol w:w="1501"/>
        <w:gridCol w:w="166"/>
        <w:gridCol w:w="556"/>
        <w:gridCol w:w="109"/>
        <w:gridCol w:w="341"/>
        <w:gridCol w:w="1144"/>
        <w:gridCol w:w="226"/>
        <w:gridCol w:w="166"/>
        <w:gridCol w:w="541"/>
        <w:gridCol w:w="109"/>
        <w:gridCol w:w="218"/>
        <w:gridCol w:w="218"/>
        <w:gridCol w:w="161"/>
        <w:gridCol w:w="287"/>
        <w:gridCol w:w="935"/>
        <w:gridCol w:w="189"/>
        <w:gridCol w:w="203"/>
        <w:gridCol w:w="534"/>
        <w:gridCol w:w="134"/>
        <w:gridCol w:w="166"/>
        <w:gridCol w:w="55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Retained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earnings</w:t>
            </w:r>
          </w:p>
        </w:tc>
        <w:tc>
          <w:tcPr>
            <w:tcW w:w="17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1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w:t>
              <w:br/>
              <w:t>Shareholders' Equity</w:t>
            </w:r>
          </w:p>
        </w:tc>
        <w:tc>
          <w:tcPr>
            <w:tcW w:w="876"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2"/>
              </w:rPr>
            </w:pPr>
            <w:r>
              <w:rPr>
                <w:rFonts w:ascii="Arial;sans-serif" w:hAnsi="Arial;sans-serif"/>
                <w:b/>
                <w:color w:val="000000"/>
                <w:sz w:val="12"/>
              </w:rPr>
              <w:t>(in thousands)</w:t>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2022</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40,785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441,540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931,318</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9,675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(364,923)</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4,494</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867,543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26,889 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$0.25 per share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March 31, 2023</w:t>
            </w:r>
          </w:p>
        </w:tc>
        <w:tc>
          <w:tcPr>
            <w:tcW w:w="4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40,842</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441,917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1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950,415</w:t>
            </w: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(134,864)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9,675</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(364,923)</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4,929</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897,515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26,672 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Shares issued to Directors'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$0.25 per share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2023</w:t>
            </w:r>
          </w:p>
        </w:tc>
        <w:tc>
          <w:tcPr>
            <w:tcW w:w="4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40,842</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443,556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1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969,292</w:t>
            </w: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(137,767)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9,663</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5,262</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915,719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27,109 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$0.25 per share</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Initial equity related to Noncontrolling interest in Arcari</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September 30, 2023</w:t>
            </w:r>
          </w:p>
        </w:tc>
        <w:tc>
          <w:tcPr>
            <w:tcW w:w="49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40,857</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446,470</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1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988,602</w:t>
            </w:r>
            <w:r>
              <w:rPr>
                <w:color w:val="000000"/>
              </w:rPr>
              <w:t> </w:t>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(155,609)</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6,794</w:t>
            </w:r>
            <w:r>
              <w:rPr>
                <w:color w:val="000000"/>
              </w:rPr>
              <w:t> </w:t>
            </w:r>
          </w:p>
        </w:tc>
        <w:tc>
          <w:tcPr>
            <w:tcW w:w="1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921,633</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18. Business Combination</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On August 31, 2023, the Company acquired all the outstanding shares of Heimbach, a privately-held manufacturer of paper machine clothing with headquarters in Düren, Germany. For the three and nine months ended September 30, 2024, there were no material adjustments to the assets acquired and liabilities assumed. As of September 30, 2024, management’s review of the purchase price allocation has been completed.</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19. Subsequent Events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evaluated subsequent events through the issuance date of these financial statements in Form 10-Q. No material subsequent events were identified that require disclosure.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"forecast,"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There are a number of risks, uncertainties, and other important factors that could cause actual results to differ materially from the forward-looking statements, including, but not limited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Conditions in the industries in which our Machine Clothing and Albany Engineered Composites segments compete, along with the general risks associated with macroeconomic conditions, including higher interest rates, inflationary pressures, or the effects of another pandemic, for an extended period of time;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Across the entire Company, increasing labor, raw material, energy, or logistics costs due to supply chain constraints and inflationary pressures. These challenges have only increased as a result of the ongoing Russia-Ukraine war and the conflict in the Middle East;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Across both segments, potential ports strikes could cause additional disruptions to our supply chain;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Harm caused by changes in our relationships or contracts with suppliers and customers;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Machine Clothing segment, greater than anticipated declines in the demand for publication grades of paper, or lower than anticipated growth in other paper grades;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longer-than-expected timeframe for the aerospace industry to utilize existing inventories, unanticipated reductions in demand, delays, technical difficulties, and cancellations in aerospace programs that are expected to generate revenue and drive long-term growth;</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Inability of our Machine Clothing or Albany Engineered Composite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Changes in geopolitical conditions impacting countries where the Company does or intends to do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Failure to achieve or maintain anticipated profitable growth;</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Failure to achieve our strategic initiatives and other goals, including, but not limited to, our sustainability goals;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the estimates and expectations based on aircraft production rates provided by Airbus, Boeing and others;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risks associated with changes in estimates and assumptions that could result in a decline in program gross margins or turn a profitable program into a loss program;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Adverse impacts from inflation, an economic slowdown or recession and by disruption in capital and credit markets that might impede our access to credit, increase our borrowing costs and impair the financial soundness of our customers and suppliers;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Expectations regarding our ability to attract, motivate, and retain the workforce necessary to execute our business strategy and other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Adverse impacts from fluctuations in foreign currency exchange rates;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Harm caused by large customer purchase reductions, payment defaults or contract non-renewal;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future funding and compliance risks associated with our contracts with government entities, OEM customers or prime contractors on contracts with government entities;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Costly and disruptive legal disputes and settlements;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Future levels of indebtedness and capital expenditures;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Adverse impacts from changes in tax legislation or challenges to our tax positions;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Cybersecurity incidents or significant computer system compromises or data breaches;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Significant problems with information systems or networks;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Failure to adequately integrate the Heimbach Group companies into our business systems and processes within the expected timeframe or, failure to or delayed realization of anticipated benefits of the acquisition could adversely impact the Company’s business, financial condition and results of operations;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Other risks and uncertainties detailed in this report and other periodic reports.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Further information concerning important factors that could cause actual events or results to be materially different from the forward-looking statements can be found in the “Business Environment Overview and Trends” sections of this quarterly report, as well as in the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Business Environment Overview and Trends</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Machine Clothing Segment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During the third quarter of 2024, the Company announced that Merle Stein was appointed President of the Machine Clothing (“MC”) segment, after serving as the Segment’s Chief Operating Officer. Mr. Stein has considerable experience in the paper and pulp industries, significant knowledge of the MC business, and a strategic understanding of the markets it serves. Mr. Stein joined the Company in 2011.</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MC segment global backlog is stable and profitability continues to improve despite challenges in Europe, and, to a lesser degree, softness in China. North America is stable. The integration of Heimbach is on track with our internal plans. We transitioned Heimbach’s Paper Machine Clothing (“PMC”) businesses onto our SAP platform in July, an integral step to integrate Heimbach into the MC business.</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Albany Engineered Composites Segment</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the third quarter, the Company announced the appointment of Christopher Stone as President of the Albany Engineered Composites segment. Mr. Stone brings a deep knowledge of the Aerospace and Defense industry, and considerable operational experiences to his new role. He has held a wide range of leadership positions at public companies, with a focus in manufacturing and supply chain management, business operations, production control, logistics and organizational transformation.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AEC segment continues to ramp-up production levels on commercial, defense, and space programs. In the third quarter of 2024, the Company updated its labor, material input and scrap assumptions and estimates of certain long-term programs that resulted in a negative cumulative change in estimated profitability in the amount of $22.4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million. The negative cumulative change in profitability was primarily driven by a few large complex programs, including $13.3 million for various CH-53K programs, $6.5 million on our Gulfstream program, $2.2 million on our F-35 program, and $0.4 million, net on all other programs.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Boeing and Airbus SE had earlier announced increases in build rates in 2024 compared to 2023. During the year, both OEMs announced slower production rates than initially projected. We are seeing lower production rates on our Boeing 787 program causing AEC to slow its production on its content for this program for the remainder of 2024. Furthermore, although we have not yet experienced an adverse impact as a result of the Boeing Machinist strike, we are monitoring the strike and its potential impact on our future production rates.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Airbus SE has indicated that their expected ramp on the A320 will be pushed out beyond previous expectations. We have decreased our LEAP production forecast for the remainder of 2024; and we are working with our customer, Safran, to determine the appropriate production volumes for our LEAP production into 2025.</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Also, please refer to the Business Environment Overview and Trends in the Management's Discussion and Analysis of Financial Condition and Results of Operations in our Annual Report on Form 10-K for the year ended December 31, 2023 and in our Forms 10-Q previously filed with the SEC in 2024. The Annual Report on Form 10-K, along with the Company's other filings, can be found on the Securities and Exchange Commission's website, www.sec.gov, as well as on the Company's website: www.albint.com.</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Net revenues by business segment:</w:t>
      </w:r>
    </w:p>
    <w:tbl>
      <w:tblPr>
        <w:tblW w:w="9667" w:type="dxa"/>
        <w:jc w:val="left"/>
        <w:tblInd w:w="0" w:type="dxa"/>
        <w:tblLayout w:type="fixed"/>
        <w:tblCellMar>
          <w:top w:w="28" w:type="dxa"/>
          <w:left w:w="28" w:type="dxa"/>
          <w:bottom w:w="28" w:type="dxa"/>
          <w:right w:w="28" w:type="dxa"/>
        </w:tblCellMar>
      </w:tblPr>
      <w:tblGrid>
        <w:gridCol w:w="1059"/>
        <w:gridCol w:w="931"/>
        <w:gridCol w:w="934"/>
        <w:gridCol w:w="220"/>
        <w:gridCol w:w="880"/>
        <w:gridCol w:w="114"/>
        <w:gridCol w:w="220"/>
        <w:gridCol w:w="864"/>
        <w:gridCol w:w="114"/>
        <w:gridCol w:w="204"/>
        <w:gridCol w:w="204"/>
        <w:gridCol w:w="508"/>
        <w:gridCol w:w="213"/>
        <w:gridCol w:w="852"/>
        <w:gridCol w:w="110"/>
        <w:gridCol w:w="213"/>
        <w:gridCol w:w="837"/>
        <w:gridCol w:w="110"/>
        <w:gridCol w:w="255"/>
        <w:gridCol w:w="256"/>
        <w:gridCol w:w="56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4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183,033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561,828</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115,353</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114,518 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381,882</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345,298 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298,386</w:t>
            </w:r>
            <w:r>
              <w:rPr>
                <w:color w:val="000000"/>
              </w:rPr>
              <w:t>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281,106 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5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943,710</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824,325 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5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6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provide a comparison of 2024 Net revenues, excluding currency translation effects, to 2023 Net revenues:</w:t>
      </w:r>
    </w:p>
    <w:tbl>
      <w:tblPr>
        <w:tblW w:w="10205" w:type="dxa"/>
        <w:jc w:val="left"/>
        <w:tblInd w:w="0" w:type="dxa"/>
        <w:tblLayout w:type="fixed"/>
        <w:tblCellMar>
          <w:top w:w="28" w:type="dxa"/>
          <w:left w:w="28" w:type="dxa"/>
          <w:bottom w:w="28" w:type="dxa"/>
          <w:right w:w="28" w:type="dxa"/>
        </w:tblCellMar>
      </w:tblPr>
      <w:tblGrid>
        <w:gridCol w:w="532"/>
        <w:gridCol w:w="468"/>
        <w:gridCol w:w="469"/>
        <w:gridCol w:w="272"/>
        <w:gridCol w:w="1085"/>
        <w:gridCol w:w="140"/>
        <w:gridCol w:w="491"/>
        <w:gridCol w:w="1087"/>
        <w:gridCol w:w="257"/>
        <w:gridCol w:w="381"/>
        <w:gridCol w:w="1491"/>
        <w:gridCol w:w="196"/>
        <w:gridCol w:w="273"/>
        <w:gridCol w:w="1071"/>
        <w:gridCol w:w="141"/>
        <w:gridCol w:w="384"/>
        <w:gridCol w:w="373"/>
        <w:gridCol w:w="109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4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Q3 2024</w:t>
            </w:r>
          </w:p>
        </w:tc>
        <w:tc>
          <w:tcPr>
            <w:tcW w:w="18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(Decrease)/ increase due to changes in currency translation rates</w:t>
            </w:r>
          </w:p>
        </w:tc>
        <w:tc>
          <w:tcPr>
            <w:tcW w:w="2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2024 revenues on same basis as Q3 2023 currency translation rates</w:t>
            </w:r>
          </w:p>
        </w:tc>
        <w:tc>
          <w:tcPr>
            <w:tcW w:w="14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Q3 2023</w:t>
            </w:r>
          </w:p>
        </w:tc>
        <w:tc>
          <w:tcPr>
            <w:tcW w:w="18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 compared to Q3 2023, excluding currency rate effects</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183,033</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166,588 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115,353</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115,194 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114,518 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298,386</w:t>
            </w:r>
            <w:r>
              <w:rPr>
                <w:color w:val="000000"/>
              </w:rPr>
              <w:t> </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297,500 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281,106 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531"/>
        <w:gridCol w:w="467"/>
        <w:gridCol w:w="468"/>
        <w:gridCol w:w="275"/>
        <w:gridCol w:w="1097"/>
        <w:gridCol w:w="142"/>
        <w:gridCol w:w="481"/>
        <w:gridCol w:w="1097"/>
        <w:gridCol w:w="249"/>
        <w:gridCol w:w="373"/>
        <w:gridCol w:w="1460"/>
        <w:gridCol w:w="192"/>
        <w:gridCol w:w="276"/>
        <w:gridCol w:w="1083"/>
        <w:gridCol w:w="142"/>
        <w:gridCol w:w="455"/>
        <w:gridCol w:w="360"/>
        <w:gridCol w:w="1057"/>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YTD 2024</w:t>
            </w:r>
          </w:p>
        </w:tc>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(Decrease)/ increase due to changes in currency translation rates</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2024 revenues on same basis as 2023 currency translation rates</w:t>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YTD 2023</w:t>
            </w:r>
          </w:p>
        </w:tc>
        <w:tc>
          <w:tcPr>
            <w:tcW w:w="1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 compared to 2023, excluding currency rate effects</w:t>
            </w:r>
          </w:p>
        </w:tc>
      </w:tr>
      <w:tr>
        <w:trPr/>
        <w:tc>
          <w:tcPr>
            <w:tcW w:w="1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561,828</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562,827 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479,027 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381,882</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381,721 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345,298 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0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943,710</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944,548 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824,325 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Three month comparison</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Net revenues increased 6.1% compared to the same period in 2023, driven by an increase in Net revenues from the Heimbach acquisition and stable Net revenues in AEC in line with the prior year, partially offset by lower organic Net revenues at MC.</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MC's Net revenues increased 9.9% compared to the third quarter of 2023 driven by an increase in Heimbach Net revenues of $17.4 million. This was partially offset by $1.7 million of lower Net Revenues in the rest of the segment, due to lower revenues in packaging and publication grades. In addition, changes in currency translation rates had the effect of increasing Net revenues $0.7 million.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AEC's Net revenues were largely in line with the prior year, increasing $0.8 million or 0.7%, primarily driven by growth on certain commercial and space programs, which was partially offset by lower revenues on CH-53K and other defense programs. Changes in currency translation rates had an insignificant effect on Net revenues.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Nine month comparison</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Net revenues increased 14.5% compared to the same period in 2023, driven by an increase of Net revenues from the Heimbach acquisition and higher Net revenues in AEC, partially offset by lower organic Net revenues at MC.</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MC's Net revenues increased 17.3% compared to the same period in 2023 driven by an increase in Heimbach Net revenues of $95.0 million. This was partially offset by $11.2 million of lower Net revenues in the rest of the segment, driven primarily by weakness in publication globally, and in most grades in Europe, as well as decreased sales in packaging grades. Changes in currency translation rates had the effect of decreasing Net revenues $1.0 million.</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AEC's Net revenues increased 10.6%, primarily driven by growth on certain commercial and space programs, which was partially offset by lower revenues on the F-35 program. Changes in currency translation rates had an insignificant effect on Net revenues.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Gross profit by business segment:</w:t>
      </w:r>
    </w:p>
    <w:tbl>
      <w:tblPr>
        <w:tblW w:w="8725" w:type="dxa"/>
        <w:jc w:val="left"/>
        <w:tblInd w:w="0" w:type="dxa"/>
        <w:tblLayout w:type="fixed"/>
        <w:tblCellMar>
          <w:top w:w="28" w:type="dxa"/>
          <w:left w:w="28" w:type="dxa"/>
          <w:bottom w:w="28" w:type="dxa"/>
          <w:right w:w="28" w:type="dxa"/>
        </w:tblCellMar>
      </w:tblPr>
      <w:tblGrid>
        <w:gridCol w:w="1059"/>
        <w:gridCol w:w="931"/>
        <w:gridCol w:w="934"/>
        <w:gridCol w:w="244"/>
        <w:gridCol w:w="852"/>
        <w:gridCol w:w="313"/>
        <w:gridCol w:w="244"/>
        <w:gridCol w:w="956"/>
        <w:gridCol w:w="313"/>
        <w:gridCol w:w="227"/>
        <w:gridCol w:w="905"/>
        <w:gridCol w:w="291"/>
        <w:gridCol w:w="227"/>
        <w:gridCol w:w="889"/>
        <w:gridCol w:w="340"/>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88,921</w:t>
            </w: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79,257 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262,449</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238,031 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1,463</w:t>
            </w: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49,004</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65,826 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90,384</w:t>
            </w: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101,835 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311,453</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303,857 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9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30.3</w:t>
            </w:r>
            <w:r>
              <w:rPr>
                <w:color w:val="000000"/>
              </w:rPr>
              <w:t> </w:t>
            </w:r>
          </w:p>
        </w:tc>
        <w:tc>
          <w:tcPr>
            <w:tcW w:w="3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20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3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3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33.0</w:t>
            </w:r>
            <w:r>
              <w:rPr>
                <w:color w:val="000000"/>
              </w:rPr>
              <w:t> </w:t>
            </w:r>
          </w:p>
        </w:tc>
        <w:tc>
          <w:tcPr>
            <w:tcW w:w="2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1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3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Three month comparison</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The decrease in 2024 Gross profit, as compared to the same period last year, was driven by increased cost assumptions that adjusted the expected profitability of certain long-term contracts in the AEC segment. Gross profit as a percentage of revenues was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MC's gross profit margin increased from 47.6% in 2023 to 48.6% in 2024, primarily attributable to reduced input costs.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AEC's gross profit margin decreased from 19.7% in 2023 to 1.3% in 2024, driven primarily by cumulative changes in the estimated profitability of long-term contracts, which decreased gross profit by $22.4 million in 2024, as compared to a increase of $0.9 million during the same period last year.</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Nine month comparison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decrease in Gross profit during the first nine months of 2024, as compared to the same period in 2023, was driven by increased cost assumptions that adjusted the expected profitability of certain long-term contracts in the AEC segment. Gross profit as a percentage of revenues was as follows:</w:t>
      </w:r>
    </w:p>
    <w:p>
      <w:pPr>
        <w:pStyle w:val="TextBody"/>
        <w:bidi w:val="0"/>
        <w:spacing w:lineRule="auto" w:line="288" w:before="120" w:after="283"/>
        <w:jc w:val="both"/>
        <w:rPr/>
      </w:pPr>
      <w:r>
        <w:rPr>
          <w:color w:val="000000"/>
        </w:rPr>
        <w:t>•</w:t>
      </w:r>
      <w:r>
        <w:rPr>
          <w:rFonts w:ascii="Arial;sans-serif" w:hAnsi="Arial;sans-serif"/>
          <w:b w:val="false"/>
          <w:color w:val="000000"/>
          <w:sz w:val="20"/>
        </w:rPr>
        <w:t>MC's gross profit margin decreased from 49.7% in</w:t>
      </w:r>
      <w:r>
        <w:rPr>
          <w:color w:val="000000"/>
        </w:rPr>
        <w:t xml:space="preserve"> </w:t>
      </w:r>
      <w:r>
        <w:rPr>
          <w:rFonts w:ascii="Arial;sans-serif" w:hAnsi="Arial;sans-serif"/>
          <w:b w:val="false"/>
          <w:color w:val="000000"/>
          <w:sz w:val="20"/>
        </w:rPr>
        <w:t>2023 to 46.7% in</w:t>
      </w:r>
      <w:r>
        <w:rPr>
          <w:color w:val="000000"/>
        </w:rPr>
        <w:t xml:space="preserve"> </w:t>
      </w:r>
      <w:r>
        <w:rPr>
          <w:rFonts w:ascii="Arial;sans-serif" w:hAnsi="Arial;sans-serif"/>
          <w:b w:val="false"/>
          <w:color w:val="000000"/>
          <w:sz w:val="20"/>
        </w:rPr>
        <w:t xml:space="preserve">2024. This margin decrease was primarily attributable to lower gross margin at Heimbach. </w:t>
      </w:r>
    </w:p>
    <w:p>
      <w:pPr>
        <w:pStyle w:val="TextBody"/>
        <w:bidi w:val="0"/>
        <w:spacing w:lineRule="auto" w:line="288" w:before="120" w:after="283"/>
        <w:jc w:val="both"/>
        <w:rPr/>
      </w:pPr>
      <w:r>
        <w:rPr>
          <w:color w:val="000000"/>
        </w:rPr>
        <w:t>•</w:t>
      </w:r>
      <w:r>
        <w:rPr>
          <w:rFonts w:ascii="Arial;sans-serif" w:hAnsi="Arial;sans-serif"/>
          <w:b w:val="false"/>
          <w:color w:val="000000"/>
          <w:sz w:val="20"/>
        </w:rPr>
        <w:t xml:space="preserve">AEC's gross profit margin decreased from 19.1% in 2023 to 12.8% in 2024, driven primarily by cumulative changes in the estimated profitability of long-term contracts, which decreased gross profit by $28.3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2024, as compared to a decrease of $4.1 million during the same period last year, partially offset by a favorable shift in revenue mix to commercial and space programs.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Selling, General, and Administrative ("SG&amp;A")</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SG&amp;A expenses by business segment:</w:t>
      </w:r>
    </w:p>
    <w:tbl>
      <w:tblPr>
        <w:tblW w:w="8727" w:type="dxa"/>
        <w:jc w:val="left"/>
        <w:tblInd w:w="0" w:type="dxa"/>
        <w:tblLayout w:type="fixed"/>
        <w:tblCellMar>
          <w:top w:w="28" w:type="dxa"/>
          <w:left w:w="28" w:type="dxa"/>
          <w:bottom w:w="28" w:type="dxa"/>
          <w:right w:w="28" w:type="dxa"/>
        </w:tblCellMar>
      </w:tblPr>
      <w:tblGrid>
        <w:gridCol w:w="1059"/>
        <w:gridCol w:w="931"/>
        <w:gridCol w:w="934"/>
        <w:gridCol w:w="255"/>
        <w:gridCol w:w="889"/>
        <w:gridCol w:w="327"/>
        <w:gridCol w:w="255"/>
        <w:gridCol w:w="871"/>
        <w:gridCol w:w="327"/>
        <w:gridCol w:w="227"/>
        <w:gridCol w:w="905"/>
        <w:gridCol w:w="291"/>
        <w:gridCol w:w="227"/>
        <w:gridCol w:w="889"/>
        <w:gridCol w:w="340"/>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28,191</w:t>
            </w: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22,442 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83,813</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7,920</w:t>
            </w: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9,519 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24,228</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26,270 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15,986</w:t>
            </w: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54,406</w:t>
            </w: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54,747 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52,097</w:t>
            </w:r>
            <w:r>
              <w:rPr>
                <w:color w:val="000000"/>
              </w:rPr>
              <w:t> </w:t>
            </w:r>
          </w:p>
        </w:tc>
        <w:tc>
          <w:tcPr>
            <w:tcW w:w="3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51,975 </w:t>
            </w:r>
          </w:p>
        </w:tc>
        <w:tc>
          <w:tcPr>
            <w:tcW w:w="3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162,447</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147,214 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14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w:t>
            </w:r>
            <w:r>
              <w:rPr>
                <w:color w:val="000000"/>
              </w:rPr>
              <w:t> </w:t>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1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w:t>
            </w:r>
            <w:r>
              <w:rPr>
                <w:color w:val="000000"/>
              </w:rPr>
              <w:t> </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1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Three month comparison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Consolidated SG&amp;A expenses increased 0.2% as compared to 2023, however, as a percentage of Net revenues, SG&amp;A expenses decreased from 18.5% in 2023 to 17.5% in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MC SG&amp;A expenses increased $5.7 million as compared to 2023, with a $3.9 million increase related to Heimbach, a $1.2 million increase due to changes in currency translation rates, and a $0.6 million increase in professional, consulting, and personnel-related costs.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AEC, SG&amp;A expenses decreased $1.6 million, primarily driven by lower incentive compensation and personnel-related costs.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Corporate SG&amp;A expenses decreased $4.0 million, principally due to lower incentive compensation and personnel-related costs.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Nine month comparison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Consolidated SG&amp;A expenses increased 10.3% as compared to 2023, however, as a percentage of Net revenues, SG&amp;A expenses decreased from 17.9% in 2023 to 17.2% in 2024.</w:t>
      </w:r>
    </w:p>
    <w:p>
      <w:pPr>
        <w:pStyle w:val="TextBody"/>
        <w:bidi w:val="0"/>
        <w:spacing w:lineRule="auto" w:line="288" w:before="200" w:after="283"/>
        <w:ind w:left="0" w:right="0" w:firstLine="360"/>
        <w:jc w:val="both"/>
        <w:rPr>
          <w:rFonts w:ascii="Arial;sans-serif" w:hAnsi="Arial;sans-serif"/>
          <w:b w:val="false"/>
          <w:color w:val="000000"/>
          <w:sz w:val="20"/>
        </w:rPr>
      </w:pPr>
      <w:r>
        <w:rPr>
          <w:rFonts w:ascii="Arial;sans-serif" w:hAnsi="Arial;sans-serif"/>
          <w:b w:val="false"/>
          <w:color w:val="000000"/>
          <w:sz w:val="20"/>
        </w:rPr>
        <w:t>The overall increase in SG&amp;A expenses in the first nine months of 2024, compared to the same period in 2023, was due to the net effect of the following:</w:t>
      </w:r>
    </w:p>
    <w:p>
      <w:pPr>
        <w:pStyle w:val="TextBody"/>
        <w:bidi w:val="0"/>
        <w:spacing w:lineRule="auto" w:line="288" w:before="200" w:after="283"/>
        <w:ind w:left="0" w:right="0" w:hanging="360"/>
        <w:jc w:val="both"/>
        <w:rPr/>
      </w:pPr>
      <w:r>
        <w:rPr>
          <w:color w:val="000000"/>
        </w:rPr>
        <w:t>•</w:t>
      </w:r>
      <w:r>
        <w:rPr>
          <w:rFonts w:ascii="Arial;sans-serif" w:hAnsi="Arial;sans-serif"/>
          <w:b w:val="false"/>
          <w:color w:val="000000"/>
          <w:sz w:val="20"/>
        </w:rPr>
        <w:t xml:space="preserve">MC SG&amp;A expenses increased $17.6 million as compared to 2023, with a $20.4 million increase related to Heimbach and a $0.9 million increase related to personnel-related and travel costs, partially offset by a $3.7 million decrease due to changes in currency translation rates.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AEC, SG&amp;A expenses decreased $2.0 million, driven by a $0.8 million decrease in personnel-related costs, a $0.8 million decrease in marketing costs, and a $0.4 million decrease in professional and consulting fees.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Corporate SG&amp;A expenses remained largely in line with the prior year, decreasing $0.3 million.</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Technical and Research</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technical and research expenses by business segment:</w:t>
      </w:r>
    </w:p>
    <w:tbl>
      <w:tblPr>
        <w:tblW w:w="8725" w:type="dxa"/>
        <w:jc w:val="left"/>
        <w:tblInd w:w="0" w:type="dxa"/>
        <w:tblLayout w:type="fixed"/>
        <w:tblCellMar>
          <w:top w:w="28" w:type="dxa"/>
          <w:left w:w="28" w:type="dxa"/>
          <w:bottom w:w="28" w:type="dxa"/>
          <w:right w:w="28" w:type="dxa"/>
        </w:tblCellMar>
      </w:tblPr>
      <w:tblGrid>
        <w:gridCol w:w="1059"/>
        <w:gridCol w:w="931"/>
        <w:gridCol w:w="934"/>
        <w:gridCol w:w="266"/>
        <w:gridCol w:w="929"/>
        <w:gridCol w:w="342"/>
        <w:gridCol w:w="266"/>
        <w:gridCol w:w="778"/>
        <w:gridCol w:w="342"/>
        <w:gridCol w:w="246"/>
        <w:gridCol w:w="859"/>
        <w:gridCol w:w="316"/>
        <w:gridCol w:w="246"/>
        <w:gridCol w:w="842"/>
        <w:gridCol w:w="36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7,042</w:t>
            </w: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22,066</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18,207 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3,802</w:t>
            </w: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3,685 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13,303</w:t>
            </w: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12,096 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10,844</w:t>
            </w: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9,708 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35,369</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30,303 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19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w:t>
            </w:r>
            <w:r>
              <w:rPr>
                <w:color w:val="000000"/>
              </w:rPr>
              <w:t> </w:t>
            </w:r>
          </w:p>
        </w:tc>
        <w:tc>
          <w:tcPr>
            <w:tcW w:w="3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4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0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w:t>
            </w:r>
            <w:r>
              <w:rPr>
                <w:color w:val="000000"/>
              </w:rPr>
              <w:t> </w:t>
            </w:r>
          </w:p>
        </w:tc>
        <w:tc>
          <w:tcPr>
            <w:tcW w:w="3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8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Arial;sans-serif" w:hAnsi="Arial;sans-serif"/>
          <w:b/>
          <w:color w:val="000000"/>
          <w:sz w:val="20"/>
        </w:rPr>
      </w:pPr>
      <w:r>
        <w:rPr>
          <w:rFonts w:ascii="Arial;sans-serif" w:hAnsi="Arial;sans-serif"/>
          <w:b/>
          <w:color w:val="000000"/>
          <w:sz w:val="20"/>
        </w:rPr>
        <w:t>Three month comparison</w:t>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Consolidated Technical and research expenses increased 11.7% as compared to 2023 and as a percentage of Net revenues increased from 3.5% in 2023 to 3.6% in 2024.</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MC Technical and research expenses increased $1.0 million as compared to 2023 due to the addition of Heimbach.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AEC Technical and research expenses increased $0.1 million as compared to 2023, due to increases in research material and labor costs.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Nine month comparison</w:t>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Consolidated Technical and research expenses increased 16.7% as compared to 2023, but as a percentage of Net revenues remained unchanged at 3.7% in both 2023 and 2024.</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MC Technical and research expenses increased $3.9 million as compared to 2023, with a $4.3 million increase related to Heimbach, which was partially offset by a $0.4 million decrease in personnel-related costs.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AEC Technical and research expenses increased $1.2 million as compared to 2023 due to increases in research material and labor costs.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Restructuring 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to the items discussed above affecting Gross profit, SG&amp;A and Technical and research expenses, Operating income was affected by Restructuring expense, net, of $2.3 million in the three months ended September 30, 2024, compared to $0.1 million in in the same period of 2023; and $6.6 million in the nine months ended September 30, 2024, compared to $0.2 million in the same period in 2023.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Restructuring expenses, net by business segment:</w:t>
      </w:r>
    </w:p>
    <w:tbl>
      <w:tblPr>
        <w:tblW w:w="8727" w:type="dxa"/>
        <w:jc w:val="left"/>
        <w:tblInd w:w="0" w:type="dxa"/>
        <w:tblLayout w:type="fixed"/>
        <w:tblCellMar>
          <w:top w:w="28" w:type="dxa"/>
          <w:left w:w="28" w:type="dxa"/>
          <w:bottom w:w="28" w:type="dxa"/>
          <w:right w:w="28" w:type="dxa"/>
        </w:tblCellMar>
      </w:tblPr>
      <w:tblGrid>
        <w:gridCol w:w="1059"/>
        <w:gridCol w:w="931"/>
        <w:gridCol w:w="934"/>
        <w:gridCol w:w="378"/>
        <w:gridCol w:w="1131"/>
        <w:gridCol w:w="195"/>
        <w:gridCol w:w="378"/>
        <w:gridCol w:w="647"/>
        <w:gridCol w:w="195"/>
        <w:gridCol w:w="341"/>
        <w:gridCol w:w="1020"/>
        <w:gridCol w:w="176"/>
        <w:gridCol w:w="341"/>
        <w:gridCol w:w="753"/>
        <w:gridCol w:w="248"/>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2,207</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3,294</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50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w:t>
            </w: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total</w:t>
            </w:r>
          </w:p>
        </w:tc>
        <w:tc>
          <w:tcPr>
            <w:tcW w:w="3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2,272</w:t>
            </w:r>
            <w:r>
              <w:rPr>
                <w:color w:val="000000"/>
              </w:rPr>
              <w:t> </w:t>
            </w:r>
          </w:p>
        </w:tc>
        <w:tc>
          <w:tcPr>
            <w:tcW w:w="1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6,584</w:t>
            </w:r>
            <w:r>
              <w:rPr>
                <w:color w:val="000000"/>
              </w:rPr>
              <w:t> </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At MC, restructuring actions were taken in the second and third quarters of 2024 to cease operations at the Company's MC forming fabric manufacturing facility in Chungju, South Korea, and at the Company's Heimbach engineered fabric manufacturing facility in Rochdale, UK. This was the principal driver of $3.3 million in Restructuring expenses, net for the first nine months of 2024 related to workforce reductions, fixed asset impairments and related costs, as well as charges of $1.3 million in Costs of goods sold for the write-off of inventory. We expect to incur additional restructuring expenses related to these actions throughout the remainder of the year.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At AEC, restructuring activities were related to reductions in the workforce at various AEC locations, which resulted in restructuring expenses of $3.1 million for the first nine months of 2024.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Restructuring expenses incurred at MC and AEC during 2023 were not significant. </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operating income/(loss) by business segment:</w:t>
      </w:r>
    </w:p>
    <w:tbl>
      <w:tblPr>
        <w:tblW w:w="8727" w:type="dxa"/>
        <w:jc w:val="left"/>
        <w:tblInd w:w="0" w:type="dxa"/>
        <w:tblLayout w:type="fixed"/>
        <w:tblCellMar>
          <w:top w:w="28" w:type="dxa"/>
          <w:left w:w="28" w:type="dxa"/>
          <w:bottom w:w="28" w:type="dxa"/>
          <w:right w:w="28" w:type="dxa"/>
        </w:tblCellMar>
      </w:tblPr>
      <w:tblGrid>
        <w:gridCol w:w="1059"/>
        <w:gridCol w:w="931"/>
        <w:gridCol w:w="934"/>
        <w:gridCol w:w="255"/>
        <w:gridCol w:w="889"/>
        <w:gridCol w:w="327"/>
        <w:gridCol w:w="255"/>
        <w:gridCol w:w="871"/>
        <w:gridCol w:w="327"/>
        <w:gridCol w:w="227"/>
        <w:gridCol w:w="905"/>
        <w:gridCol w:w="291"/>
        <w:gridCol w:w="227"/>
        <w:gridCol w:w="889"/>
        <w:gridCol w:w="340"/>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51,481</w:t>
            </w: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50,710 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153,276</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153,400 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(10,293)</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9,374 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8,329</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(16,017)</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(20,014)</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(54,552)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(54,747)</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25,171</w:t>
            </w:r>
            <w:r>
              <w:rPr>
                <w:color w:val="000000"/>
              </w:rPr>
              <w:t> </w:t>
            </w:r>
          </w:p>
        </w:tc>
        <w:tc>
          <w:tcPr>
            <w:tcW w:w="3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40,070 </w:t>
            </w:r>
          </w:p>
        </w:tc>
        <w:tc>
          <w:tcPr>
            <w:tcW w:w="3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107,053</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126,113 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w:t>
            </w: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Changes in operating income were primarily attributable to the drivers noted above.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Earnings Items</w:t>
      </w:r>
    </w:p>
    <w:tbl>
      <w:tblPr>
        <w:tblW w:w="10168" w:type="dxa"/>
        <w:jc w:val="left"/>
        <w:tblInd w:w="0" w:type="dxa"/>
        <w:tblLayout w:type="fixed"/>
        <w:tblCellMar>
          <w:top w:w="28" w:type="dxa"/>
          <w:left w:w="28" w:type="dxa"/>
          <w:bottom w:w="28" w:type="dxa"/>
          <w:right w:w="28" w:type="dxa"/>
        </w:tblCellMar>
      </w:tblPr>
      <w:tblGrid>
        <w:gridCol w:w="1578"/>
        <w:gridCol w:w="1393"/>
        <w:gridCol w:w="1394"/>
        <w:gridCol w:w="327"/>
        <w:gridCol w:w="978"/>
        <w:gridCol w:w="169"/>
        <w:gridCol w:w="327"/>
        <w:gridCol w:w="955"/>
        <w:gridCol w:w="169"/>
        <w:gridCol w:w="298"/>
        <w:gridCol w:w="892"/>
        <w:gridCol w:w="154"/>
        <w:gridCol w:w="298"/>
        <w:gridCol w:w="1019"/>
        <w:gridCol w:w="217"/>
      </w:tblGrid>
      <w:tr>
        <w:trPr/>
        <w:tc>
          <w:tcPr>
            <w:tcW w:w="157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2,411</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30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3,257</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5,932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1,282</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22,131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39,908 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130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w:t>
            </w:r>
            <w:r>
              <w:rPr>
                <w:color w:val="000000"/>
              </w:rPr>
              <w:t> </w:t>
            </w:r>
          </w:p>
        </w:tc>
        <w:tc>
          <w:tcPr>
            <w:tcW w:w="16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366</w:t>
            </w:r>
            <w:r>
              <w:rPr>
                <w:color w:val="000000"/>
              </w:rPr>
              <w:t>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2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Interest Expense/(Income), net</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Interest expense/(income), net, decreased over the prior year primarily due to lower average debt balances, in part offset by less interest income earned on cash equivalents during the current year. See </w:t>
      </w:r>
      <w:r>
        <w:rPr>
          <w:rFonts w:ascii="Arial;sans-serif" w:hAnsi="Arial;sans-serif"/>
          <w:b w:val="false"/>
          <w:i/>
          <w:color w:val="000000"/>
          <w:sz w:val="20"/>
        </w:rPr>
        <w:t>Note 14. Financial Instruments</w:t>
      </w:r>
      <w:r>
        <w:rPr>
          <w:color w:val="000000"/>
        </w:rPr>
        <w:t xml:space="preserve"> </w:t>
      </w:r>
      <w:r>
        <w:rPr>
          <w:rFonts w:ascii="Arial;sans-serif" w:hAnsi="Arial;sans-serif"/>
          <w:b w:val="false"/>
          <w:color w:val="000000"/>
          <w:sz w:val="20"/>
        </w:rPr>
        <w:t>in the Notes to Consolidated Financial Statements for further discussion of borrowings and interest rates.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Other (Income)/Expense,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Other (income)/expense, net, included foreign currency related transactions, which resulted in losses of $1.8 million and $0.7 million in the three and nine months ended September 30, 2024, respectively, as compared to losses of $0.5 million and gains of $3.6 million in the same periods last year. In addition, changes in the fair value of derivative instruments included gains of $0.5 million and losses of $3.8 million in the three and nine months ended September 30, 2024, as compared to losses of $0.7 million and $0.6 million in the same period last year, driven by currency rate movements, most notably the Brazilian Real and Mexican Peso. Net periodic pension and postretirement costs, other than service costs, were $0.7 million and $2.0 million in the three and nine months ended September 30, 2024, respectively, as compared to benefits of $0.1 million and $0.3 million in the same period last year. Other (income)/expense, net, also included net losses of $0.7 million from the divestiture of assets related to Heimbach during the nine months ended September 30, 2024, as well as bank fees, amortization of debt issuance costs, and rental income.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Effective Income Tax Rate</w:t>
      </w:r>
    </w:p>
    <w:tbl>
      <w:tblPr>
        <w:tblW w:w="8110" w:type="dxa"/>
        <w:jc w:val="left"/>
        <w:tblInd w:w="0" w:type="dxa"/>
        <w:tblLayout w:type="fixed"/>
        <w:tblCellMar>
          <w:top w:w="28" w:type="dxa"/>
          <w:left w:w="28" w:type="dxa"/>
          <w:bottom w:w="28" w:type="dxa"/>
          <w:right w:w="28" w:type="dxa"/>
        </w:tblCellMar>
      </w:tblPr>
      <w:tblGrid>
        <w:gridCol w:w="836"/>
        <w:gridCol w:w="736"/>
        <w:gridCol w:w="738"/>
        <w:gridCol w:w="326"/>
        <w:gridCol w:w="326"/>
        <w:gridCol w:w="810"/>
        <w:gridCol w:w="326"/>
        <w:gridCol w:w="326"/>
        <w:gridCol w:w="810"/>
        <w:gridCol w:w="306"/>
        <w:gridCol w:w="306"/>
        <w:gridCol w:w="763"/>
        <w:gridCol w:w="306"/>
        <w:gridCol w:w="306"/>
        <w:gridCol w:w="889"/>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w:t>
            </w:r>
            <w:r>
              <w:rPr>
                <w:color w:val="000000"/>
              </w:rPr>
              <w:t> </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w:t>
            </w:r>
            <w:r>
              <w:rPr>
                <w:color w:val="000000"/>
              </w:rPr>
              <w:t>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has operations that constitute a taxable presence in 22 countries outside of the United States. The majority of these countries had income tax rates that were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pStyle w:val="TextBody"/>
        <w:bidi w:val="0"/>
        <w:spacing w:lineRule="auto" w:line="288" w:before="120" w:after="283"/>
        <w:ind w:left="0" w:right="0" w:firstLine="360"/>
        <w:jc w:val="both"/>
        <w:rPr/>
      </w:pPr>
      <w:r>
        <w:rPr>
          <w:rFonts w:ascii="Arial;sans-serif" w:hAnsi="Arial;sans-serif"/>
          <w:b w:val="false"/>
          <w:color w:val="000000"/>
          <w:sz w:val="20"/>
        </w:rPr>
        <w:t>The tax rate is affected by recurring items, such as the income tax rate in the U.S. and non-U.S. jurisdictions and the mix of pre-tax income earned in those jurisdictions. The tax rate is also affected by U.S. tax costs on foreign pre-tax earnings, and by discrete items that may occur in any given year but are not consistent from year to year. The Company’s effective tax rate for the third quarter of 2024 was 6.6%, lower compared to 25.3% for the same period in 2023, mainly due to favorable discrete tax adjustments in the current period exceeding favorable discrete tax adjustments in the prior period. The favorable discrete benefits in the third quarter of 2024 were partially offset by an unfavorable change in the jurisdictional mix of earnings compared to the prior period. For the nine months ended September 30, 2024, the Company's effective tax rate was 23.9%, lower compared to 33.0% for the same period in 2023, mainly due to favorable discrete tax adjustments in the current period compared to unfavorable discrete tax adjustments in the prior period, partially offset by an unfavorable change in the jurisdictional mix of earnings compared to the prior period. For more information, see Note 6</w:t>
      </w:r>
      <w:r>
        <w:rPr>
          <w:rFonts w:ascii="Arial;sans-serif" w:hAnsi="Arial;sans-serif"/>
          <w:b w:val="false"/>
          <w:i/>
          <w:color w:val="000000"/>
          <w:sz w:val="20"/>
        </w:rPr>
        <w:t>, Income Taxes,</w:t>
      </w:r>
      <w:r>
        <w:rPr>
          <w:color w:val="000000"/>
        </w:rPr>
        <w:t xml:space="preserve"> </w:t>
      </w:r>
      <w:r>
        <w:rPr>
          <w:rFonts w:ascii="Arial;sans-serif" w:hAnsi="Arial;sans-serif"/>
          <w:b w:val="false"/>
          <w:color w:val="000000"/>
          <w:sz w:val="20"/>
        </w:rPr>
        <w:t>in the Notes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The Organization for Economic Co-operation and Development has issued Pillar Two model rules introducing a new global minimum tax of 15 percent intended to be effective on January 1, 2024. While the U.S. has not yet adopted the Pillar Two rules, various other governments around the world are enacting legislation. As currently designed, Pillar Two will ultimately apply to our worldwide operations. Although we do not expect these rules to materially increase our global tax costs in 2024, there remains uncertainty as to the final Pillar Two model rules. We will continue to monitor U.S. and global legislative action related to Pillar Two for potential impacts.</w:t>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Segment Results of Operations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Machine Clothing Segment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MC segment accounted for 61% and 60% of our consolidated revenues during the three and nine months ended September 30, 2024, respectively. A summary of selected financial results for MC is as follows: </w:t>
      </w:r>
    </w:p>
    <w:p>
      <w:pPr>
        <w:pStyle w:val="TextBody"/>
        <w:bidi w:val="0"/>
        <w:spacing w:lineRule="auto" w:line="288" w:before="140" w:after="283"/>
        <w:jc w:val="both"/>
        <w:rPr>
          <w:rFonts w:ascii="Arial;sans-serif" w:hAnsi="Arial;sans-serif"/>
          <w:b/>
          <w:color w:val="000000"/>
          <w:sz w:val="20"/>
        </w:rPr>
      </w:pPr>
      <w:r>
        <w:rPr>
          <w:rFonts w:ascii="Arial;sans-serif" w:hAnsi="Arial;sans-serif"/>
          <w:b/>
          <w:color w:val="000000"/>
          <w:sz w:val="20"/>
        </w:rPr>
        <w:t>Review of Operations</w:t>
      </w:r>
    </w:p>
    <w:tbl>
      <w:tblPr>
        <w:tblW w:w="8726" w:type="dxa"/>
        <w:jc w:val="left"/>
        <w:tblInd w:w="0" w:type="dxa"/>
        <w:tblLayout w:type="fixed"/>
        <w:tblCellMar>
          <w:top w:w="28" w:type="dxa"/>
          <w:left w:w="28" w:type="dxa"/>
          <w:bottom w:w="28" w:type="dxa"/>
          <w:right w:w="28" w:type="dxa"/>
        </w:tblCellMar>
      </w:tblPr>
      <w:tblGrid>
        <w:gridCol w:w="1059"/>
        <w:gridCol w:w="931"/>
        <w:gridCol w:w="934"/>
        <w:gridCol w:w="234"/>
        <w:gridCol w:w="935"/>
        <w:gridCol w:w="301"/>
        <w:gridCol w:w="234"/>
        <w:gridCol w:w="918"/>
        <w:gridCol w:w="301"/>
        <w:gridCol w:w="227"/>
        <w:gridCol w:w="905"/>
        <w:gridCol w:w="291"/>
        <w:gridCol w:w="227"/>
        <w:gridCol w:w="889"/>
        <w:gridCol w:w="340"/>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183,033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166,588 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561,828</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479,027 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88,921</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79,257 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262,449</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238,031 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46.7</w:t>
            </w: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SG&amp;A expenses</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28,191</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22,442 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83,813</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66,197 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7,042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22,066</w:t>
            </w: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18,207 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6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51,481</w:t>
            </w:r>
            <w:r>
              <w:rPr>
                <w:color w:val="000000"/>
              </w:rPr>
              <w:t> </w:t>
            </w:r>
          </w:p>
        </w:tc>
        <w:tc>
          <w:tcPr>
            <w:tcW w:w="30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50,710 </w:t>
            </w:r>
          </w:p>
        </w:tc>
        <w:tc>
          <w:tcPr>
            <w:tcW w:w="30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153,276</w:t>
            </w:r>
            <w:r>
              <w:rPr>
                <w:color w:val="000000"/>
              </w:rPr>
              <w:t> </w:t>
            </w:r>
          </w:p>
        </w:tc>
        <w:tc>
          <w:tcPr>
            <w:tcW w:w="29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153,400 </w:t>
            </w:r>
          </w:p>
        </w:tc>
        <w:tc>
          <w:tcPr>
            <w:tcW w:w="34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September 30, 2024, Net revenues increased by 9.9% as compared to the prior year, driven by an increase in Heimbach Net revenues of $17.4 million. This was partially offset by $1.7 million of lower organic Net Revenues in the rest of the segment, due to decreased sales in packaging and publication grades. In addition, changes in currency translation rates had the effect of increasing Net revenues $0.7 million.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nine months ended September 30, 2024, Net revenues increased by 17.3% as compared to the prior year, driven by an increase in Heimbach Net revenues of $95.0 million. This was partially offset by $11.2 million of lower organic Net revenues in the rest of the segment, driven primarily by weakness in publication globally, and in most grades in Europe, as well as decreased sales in packaging grades. Changes in currency translation rates had the effect of decreasing Net revenues $1.0 million.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September 30, 2024, Gross profit increased by $9.7 million and the gross profit margin increased from 47.6% in 2023 to 48.6% in 2024. This margin increase was primarily attributable to reduced input costs.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nine months ended September 30, 2024, Gross profit increased by $24.4 million as compared to the same period in the prior year, driven by the higher sales noted above; however, gross profit margin decreased from 49.7% in 2023 to 46.7% in 2024. This margin decrease was primarily driven by lower gross margins at Heimbach.</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September 30, 2024, Operating income was largely in line with the prior year, increasing $0.8 million or 1.5%. The strong Gross profit performance was largely offset by increased SG&amp;A and Technical and Research expenses, primarily at Heimbach locations. SG&amp;A expenses increased $5.7 million as compared to 2023, with a $3.9 million increase related to Heimbach, a $1.2 million increase due to changes in currency translation rates, and a $0.6 million increase in professional, consulting, and personnel-related costs. Technical and research expenses increased $1.0 million as compared to 2023 due to the addition of Heimbach. In addition, Restructuring expenses increased $2.2 million related to recent announcements to cease operations at multiple manufacturing facilities, further reducing Operating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nine months ended September 30, 2024, Operating income was also largely in line with the prior year, decreasing $0.1 million or 0.1%.The strong Gross profit performance was largely offset by increased SG&amp;A and Technical and Research expenses, primarily at Heimbach locations. SG&amp;A expenses increased $17.6 million as compared to 2023, with a $20.4 million increase related to Heimbach and a $0.9 million increase related to personnel-related and travel costs, partially offset by a $3.7 million decrease due to changes in currency translation rates. Technical and research expenses increased $3.9 million as compared to 2023, with a $4.3 million increase related to Heimbach, which was offset by a $0.4 million decrease in personnel-related costs. In addition, Restructuring expenses increased $3.3 million related to recent announcements to cease operations at multiple manufacturing facilities, further reducing Operating income.</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Albany Engineered Composites ("AEC") Segment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AEC segment accounted for 39% and 40% of our consolidated revenues during the three and nine months ended September 30, 2024, respectively. A summary of selected financial results for AEC is as follows: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Review of Operations</w:t>
      </w:r>
    </w:p>
    <w:tbl>
      <w:tblPr>
        <w:tblW w:w="8726" w:type="dxa"/>
        <w:jc w:val="left"/>
        <w:tblInd w:w="0" w:type="dxa"/>
        <w:tblLayout w:type="fixed"/>
        <w:tblCellMar>
          <w:top w:w="28" w:type="dxa"/>
          <w:left w:w="28" w:type="dxa"/>
          <w:bottom w:w="28" w:type="dxa"/>
          <w:right w:w="28" w:type="dxa"/>
        </w:tblCellMar>
      </w:tblPr>
      <w:tblGrid>
        <w:gridCol w:w="1059"/>
        <w:gridCol w:w="931"/>
        <w:gridCol w:w="934"/>
        <w:gridCol w:w="234"/>
        <w:gridCol w:w="935"/>
        <w:gridCol w:w="301"/>
        <w:gridCol w:w="234"/>
        <w:gridCol w:w="918"/>
        <w:gridCol w:w="301"/>
        <w:gridCol w:w="227"/>
        <w:gridCol w:w="905"/>
        <w:gridCol w:w="291"/>
        <w:gridCol w:w="227"/>
        <w:gridCol w:w="889"/>
        <w:gridCol w:w="340"/>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115,353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114,518 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381,882</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345,298 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1,463</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49,004</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65,826 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w:t>
            </w: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SG&amp;A expenses</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7,920</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24,228</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26,270 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3,802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13,303</w:t>
            </w: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6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(10,293)</w:t>
            </w:r>
          </w:p>
        </w:tc>
        <w:tc>
          <w:tcPr>
            <w:tcW w:w="30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9,374 </w:t>
            </w:r>
          </w:p>
        </w:tc>
        <w:tc>
          <w:tcPr>
            <w:tcW w:w="30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8,329</w:t>
            </w:r>
            <w:r>
              <w:rPr>
                <w:color w:val="000000"/>
              </w:rPr>
              <w:t> </w:t>
            </w:r>
          </w:p>
        </w:tc>
        <w:tc>
          <w:tcPr>
            <w:tcW w:w="29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27,460 </w:t>
            </w:r>
          </w:p>
        </w:tc>
        <w:tc>
          <w:tcPr>
            <w:tcW w:w="34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September 30, 2024, Net revenues increased 0.7% as compared to the prior year, primarily driven by growth on certain commercial and space programs, which was partially offset by lower revenues on CH-53K and other defense programs. Changes in currency translation rates had an insignificant effect on Net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nine months ended September 30, 2024, Net revenues increased 10.6%, primarily driven by growth on certain commercial and space programs, which was partially offset by lower revenues on the F-35 program. Changes in currency translation rates had an insignificant effect on Net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AEC has contracts with certain customers, including its contract for the LEAP program, where revenue is determined by a cost-plus-fee agreement. Revenue earned under these arrangements accounted for approximately 40 percent of segment revenue for the first nine months of 2024 and 2023. </w:t>
      </w:r>
    </w:p>
    <w:p>
      <w:pPr>
        <w:pStyle w:val="TextBody"/>
        <w:bidi w:val="0"/>
        <w:spacing w:lineRule="auto" w:line="288" w:before="120" w:after="283"/>
        <w:ind w:left="0" w:right="0" w:firstLine="360"/>
        <w:jc w:val="both"/>
        <w:rPr/>
      </w:pPr>
      <w:r>
        <w:rPr>
          <w:rFonts w:ascii="Arial;sans-serif" w:hAnsi="Arial;sans-serif"/>
          <w:b w:val="false"/>
          <w:color w:val="000000"/>
          <w:sz w:val="20"/>
        </w:rPr>
        <w:t>In addition, AEC has long-term contracts in which the selling price is fixed.</w:t>
      </w:r>
      <w:r>
        <w:rPr>
          <w:color w:val="000000"/>
        </w:rPr>
        <w:t xml:space="preserve"> </w:t>
      </w:r>
      <w:r>
        <w:rPr>
          <w:rFonts w:ascii="Arial;sans-serif" w:hAnsi="Arial;sans-serif"/>
          <w:b w:val="false"/>
          <w:color w:val="000000"/>
          <w:sz w:val="20"/>
        </w:rPr>
        <w:t>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September 30, 2024, Gross profit decreased $21.1 million as compared to the same period last year, and as a percentage of revenues decreased from 19.7% in 2023 to 1.3% in 2024. This decrease in Gross profit was driven primarily by changes in the estimated profitability of long-term contracts, which decreased gross profit by $22.4 million in 2024 due to increased cost assumptions as well as the impact of suspended production at a key customer. For the 2023 year, adjustments in the estimated profitability of long-term contracts increased Gross profit $0.9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the nine months ended September 30, 2024, Gross profit decreased $16.8 million as compared to the same period last year, and gross profit margin decreased from 19.1% in 2023 to 12.8% in 2024. This decrease in Gross profit was driven primarily by changes in the estimated profitability of long-term contracts, which decreased gross profit by $28.3 million in 2024 due to increased cost assumptions as well as the impact of suspended production at a key customer, partially offset by a favorable shift in revenue mix to commercial and space programs. For the 2023 year, adjustments in the estimated profitability of long-term contracts decreased Gross profit $4.1 million. </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the three months ended September 30, 2024, Operating income decreased $19.7 million, principally due to reduced Gross profit as noted above. This was partially offset by a decrease in SG&amp;A expenses of $1.6 million, primarily driven by decreased incentive compensation and personnel-related costs. Technical and research expenses and Restructuring expenses remained largely in line with the prior year.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the nine months ended September 30, 2024, Operating income decreased $19.1 million, principally due to reduced Gross profit as noted above. This was partially offset by a decrease in SG&amp;A expenses of $2.0 million, driven by a $0.8 million decrease in personnel-related costs, a $0.8 million decrease in marketing costs, and a $0.4 million decrease in professional and consulting fees. Technical and research expenses increased $1.2 million as compared to 2023 due to increases in research material and labor costs. Restructuring activities related to reductions in the workforce at various AEC locations resulted in restructuring expenses of $3.1 million, further reducing Operating income.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Working Capital, Liquidity and Capital Structure</w:t>
      </w:r>
    </w:p>
    <w:p>
      <w:pPr>
        <w:pStyle w:val="TextBody"/>
        <w:bidi w:val="0"/>
        <w:spacing w:lineRule="auto" w:line="268" w:before="120" w:after="283"/>
        <w:jc w:val="left"/>
        <w:rPr>
          <w:rFonts w:ascii="Arial;sans-serif" w:hAnsi="Arial;sans-serif"/>
          <w:b/>
          <w:i/>
          <w:color w:val="000000"/>
          <w:sz w:val="20"/>
        </w:rPr>
      </w:pPr>
      <w:r>
        <w:rPr>
          <w:rFonts w:ascii="Arial;sans-serif" w:hAnsi="Arial;sans-serif"/>
          <w:b/>
          <w:i/>
          <w:color w:val="000000"/>
          <w:sz w:val="20"/>
        </w:rPr>
        <w:t>Cash Flow Summary</w:t>
      </w:r>
    </w:p>
    <w:tbl>
      <w:tblPr>
        <w:tblW w:w="8082" w:type="dxa"/>
        <w:jc w:val="left"/>
        <w:tblInd w:w="0" w:type="dxa"/>
        <w:tblLayout w:type="fixed"/>
        <w:tblCellMar>
          <w:top w:w="28" w:type="dxa"/>
          <w:left w:w="28" w:type="dxa"/>
          <w:bottom w:w="28" w:type="dxa"/>
          <w:right w:w="28" w:type="dxa"/>
        </w:tblCellMar>
      </w:tblPr>
      <w:tblGrid>
        <w:gridCol w:w="1882"/>
        <w:gridCol w:w="1659"/>
        <w:gridCol w:w="1663"/>
        <w:gridCol w:w="258"/>
        <w:gridCol w:w="1030"/>
        <w:gridCol w:w="133"/>
        <w:gridCol w:w="258"/>
        <w:gridCol w:w="1011"/>
        <w:gridCol w:w="188"/>
      </w:tblGrid>
      <w:tr>
        <w:trPr/>
        <w:tc>
          <w:tcPr>
            <w:tcW w:w="188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70,310</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81,066 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67,003</w:t>
            </w: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54,778 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working capital (a)</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7,700</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(58,130)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noncurrent liabilities and deferred taxes</w:t>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(7,569)</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items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2,541</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2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139,985</w:t>
            </w: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73,812 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(61,053)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(182,596)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(121,773)</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(10,839)</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(3,357)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Decrease in cash and cash equivalents</w:t>
            </w:r>
          </w:p>
        </w:tc>
        <w:tc>
          <w:tcPr>
            <w:tcW w:w="12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(46,198)</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(120,270)</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173,420</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127,222</w:t>
            </w:r>
            <w:r>
              <w:rPr>
                <w:color w:val="000000"/>
              </w:rPr>
              <w:t> </w:t>
            </w:r>
          </w:p>
        </w:tc>
        <w:tc>
          <w:tcPr>
            <w:tcW w:w="1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171,506 </w:t>
            </w:r>
          </w:p>
        </w:tc>
        <w:tc>
          <w:tcPr>
            <w:tcW w:w="1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(a)Includes Accounts receivable, Contract assets, Inventories, Accounts payable, and Accrued liabilities.</w:t>
      </w:r>
    </w:p>
    <w:p>
      <w:pPr>
        <w:pStyle w:val="TextBody"/>
        <w:bidi w:val="0"/>
        <w:spacing w:lineRule="auto" w:line="288" w:before="160" w:after="283"/>
        <w:ind w:left="0" w:right="0" w:firstLine="360"/>
        <w:jc w:val="both"/>
        <w:rPr>
          <w:rFonts w:ascii="Arial;sans-serif" w:hAnsi="Arial;sans-serif"/>
          <w:b w:val="false"/>
          <w:color w:val="000000"/>
          <w:sz w:val="20"/>
        </w:rPr>
      </w:pPr>
      <w:r>
        <w:rPr>
          <w:rFonts w:ascii="Arial;sans-serif" w:hAnsi="Arial;sans-serif"/>
          <w:b w:val="false"/>
          <w:color w:val="000000"/>
          <w:sz w:val="20"/>
        </w:rPr>
        <w:t>Net cash provided by operating activities during the first nine months of 2024 was $140.0 million, compared to $73.8 million in the same period last year. The increase was primarily driven by improved levels of working capital at both segments, but was most pronounced at AEC, which invested a much more significant amount in working capital during 2023 related to the expanded CH-53K scope of work and the build-up of inventory in the LEAP program as compared to 2024.</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Net cash used in investing activities included capital expenditures totaling $62.1 million and $49.1 million for the first nine months of 2024 and 2023, respectively, including investments in new aerospace programs and to improve productivity in our MC segment. In addition, investing activities during the prior year included the acquisition of Heimbach, headquartered in Düren, Germany, for net cash of $133.5 million, funded using cash on hand.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cash used in financing activities was $121.8 million for the first nine months of 2024 as compared to $10.8 million for the first nine months of 2023. The significant increase in net cash used during 2024 was due to increased principal payments on debt and increased dividends paid to shareholders. </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Liquidity and Capital Structure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finance our business activities principally with cash generated from operations and borrowings, largely through our revolving credit agreement as discussed below. Our subsidiaries outside of the United States may also maintain working capital lines with local banks.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our $800 million unsecured committed Amended Credit Agreement, $360.0 million of borrowings were outstanding as of September 30, 2024. In addition, we have borrowings outstanding at our Heimbach subsidiary of $2.2 million, of which $0.6 million was considered current.</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As of September 30, 2024, we had cash and cash equivalents of $127.2 million and available borrowings under our Amended Credit Agreement of $440.0 million, for a total liquidity of approximately $567.2 million. We believe cash flows from operations and the availability of funds under our Amended Credit Agreement will be adequate to fund our operations and business needs over the next twelve months. For more information on credit agreements, see </w:t>
      </w:r>
      <w:r>
        <w:rPr>
          <w:rFonts w:ascii="Arial;sans-serif" w:hAnsi="Arial;sans-serif"/>
          <w:b w:val="false"/>
          <w:i/>
          <w:color w:val="000000"/>
          <w:sz w:val="20"/>
        </w:rPr>
        <w:t>Note 14. Financial Instruments</w:t>
      </w:r>
      <w:r>
        <w:rPr>
          <w:color w:val="000000"/>
        </w:rPr>
        <w:t xml:space="preserve"> </w:t>
      </w:r>
      <w:r>
        <w:rPr>
          <w:rFonts w:ascii="Arial;sans-serif" w:hAnsi="Arial;sans-serif"/>
          <w:b w:val="false"/>
          <w:color w:val="000000"/>
          <w:sz w:val="20"/>
        </w:rPr>
        <w:t xml:space="preserve">in the Notes to Consolidated Financial Statements.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2024, $106.5 million of our total cash and cash equivalents were held by non-U.S. subsidiaries. The accumulated undistributed earnings of the Company’s foreign operations not targeted for repatriation to the U.S. were in excess of $120.0 million, as of September 30, 2024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which is currently considered to be indefinitely reinvested in foreign operations, may also result in additional taxes.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also returned cash to shareholders through dividends and share repurchases. During the first nine months of 2024, we paid $24.4 million in dividends and had no share repurchases.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4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is party to certain off-balance sheet arrangements, including certain guarantees. The Company provides financial assurance, such as payment guarantee and letters of credit and surety bonds, primarily to support workers’ compensation programs and customs clearance, of less than $12 million. There were no material changes in the Company’s off-balance sheet arrangements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Item 3.</w:t>
      </w:r>
      <w:r>
        <w:rPr>
          <w:color w:val="000000"/>
          <w:shd w:fill="FFFFFF" w:val="clear"/>
        </w:rPr>
        <w:t xml:space="preserve"> </w:t>
      </w:r>
      <w:r>
        <w:rPr>
          <w:rFonts w:ascii="Arial;sans-serif" w:hAnsi="Arial;sans-serif"/>
          <w:b/>
          <w:color w:val="000000"/>
          <w:sz w:val="20"/>
          <w:shd w:fill="FFFFFF" w:val="clear"/>
        </w:rPr>
        <w:t>Quantitative and Qualitative Disclosures about Market Risk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market risk with respect to foreign currency exchange rates and interest rates. The market risk is the potential loss arising from adverse changes in these rates as discussed below.</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Foreign Currency Exchange Rate Risk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$693.3 million. The potential loss in fair value resulting from a hypothetical 10% adverse change in quoted foreign currency exchange rates amounts to $69.3 million. Furthermore, related to foreign currency transactions, we have exposure to various nonfunctional currency balances totaling $146.4 million. This amount includes, on an absolute basis, exposures to assets and liabilities held in currencies other than our local entities’ functional currencies. On a net basis, we had $52.4 million of foreign currency assets as of September 30, 2024. As currency rates change, these nonfunctional currency balances are revalued, and the corresponding adjustment is recorded in the income statement. A hypothetical change of 10% in currency rates could result in an adjustment to the income statement of approximately $5.2 million. Actual results may differ from these estimates.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exposed to interest rate fluctuations with respect to our variable rate debt, depending on general economic conditions.</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On September 30, 2024, we had $10.1 million in variable rate debt:</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Assuming borrowings were outstanding for an entire year, an increase of one percentage point in weighted average interest rates would increase interest expense by $0.1 million. To manage interest rate risk, we may periodically enter into interest rate swap agreements to effectively fix the interest rates on variable debt to a specific rate for a period of time. Our current interest rate swap agreements expire in October 2024, which will result in a significant increase in our interest cost, which will be calculated using a floating rate based on the one-month term SOFR at that time, which was 5.06% at the time of our last borrowing, which was September 19, 2024. See </w:t>
      </w:r>
      <w:r>
        <w:rPr>
          <w:rFonts w:ascii="Arial;sans-serif" w:hAnsi="Arial;sans-serif"/>
          <w:b w:val="false"/>
          <w:i/>
          <w:color w:val="000000"/>
          <w:sz w:val="20"/>
        </w:rPr>
        <w:t>Note</w:t>
      </w:r>
      <w:r>
        <w:rPr>
          <w:color w:val="000000"/>
        </w:rPr>
        <w:t xml:space="preserve"> </w:t>
      </w:r>
      <w:r>
        <w:rPr>
          <w:rFonts w:ascii="Arial;sans-serif" w:hAnsi="Arial;sans-serif"/>
          <w:b w:val="false"/>
          <w:i/>
          <w:color w:val="000000"/>
          <w:sz w:val="20"/>
        </w:rPr>
        <w:t>14. Financial Instruments</w:t>
      </w:r>
      <w:r>
        <w:rPr>
          <w:color w:val="000000"/>
        </w:rPr>
        <w:t xml:space="preserve"> </w:t>
      </w:r>
      <w:r>
        <w:rPr>
          <w:rFonts w:ascii="Arial;sans-serif" w:hAnsi="Arial;sans-serif"/>
          <w:b w:val="false"/>
          <w:color w:val="000000"/>
          <w:sz w:val="20"/>
        </w:rPr>
        <w:t>in the Notes to the Consolidated Financial Statements in Item 1, which is incorporated herein by reference.</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Disclosure controls and procedures.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Changes in internal control over financial reporting.</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July of 2024, we implemented the Company’s version of SAP at certain Heimbach facilities, which in turn, resulted in changes to our internal controls over financial reporting. While we expect SAP to strengthen our internal controls at Heimbach by automating certain manual process and standardizing business processes and reporting, we will continue to monitor our internal controls in each of the affected facilities.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Other than discussed above, there were no other changes in the Company’s internal control over financial reporting (as defined in Rule 13a-15(f) and 15d-15(f) under the Securities Exchange Act of 1934, as amended)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last fiscal quarter that has materially affected, or is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The information set forth above under </w:t>
      </w:r>
      <w:r>
        <w:rPr>
          <w:rFonts w:ascii="Arial;sans-serif" w:hAnsi="Arial;sans-serif"/>
          <w:b w:val="false"/>
          <w:i/>
          <w:color w:val="000000"/>
          <w:sz w:val="20"/>
        </w:rPr>
        <w:t>Note 16.</w:t>
      </w:r>
      <w:r>
        <w:rPr>
          <w:color w:val="000000"/>
        </w:rPr>
        <w:t xml:space="preserve">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in Item 1, Notes to Consolidated Financial Statements is incorporated herein by reference.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from the risk factors previously disclosed in our Annual Report on Form 10-K for the year ended December 31, 2023. </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0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made no share purchases during the third quarter of 2024.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October 25,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In total, the Company has repurchased 1,308,003 shares for a total cost of $109.4M, of which 1,022,717 shares were repurchased in 2022 for $85.1 million and 285,286 shares were repurchased in 2021 for $24.3 million. We currently remain authorized to repurchase shares of up to $90.6 million.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40" w:after="283"/>
        <w:jc w:val="left"/>
        <w:rPr>
          <w:rFonts w:ascii="Arial;sans-serif" w:hAnsi="Arial;sans-serif"/>
          <w:b w:val="false"/>
          <w:i/>
          <w:color w:val="000000"/>
          <w:sz w:val="20"/>
        </w:rPr>
      </w:pPr>
      <w:r>
        <w:rPr>
          <w:rFonts w:ascii="Arial;sans-serif" w:hAnsi="Arial;sans-serif"/>
          <w:b w:val="false"/>
          <w:i/>
          <w:color w:val="000000"/>
          <w:sz w:val="20"/>
        </w:rPr>
        <w:t>Securities Trading Plans of Directors and Executive Officers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During the three months ended September 30, 2024, none of our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w:t>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1"/>
        <w:gridCol w:w="282"/>
        <w:gridCol w:w="283"/>
        <w:gridCol w:w="2795"/>
        <w:gridCol w:w="2689"/>
        <w:gridCol w:w="3835"/>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 No.</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Description</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Albany International Corp. By Laws, effective as of September 20, 2024.</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10(u)(ix)</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in-20240930xex10uix.htm">
              <w:r>
                <w:rPr>
                  <w:rStyle w:val="InternetLink"/>
                  <w:rFonts w:ascii="Arial;sans-serif" w:hAnsi="Arial;sans-serif"/>
                  <w:b w:val="false"/>
                  <w:color w:val="0000FF"/>
                  <w:sz w:val="18"/>
                  <w:u w:val="single"/>
                </w:rPr>
                <w:t>Mutual Separation Agreement, dated August 7, 2024, between the Company and Gregory Harwell</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in-20240930xex311.htm">
              <w:r>
                <w:rPr>
                  <w:rStyle w:val="InternetLink"/>
                  <w:rFonts w:ascii="Arial;sans-serif" w:hAnsi="Arial;sans-serif"/>
                  <w:b w:val="false"/>
                  <w:color w:val="0000FF"/>
                  <w:sz w:val="18"/>
                  <w:u w:val="single"/>
                </w:rPr>
                <w:t>Certification of the Chief Executive Officer pursuant to Rule 13a-14(a)/15d-14(a) of the Exchange Act.</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in-20240930xex312.htm">
              <w:r>
                <w:rPr>
                  <w:rStyle w:val="InternetLink"/>
                  <w:rFonts w:ascii="Arial;sans-serif" w:hAnsi="Arial;sans-serif"/>
                  <w:b w:val="false"/>
                  <w:color w:val="0000FF"/>
                  <w:sz w:val="18"/>
                  <w:u w:val="single"/>
                </w:rPr>
                <w:t>Certification of the Chief Financial Officer pursuant to Rule 13a-14(a)/15d-14(a) of the Exchange Act.</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in-20240930xex321.htm">
              <w:r>
                <w:rPr>
                  <w:rStyle w:val="InternetLink"/>
                  <w:rFonts w:ascii="Arial;sans-serif" w:hAnsi="Arial;sans-serif"/>
                  <w:b w:val="false"/>
                  <w:color w:val="0000FF"/>
                  <w:sz w:val="18"/>
                  <w:u w:val="single"/>
                </w:rPr>
                <w:t>Certification pursuant to Section 906 of the Sarbanes-Oxley Act of 2002 (Subsections (a) and (b) of Section 1350, Chapter 63 of Title 18, United States Code).</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the instance document does not appear in the Interactive Data File because its XBRL tags are embedded within the Inline XBRL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715"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280"/>
        <w:gridCol w:w="1280"/>
        <w:gridCol w:w="1819"/>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ALBANY INTERNATIONAL CORP.</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(Registrant)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October 30,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Robert D. Starr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Robert D. Starr</w:t>
              <w:br/>
              <w:t>Executive Vice President and Chief Financial Officer</w:t>
              <w:br/>
              <w:t>(Principal Financial Officer)</w:t>
            </w:r>
          </w:p>
        </w:tc>
      </w:tr>
    </w:tbl>
    <w:p>
      <w:pPr>
        <w:pStyle w:val="TextBody"/>
        <w:bidi w:val="0"/>
        <w:jc w:val="center"/>
        <w:rPr/>
      </w:pPr>
      <w:bookmarkStart w:id="2" w:name="ain-20240930xex10uix.htm"/>
      <w:bookmarkStart w:id="3" w:name="ksain20240930xex10uix"/>
      <w:bookmarkEnd w:id="2"/>
      <w:bookmarkEnd w:id="3"/>
      <w:r>
        <w:rPr/>
        <w:drawing>
          <wp:inline distT="0" distB="0" distL="0" distR="0">
            <wp:extent cx="10048875" cy="13001625"/>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Gunnar Kleveland,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925" w:type="dxa"/>
        <w:jc w:val="left"/>
        <w:tblInd w:w="0" w:type="dxa"/>
        <w:tblLayout w:type="fixed"/>
        <w:tblCellMar>
          <w:top w:w="28" w:type="dxa"/>
          <w:left w:w="28" w:type="dxa"/>
          <w:bottom w:w="28" w:type="dxa"/>
          <w:right w:w="28" w:type="dxa"/>
        </w:tblCellMar>
      </w:tblPr>
      <w:tblGrid>
        <w:gridCol w:w="776"/>
        <w:gridCol w:w="681"/>
        <w:gridCol w:w="688"/>
        <w:gridCol w:w="115"/>
        <w:gridCol w:w="115"/>
        <w:gridCol w:w="116"/>
        <w:gridCol w:w="1003"/>
        <w:gridCol w:w="1003"/>
        <w:gridCol w:w="1428"/>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30, 2024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Gunnar Kleveland</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Gunnar Kleveland</w:t>
              <w:b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Robert D. Starr,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7216" w:type="dxa"/>
        <w:jc w:val="left"/>
        <w:tblInd w:w="0" w:type="dxa"/>
        <w:tblLayout w:type="fixed"/>
        <w:tblCellMar>
          <w:top w:w="28" w:type="dxa"/>
          <w:left w:w="28" w:type="dxa"/>
          <w:bottom w:w="28" w:type="dxa"/>
          <w:right w:w="28" w:type="dxa"/>
        </w:tblCellMar>
      </w:tblPr>
      <w:tblGrid>
        <w:gridCol w:w="776"/>
        <w:gridCol w:w="681"/>
        <w:gridCol w:w="688"/>
        <w:gridCol w:w="115"/>
        <w:gridCol w:w="115"/>
        <w:gridCol w:w="116"/>
        <w:gridCol w:w="1382"/>
        <w:gridCol w:w="1382"/>
        <w:gridCol w:w="1961"/>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30, 2024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Starr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D. Starr</w:t>
              <w:b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Quarterly Report of Albany International Corp. (the Company) on Form 10-Q for the period ending September 30, 2024, as filed with the Securities and Exchange Commission on the date hereof (the Report), Gunnar Kleveland, President and Chief Executive Officer, and Robert D. Starr, Executive Vice President and Chief Financial Officer of the Company, certify, pursuant to 18 U.S.C. § 1350, as adopted pursuant to § 906 of the Sarbanes-Oxley Act of 2002,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and Exchange Act of 1934;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7197" w:type="dxa"/>
        <w:jc w:val="center"/>
        <w:tblInd w:w="0" w:type="dxa"/>
        <w:tblLayout w:type="fixed"/>
        <w:tblCellMar>
          <w:top w:w="28" w:type="dxa"/>
          <w:left w:w="28" w:type="dxa"/>
          <w:bottom w:w="28" w:type="dxa"/>
          <w:right w:w="28" w:type="dxa"/>
        </w:tblCellMar>
      </w:tblPr>
      <w:tblGrid>
        <w:gridCol w:w="776"/>
        <w:gridCol w:w="681"/>
        <w:gridCol w:w="688"/>
        <w:gridCol w:w="109"/>
        <w:gridCol w:w="109"/>
        <w:gridCol w:w="109"/>
        <w:gridCol w:w="1380"/>
        <w:gridCol w:w="1380"/>
        <w:gridCol w:w="1965"/>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Gunnar Kleveland</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Gunnar Kleveland</w:t>
              <w:br/>
              <w:t>President and Chief Executive Officer</w:t>
              <w:br/>
              <w:t>(Principal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Starr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D. Starr</w:t>
              <w:br/>
              <w:t>Executive Vice President and 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Book Antiqua">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9793/000081979324000062/ain-20240926xex31.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18837</Words>
  <Characters>105526</Characters>
  <CharactersWithSpaces>122792</CharactersWithSpaces>
  <Paragraphs>3289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ain-20240930xex10uix</dc:title>
</cp:coreProperties>
</file>